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149B7" w:rsidRPr="009370B9" w:rsidRDefault="00C149B7" w:rsidP="00544360">
      <w:bookmarkStart w:id="0" w:name="_GoBack"/>
      <w:bookmarkEnd w:id="0"/>
    </w:p>
    <w:sdt>
      <w:sdtPr>
        <w:rPr>
          <w:rFonts w:ascii="Arial" w:hAnsi="Arial"/>
          <w:color w:val="215868" w:themeColor="accent5" w:themeShade="80"/>
          <w:sz w:val="22"/>
          <w:lang w:val="en-US"/>
        </w:rPr>
        <w:id w:val="-1169015991"/>
        <w:docPartObj>
          <w:docPartGallery w:val="Cover Pages"/>
          <w:docPartUnique/>
        </w:docPartObj>
      </w:sdtPr>
      <w:sdtEndPr>
        <w:rPr>
          <w:b/>
          <w:noProof/>
          <w:color w:val="EEECE1" w:themeColor="background2"/>
          <w:szCs w:val="32"/>
          <w:lang w:val="en-AU" w:eastAsia="en-AU"/>
        </w:rPr>
      </w:sdtEndPr>
      <w:sdtContent>
        <w:sdt>
          <w:sdtPr>
            <w:rPr>
              <w:rFonts w:ascii="Arial" w:eastAsiaTheme="majorEastAsia" w:hAnsi="Arial" w:cs="Arial"/>
              <w:color w:val="000080"/>
              <w:sz w:val="72"/>
              <w:szCs w:val="80"/>
            </w:rPr>
            <w:alias w:val="Title"/>
            <w:id w:val="917285090"/>
            <w:dataBinding w:prefixMappings="xmlns:ns0='http://schemas.openxmlformats.org/package/2006/metadata/core-properties' xmlns:ns1='http://purl.org/dc/elements/1.1/'" w:xpath="/ns0:coreProperties[1]/ns1:title[1]" w:storeItemID="{6C3C8BC8-F283-45AE-878A-BAB7291924A1}"/>
            <w:text/>
          </w:sdtPr>
          <w:sdtEndPr/>
          <w:sdtContent>
            <w:p w:rsidR="00927A3A" w:rsidRDefault="00927A3A" w:rsidP="00927A3A">
              <w:pPr>
                <w:pStyle w:val="NoSpacing"/>
                <w:rPr>
                  <w:rFonts w:ascii="Arial" w:eastAsiaTheme="majorEastAsia" w:hAnsi="Arial" w:cs="Arial"/>
                  <w:color w:val="000080"/>
                  <w:sz w:val="72"/>
                  <w:szCs w:val="80"/>
                </w:rPr>
              </w:pPr>
              <w:r w:rsidRPr="00927A3A">
                <w:rPr>
                  <w:rFonts w:ascii="Arial" w:eastAsiaTheme="majorEastAsia" w:hAnsi="Arial" w:cs="Arial"/>
                  <w:color w:val="000080"/>
                  <w:sz w:val="72"/>
                  <w:szCs w:val="80"/>
                </w:rPr>
                <w:t>Australia’s Future Health Workforce – Obstetrics and Gynaecology</w:t>
              </w:r>
            </w:p>
          </w:sdtContent>
        </w:sdt>
        <w:p w:rsidR="00AF1C1A" w:rsidRPr="00927A3A" w:rsidRDefault="00927A3A" w:rsidP="00927A3A">
          <w:pPr>
            <w:pStyle w:val="NoSpacing"/>
            <w:spacing w:before="360" w:after="9840"/>
            <w:rPr>
              <w:color w:val="000080"/>
              <w:lang w:val="en-US"/>
            </w:rPr>
          </w:pPr>
          <w:r w:rsidRPr="00927A3A">
            <w:rPr>
              <w:rFonts w:ascii="Arial" w:eastAsiaTheme="majorEastAsia" w:hAnsi="Arial" w:cs="Arial"/>
              <w:b/>
              <w:color w:val="000080"/>
              <w:sz w:val="32"/>
            </w:rPr>
            <w:t>Department of Health</w:t>
          </w:r>
        </w:p>
        <w:p w:rsidR="007A28BC" w:rsidRDefault="00927A3A" w:rsidP="00927A3A">
          <w:pPr>
            <w:rPr>
              <w:noProof/>
              <w:color w:val="EEECE1" w:themeColor="background2"/>
              <w:sz w:val="32"/>
              <w:szCs w:val="32"/>
              <w:lang w:eastAsia="en-AU"/>
            </w:rPr>
          </w:pPr>
          <w:r w:rsidRPr="00927A3A">
            <w:rPr>
              <w:noProof/>
              <w:color w:val="000080"/>
              <w:sz w:val="32"/>
              <w:szCs w:val="32"/>
              <w:lang w:eastAsia="en-AU"/>
            </w:rPr>
            <w:fldChar w:fldCharType="begin"/>
          </w:r>
          <w:r w:rsidRPr="00927A3A">
            <w:rPr>
              <w:noProof/>
              <w:color w:val="000080"/>
              <w:sz w:val="32"/>
              <w:szCs w:val="32"/>
              <w:lang w:eastAsia="en-AU"/>
            </w:rPr>
            <w:instrText xml:space="preserve"> DATE  \@ "MMMM yyyy" </w:instrText>
          </w:r>
          <w:r w:rsidRPr="00927A3A">
            <w:rPr>
              <w:noProof/>
              <w:color w:val="000080"/>
              <w:sz w:val="32"/>
              <w:szCs w:val="32"/>
              <w:lang w:eastAsia="en-AU"/>
            </w:rPr>
            <w:fldChar w:fldCharType="separate"/>
          </w:r>
          <w:r w:rsidR="00740D24">
            <w:rPr>
              <w:noProof/>
              <w:color w:val="000080"/>
              <w:sz w:val="32"/>
              <w:szCs w:val="32"/>
              <w:lang w:eastAsia="en-AU"/>
            </w:rPr>
            <w:t>September 2018</w:t>
          </w:r>
          <w:r w:rsidRPr="00927A3A">
            <w:rPr>
              <w:noProof/>
              <w:color w:val="000080"/>
              <w:sz w:val="32"/>
              <w:szCs w:val="32"/>
              <w:lang w:eastAsia="en-AU"/>
            </w:rPr>
            <w:fldChar w:fldCharType="end"/>
          </w:r>
          <w:r w:rsidR="007A28BC">
            <w:rPr>
              <w:noProof/>
              <w:color w:val="EEECE1" w:themeColor="background2"/>
              <w:sz w:val="32"/>
              <w:szCs w:val="32"/>
              <w:lang w:eastAsia="en-AU"/>
            </w:rPr>
            <w:br w:type="page"/>
          </w:r>
        </w:p>
        <w:p w:rsidR="007162A5" w:rsidRPr="009370B9" w:rsidRDefault="00740D24" w:rsidP="00544360">
          <w:pPr>
            <w:rPr>
              <w:noProof/>
              <w:color w:val="EEECE1" w:themeColor="background2"/>
              <w:sz w:val="32"/>
              <w:szCs w:val="32"/>
              <w:lang w:eastAsia="en-AU"/>
            </w:rPr>
          </w:pPr>
        </w:p>
      </w:sdtContent>
    </w:sdt>
    <w:sdt>
      <w:sdtPr>
        <w:rPr>
          <w:rFonts w:ascii="Times New Roman" w:eastAsia="Times New Roman" w:hAnsi="Times New Roman" w:cs="Times New Roman"/>
          <w:b w:val="0"/>
          <w:bCs w:val="0"/>
          <w:color w:val="auto"/>
          <w:sz w:val="22"/>
          <w:szCs w:val="24"/>
          <w:lang w:val="en-AU" w:eastAsia="en-US"/>
        </w:rPr>
        <w:id w:val="1958836636"/>
        <w:docPartObj>
          <w:docPartGallery w:val="Table of Contents"/>
          <w:docPartUnique/>
        </w:docPartObj>
      </w:sdtPr>
      <w:sdtEndPr>
        <w:rPr>
          <w:rFonts w:ascii="Arial" w:hAnsi="Arial"/>
          <w:noProof/>
        </w:rPr>
      </w:sdtEndPr>
      <w:sdtContent>
        <w:p w:rsidR="005B7759" w:rsidRPr="00B5618E" w:rsidRDefault="005B7759" w:rsidP="00426E94">
          <w:pPr>
            <w:pStyle w:val="TOCHeading"/>
          </w:pPr>
          <w:r w:rsidRPr="00B5618E">
            <w:t>Contents</w:t>
          </w:r>
        </w:p>
        <w:p w:rsidR="009F0A92" w:rsidRDefault="00B5618E">
          <w:pPr>
            <w:pStyle w:val="TOC1"/>
            <w:rPr>
              <w:rFonts w:asciiTheme="minorHAnsi" w:eastAsiaTheme="minorEastAsia" w:hAnsiTheme="minorHAnsi" w:cstheme="minorBidi"/>
              <w:szCs w:val="22"/>
              <w:lang w:eastAsia="en-AU"/>
            </w:rPr>
          </w:pPr>
          <w:r>
            <w:fldChar w:fldCharType="begin"/>
          </w:r>
          <w:r>
            <w:instrText xml:space="preserve"> TOC \o "1-2" \h \z \u </w:instrText>
          </w:r>
          <w:r>
            <w:fldChar w:fldCharType="separate"/>
          </w:r>
          <w:hyperlink w:anchor="_Toc521510432" w:history="1">
            <w:r w:rsidR="009F0A92" w:rsidRPr="00EB57CD">
              <w:rPr>
                <w:rStyle w:val="Hyperlink"/>
              </w:rPr>
              <w:t>Overview</w:t>
            </w:r>
            <w:r w:rsidR="009F0A92">
              <w:rPr>
                <w:webHidden/>
              </w:rPr>
              <w:tab/>
            </w:r>
            <w:r w:rsidR="009F0A92">
              <w:rPr>
                <w:webHidden/>
              </w:rPr>
              <w:fldChar w:fldCharType="begin"/>
            </w:r>
            <w:r w:rsidR="009F0A92">
              <w:rPr>
                <w:webHidden/>
              </w:rPr>
              <w:instrText xml:space="preserve"> PAGEREF _Toc521510432 \h </w:instrText>
            </w:r>
            <w:r w:rsidR="009F0A92">
              <w:rPr>
                <w:webHidden/>
              </w:rPr>
            </w:r>
            <w:r w:rsidR="009F0A92">
              <w:rPr>
                <w:webHidden/>
              </w:rPr>
              <w:fldChar w:fldCharType="separate"/>
            </w:r>
            <w:r w:rsidR="00D37E18">
              <w:rPr>
                <w:webHidden/>
              </w:rPr>
              <w:t>1</w:t>
            </w:r>
            <w:r w:rsidR="009F0A92">
              <w:rPr>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33" w:history="1">
            <w:r w:rsidR="009F0A92" w:rsidRPr="00EB57CD">
              <w:rPr>
                <w:rStyle w:val="Hyperlink"/>
              </w:rPr>
              <w:t>Key findings</w:t>
            </w:r>
            <w:r w:rsidR="009F0A92">
              <w:rPr>
                <w:webHidden/>
              </w:rPr>
              <w:tab/>
            </w:r>
            <w:r w:rsidR="009F0A92">
              <w:rPr>
                <w:webHidden/>
              </w:rPr>
              <w:fldChar w:fldCharType="begin"/>
            </w:r>
            <w:r w:rsidR="009F0A92">
              <w:rPr>
                <w:webHidden/>
              </w:rPr>
              <w:instrText xml:space="preserve"> PAGEREF _Toc521510433 \h </w:instrText>
            </w:r>
            <w:r w:rsidR="009F0A92">
              <w:rPr>
                <w:webHidden/>
              </w:rPr>
            </w:r>
            <w:r w:rsidR="009F0A92">
              <w:rPr>
                <w:webHidden/>
              </w:rPr>
              <w:fldChar w:fldCharType="separate"/>
            </w:r>
            <w:r w:rsidR="00D37E18">
              <w:rPr>
                <w:webHidden/>
              </w:rPr>
              <w:t>2</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4" w:history="1">
            <w:r w:rsidR="009F0A92" w:rsidRPr="00EB57CD">
              <w:rPr>
                <w:rStyle w:val="Hyperlink"/>
                <w:noProof/>
              </w:rPr>
              <w:t>Current workforce and trainees</w:t>
            </w:r>
            <w:r w:rsidR="009F0A92">
              <w:rPr>
                <w:noProof/>
                <w:webHidden/>
              </w:rPr>
              <w:tab/>
            </w:r>
            <w:r w:rsidR="009F0A92">
              <w:rPr>
                <w:noProof/>
                <w:webHidden/>
              </w:rPr>
              <w:fldChar w:fldCharType="begin"/>
            </w:r>
            <w:r w:rsidR="009F0A92">
              <w:rPr>
                <w:noProof/>
                <w:webHidden/>
              </w:rPr>
              <w:instrText xml:space="preserve"> PAGEREF _Toc521510434 \h </w:instrText>
            </w:r>
            <w:r w:rsidR="009F0A92">
              <w:rPr>
                <w:noProof/>
                <w:webHidden/>
              </w:rPr>
            </w:r>
            <w:r w:rsidR="009F0A92">
              <w:rPr>
                <w:noProof/>
                <w:webHidden/>
              </w:rPr>
              <w:fldChar w:fldCharType="separate"/>
            </w:r>
            <w:r w:rsidR="00D37E18">
              <w:rPr>
                <w:noProof/>
                <w:webHidden/>
              </w:rPr>
              <w:t>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5" w:history="1">
            <w:r w:rsidR="009F0A92" w:rsidRPr="00EB57CD">
              <w:rPr>
                <w:rStyle w:val="Hyperlink"/>
                <w:noProof/>
              </w:rPr>
              <w:t>Scope of practice</w:t>
            </w:r>
            <w:r w:rsidR="009F0A92">
              <w:rPr>
                <w:noProof/>
                <w:webHidden/>
              </w:rPr>
              <w:tab/>
            </w:r>
            <w:r w:rsidR="009F0A92">
              <w:rPr>
                <w:noProof/>
                <w:webHidden/>
              </w:rPr>
              <w:fldChar w:fldCharType="begin"/>
            </w:r>
            <w:r w:rsidR="009F0A92">
              <w:rPr>
                <w:noProof/>
                <w:webHidden/>
              </w:rPr>
              <w:instrText xml:space="preserve"> PAGEREF _Toc521510435 \h </w:instrText>
            </w:r>
            <w:r w:rsidR="009F0A92">
              <w:rPr>
                <w:noProof/>
                <w:webHidden/>
              </w:rPr>
            </w:r>
            <w:r w:rsidR="009F0A92">
              <w:rPr>
                <w:noProof/>
                <w:webHidden/>
              </w:rPr>
              <w:fldChar w:fldCharType="separate"/>
            </w:r>
            <w:r w:rsidR="00D37E18">
              <w:rPr>
                <w:noProof/>
                <w:webHidden/>
              </w:rPr>
              <w:t>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6" w:history="1">
            <w:r w:rsidR="009F0A92" w:rsidRPr="00EB57CD">
              <w:rPr>
                <w:rStyle w:val="Hyperlink"/>
                <w:noProof/>
              </w:rPr>
              <w:t>Private health insurance</w:t>
            </w:r>
            <w:r w:rsidR="009F0A92">
              <w:rPr>
                <w:noProof/>
                <w:webHidden/>
              </w:rPr>
              <w:tab/>
            </w:r>
            <w:r w:rsidR="009F0A92">
              <w:rPr>
                <w:noProof/>
                <w:webHidden/>
              </w:rPr>
              <w:fldChar w:fldCharType="begin"/>
            </w:r>
            <w:r w:rsidR="009F0A92">
              <w:rPr>
                <w:noProof/>
                <w:webHidden/>
              </w:rPr>
              <w:instrText xml:space="preserve"> PAGEREF _Toc521510436 \h </w:instrText>
            </w:r>
            <w:r w:rsidR="009F0A92">
              <w:rPr>
                <w:noProof/>
                <w:webHidden/>
              </w:rPr>
            </w:r>
            <w:r w:rsidR="009F0A92">
              <w:rPr>
                <w:noProof/>
                <w:webHidden/>
              </w:rPr>
              <w:fldChar w:fldCharType="separate"/>
            </w:r>
            <w:r w:rsidR="00D37E18">
              <w:rPr>
                <w:noProof/>
                <w:webHidden/>
              </w:rPr>
              <w:t>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7" w:history="1">
            <w:r w:rsidR="009F0A92" w:rsidRPr="00EB57CD">
              <w:rPr>
                <w:rStyle w:val="Hyperlink"/>
                <w:noProof/>
              </w:rPr>
              <w:t>Assisted Reproductive Technology</w:t>
            </w:r>
            <w:r w:rsidR="009F0A92">
              <w:rPr>
                <w:noProof/>
                <w:webHidden/>
              </w:rPr>
              <w:tab/>
            </w:r>
            <w:r w:rsidR="009F0A92">
              <w:rPr>
                <w:noProof/>
                <w:webHidden/>
              </w:rPr>
              <w:fldChar w:fldCharType="begin"/>
            </w:r>
            <w:r w:rsidR="009F0A92">
              <w:rPr>
                <w:noProof/>
                <w:webHidden/>
              </w:rPr>
              <w:instrText xml:space="preserve"> PAGEREF _Toc521510437 \h </w:instrText>
            </w:r>
            <w:r w:rsidR="009F0A92">
              <w:rPr>
                <w:noProof/>
                <w:webHidden/>
              </w:rPr>
            </w:r>
            <w:r w:rsidR="009F0A92">
              <w:rPr>
                <w:noProof/>
                <w:webHidden/>
              </w:rPr>
              <w:fldChar w:fldCharType="separate"/>
            </w:r>
            <w:r w:rsidR="00D37E18">
              <w:rPr>
                <w:noProof/>
                <w:webHidden/>
              </w:rPr>
              <w:t>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8" w:history="1">
            <w:r w:rsidR="009F0A92" w:rsidRPr="00EB57CD">
              <w:rPr>
                <w:rStyle w:val="Hyperlink"/>
                <w:noProof/>
              </w:rPr>
              <w:t>Supply and demand projections</w:t>
            </w:r>
            <w:r w:rsidR="009F0A92">
              <w:rPr>
                <w:noProof/>
                <w:webHidden/>
              </w:rPr>
              <w:tab/>
            </w:r>
            <w:r w:rsidR="009F0A92">
              <w:rPr>
                <w:noProof/>
                <w:webHidden/>
              </w:rPr>
              <w:fldChar w:fldCharType="begin"/>
            </w:r>
            <w:r w:rsidR="009F0A92">
              <w:rPr>
                <w:noProof/>
                <w:webHidden/>
              </w:rPr>
              <w:instrText xml:space="preserve"> PAGEREF _Toc521510438 \h </w:instrText>
            </w:r>
            <w:r w:rsidR="009F0A92">
              <w:rPr>
                <w:noProof/>
                <w:webHidden/>
              </w:rPr>
            </w:r>
            <w:r w:rsidR="009F0A92">
              <w:rPr>
                <w:noProof/>
                <w:webHidden/>
              </w:rPr>
              <w:fldChar w:fldCharType="separate"/>
            </w:r>
            <w:r w:rsidR="00D37E18">
              <w:rPr>
                <w:noProof/>
                <w:webHidden/>
              </w:rPr>
              <w:t>3</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39" w:history="1">
            <w:r w:rsidR="009F0A92" w:rsidRPr="00EB57CD">
              <w:rPr>
                <w:rStyle w:val="Hyperlink"/>
                <w:noProof/>
              </w:rPr>
              <w:t>Recommendations:</w:t>
            </w:r>
            <w:r w:rsidR="009F0A92">
              <w:rPr>
                <w:noProof/>
                <w:webHidden/>
              </w:rPr>
              <w:tab/>
            </w:r>
            <w:r w:rsidR="009F0A92">
              <w:rPr>
                <w:noProof/>
                <w:webHidden/>
              </w:rPr>
              <w:fldChar w:fldCharType="begin"/>
            </w:r>
            <w:r w:rsidR="009F0A92">
              <w:rPr>
                <w:noProof/>
                <w:webHidden/>
              </w:rPr>
              <w:instrText xml:space="preserve"> PAGEREF _Toc521510439 \h </w:instrText>
            </w:r>
            <w:r w:rsidR="009F0A92">
              <w:rPr>
                <w:noProof/>
                <w:webHidden/>
              </w:rPr>
            </w:r>
            <w:r w:rsidR="009F0A92">
              <w:rPr>
                <w:noProof/>
                <w:webHidden/>
              </w:rPr>
              <w:fldChar w:fldCharType="separate"/>
            </w:r>
            <w:r w:rsidR="00D37E18">
              <w:rPr>
                <w:noProof/>
                <w:webHidden/>
              </w:rPr>
              <w:t>3</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40" w:history="1">
            <w:r w:rsidR="009F0A92" w:rsidRPr="00EB57CD">
              <w:rPr>
                <w:rStyle w:val="Hyperlink"/>
                <w:lang w:eastAsia="en-AU"/>
              </w:rPr>
              <w:t>Introduction</w:t>
            </w:r>
            <w:r w:rsidR="009F0A92">
              <w:rPr>
                <w:webHidden/>
              </w:rPr>
              <w:tab/>
            </w:r>
            <w:r w:rsidR="009F0A92">
              <w:rPr>
                <w:webHidden/>
              </w:rPr>
              <w:fldChar w:fldCharType="begin"/>
            </w:r>
            <w:r w:rsidR="009F0A92">
              <w:rPr>
                <w:webHidden/>
              </w:rPr>
              <w:instrText xml:space="preserve"> PAGEREF _Toc521510440 \h </w:instrText>
            </w:r>
            <w:r w:rsidR="009F0A92">
              <w:rPr>
                <w:webHidden/>
              </w:rPr>
            </w:r>
            <w:r w:rsidR="009F0A92">
              <w:rPr>
                <w:webHidden/>
              </w:rPr>
              <w:fldChar w:fldCharType="separate"/>
            </w:r>
            <w:r w:rsidR="00D37E18">
              <w:rPr>
                <w:webHidden/>
              </w:rPr>
              <w:t>4</w:t>
            </w:r>
            <w:r w:rsidR="009F0A92">
              <w:rPr>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41" w:history="1">
            <w:r w:rsidR="009F0A92" w:rsidRPr="00EB57CD">
              <w:rPr>
                <w:rStyle w:val="Hyperlink"/>
                <w:lang w:eastAsia="en-AU"/>
              </w:rPr>
              <w:t>Current workforce status</w:t>
            </w:r>
            <w:r w:rsidR="009F0A92">
              <w:rPr>
                <w:webHidden/>
              </w:rPr>
              <w:tab/>
            </w:r>
            <w:r w:rsidR="009F0A92">
              <w:rPr>
                <w:webHidden/>
              </w:rPr>
              <w:fldChar w:fldCharType="begin"/>
            </w:r>
            <w:r w:rsidR="009F0A92">
              <w:rPr>
                <w:webHidden/>
              </w:rPr>
              <w:instrText xml:space="preserve"> PAGEREF _Toc521510441 \h </w:instrText>
            </w:r>
            <w:r w:rsidR="009F0A92">
              <w:rPr>
                <w:webHidden/>
              </w:rPr>
            </w:r>
            <w:r w:rsidR="009F0A92">
              <w:rPr>
                <w:webHidden/>
              </w:rPr>
              <w:fldChar w:fldCharType="separate"/>
            </w:r>
            <w:r w:rsidR="00D37E18">
              <w:rPr>
                <w:webHidden/>
              </w:rPr>
              <w:t>5</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2" w:history="1">
            <w:r w:rsidR="009F0A92" w:rsidRPr="00EB57CD">
              <w:rPr>
                <w:rStyle w:val="Hyperlink"/>
                <w:noProof/>
              </w:rPr>
              <w:t>Registration, accreditation and specialty fields</w:t>
            </w:r>
            <w:r w:rsidR="009F0A92">
              <w:rPr>
                <w:noProof/>
                <w:webHidden/>
              </w:rPr>
              <w:tab/>
            </w:r>
            <w:r w:rsidR="009F0A92">
              <w:rPr>
                <w:noProof/>
                <w:webHidden/>
              </w:rPr>
              <w:fldChar w:fldCharType="begin"/>
            </w:r>
            <w:r w:rsidR="009F0A92">
              <w:rPr>
                <w:noProof/>
                <w:webHidden/>
              </w:rPr>
              <w:instrText xml:space="preserve"> PAGEREF _Toc521510442 \h </w:instrText>
            </w:r>
            <w:r w:rsidR="009F0A92">
              <w:rPr>
                <w:noProof/>
                <w:webHidden/>
              </w:rPr>
            </w:r>
            <w:r w:rsidR="009F0A92">
              <w:rPr>
                <w:noProof/>
                <w:webHidden/>
              </w:rPr>
              <w:fldChar w:fldCharType="separate"/>
            </w:r>
            <w:r w:rsidR="00D37E18">
              <w:rPr>
                <w:noProof/>
                <w:webHidden/>
              </w:rPr>
              <w:t>5</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3" w:history="1">
            <w:r w:rsidR="009F0A92" w:rsidRPr="00EB57CD">
              <w:rPr>
                <w:rStyle w:val="Hyperlink"/>
                <w:noProof/>
              </w:rPr>
              <w:t>Age and gender</w:t>
            </w:r>
            <w:r w:rsidR="009F0A92">
              <w:rPr>
                <w:noProof/>
                <w:webHidden/>
              </w:rPr>
              <w:tab/>
            </w:r>
            <w:r w:rsidR="009F0A92">
              <w:rPr>
                <w:noProof/>
                <w:webHidden/>
              </w:rPr>
              <w:fldChar w:fldCharType="begin"/>
            </w:r>
            <w:r w:rsidR="009F0A92">
              <w:rPr>
                <w:noProof/>
                <w:webHidden/>
              </w:rPr>
              <w:instrText xml:space="preserve"> PAGEREF _Toc521510443 \h </w:instrText>
            </w:r>
            <w:r w:rsidR="009F0A92">
              <w:rPr>
                <w:noProof/>
                <w:webHidden/>
              </w:rPr>
            </w:r>
            <w:r w:rsidR="009F0A92">
              <w:rPr>
                <w:noProof/>
                <w:webHidden/>
              </w:rPr>
              <w:fldChar w:fldCharType="separate"/>
            </w:r>
            <w:r w:rsidR="00D37E18">
              <w:rPr>
                <w:noProof/>
                <w:webHidden/>
              </w:rPr>
              <w:t>6</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4" w:history="1">
            <w:r w:rsidR="009F0A92" w:rsidRPr="00EB57CD">
              <w:rPr>
                <w:rStyle w:val="Hyperlink"/>
                <w:noProof/>
              </w:rPr>
              <w:t>Growth</w:t>
            </w:r>
            <w:r w:rsidR="009F0A92">
              <w:rPr>
                <w:noProof/>
                <w:webHidden/>
              </w:rPr>
              <w:tab/>
            </w:r>
            <w:r w:rsidR="009F0A92">
              <w:rPr>
                <w:noProof/>
                <w:webHidden/>
              </w:rPr>
              <w:fldChar w:fldCharType="begin"/>
            </w:r>
            <w:r w:rsidR="009F0A92">
              <w:rPr>
                <w:noProof/>
                <w:webHidden/>
              </w:rPr>
              <w:instrText xml:space="preserve"> PAGEREF _Toc521510444 \h </w:instrText>
            </w:r>
            <w:r w:rsidR="009F0A92">
              <w:rPr>
                <w:noProof/>
                <w:webHidden/>
              </w:rPr>
            </w:r>
            <w:r w:rsidR="009F0A92">
              <w:rPr>
                <w:noProof/>
                <w:webHidden/>
              </w:rPr>
              <w:fldChar w:fldCharType="separate"/>
            </w:r>
            <w:r w:rsidR="00D37E18">
              <w:rPr>
                <w:noProof/>
                <w:webHidden/>
              </w:rPr>
              <w:t>7</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5" w:history="1">
            <w:r w:rsidR="009F0A92" w:rsidRPr="00EB57CD">
              <w:rPr>
                <w:rStyle w:val="Hyperlink"/>
                <w:noProof/>
              </w:rPr>
              <w:t>Current specialist clinicians</w:t>
            </w:r>
            <w:r w:rsidR="009F0A92">
              <w:rPr>
                <w:noProof/>
                <w:webHidden/>
              </w:rPr>
              <w:tab/>
            </w:r>
            <w:r w:rsidR="009F0A92">
              <w:rPr>
                <w:noProof/>
                <w:webHidden/>
              </w:rPr>
              <w:fldChar w:fldCharType="begin"/>
            </w:r>
            <w:r w:rsidR="009F0A92">
              <w:rPr>
                <w:noProof/>
                <w:webHidden/>
              </w:rPr>
              <w:instrText xml:space="preserve"> PAGEREF _Toc521510445 \h </w:instrText>
            </w:r>
            <w:r w:rsidR="009F0A92">
              <w:rPr>
                <w:noProof/>
                <w:webHidden/>
              </w:rPr>
            </w:r>
            <w:r w:rsidR="009F0A92">
              <w:rPr>
                <w:noProof/>
                <w:webHidden/>
              </w:rPr>
              <w:fldChar w:fldCharType="separate"/>
            </w:r>
            <w:r w:rsidR="00D37E18">
              <w:rPr>
                <w:noProof/>
                <w:webHidden/>
              </w:rPr>
              <w:t>7</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6" w:history="1">
            <w:r w:rsidR="009F0A92" w:rsidRPr="00EB57CD">
              <w:rPr>
                <w:rStyle w:val="Hyperlink"/>
                <w:noProof/>
              </w:rPr>
              <w:t>Scopes of practice in obstetrics and gynaecology</w:t>
            </w:r>
            <w:r w:rsidR="009F0A92">
              <w:rPr>
                <w:noProof/>
                <w:webHidden/>
              </w:rPr>
              <w:tab/>
            </w:r>
            <w:r w:rsidR="009F0A92">
              <w:rPr>
                <w:noProof/>
                <w:webHidden/>
              </w:rPr>
              <w:fldChar w:fldCharType="begin"/>
            </w:r>
            <w:r w:rsidR="009F0A92">
              <w:rPr>
                <w:noProof/>
                <w:webHidden/>
              </w:rPr>
              <w:instrText xml:space="preserve"> PAGEREF _Toc521510446 \h </w:instrText>
            </w:r>
            <w:r w:rsidR="009F0A92">
              <w:rPr>
                <w:noProof/>
                <w:webHidden/>
              </w:rPr>
            </w:r>
            <w:r w:rsidR="009F0A92">
              <w:rPr>
                <w:noProof/>
                <w:webHidden/>
              </w:rPr>
              <w:fldChar w:fldCharType="separate"/>
            </w:r>
            <w:r w:rsidR="00D37E18">
              <w:rPr>
                <w:noProof/>
                <w:webHidden/>
              </w:rPr>
              <w:t>12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7" w:history="1">
            <w:r w:rsidR="009F0A92" w:rsidRPr="00EB57CD">
              <w:rPr>
                <w:rStyle w:val="Hyperlink"/>
                <w:noProof/>
              </w:rPr>
              <w:t>Current trainees</w:t>
            </w:r>
            <w:r w:rsidR="009F0A92">
              <w:rPr>
                <w:noProof/>
                <w:webHidden/>
              </w:rPr>
              <w:tab/>
            </w:r>
            <w:r w:rsidR="009F0A92">
              <w:rPr>
                <w:noProof/>
                <w:webHidden/>
              </w:rPr>
              <w:fldChar w:fldCharType="begin"/>
            </w:r>
            <w:r w:rsidR="009F0A92">
              <w:rPr>
                <w:noProof/>
                <w:webHidden/>
              </w:rPr>
              <w:instrText xml:space="preserve"> PAGEREF _Toc521510447 \h </w:instrText>
            </w:r>
            <w:r w:rsidR="009F0A92">
              <w:rPr>
                <w:noProof/>
                <w:webHidden/>
              </w:rPr>
            </w:r>
            <w:r w:rsidR="009F0A92">
              <w:rPr>
                <w:noProof/>
                <w:webHidden/>
              </w:rPr>
              <w:fldChar w:fldCharType="separate"/>
            </w:r>
            <w:r w:rsidR="00D37E18">
              <w:rPr>
                <w:noProof/>
                <w:webHidden/>
              </w:rPr>
              <w:t>15</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8" w:history="1">
            <w:r w:rsidR="009F0A92" w:rsidRPr="00EB57CD">
              <w:rPr>
                <w:rStyle w:val="Hyperlink"/>
                <w:noProof/>
              </w:rPr>
              <w:t>Prevocational intentions</w:t>
            </w:r>
            <w:r w:rsidR="009F0A92">
              <w:rPr>
                <w:noProof/>
                <w:webHidden/>
              </w:rPr>
              <w:tab/>
            </w:r>
            <w:r w:rsidR="009F0A92">
              <w:rPr>
                <w:noProof/>
                <w:webHidden/>
              </w:rPr>
              <w:fldChar w:fldCharType="begin"/>
            </w:r>
            <w:r w:rsidR="009F0A92">
              <w:rPr>
                <w:noProof/>
                <w:webHidden/>
              </w:rPr>
              <w:instrText xml:space="preserve"> PAGEREF _Toc521510448 \h </w:instrText>
            </w:r>
            <w:r w:rsidR="009F0A92">
              <w:rPr>
                <w:noProof/>
                <w:webHidden/>
              </w:rPr>
            </w:r>
            <w:r w:rsidR="009F0A92">
              <w:rPr>
                <w:noProof/>
                <w:webHidden/>
              </w:rPr>
              <w:fldChar w:fldCharType="separate"/>
            </w:r>
            <w:r w:rsidR="00D37E18">
              <w:rPr>
                <w:noProof/>
                <w:webHidden/>
              </w:rPr>
              <w:t>20</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49" w:history="1">
            <w:r w:rsidR="009F0A92" w:rsidRPr="00EB57CD">
              <w:rPr>
                <w:rStyle w:val="Hyperlink"/>
                <w:noProof/>
              </w:rPr>
              <w:t>Summary of total workforce by remoteness classification</w:t>
            </w:r>
            <w:r w:rsidR="009F0A92">
              <w:rPr>
                <w:noProof/>
                <w:webHidden/>
              </w:rPr>
              <w:tab/>
            </w:r>
            <w:r w:rsidR="009F0A92">
              <w:rPr>
                <w:noProof/>
                <w:webHidden/>
              </w:rPr>
              <w:fldChar w:fldCharType="begin"/>
            </w:r>
            <w:r w:rsidR="009F0A92">
              <w:rPr>
                <w:noProof/>
                <w:webHidden/>
              </w:rPr>
              <w:instrText xml:space="preserve"> PAGEREF _Toc521510449 \h </w:instrText>
            </w:r>
            <w:r w:rsidR="009F0A92">
              <w:rPr>
                <w:noProof/>
                <w:webHidden/>
              </w:rPr>
            </w:r>
            <w:r w:rsidR="009F0A92">
              <w:rPr>
                <w:noProof/>
                <w:webHidden/>
              </w:rPr>
              <w:fldChar w:fldCharType="separate"/>
            </w:r>
            <w:r w:rsidR="00D37E18">
              <w:rPr>
                <w:noProof/>
                <w:webHidden/>
              </w:rPr>
              <w:t>21</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50" w:history="1">
            <w:r w:rsidR="009F0A92" w:rsidRPr="00EB57CD">
              <w:rPr>
                <w:rStyle w:val="Hyperlink"/>
              </w:rPr>
              <w:t>General Practitioners providing obstetric services</w:t>
            </w:r>
            <w:r w:rsidR="009F0A92">
              <w:rPr>
                <w:webHidden/>
              </w:rPr>
              <w:tab/>
            </w:r>
            <w:r w:rsidR="009F0A92">
              <w:rPr>
                <w:webHidden/>
              </w:rPr>
              <w:fldChar w:fldCharType="begin"/>
            </w:r>
            <w:r w:rsidR="009F0A92">
              <w:rPr>
                <w:webHidden/>
              </w:rPr>
              <w:instrText xml:space="preserve"> PAGEREF _Toc521510450 \h </w:instrText>
            </w:r>
            <w:r w:rsidR="009F0A92">
              <w:rPr>
                <w:webHidden/>
              </w:rPr>
            </w:r>
            <w:r w:rsidR="009F0A92">
              <w:rPr>
                <w:webHidden/>
              </w:rPr>
              <w:fldChar w:fldCharType="separate"/>
            </w:r>
            <w:r w:rsidR="00D37E18">
              <w:rPr>
                <w:webHidden/>
              </w:rPr>
              <w:t>22</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1" w:history="1">
            <w:r w:rsidR="009F0A92" w:rsidRPr="00EB57CD">
              <w:rPr>
                <w:rStyle w:val="Hyperlink"/>
                <w:noProof/>
              </w:rPr>
              <w:t>Background</w:t>
            </w:r>
            <w:r w:rsidR="009F0A92">
              <w:rPr>
                <w:noProof/>
                <w:webHidden/>
              </w:rPr>
              <w:tab/>
            </w:r>
            <w:r w:rsidR="009F0A92">
              <w:rPr>
                <w:noProof/>
                <w:webHidden/>
              </w:rPr>
              <w:fldChar w:fldCharType="begin"/>
            </w:r>
            <w:r w:rsidR="009F0A92">
              <w:rPr>
                <w:noProof/>
                <w:webHidden/>
              </w:rPr>
              <w:instrText xml:space="preserve"> PAGEREF _Toc521510451 \h </w:instrText>
            </w:r>
            <w:r w:rsidR="009F0A92">
              <w:rPr>
                <w:noProof/>
                <w:webHidden/>
              </w:rPr>
            </w:r>
            <w:r w:rsidR="009F0A92">
              <w:rPr>
                <w:noProof/>
                <w:webHidden/>
              </w:rPr>
              <w:fldChar w:fldCharType="separate"/>
            </w:r>
            <w:r w:rsidR="00D37E18">
              <w:rPr>
                <w:noProof/>
                <w:webHidden/>
              </w:rPr>
              <w:t>22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2" w:history="1">
            <w:r w:rsidR="009F0A92" w:rsidRPr="00EB57CD">
              <w:rPr>
                <w:rStyle w:val="Hyperlink"/>
                <w:noProof/>
              </w:rPr>
              <w:t>Rural Health Workforce</w:t>
            </w:r>
            <w:r w:rsidR="009F0A92">
              <w:rPr>
                <w:noProof/>
                <w:webHidden/>
              </w:rPr>
              <w:tab/>
            </w:r>
            <w:r w:rsidR="009F0A92">
              <w:rPr>
                <w:noProof/>
                <w:webHidden/>
              </w:rPr>
              <w:fldChar w:fldCharType="begin"/>
            </w:r>
            <w:r w:rsidR="009F0A92">
              <w:rPr>
                <w:noProof/>
                <w:webHidden/>
              </w:rPr>
              <w:instrText xml:space="preserve"> PAGEREF _Toc521510452 \h </w:instrText>
            </w:r>
            <w:r w:rsidR="009F0A92">
              <w:rPr>
                <w:noProof/>
                <w:webHidden/>
              </w:rPr>
            </w:r>
            <w:r w:rsidR="009F0A92">
              <w:rPr>
                <w:noProof/>
                <w:webHidden/>
              </w:rPr>
              <w:fldChar w:fldCharType="separate"/>
            </w:r>
            <w:r w:rsidR="00D37E18">
              <w:rPr>
                <w:noProof/>
                <w:webHidden/>
              </w:rPr>
              <w:t>22</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3" w:history="1">
            <w:r w:rsidR="009F0A92" w:rsidRPr="00EB57CD">
              <w:rPr>
                <w:rStyle w:val="Hyperlink"/>
                <w:noProof/>
              </w:rPr>
              <w:t>Current MBS services</w:t>
            </w:r>
            <w:r w:rsidR="009F0A92">
              <w:rPr>
                <w:noProof/>
                <w:webHidden/>
              </w:rPr>
              <w:tab/>
            </w:r>
            <w:r w:rsidR="009F0A92">
              <w:rPr>
                <w:noProof/>
                <w:webHidden/>
              </w:rPr>
              <w:fldChar w:fldCharType="begin"/>
            </w:r>
            <w:r w:rsidR="009F0A92">
              <w:rPr>
                <w:noProof/>
                <w:webHidden/>
              </w:rPr>
              <w:instrText xml:space="preserve"> PAGEREF _Toc521510453 \h </w:instrText>
            </w:r>
            <w:r w:rsidR="009F0A92">
              <w:rPr>
                <w:noProof/>
                <w:webHidden/>
              </w:rPr>
            </w:r>
            <w:r w:rsidR="009F0A92">
              <w:rPr>
                <w:noProof/>
                <w:webHidden/>
              </w:rPr>
              <w:fldChar w:fldCharType="separate"/>
            </w:r>
            <w:r w:rsidR="00D37E18">
              <w:rPr>
                <w:noProof/>
                <w:webHidden/>
              </w:rPr>
              <w:t>23</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54" w:history="1">
            <w:r w:rsidR="009F0A92" w:rsidRPr="00EB57CD">
              <w:rPr>
                <w:rStyle w:val="Hyperlink"/>
              </w:rPr>
              <w:t>Assisted Reproductive Technology</w:t>
            </w:r>
            <w:r w:rsidR="009F0A92">
              <w:rPr>
                <w:webHidden/>
              </w:rPr>
              <w:tab/>
            </w:r>
            <w:r w:rsidR="009F0A92">
              <w:rPr>
                <w:webHidden/>
              </w:rPr>
              <w:fldChar w:fldCharType="begin"/>
            </w:r>
            <w:r w:rsidR="009F0A92">
              <w:rPr>
                <w:webHidden/>
              </w:rPr>
              <w:instrText xml:space="preserve"> PAGEREF _Toc521510454 \h </w:instrText>
            </w:r>
            <w:r w:rsidR="009F0A92">
              <w:rPr>
                <w:webHidden/>
              </w:rPr>
            </w:r>
            <w:r w:rsidR="009F0A92">
              <w:rPr>
                <w:webHidden/>
              </w:rPr>
              <w:fldChar w:fldCharType="separate"/>
            </w:r>
            <w:r w:rsidR="00D37E18">
              <w:rPr>
                <w:webHidden/>
              </w:rPr>
              <w:t>25</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5" w:history="1">
            <w:r w:rsidR="009F0A92" w:rsidRPr="00EB57CD">
              <w:rPr>
                <w:rStyle w:val="Hyperlink"/>
                <w:noProof/>
              </w:rPr>
              <w:t>MBS analysis of ART</w:t>
            </w:r>
            <w:r w:rsidR="009F0A92">
              <w:rPr>
                <w:noProof/>
                <w:webHidden/>
              </w:rPr>
              <w:tab/>
            </w:r>
            <w:r w:rsidR="009F0A92">
              <w:rPr>
                <w:noProof/>
                <w:webHidden/>
              </w:rPr>
              <w:fldChar w:fldCharType="begin"/>
            </w:r>
            <w:r w:rsidR="009F0A92">
              <w:rPr>
                <w:noProof/>
                <w:webHidden/>
              </w:rPr>
              <w:instrText xml:space="preserve"> PAGEREF _Toc521510455 \h </w:instrText>
            </w:r>
            <w:r w:rsidR="009F0A92">
              <w:rPr>
                <w:noProof/>
                <w:webHidden/>
              </w:rPr>
            </w:r>
            <w:r w:rsidR="009F0A92">
              <w:rPr>
                <w:noProof/>
                <w:webHidden/>
              </w:rPr>
              <w:fldChar w:fldCharType="separate"/>
            </w:r>
            <w:r w:rsidR="00D37E18">
              <w:rPr>
                <w:noProof/>
                <w:webHidden/>
              </w:rPr>
              <w:t>25</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56" w:history="1">
            <w:r w:rsidR="009F0A92" w:rsidRPr="00EB57CD">
              <w:rPr>
                <w:rStyle w:val="Hyperlink"/>
              </w:rPr>
              <w:t>Private healthcare</w:t>
            </w:r>
            <w:r w:rsidR="009F0A92">
              <w:rPr>
                <w:webHidden/>
              </w:rPr>
              <w:tab/>
            </w:r>
            <w:r w:rsidR="009F0A92">
              <w:rPr>
                <w:webHidden/>
              </w:rPr>
              <w:fldChar w:fldCharType="begin"/>
            </w:r>
            <w:r w:rsidR="009F0A92">
              <w:rPr>
                <w:webHidden/>
              </w:rPr>
              <w:instrText xml:space="preserve"> PAGEREF _Toc521510456 \h </w:instrText>
            </w:r>
            <w:r w:rsidR="009F0A92">
              <w:rPr>
                <w:webHidden/>
              </w:rPr>
            </w:r>
            <w:r w:rsidR="009F0A92">
              <w:rPr>
                <w:webHidden/>
              </w:rPr>
              <w:fldChar w:fldCharType="separate"/>
            </w:r>
            <w:r w:rsidR="00D37E18">
              <w:rPr>
                <w:webHidden/>
              </w:rPr>
              <w:t>26</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7" w:history="1">
            <w:r w:rsidR="009F0A92" w:rsidRPr="00EB57CD">
              <w:rPr>
                <w:rStyle w:val="Hyperlink"/>
                <w:noProof/>
              </w:rPr>
              <w:t>Background</w:t>
            </w:r>
            <w:r w:rsidR="009F0A92">
              <w:rPr>
                <w:noProof/>
                <w:webHidden/>
              </w:rPr>
              <w:tab/>
            </w:r>
            <w:r w:rsidR="009F0A92">
              <w:rPr>
                <w:noProof/>
                <w:webHidden/>
              </w:rPr>
              <w:fldChar w:fldCharType="begin"/>
            </w:r>
            <w:r w:rsidR="009F0A92">
              <w:rPr>
                <w:noProof/>
                <w:webHidden/>
              </w:rPr>
              <w:instrText xml:space="preserve"> PAGEREF _Toc521510457 \h </w:instrText>
            </w:r>
            <w:r w:rsidR="009F0A92">
              <w:rPr>
                <w:noProof/>
                <w:webHidden/>
              </w:rPr>
            </w:r>
            <w:r w:rsidR="009F0A92">
              <w:rPr>
                <w:noProof/>
                <w:webHidden/>
              </w:rPr>
              <w:fldChar w:fldCharType="separate"/>
            </w:r>
            <w:r w:rsidR="00D37E18">
              <w:rPr>
                <w:noProof/>
                <w:webHidden/>
              </w:rPr>
              <w:t>26</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8" w:history="1">
            <w:r w:rsidR="009F0A92" w:rsidRPr="00EB57CD">
              <w:rPr>
                <w:rStyle w:val="Hyperlink"/>
                <w:noProof/>
                <w:lang w:eastAsia="en-AU"/>
              </w:rPr>
              <w:t>Private health insurance products</w:t>
            </w:r>
            <w:r w:rsidR="009F0A92">
              <w:rPr>
                <w:noProof/>
                <w:webHidden/>
              </w:rPr>
              <w:tab/>
            </w:r>
            <w:r w:rsidR="009F0A92">
              <w:rPr>
                <w:noProof/>
                <w:webHidden/>
              </w:rPr>
              <w:fldChar w:fldCharType="begin"/>
            </w:r>
            <w:r w:rsidR="009F0A92">
              <w:rPr>
                <w:noProof/>
                <w:webHidden/>
              </w:rPr>
              <w:instrText xml:space="preserve"> PAGEREF _Toc521510458 \h </w:instrText>
            </w:r>
            <w:r w:rsidR="009F0A92">
              <w:rPr>
                <w:noProof/>
                <w:webHidden/>
              </w:rPr>
            </w:r>
            <w:r w:rsidR="009F0A92">
              <w:rPr>
                <w:noProof/>
                <w:webHidden/>
              </w:rPr>
              <w:fldChar w:fldCharType="separate"/>
            </w:r>
            <w:r w:rsidR="00D37E18">
              <w:rPr>
                <w:noProof/>
                <w:webHidden/>
              </w:rPr>
              <w:t>26</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59" w:history="1">
            <w:r w:rsidR="009F0A92" w:rsidRPr="00EB57CD">
              <w:rPr>
                <w:rStyle w:val="Hyperlink"/>
                <w:noProof/>
                <w:shd w:val="clear" w:color="auto" w:fill="FBFBFB"/>
              </w:rPr>
              <w:t>Interaction between public and private hospitals</w:t>
            </w:r>
            <w:r w:rsidR="009F0A92">
              <w:rPr>
                <w:noProof/>
                <w:webHidden/>
              </w:rPr>
              <w:tab/>
            </w:r>
            <w:r w:rsidR="009F0A92">
              <w:rPr>
                <w:noProof/>
                <w:webHidden/>
              </w:rPr>
              <w:fldChar w:fldCharType="begin"/>
            </w:r>
            <w:r w:rsidR="009F0A92">
              <w:rPr>
                <w:noProof/>
                <w:webHidden/>
              </w:rPr>
              <w:instrText xml:space="preserve"> PAGEREF _Toc521510459 \h </w:instrText>
            </w:r>
            <w:r w:rsidR="009F0A92">
              <w:rPr>
                <w:noProof/>
                <w:webHidden/>
              </w:rPr>
            </w:r>
            <w:r w:rsidR="009F0A92">
              <w:rPr>
                <w:noProof/>
                <w:webHidden/>
              </w:rPr>
              <w:fldChar w:fldCharType="separate"/>
            </w:r>
            <w:r w:rsidR="00D37E18">
              <w:rPr>
                <w:noProof/>
                <w:webHidden/>
              </w:rPr>
              <w:t>26</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0" w:history="1">
            <w:r w:rsidR="009F0A92" w:rsidRPr="00EB57CD">
              <w:rPr>
                <w:rStyle w:val="Hyperlink"/>
                <w:noProof/>
                <w:shd w:val="clear" w:color="auto" w:fill="FBFBFB"/>
              </w:rPr>
              <w:t>Provision of services by hospital sector</w:t>
            </w:r>
            <w:r w:rsidR="009F0A92">
              <w:rPr>
                <w:noProof/>
                <w:webHidden/>
              </w:rPr>
              <w:tab/>
            </w:r>
            <w:r w:rsidR="009F0A92">
              <w:rPr>
                <w:noProof/>
                <w:webHidden/>
              </w:rPr>
              <w:fldChar w:fldCharType="begin"/>
            </w:r>
            <w:r w:rsidR="009F0A92">
              <w:rPr>
                <w:noProof/>
                <w:webHidden/>
              </w:rPr>
              <w:instrText xml:space="preserve"> PAGEREF _Toc521510460 \h </w:instrText>
            </w:r>
            <w:r w:rsidR="009F0A92">
              <w:rPr>
                <w:noProof/>
                <w:webHidden/>
              </w:rPr>
            </w:r>
            <w:r w:rsidR="009F0A92">
              <w:rPr>
                <w:noProof/>
                <w:webHidden/>
              </w:rPr>
              <w:fldChar w:fldCharType="separate"/>
            </w:r>
            <w:r w:rsidR="00D37E18">
              <w:rPr>
                <w:noProof/>
                <w:webHidden/>
              </w:rPr>
              <w:t>27</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61" w:history="1">
            <w:r w:rsidR="009F0A92" w:rsidRPr="00EB57CD">
              <w:rPr>
                <w:rStyle w:val="Hyperlink"/>
              </w:rPr>
              <w:t>Workforce projections</w:t>
            </w:r>
            <w:r w:rsidR="009F0A92">
              <w:rPr>
                <w:webHidden/>
              </w:rPr>
              <w:tab/>
            </w:r>
            <w:r w:rsidR="009F0A92">
              <w:rPr>
                <w:webHidden/>
              </w:rPr>
              <w:fldChar w:fldCharType="begin"/>
            </w:r>
            <w:r w:rsidR="009F0A92">
              <w:rPr>
                <w:webHidden/>
              </w:rPr>
              <w:instrText xml:space="preserve"> PAGEREF _Toc521510461 \h </w:instrText>
            </w:r>
            <w:r w:rsidR="009F0A92">
              <w:rPr>
                <w:webHidden/>
              </w:rPr>
            </w:r>
            <w:r w:rsidR="009F0A92">
              <w:rPr>
                <w:webHidden/>
              </w:rPr>
              <w:fldChar w:fldCharType="separate"/>
            </w:r>
            <w:r w:rsidR="00D37E18">
              <w:rPr>
                <w:webHidden/>
              </w:rPr>
              <w:t>28</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2" w:history="1">
            <w:r w:rsidR="009F0A92" w:rsidRPr="00EB57CD">
              <w:rPr>
                <w:rStyle w:val="Hyperlink"/>
                <w:noProof/>
              </w:rPr>
              <w:t>Supply</w:t>
            </w:r>
            <w:r w:rsidR="009F0A92">
              <w:rPr>
                <w:noProof/>
                <w:webHidden/>
              </w:rPr>
              <w:tab/>
            </w:r>
            <w:r w:rsidR="009F0A92">
              <w:rPr>
                <w:noProof/>
                <w:webHidden/>
              </w:rPr>
              <w:fldChar w:fldCharType="begin"/>
            </w:r>
            <w:r w:rsidR="009F0A92">
              <w:rPr>
                <w:noProof/>
                <w:webHidden/>
              </w:rPr>
              <w:instrText xml:space="preserve"> PAGEREF _Toc521510462 \h </w:instrText>
            </w:r>
            <w:r w:rsidR="009F0A92">
              <w:rPr>
                <w:noProof/>
                <w:webHidden/>
              </w:rPr>
            </w:r>
            <w:r w:rsidR="009F0A92">
              <w:rPr>
                <w:noProof/>
                <w:webHidden/>
              </w:rPr>
              <w:fldChar w:fldCharType="separate"/>
            </w:r>
            <w:r w:rsidR="00D37E18">
              <w:rPr>
                <w:noProof/>
                <w:webHidden/>
              </w:rPr>
              <w:t>28</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3" w:history="1">
            <w:r w:rsidR="009F0A92" w:rsidRPr="00EB57CD">
              <w:rPr>
                <w:rStyle w:val="Hyperlink"/>
                <w:noProof/>
              </w:rPr>
              <w:t>Demand</w:t>
            </w:r>
            <w:r w:rsidR="009F0A92">
              <w:rPr>
                <w:noProof/>
                <w:webHidden/>
              </w:rPr>
              <w:tab/>
            </w:r>
            <w:r w:rsidR="009F0A92">
              <w:rPr>
                <w:noProof/>
                <w:webHidden/>
              </w:rPr>
              <w:fldChar w:fldCharType="begin"/>
            </w:r>
            <w:r w:rsidR="009F0A92">
              <w:rPr>
                <w:noProof/>
                <w:webHidden/>
              </w:rPr>
              <w:instrText xml:space="preserve"> PAGEREF _Toc521510463 \h </w:instrText>
            </w:r>
            <w:r w:rsidR="009F0A92">
              <w:rPr>
                <w:noProof/>
                <w:webHidden/>
              </w:rPr>
            </w:r>
            <w:r w:rsidR="009F0A92">
              <w:rPr>
                <w:noProof/>
                <w:webHidden/>
              </w:rPr>
              <w:fldChar w:fldCharType="separate"/>
            </w:r>
            <w:r w:rsidR="00D37E18">
              <w:rPr>
                <w:noProof/>
                <w:webHidden/>
              </w:rPr>
              <w:t>29</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64" w:history="1">
            <w:r w:rsidR="009F0A92" w:rsidRPr="00EB57CD">
              <w:rPr>
                <w:rStyle w:val="Hyperlink"/>
              </w:rPr>
              <w:t>Projections</w:t>
            </w:r>
            <w:r w:rsidR="009F0A92">
              <w:rPr>
                <w:webHidden/>
              </w:rPr>
              <w:tab/>
            </w:r>
            <w:r w:rsidR="009F0A92">
              <w:rPr>
                <w:webHidden/>
              </w:rPr>
              <w:fldChar w:fldCharType="begin"/>
            </w:r>
            <w:r w:rsidR="009F0A92">
              <w:rPr>
                <w:webHidden/>
              </w:rPr>
              <w:instrText xml:space="preserve"> PAGEREF _Toc521510464 \h </w:instrText>
            </w:r>
            <w:r w:rsidR="009F0A92">
              <w:rPr>
                <w:webHidden/>
              </w:rPr>
            </w:r>
            <w:r w:rsidR="009F0A92">
              <w:rPr>
                <w:webHidden/>
              </w:rPr>
              <w:fldChar w:fldCharType="separate"/>
            </w:r>
            <w:r w:rsidR="00D37E18">
              <w:rPr>
                <w:webHidden/>
              </w:rPr>
              <w:t>29</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5" w:history="1">
            <w:r w:rsidR="009F0A92" w:rsidRPr="00EB57CD">
              <w:rPr>
                <w:rStyle w:val="Hyperlink"/>
                <w:noProof/>
              </w:rPr>
              <w:t>Sensitivity</w:t>
            </w:r>
            <w:r w:rsidR="009F0A92">
              <w:rPr>
                <w:noProof/>
                <w:webHidden/>
              </w:rPr>
              <w:tab/>
            </w:r>
            <w:r w:rsidR="009F0A92">
              <w:rPr>
                <w:noProof/>
                <w:webHidden/>
              </w:rPr>
              <w:fldChar w:fldCharType="begin"/>
            </w:r>
            <w:r w:rsidR="009F0A92">
              <w:rPr>
                <w:noProof/>
                <w:webHidden/>
              </w:rPr>
              <w:instrText xml:space="preserve"> PAGEREF _Toc521510465 \h </w:instrText>
            </w:r>
            <w:r w:rsidR="009F0A92">
              <w:rPr>
                <w:noProof/>
                <w:webHidden/>
              </w:rPr>
            </w:r>
            <w:r w:rsidR="009F0A92">
              <w:rPr>
                <w:noProof/>
                <w:webHidden/>
              </w:rPr>
              <w:fldChar w:fldCharType="separate"/>
            </w:r>
            <w:r w:rsidR="00D37E18">
              <w:rPr>
                <w:noProof/>
                <w:webHidden/>
              </w:rPr>
              <w:t>29</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6" w:history="1">
            <w:r w:rsidR="009F0A92" w:rsidRPr="00EB57CD">
              <w:rPr>
                <w:rStyle w:val="Hyperlink"/>
                <w:noProof/>
              </w:rPr>
              <w:t>Interpretation of results for workforce position</w:t>
            </w:r>
            <w:r w:rsidR="009F0A92">
              <w:rPr>
                <w:noProof/>
                <w:webHidden/>
              </w:rPr>
              <w:tab/>
            </w:r>
            <w:r w:rsidR="009F0A92">
              <w:rPr>
                <w:noProof/>
                <w:webHidden/>
              </w:rPr>
              <w:fldChar w:fldCharType="begin"/>
            </w:r>
            <w:r w:rsidR="009F0A92">
              <w:rPr>
                <w:noProof/>
                <w:webHidden/>
              </w:rPr>
              <w:instrText xml:space="preserve"> PAGEREF _Toc521510466 \h </w:instrText>
            </w:r>
            <w:r w:rsidR="009F0A92">
              <w:rPr>
                <w:noProof/>
                <w:webHidden/>
              </w:rPr>
            </w:r>
            <w:r w:rsidR="009F0A92">
              <w:rPr>
                <w:noProof/>
                <w:webHidden/>
              </w:rPr>
              <w:fldChar w:fldCharType="separate"/>
            </w:r>
            <w:r w:rsidR="00D37E18">
              <w:rPr>
                <w:noProof/>
                <w:webHidden/>
              </w:rPr>
              <w:t>29</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7" w:history="1">
            <w:r w:rsidR="009F0A92" w:rsidRPr="00EB57CD">
              <w:rPr>
                <w:rStyle w:val="Hyperlink"/>
                <w:noProof/>
              </w:rPr>
              <w:t>Scenarios</w:t>
            </w:r>
            <w:r w:rsidR="009F0A92">
              <w:rPr>
                <w:noProof/>
                <w:webHidden/>
              </w:rPr>
              <w:tab/>
            </w:r>
            <w:r w:rsidR="009F0A92">
              <w:rPr>
                <w:noProof/>
                <w:webHidden/>
              </w:rPr>
              <w:fldChar w:fldCharType="begin"/>
            </w:r>
            <w:r w:rsidR="009F0A92">
              <w:rPr>
                <w:noProof/>
                <w:webHidden/>
              </w:rPr>
              <w:instrText xml:space="preserve"> PAGEREF _Toc521510467 \h </w:instrText>
            </w:r>
            <w:r w:rsidR="009F0A92">
              <w:rPr>
                <w:noProof/>
                <w:webHidden/>
              </w:rPr>
            </w:r>
            <w:r w:rsidR="009F0A92">
              <w:rPr>
                <w:noProof/>
                <w:webHidden/>
              </w:rPr>
              <w:fldChar w:fldCharType="separate"/>
            </w:r>
            <w:r w:rsidR="00D37E18">
              <w:rPr>
                <w:noProof/>
                <w:webHidden/>
              </w:rPr>
              <w:t>29</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68" w:history="1">
            <w:r w:rsidR="009F0A92" w:rsidRPr="00EB57CD">
              <w:rPr>
                <w:rStyle w:val="Hyperlink"/>
                <w:noProof/>
              </w:rPr>
              <w:t>Training Analysis Pipeline (TAP)</w:t>
            </w:r>
            <w:r w:rsidR="009F0A92">
              <w:rPr>
                <w:noProof/>
                <w:webHidden/>
              </w:rPr>
              <w:tab/>
            </w:r>
            <w:r w:rsidR="009F0A92">
              <w:rPr>
                <w:noProof/>
                <w:webHidden/>
              </w:rPr>
              <w:fldChar w:fldCharType="begin"/>
            </w:r>
            <w:r w:rsidR="009F0A92">
              <w:rPr>
                <w:noProof/>
                <w:webHidden/>
              </w:rPr>
              <w:instrText xml:space="preserve"> PAGEREF _Toc521510468 \h </w:instrText>
            </w:r>
            <w:r w:rsidR="009F0A92">
              <w:rPr>
                <w:noProof/>
                <w:webHidden/>
              </w:rPr>
            </w:r>
            <w:r w:rsidR="009F0A92">
              <w:rPr>
                <w:noProof/>
                <w:webHidden/>
              </w:rPr>
              <w:fldChar w:fldCharType="separate"/>
            </w:r>
            <w:r w:rsidR="00D37E18">
              <w:rPr>
                <w:noProof/>
                <w:webHidden/>
              </w:rPr>
              <w:t>31</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69" w:history="1">
            <w:r w:rsidR="009F0A92" w:rsidRPr="00EB57CD">
              <w:rPr>
                <w:rStyle w:val="Hyperlink"/>
              </w:rPr>
              <w:t>Capacity and Distribution for Training</w:t>
            </w:r>
            <w:r w:rsidR="009F0A92">
              <w:rPr>
                <w:webHidden/>
              </w:rPr>
              <w:tab/>
            </w:r>
            <w:r w:rsidR="009F0A92">
              <w:rPr>
                <w:webHidden/>
              </w:rPr>
              <w:fldChar w:fldCharType="begin"/>
            </w:r>
            <w:r w:rsidR="009F0A92">
              <w:rPr>
                <w:webHidden/>
              </w:rPr>
              <w:instrText xml:space="preserve"> PAGEREF _Toc521510469 \h </w:instrText>
            </w:r>
            <w:r w:rsidR="009F0A92">
              <w:rPr>
                <w:webHidden/>
              </w:rPr>
            </w:r>
            <w:r w:rsidR="009F0A92">
              <w:rPr>
                <w:webHidden/>
              </w:rPr>
              <w:fldChar w:fldCharType="separate"/>
            </w:r>
            <w:r w:rsidR="00D37E18">
              <w:rPr>
                <w:webHidden/>
              </w:rPr>
              <w:t>34</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0" w:history="1">
            <w:r w:rsidR="009F0A92" w:rsidRPr="00EB57CD">
              <w:rPr>
                <w:rStyle w:val="Hyperlink"/>
                <w:noProof/>
              </w:rPr>
              <w:t>Results of consultation</w:t>
            </w:r>
            <w:r w:rsidR="009F0A92">
              <w:rPr>
                <w:noProof/>
                <w:webHidden/>
              </w:rPr>
              <w:tab/>
            </w:r>
            <w:r w:rsidR="009F0A92">
              <w:rPr>
                <w:noProof/>
                <w:webHidden/>
              </w:rPr>
              <w:fldChar w:fldCharType="begin"/>
            </w:r>
            <w:r w:rsidR="009F0A92">
              <w:rPr>
                <w:noProof/>
                <w:webHidden/>
              </w:rPr>
              <w:instrText xml:space="preserve"> PAGEREF _Toc521510470 \h </w:instrText>
            </w:r>
            <w:r w:rsidR="009F0A92">
              <w:rPr>
                <w:noProof/>
                <w:webHidden/>
              </w:rPr>
            </w:r>
            <w:r w:rsidR="009F0A92">
              <w:rPr>
                <w:noProof/>
                <w:webHidden/>
              </w:rPr>
              <w:fldChar w:fldCharType="separate"/>
            </w:r>
            <w:r w:rsidR="00D37E18">
              <w:rPr>
                <w:noProof/>
                <w:webHidden/>
              </w:rPr>
              <w:t>34</w:t>
            </w:r>
            <w:r w:rsidR="009F0A92">
              <w:rPr>
                <w:noProof/>
                <w:webHidden/>
              </w:rPr>
              <w:fldChar w:fldCharType="end"/>
            </w:r>
          </w:hyperlink>
        </w:p>
        <w:p w:rsidR="009F0A92" w:rsidRDefault="00740D24">
          <w:pPr>
            <w:pStyle w:val="TOC1"/>
            <w:rPr>
              <w:rFonts w:asciiTheme="minorHAnsi" w:eastAsiaTheme="minorEastAsia" w:hAnsiTheme="minorHAnsi" w:cstheme="minorBidi"/>
              <w:szCs w:val="22"/>
              <w:lang w:eastAsia="en-AU"/>
            </w:rPr>
          </w:pPr>
          <w:hyperlink w:anchor="_Toc521510471" w:history="1">
            <w:r w:rsidR="009F0A92" w:rsidRPr="00EB57CD">
              <w:rPr>
                <w:rStyle w:val="Hyperlink"/>
              </w:rPr>
              <w:t>Appendices</w:t>
            </w:r>
            <w:r w:rsidR="009F0A92">
              <w:rPr>
                <w:webHidden/>
              </w:rPr>
              <w:tab/>
            </w:r>
            <w:r w:rsidR="009F0A92">
              <w:rPr>
                <w:webHidden/>
              </w:rPr>
              <w:fldChar w:fldCharType="begin"/>
            </w:r>
            <w:r w:rsidR="009F0A92">
              <w:rPr>
                <w:webHidden/>
              </w:rPr>
              <w:instrText xml:space="preserve"> PAGEREF _Toc521510471 \h </w:instrText>
            </w:r>
            <w:r w:rsidR="009F0A92">
              <w:rPr>
                <w:webHidden/>
              </w:rPr>
            </w:r>
            <w:r w:rsidR="009F0A92">
              <w:rPr>
                <w:webHidden/>
              </w:rPr>
              <w:fldChar w:fldCharType="separate"/>
            </w:r>
            <w:r w:rsidR="00D37E18">
              <w:rPr>
                <w:webHidden/>
              </w:rPr>
              <w:t>41</w:t>
            </w:r>
            <w:r w:rsidR="009F0A92">
              <w:rPr>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2" w:history="1">
            <w:r w:rsidR="009F0A92" w:rsidRPr="00EB57CD">
              <w:rPr>
                <w:rStyle w:val="Hyperlink"/>
                <w:noProof/>
              </w:rPr>
              <w:t>Appendix 1: Summary of modelling inputs</w:t>
            </w:r>
            <w:r w:rsidR="009F0A92">
              <w:rPr>
                <w:noProof/>
                <w:webHidden/>
              </w:rPr>
              <w:tab/>
            </w:r>
            <w:r w:rsidR="009F0A92">
              <w:rPr>
                <w:noProof/>
                <w:webHidden/>
              </w:rPr>
              <w:fldChar w:fldCharType="begin"/>
            </w:r>
            <w:r w:rsidR="009F0A92">
              <w:rPr>
                <w:noProof/>
                <w:webHidden/>
              </w:rPr>
              <w:instrText xml:space="preserve"> PAGEREF _Toc521510472 \h </w:instrText>
            </w:r>
            <w:r w:rsidR="009F0A92">
              <w:rPr>
                <w:noProof/>
                <w:webHidden/>
              </w:rPr>
            </w:r>
            <w:r w:rsidR="009F0A92">
              <w:rPr>
                <w:noProof/>
                <w:webHidden/>
              </w:rPr>
              <w:fldChar w:fldCharType="separate"/>
            </w:r>
            <w:r w:rsidR="00D37E18">
              <w:rPr>
                <w:noProof/>
                <w:webHidden/>
              </w:rPr>
              <w:t>41</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3" w:history="1">
            <w:r w:rsidR="009F0A92" w:rsidRPr="00EB57CD">
              <w:rPr>
                <w:rStyle w:val="Hyperlink"/>
                <w:noProof/>
              </w:rPr>
              <w:t>Appendix 2: Definition of a Specialist (example for anaesthetist)</w:t>
            </w:r>
            <w:r w:rsidR="009F0A92">
              <w:rPr>
                <w:noProof/>
                <w:webHidden/>
              </w:rPr>
              <w:tab/>
            </w:r>
            <w:r w:rsidR="009F0A92">
              <w:rPr>
                <w:noProof/>
                <w:webHidden/>
              </w:rPr>
              <w:fldChar w:fldCharType="begin"/>
            </w:r>
            <w:r w:rsidR="009F0A92">
              <w:rPr>
                <w:noProof/>
                <w:webHidden/>
              </w:rPr>
              <w:instrText xml:space="preserve"> PAGEREF _Toc521510473 \h </w:instrText>
            </w:r>
            <w:r w:rsidR="009F0A92">
              <w:rPr>
                <w:noProof/>
                <w:webHidden/>
              </w:rPr>
            </w:r>
            <w:r w:rsidR="009F0A92">
              <w:rPr>
                <w:noProof/>
                <w:webHidden/>
              </w:rPr>
              <w:fldChar w:fldCharType="separate"/>
            </w:r>
            <w:r w:rsidR="00D37E18">
              <w:rPr>
                <w:noProof/>
                <w:webHidden/>
              </w:rPr>
              <w:t>44</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4" w:history="1">
            <w:r w:rsidR="009F0A92" w:rsidRPr="00EB57CD">
              <w:rPr>
                <w:rStyle w:val="Hyperlink"/>
                <w:noProof/>
              </w:rPr>
              <w:t>Appendix 3: Subspecialty workforce demographics</w:t>
            </w:r>
            <w:r w:rsidR="009F0A92">
              <w:rPr>
                <w:noProof/>
                <w:webHidden/>
              </w:rPr>
              <w:tab/>
            </w:r>
            <w:r w:rsidR="009F0A92">
              <w:rPr>
                <w:noProof/>
                <w:webHidden/>
              </w:rPr>
              <w:fldChar w:fldCharType="begin"/>
            </w:r>
            <w:r w:rsidR="009F0A92">
              <w:rPr>
                <w:noProof/>
                <w:webHidden/>
              </w:rPr>
              <w:instrText xml:space="preserve"> PAGEREF _Toc521510474 \h </w:instrText>
            </w:r>
            <w:r w:rsidR="009F0A92">
              <w:rPr>
                <w:noProof/>
                <w:webHidden/>
              </w:rPr>
            </w:r>
            <w:r w:rsidR="009F0A92">
              <w:rPr>
                <w:noProof/>
                <w:webHidden/>
              </w:rPr>
              <w:fldChar w:fldCharType="separate"/>
            </w:r>
            <w:r w:rsidR="00D37E18">
              <w:rPr>
                <w:noProof/>
                <w:webHidden/>
              </w:rPr>
              <w:t>47</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5" w:history="1">
            <w:r w:rsidR="009F0A92" w:rsidRPr="00EB57CD">
              <w:rPr>
                <w:rStyle w:val="Hyperlink"/>
                <w:noProof/>
              </w:rPr>
              <w:t>Appendix 4: Hours worked</w:t>
            </w:r>
            <w:r w:rsidR="009F0A92">
              <w:rPr>
                <w:noProof/>
                <w:webHidden/>
              </w:rPr>
              <w:tab/>
            </w:r>
            <w:r w:rsidR="009F0A92">
              <w:rPr>
                <w:noProof/>
                <w:webHidden/>
              </w:rPr>
              <w:fldChar w:fldCharType="begin"/>
            </w:r>
            <w:r w:rsidR="009F0A92">
              <w:rPr>
                <w:noProof/>
                <w:webHidden/>
              </w:rPr>
              <w:instrText xml:space="preserve"> PAGEREF _Toc521510475 \h </w:instrText>
            </w:r>
            <w:r w:rsidR="009F0A92">
              <w:rPr>
                <w:noProof/>
                <w:webHidden/>
              </w:rPr>
            </w:r>
            <w:r w:rsidR="009F0A92">
              <w:rPr>
                <w:noProof/>
                <w:webHidden/>
              </w:rPr>
              <w:fldChar w:fldCharType="separate"/>
            </w:r>
            <w:r w:rsidR="00D37E18">
              <w:rPr>
                <w:noProof/>
                <w:webHidden/>
              </w:rPr>
              <w:t>57</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6" w:history="1">
            <w:r w:rsidR="009F0A92" w:rsidRPr="00EB57CD">
              <w:rPr>
                <w:rStyle w:val="Hyperlink"/>
                <w:noProof/>
              </w:rPr>
              <w:t>Appendix 5: Trainees and Intentions</w:t>
            </w:r>
            <w:r w:rsidR="009F0A92">
              <w:rPr>
                <w:noProof/>
                <w:webHidden/>
              </w:rPr>
              <w:tab/>
            </w:r>
            <w:r w:rsidR="009F0A92">
              <w:rPr>
                <w:noProof/>
                <w:webHidden/>
              </w:rPr>
              <w:fldChar w:fldCharType="begin"/>
            </w:r>
            <w:r w:rsidR="009F0A92">
              <w:rPr>
                <w:noProof/>
                <w:webHidden/>
              </w:rPr>
              <w:instrText xml:space="preserve"> PAGEREF _Toc521510476 \h </w:instrText>
            </w:r>
            <w:r w:rsidR="009F0A92">
              <w:rPr>
                <w:noProof/>
                <w:webHidden/>
              </w:rPr>
            </w:r>
            <w:r w:rsidR="009F0A92">
              <w:rPr>
                <w:noProof/>
                <w:webHidden/>
              </w:rPr>
              <w:fldChar w:fldCharType="separate"/>
            </w:r>
            <w:r w:rsidR="00D37E18">
              <w:rPr>
                <w:noProof/>
                <w:webHidden/>
              </w:rPr>
              <w:t>59</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7" w:history="1">
            <w:r w:rsidR="009F0A92" w:rsidRPr="00EB57CD">
              <w:rPr>
                <w:rStyle w:val="Hyperlink"/>
                <w:noProof/>
              </w:rPr>
              <w:t>Appendix 6: Assisted Reproductive Technology</w:t>
            </w:r>
            <w:r w:rsidR="009F0A92">
              <w:rPr>
                <w:noProof/>
                <w:webHidden/>
              </w:rPr>
              <w:tab/>
            </w:r>
            <w:r w:rsidR="009F0A92">
              <w:rPr>
                <w:noProof/>
                <w:webHidden/>
              </w:rPr>
              <w:fldChar w:fldCharType="begin"/>
            </w:r>
            <w:r w:rsidR="009F0A92">
              <w:rPr>
                <w:noProof/>
                <w:webHidden/>
              </w:rPr>
              <w:instrText xml:space="preserve"> PAGEREF _Toc521510477 \h </w:instrText>
            </w:r>
            <w:r w:rsidR="009F0A92">
              <w:rPr>
                <w:noProof/>
                <w:webHidden/>
              </w:rPr>
            </w:r>
            <w:r w:rsidR="009F0A92">
              <w:rPr>
                <w:noProof/>
                <w:webHidden/>
              </w:rPr>
              <w:fldChar w:fldCharType="separate"/>
            </w:r>
            <w:r w:rsidR="00D37E18">
              <w:rPr>
                <w:noProof/>
                <w:webHidden/>
              </w:rPr>
              <w:t>61</w:t>
            </w:r>
            <w:r w:rsidR="009F0A92">
              <w:rPr>
                <w:noProof/>
                <w:webHidden/>
              </w:rPr>
              <w:fldChar w:fldCharType="end"/>
            </w:r>
          </w:hyperlink>
        </w:p>
        <w:p w:rsidR="009F0A92" w:rsidRDefault="00740D24">
          <w:pPr>
            <w:pStyle w:val="TOC2"/>
            <w:tabs>
              <w:tab w:val="right" w:leader="dot" w:pos="9040"/>
            </w:tabs>
            <w:rPr>
              <w:rFonts w:asciiTheme="minorHAnsi" w:eastAsiaTheme="minorEastAsia" w:hAnsiTheme="minorHAnsi" w:cstheme="minorBidi"/>
              <w:noProof/>
              <w:szCs w:val="22"/>
              <w:lang w:eastAsia="en-AU"/>
            </w:rPr>
          </w:pPr>
          <w:hyperlink w:anchor="_Toc521510478" w:history="1">
            <w:r w:rsidR="009F0A92" w:rsidRPr="00EB57CD">
              <w:rPr>
                <w:rStyle w:val="Hyperlink"/>
                <w:noProof/>
              </w:rPr>
              <w:t xml:space="preserve">Appendix 7: </w:t>
            </w:r>
            <w:r w:rsidR="009F0A92" w:rsidRPr="00EB57CD">
              <w:rPr>
                <w:rStyle w:val="Hyperlink"/>
                <w:noProof/>
                <w:shd w:val="clear" w:color="auto" w:fill="FFFFFF"/>
              </w:rPr>
              <w:t>Medical Practitioners Survey 2016</w:t>
            </w:r>
            <w:r w:rsidR="009F0A92">
              <w:rPr>
                <w:noProof/>
                <w:webHidden/>
              </w:rPr>
              <w:tab/>
            </w:r>
            <w:r w:rsidR="009F0A92">
              <w:rPr>
                <w:noProof/>
                <w:webHidden/>
              </w:rPr>
              <w:fldChar w:fldCharType="begin"/>
            </w:r>
            <w:r w:rsidR="009F0A92">
              <w:rPr>
                <w:noProof/>
                <w:webHidden/>
              </w:rPr>
              <w:instrText xml:space="preserve"> PAGEREF _Toc521510478 \h </w:instrText>
            </w:r>
            <w:r w:rsidR="009F0A92">
              <w:rPr>
                <w:noProof/>
                <w:webHidden/>
              </w:rPr>
            </w:r>
            <w:r w:rsidR="009F0A92">
              <w:rPr>
                <w:noProof/>
                <w:webHidden/>
              </w:rPr>
              <w:fldChar w:fldCharType="separate"/>
            </w:r>
            <w:r w:rsidR="00D37E18">
              <w:rPr>
                <w:noProof/>
                <w:webHidden/>
              </w:rPr>
              <w:t>65</w:t>
            </w:r>
            <w:r w:rsidR="009F0A92">
              <w:rPr>
                <w:noProof/>
                <w:webHidden/>
              </w:rPr>
              <w:fldChar w:fldCharType="end"/>
            </w:r>
          </w:hyperlink>
        </w:p>
        <w:p w:rsidR="005B7759" w:rsidRDefault="00B5618E">
          <w:r>
            <w:rPr>
              <w:rFonts w:eastAsia="Calibri"/>
              <w:noProof/>
            </w:rPr>
            <w:fldChar w:fldCharType="end"/>
          </w:r>
        </w:p>
      </w:sdtContent>
    </w:sdt>
    <w:p w:rsidR="00B5618E" w:rsidRDefault="00B5618E">
      <w:pPr>
        <w:spacing w:before="0" w:after="0"/>
        <w:jc w:val="left"/>
        <w:rPr>
          <w:rFonts w:eastAsiaTheme="majorEastAsia" w:cs="Arial"/>
          <w:b/>
          <w:bCs/>
          <w:color w:val="365F91" w:themeColor="accent1" w:themeShade="BF"/>
          <w:sz w:val="32"/>
          <w:szCs w:val="28"/>
          <w:lang w:val="en-US" w:eastAsia="ja-JP"/>
        </w:rPr>
      </w:pPr>
      <w:bookmarkStart w:id="1" w:name="_Toc424637707"/>
      <w:r>
        <w:rPr>
          <w:rFonts w:cs="Arial"/>
        </w:rPr>
        <w:br w:type="page"/>
      </w:r>
    </w:p>
    <w:p w:rsidR="005B7759" w:rsidRPr="001369ED" w:rsidRDefault="005B7759" w:rsidP="00426E94">
      <w:pPr>
        <w:pStyle w:val="TOCHeading"/>
      </w:pPr>
      <w:r w:rsidRPr="001369ED">
        <w:lastRenderedPageBreak/>
        <w:t>Tables</w:t>
      </w:r>
    </w:p>
    <w:p w:rsidR="00A34918" w:rsidRPr="00877B48" w:rsidRDefault="005B7759" w:rsidP="003747ED">
      <w:pPr>
        <w:pStyle w:val="TableofFigures"/>
        <w:tabs>
          <w:tab w:val="right" w:leader="dot" w:pos="9040"/>
        </w:tabs>
        <w:ind w:left="0" w:firstLine="0"/>
        <w:rPr>
          <w:rFonts w:ascii="Arial" w:eastAsiaTheme="minorEastAsia" w:hAnsi="Arial" w:cs="Arial"/>
          <w:b w:val="0"/>
          <w:bCs w:val="0"/>
          <w:noProof/>
          <w:sz w:val="24"/>
          <w:szCs w:val="22"/>
          <w:lang w:eastAsia="en-AU"/>
        </w:rPr>
      </w:pPr>
      <w:r w:rsidRPr="00877B48">
        <w:rPr>
          <w:rFonts w:ascii="Arial" w:eastAsia="Calibri" w:hAnsi="Arial" w:cs="Arial"/>
          <w:b w:val="0"/>
          <w:sz w:val="22"/>
        </w:rPr>
        <w:fldChar w:fldCharType="begin"/>
      </w:r>
      <w:r w:rsidRPr="00877B48">
        <w:rPr>
          <w:rFonts w:ascii="Arial" w:eastAsia="Calibri" w:hAnsi="Arial" w:cs="Arial"/>
          <w:b w:val="0"/>
          <w:sz w:val="22"/>
        </w:rPr>
        <w:instrText xml:space="preserve"> TOC \h \z \c "Table" </w:instrText>
      </w:r>
      <w:r w:rsidRPr="00877B48">
        <w:rPr>
          <w:rFonts w:ascii="Arial" w:eastAsia="Calibri" w:hAnsi="Arial" w:cs="Arial"/>
          <w:b w:val="0"/>
          <w:sz w:val="22"/>
        </w:rPr>
        <w:fldChar w:fldCharType="separate"/>
      </w:r>
      <w:hyperlink w:anchor="_Toc515887822" w:history="1">
        <w:r w:rsidR="00A34918" w:rsidRPr="00877B48">
          <w:rPr>
            <w:rStyle w:val="Hyperlink"/>
            <w:rFonts w:ascii="Arial" w:hAnsi="Arial" w:cs="Arial"/>
            <w:b w:val="0"/>
            <w:noProof/>
            <w:sz w:val="22"/>
          </w:rPr>
          <w:t>Table 1: Speciality and subspecialty accreditation combinations</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_Toc515887822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6</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3" w:history="1">
        <w:r w:rsidR="00A34918" w:rsidRPr="00877B48">
          <w:rPr>
            <w:rStyle w:val="Hyperlink"/>
            <w:rFonts w:ascii="Arial" w:hAnsi="Arial" w:cs="Arial"/>
            <w:b w:val="0"/>
            <w:noProof/>
            <w:sz w:val="22"/>
          </w:rPr>
          <w:t>Table 2:  Definitions of the Modified Monash Model Categories</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_Toc515887823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8</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4" w:history="1">
        <w:r w:rsidR="00A34918" w:rsidRPr="00877B48">
          <w:rPr>
            <w:rStyle w:val="Hyperlink"/>
            <w:rFonts w:ascii="Arial" w:hAnsi="Arial" w:cs="Arial"/>
            <w:b w:val="0"/>
            <w:noProof/>
            <w:sz w:val="22"/>
          </w:rPr>
          <w:t>Table 3: O&amp;G specialist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_Toc515887824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11</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5" w:history="1">
        <w:r w:rsidR="00A34918" w:rsidRPr="00877B48">
          <w:rPr>
            <w:rStyle w:val="Hyperlink"/>
            <w:rFonts w:ascii="Arial" w:hAnsi="Arial" w:cs="Arial"/>
            <w:b w:val="0"/>
            <w:noProof/>
            <w:sz w:val="22"/>
          </w:rPr>
          <w:t>Table 4: Scopes of practice by the various aspects of practice</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_Toc515887825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13</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6" w:history="1">
        <w:r w:rsidR="00A34918" w:rsidRPr="00877B48">
          <w:rPr>
            <w:rStyle w:val="Hyperlink"/>
            <w:rFonts w:ascii="Arial" w:hAnsi="Arial" w:cs="Arial"/>
            <w:b w:val="0"/>
            <w:noProof/>
            <w:sz w:val="22"/>
          </w:rPr>
          <w:t>Table 5: Proportion of O&amp;G scope and various aspects of practice by MMM</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_Toc515887826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13</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7" w:history="1">
        <w:r w:rsidR="00A34918" w:rsidRPr="00877B48">
          <w:rPr>
            <w:rStyle w:val="Hyperlink"/>
            <w:rFonts w:ascii="Arial" w:hAnsi="Arial" w:cs="Arial"/>
            <w:b w:val="0"/>
            <w:noProof/>
            <w:sz w:val="22"/>
          </w:rPr>
          <w:t>Table 6: O&amp;G scopes of practice by RA</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_Toc515887827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15</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8" w:history="1">
        <w:r w:rsidR="00A34918" w:rsidRPr="00877B48">
          <w:rPr>
            <w:rStyle w:val="Hyperlink"/>
            <w:rFonts w:ascii="Arial" w:hAnsi="Arial" w:cs="Arial"/>
            <w:b w:val="0"/>
            <w:noProof/>
            <w:sz w:val="22"/>
          </w:rPr>
          <w:t>Table 7: Trainees by age group, gender and current training year</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_Toc515887828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18</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29" w:history="1">
        <w:r w:rsidR="00A34918" w:rsidRPr="00877B48">
          <w:rPr>
            <w:rStyle w:val="Hyperlink"/>
            <w:rFonts w:ascii="Arial" w:hAnsi="Arial" w:cs="Arial"/>
            <w:b w:val="0"/>
            <w:noProof/>
            <w:sz w:val="22"/>
          </w:rPr>
          <w:t>Table 8: Trainee FTE (total hours) by training year and sector</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_Toc515887829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19</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0" w:history="1">
        <w:r w:rsidR="00A34918" w:rsidRPr="00877B48">
          <w:rPr>
            <w:rStyle w:val="Hyperlink"/>
            <w:rFonts w:ascii="Arial" w:hAnsi="Arial" w:cs="Arial"/>
            <w:b w:val="0"/>
            <w:noProof/>
            <w:sz w:val="22"/>
          </w:rPr>
          <w:t>Table 9: Summary of O&amp;G workforce (Headcount and FTE) by MMM</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_Toc515887830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21</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1" w:history="1">
        <w:r w:rsidR="00A34918" w:rsidRPr="00877B48">
          <w:rPr>
            <w:rStyle w:val="Hyperlink"/>
            <w:rFonts w:ascii="Arial" w:hAnsi="Arial" w:cs="Arial"/>
            <w:b w:val="0"/>
            <w:noProof/>
            <w:sz w:val="22"/>
          </w:rPr>
          <w:t>Table 10: Summary of O&amp;G subspecialty workforce (FTE) by MMM</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_Toc515887831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21</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2" w:history="1">
        <w:r w:rsidR="00A34918" w:rsidRPr="00877B48">
          <w:rPr>
            <w:rStyle w:val="Hyperlink"/>
            <w:rFonts w:ascii="Arial" w:hAnsi="Arial" w:cs="Arial"/>
            <w:b w:val="0"/>
            <w:noProof/>
            <w:sz w:val="22"/>
          </w:rPr>
          <w:t>Table 11: Proportion of services by GP obstetricians</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_Toc515887832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23</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3" w:history="1">
        <w:r w:rsidR="00A34918" w:rsidRPr="00877B48">
          <w:rPr>
            <w:rStyle w:val="Hyperlink"/>
            <w:rFonts w:ascii="Arial" w:hAnsi="Arial" w:cs="Arial"/>
            <w:b w:val="0"/>
            <w:noProof/>
            <w:sz w:val="22"/>
          </w:rPr>
          <w:t>Table 12: Top 10 MBS items claimed by GP Obstetricians</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_Toc515887833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24</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4" w:history="1">
        <w:r w:rsidR="00A34918" w:rsidRPr="00877B48">
          <w:rPr>
            <w:rStyle w:val="Hyperlink"/>
            <w:rFonts w:ascii="Arial" w:hAnsi="Arial" w:cs="Arial"/>
            <w:b w:val="0"/>
            <w:noProof/>
            <w:sz w:val="22"/>
          </w:rPr>
          <w:t>Table 13: Dynamic intake scenario 1</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_Toc515887834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30</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5" w:history="1">
        <w:r w:rsidR="00A34918" w:rsidRPr="00877B48">
          <w:rPr>
            <w:rStyle w:val="Hyperlink"/>
            <w:rFonts w:ascii="Arial" w:hAnsi="Arial" w:cs="Arial"/>
            <w:b w:val="0"/>
            <w:noProof/>
            <w:sz w:val="22"/>
          </w:rPr>
          <w:t>Table 14: Reduced migration scenario 2</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_Toc515887835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30</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6" w:history="1">
        <w:r w:rsidR="00A34918" w:rsidRPr="00877B48">
          <w:rPr>
            <w:rStyle w:val="Hyperlink"/>
            <w:rFonts w:ascii="Arial" w:hAnsi="Arial" w:cs="Arial"/>
            <w:b w:val="0"/>
            <w:noProof/>
            <w:sz w:val="22"/>
          </w:rPr>
          <w:t>Table 15: TAP transition calculations</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_Toc515887836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31</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7" w:history="1">
        <w:r w:rsidR="00A34918" w:rsidRPr="00877B48">
          <w:rPr>
            <w:rStyle w:val="Hyperlink"/>
            <w:rFonts w:ascii="Arial" w:hAnsi="Arial" w:cs="Arial"/>
            <w:b w:val="0"/>
            <w:noProof/>
            <w:sz w:val="22"/>
          </w:rPr>
          <w:t>Table 16: Dynamic intake TAP, 2010 – 2030</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_Toc515887837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33</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8" w:history="1">
        <w:r w:rsidR="00A34918" w:rsidRPr="00877B48">
          <w:rPr>
            <w:rStyle w:val="Hyperlink"/>
            <w:rFonts w:ascii="Arial" w:hAnsi="Arial" w:cs="Arial"/>
            <w:b w:val="0"/>
            <w:noProof/>
            <w:sz w:val="22"/>
          </w:rPr>
          <w:t>Table 17: OGU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_Toc515887838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48</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39" w:history="1">
        <w:r w:rsidR="00A34918" w:rsidRPr="00877B48">
          <w:rPr>
            <w:rStyle w:val="Hyperlink"/>
            <w:rFonts w:ascii="Arial" w:hAnsi="Arial" w:cs="Arial"/>
            <w:b w:val="0"/>
            <w:noProof/>
            <w:sz w:val="22"/>
          </w:rPr>
          <w:t>Table 18: REI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_Toc515887839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50</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40" w:history="1">
        <w:r w:rsidR="00A34918" w:rsidRPr="00877B48">
          <w:rPr>
            <w:rStyle w:val="Hyperlink"/>
            <w:rFonts w:ascii="Arial" w:hAnsi="Arial" w:cs="Arial"/>
            <w:b w:val="0"/>
            <w:noProof/>
            <w:sz w:val="22"/>
          </w:rPr>
          <w:t>Table 19: GO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_Toc515887840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52</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41" w:history="1">
        <w:r w:rsidR="00A34918" w:rsidRPr="00877B48">
          <w:rPr>
            <w:rStyle w:val="Hyperlink"/>
            <w:rFonts w:ascii="Arial" w:hAnsi="Arial" w:cs="Arial"/>
            <w:b w:val="0"/>
            <w:noProof/>
            <w:sz w:val="22"/>
          </w:rPr>
          <w:t>Table 20: MFM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_Toc515887841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54</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42" w:history="1">
        <w:r w:rsidR="00A34918" w:rsidRPr="00877B48">
          <w:rPr>
            <w:rStyle w:val="Hyperlink"/>
            <w:rFonts w:ascii="Arial" w:hAnsi="Arial" w:cs="Arial"/>
            <w:b w:val="0"/>
            <w:noProof/>
            <w:sz w:val="22"/>
          </w:rPr>
          <w:t>Table 21: UG subspecialty clinicians (headcount and sector: proportion of specialist clinical FTE in public and private) by state and territory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_Toc515887842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56</w:t>
        </w:r>
        <w:r w:rsidR="00A34918" w:rsidRPr="00877B48">
          <w:rPr>
            <w:rFonts w:ascii="Arial" w:hAnsi="Arial" w:cs="Arial"/>
            <w:b w:val="0"/>
            <w:noProof/>
            <w:webHidden/>
            <w:sz w:val="22"/>
          </w:rPr>
          <w:fldChar w:fldCharType="end"/>
        </w:r>
      </w:hyperlink>
    </w:p>
    <w:p w:rsidR="00A3491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7843" w:history="1">
        <w:r w:rsidR="00A34918" w:rsidRPr="00877B48">
          <w:rPr>
            <w:rStyle w:val="Hyperlink"/>
            <w:rFonts w:ascii="Arial" w:hAnsi="Arial" w:cs="Arial"/>
            <w:b w:val="0"/>
            <w:noProof/>
            <w:sz w:val="22"/>
          </w:rPr>
          <w:t>Table 22: Initiated cycles (number) of autologous fresh cycles by cause of infertility</w:t>
        </w:r>
        <w:r w:rsidR="00A34918" w:rsidRPr="00877B48">
          <w:rPr>
            <w:rFonts w:ascii="Arial" w:hAnsi="Arial" w:cs="Arial"/>
            <w:b w:val="0"/>
            <w:noProof/>
            <w:webHidden/>
            <w:sz w:val="22"/>
          </w:rPr>
          <w:tab/>
        </w:r>
        <w:r w:rsidR="00A34918" w:rsidRPr="00877B48">
          <w:rPr>
            <w:rFonts w:ascii="Arial" w:hAnsi="Arial" w:cs="Arial"/>
            <w:b w:val="0"/>
            <w:noProof/>
            <w:webHidden/>
            <w:sz w:val="22"/>
          </w:rPr>
          <w:fldChar w:fldCharType="begin"/>
        </w:r>
        <w:r w:rsidR="00A34918" w:rsidRPr="00877B48">
          <w:rPr>
            <w:rFonts w:ascii="Arial" w:hAnsi="Arial" w:cs="Arial"/>
            <w:b w:val="0"/>
            <w:noProof/>
            <w:webHidden/>
            <w:sz w:val="22"/>
          </w:rPr>
          <w:instrText xml:space="preserve"> PAGEREF _Toc515887843 \h </w:instrText>
        </w:r>
        <w:r w:rsidR="00A34918" w:rsidRPr="00877B48">
          <w:rPr>
            <w:rFonts w:ascii="Arial" w:hAnsi="Arial" w:cs="Arial"/>
            <w:b w:val="0"/>
            <w:noProof/>
            <w:webHidden/>
            <w:sz w:val="22"/>
          </w:rPr>
        </w:r>
        <w:r w:rsidR="00A34918" w:rsidRPr="00877B48">
          <w:rPr>
            <w:rFonts w:ascii="Arial" w:hAnsi="Arial" w:cs="Arial"/>
            <w:b w:val="0"/>
            <w:noProof/>
            <w:webHidden/>
            <w:sz w:val="22"/>
          </w:rPr>
          <w:fldChar w:fldCharType="separate"/>
        </w:r>
        <w:r w:rsidR="00D37E18">
          <w:rPr>
            <w:rFonts w:ascii="Arial" w:hAnsi="Arial" w:cs="Arial"/>
            <w:b w:val="0"/>
            <w:noProof/>
            <w:webHidden/>
            <w:sz w:val="22"/>
          </w:rPr>
          <w:t>63</w:t>
        </w:r>
        <w:r w:rsidR="00A34918" w:rsidRPr="00877B48">
          <w:rPr>
            <w:rFonts w:ascii="Arial" w:hAnsi="Arial" w:cs="Arial"/>
            <w:b w:val="0"/>
            <w:noProof/>
            <w:webHidden/>
            <w:sz w:val="22"/>
          </w:rPr>
          <w:fldChar w:fldCharType="end"/>
        </w:r>
      </w:hyperlink>
    </w:p>
    <w:p w:rsidR="005B7759" w:rsidRPr="005C5E4D" w:rsidRDefault="005B7759" w:rsidP="00426E94">
      <w:pPr>
        <w:pStyle w:val="TOCHeading"/>
      </w:pPr>
      <w:r w:rsidRPr="00877B48">
        <w:rPr>
          <w:rFonts w:eastAsia="Calibri"/>
          <w:sz w:val="22"/>
          <w:szCs w:val="20"/>
        </w:rPr>
        <w:fldChar w:fldCharType="end"/>
      </w:r>
      <w:r w:rsidRPr="005C5E4D">
        <w:t>Figures</w:t>
      </w:r>
    </w:p>
    <w:p w:rsidR="00F51E48" w:rsidRPr="00877B48" w:rsidRDefault="005B7759" w:rsidP="003747ED">
      <w:pPr>
        <w:pStyle w:val="TableofFigures"/>
        <w:tabs>
          <w:tab w:val="right" w:leader="dot" w:pos="9040"/>
        </w:tabs>
        <w:ind w:left="0" w:firstLine="0"/>
        <w:rPr>
          <w:rFonts w:ascii="Arial" w:eastAsiaTheme="minorEastAsia" w:hAnsi="Arial" w:cs="Arial"/>
          <w:b w:val="0"/>
          <w:bCs w:val="0"/>
          <w:noProof/>
          <w:sz w:val="24"/>
          <w:szCs w:val="22"/>
          <w:lang w:eastAsia="en-AU"/>
        </w:rPr>
      </w:pPr>
      <w:r w:rsidRPr="00877B48">
        <w:rPr>
          <w:rFonts w:ascii="Arial" w:eastAsia="Calibri" w:hAnsi="Arial" w:cs="Arial"/>
          <w:b w:val="0"/>
          <w:sz w:val="22"/>
        </w:rPr>
        <w:fldChar w:fldCharType="begin"/>
      </w:r>
      <w:r w:rsidRPr="00877B48">
        <w:rPr>
          <w:rFonts w:ascii="Arial" w:eastAsia="Calibri" w:hAnsi="Arial" w:cs="Arial"/>
          <w:b w:val="0"/>
          <w:sz w:val="22"/>
        </w:rPr>
        <w:instrText xml:space="preserve"> TOC \h \z \c "Figure" </w:instrText>
      </w:r>
      <w:r w:rsidRPr="00877B48">
        <w:rPr>
          <w:rFonts w:ascii="Arial" w:eastAsia="Calibri" w:hAnsi="Arial" w:cs="Arial"/>
          <w:b w:val="0"/>
          <w:sz w:val="22"/>
        </w:rPr>
        <w:fldChar w:fldCharType="separate"/>
      </w:r>
      <w:hyperlink w:anchor="_Toc515888805" w:history="1">
        <w:r w:rsidR="00F51E48" w:rsidRPr="00877B48">
          <w:rPr>
            <w:rStyle w:val="Hyperlink"/>
            <w:rFonts w:ascii="Arial" w:hAnsi="Arial" w:cs="Arial"/>
            <w:b w:val="0"/>
            <w:noProof/>
            <w:sz w:val="22"/>
          </w:rPr>
          <w:t>Figure 1: O&amp;G workforce by job role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_Toc515888805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06" w:history="1">
        <w:r w:rsidR="00F51E48" w:rsidRPr="00877B48">
          <w:rPr>
            <w:rStyle w:val="Hyperlink"/>
            <w:rFonts w:ascii="Arial" w:hAnsi="Arial" w:cs="Arial"/>
            <w:b w:val="0"/>
            <w:noProof/>
            <w:sz w:val="22"/>
          </w:rPr>
          <w:t>Figure 2: Comparison of O&amp;G specialists that are registered, employed, working in O&amp;G, clinicians (headcount) by age group</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_Toc515888806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07" w:history="1">
        <w:r w:rsidR="00F51E48" w:rsidRPr="00877B48">
          <w:rPr>
            <w:rStyle w:val="Hyperlink"/>
            <w:rFonts w:ascii="Arial" w:hAnsi="Arial" w:cs="Arial"/>
            <w:b w:val="0"/>
            <w:noProof/>
            <w:sz w:val="22"/>
          </w:rPr>
          <w:t>Figure 3: Gender distribution of O&amp;G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_Toc515888807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08" w:history="1">
        <w:r w:rsidR="00F51E48" w:rsidRPr="00877B48">
          <w:rPr>
            <w:rStyle w:val="Hyperlink"/>
            <w:rFonts w:ascii="Arial" w:hAnsi="Arial" w:cs="Arial"/>
            <w:b w:val="0"/>
            <w:noProof/>
            <w:sz w:val="22"/>
          </w:rPr>
          <w:t>Figure 4: Employed O&amp;G specialists by gender, 2011 to 2016</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_Toc515888808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09" w:history="1">
        <w:r w:rsidR="00F51E48" w:rsidRPr="00877B48">
          <w:rPr>
            <w:rStyle w:val="Hyperlink"/>
            <w:rFonts w:ascii="Arial" w:hAnsi="Arial" w:cs="Arial"/>
            <w:b w:val="0"/>
            <w:noProof/>
            <w:sz w:val="22"/>
          </w:rPr>
          <w:t>Figure 5: Demographics of the O&amp;G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_Toc515888809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0" w:history="1">
        <w:r w:rsidR="00F51E48" w:rsidRPr="00877B48">
          <w:rPr>
            <w:rStyle w:val="Hyperlink"/>
            <w:rFonts w:ascii="Arial" w:hAnsi="Arial" w:cs="Arial"/>
            <w:b w:val="0"/>
            <w:noProof/>
            <w:sz w:val="22"/>
          </w:rPr>
          <w:t>Figure 6: O&amp;G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1" w:history="1">
        <w:r w:rsidR="00F51E48" w:rsidRPr="00877B48">
          <w:rPr>
            <w:rStyle w:val="Hyperlink"/>
            <w:rFonts w:ascii="Arial" w:hAnsi="Arial" w:cs="Arial"/>
            <w:b w:val="0"/>
            <w:noProof/>
            <w:sz w:val="22"/>
          </w:rPr>
          <w:t>Figure 7: Average hours by total, clinical, specialist clinical and specialist total hours worked</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2" w:history="1">
        <w:r w:rsidR="00F51E48" w:rsidRPr="00877B48">
          <w:rPr>
            <w:rStyle w:val="Hyperlink"/>
            <w:rFonts w:ascii="Arial" w:hAnsi="Arial" w:cs="Arial"/>
            <w:b w:val="0"/>
            <w:noProof/>
            <w:sz w:val="22"/>
          </w:rPr>
          <w:t>Figure 8: Total specialist and clinical specialist hours difference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3" w:history="1">
        <w:r w:rsidR="00F51E48" w:rsidRPr="00877B48">
          <w:rPr>
            <w:rStyle w:val="Hyperlink"/>
            <w:rFonts w:ascii="Arial" w:hAnsi="Arial" w:cs="Arial"/>
            <w:b w:val="0"/>
            <w:noProof/>
            <w:sz w:val="22"/>
          </w:rPr>
          <w:t>Figure 9: Average total specialist hours by states and territories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4" w:history="1">
        <w:r w:rsidR="00F51E48" w:rsidRPr="00877B48">
          <w:rPr>
            <w:rStyle w:val="Hyperlink"/>
            <w:rFonts w:ascii="Arial" w:hAnsi="Arial" w:cs="Arial"/>
            <w:b w:val="0"/>
            <w:noProof/>
            <w:sz w:val="22"/>
          </w:rPr>
          <w:t>Figure 10: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5" w:history="1">
        <w:r w:rsidR="00F51E48" w:rsidRPr="00877B48">
          <w:rPr>
            <w:rStyle w:val="Hyperlink"/>
            <w:rFonts w:ascii="Arial" w:hAnsi="Arial" w:cs="Arial"/>
            <w:b w:val="0"/>
            <w:noProof/>
            <w:sz w:val="22"/>
          </w:rPr>
          <w:t>Figure 11: Intersecting scopes of practice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12</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6" w:history="1">
        <w:r w:rsidR="00F51E48" w:rsidRPr="00877B48">
          <w:rPr>
            <w:rStyle w:val="Hyperlink"/>
            <w:rFonts w:ascii="Arial" w:hAnsi="Arial" w:cs="Arial"/>
            <w:b w:val="0"/>
            <w:noProof/>
            <w:sz w:val="22"/>
          </w:rPr>
          <w:t>Figure 12: Sector of practice by scope of practice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7" w:history="1">
        <w:r w:rsidR="00F51E48" w:rsidRPr="00877B48">
          <w:rPr>
            <w:rStyle w:val="Hyperlink"/>
            <w:rFonts w:ascii="Arial" w:hAnsi="Arial" w:cs="Arial"/>
            <w:b w:val="0"/>
            <w:noProof/>
            <w:sz w:val="22"/>
          </w:rPr>
          <w:t>Figure 13: Demographics of O&amp;G trainees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8" w:history="1">
        <w:r w:rsidR="00F51E48" w:rsidRPr="00877B48">
          <w:rPr>
            <w:rStyle w:val="Hyperlink"/>
            <w:rFonts w:ascii="Arial" w:hAnsi="Arial" w:cs="Arial"/>
            <w:b w:val="0"/>
            <w:noProof/>
            <w:sz w:val="22"/>
          </w:rPr>
          <w:t>Figure 14: Trainees by state and territory and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19" w:history="1">
        <w:r w:rsidR="00F51E48" w:rsidRPr="00877B48">
          <w:rPr>
            <w:rStyle w:val="Hyperlink"/>
            <w:rFonts w:ascii="Arial" w:hAnsi="Arial" w:cs="Arial"/>
            <w:b w:val="0"/>
            <w:noProof/>
            <w:sz w:val="22"/>
          </w:rPr>
          <w:t>Figure 15: Distribution of O&amp;G trainees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_Toc515888819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19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0" w:history="1">
        <w:r w:rsidR="00F51E48" w:rsidRPr="00877B48">
          <w:rPr>
            <w:rStyle w:val="Hyperlink"/>
            <w:rFonts w:ascii="Arial" w:hAnsi="Arial" w:cs="Arial"/>
            <w:b w:val="0"/>
            <w:noProof/>
            <w:sz w:val="22"/>
          </w:rPr>
          <w:t>Figure 16: Proportion of trainee FTE by geographic distribution (MMM) and sector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1" w:history="1">
        <w:r w:rsidR="00F51E48" w:rsidRPr="00877B48">
          <w:rPr>
            <w:rStyle w:val="Hyperlink"/>
            <w:rFonts w:ascii="Arial" w:hAnsi="Arial" w:cs="Arial"/>
            <w:b w:val="0"/>
            <w:noProof/>
            <w:sz w:val="22"/>
          </w:rPr>
          <w:t>Figure 17: Characteristics of HNS who intend to undertake O&amp;G training</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2" w:history="1">
        <w:r w:rsidR="00F51E48" w:rsidRPr="00877B48">
          <w:rPr>
            <w:rStyle w:val="Hyperlink"/>
            <w:rFonts w:ascii="Arial" w:hAnsi="Arial" w:cs="Arial"/>
            <w:b w:val="0"/>
            <w:noProof/>
            <w:sz w:val="22"/>
          </w:rPr>
          <w:t>Figure 18: HNS who intend to undertake O&amp;G specialist training by hospital position</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3" w:history="1">
        <w:r w:rsidR="00F51E48" w:rsidRPr="00877B48">
          <w:rPr>
            <w:rStyle w:val="Hyperlink"/>
            <w:rFonts w:ascii="Arial" w:hAnsi="Arial" w:cs="Arial"/>
            <w:b w:val="0"/>
            <w:noProof/>
            <w:sz w:val="22"/>
          </w:rPr>
          <w:t>Figure 19: Proportion of HNS intentions and trainees by geographic distribution</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4" w:history="1">
        <w:r w:rsidR="00F51E48" w:rsidRPr="00877B48">
          <w:rPr>
            <w:rStyle w:val="Hyperlink"/>
            <w:rFonts w:ascii="Arial" w:hAnsi="Arial" w:cs="Arial"/>
            <w:b w:val="0"/>
            <w:noProof/>
            <w:sz w:val="22"/>
          </w:rPr>
          <w:t>Figure 20: Map of Procedural GP obstetrics and gynaecology services 2016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5" w:history="1">
        <w:r w:rsidR="00F51E48" w:rsidRPr="00877B48">
          <w:rPr>
            <w:rStyle w:val="Hyperlink"/>
            <w:rFonts w:ascii="Arial" w:hAnsi="Arial" w:cs="Arial"/>
            <w:b w:val="0"/>
            <w:noProof/>
            <w:sz w:val="22"/>
          </w:rPr>
          <w:t>Figure 21: MBS ART grouped items (2007-2016)</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6" w:history="1">
        <w:r w:rsidR="00F51E48" w:rsidRPr="00877B48">
          <w:rPr>
            <w:rStyle w:val="Hyperlink"/>
            <w:rFonts w:ascii="Arial" w:hAnsi="Arial" w:cs="Arial"/>
            <w:b w:val="0"/>
            <w:noProof/>
            <w:sz w:val="22"/>
          </w:rPr>
          <w:t>Figure 22: Separations by hospital sector, 2003-2015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7" w:history="1">
        <w:r w:rsidR="00F51E48" w:rsidRPr="00877B48">
          <w:rPr>
            <w:rStyle w:val="Hyperlink"/>
            <w:rFonts w:ascii="Arial" w:hAnsi="Arial" w:cs="Arial"/>
            <w:b w:val="0"/>
            <w:noProof/>
            <w:sz w:val="22"/>
          </w:rPr>
          <w:t>Figure 23: Hysterectomy separations by hospital sector, 2003-2015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8" w:history="1">
        <w:r w:rsidR="00F51E48" w:rsidRPr="00877B48">
          <w:rPr>
            <w:rStyle w:val="Hyperlink"/>
            <w:rFonts w:ascii="Arial" w:hAnsi="Arial" w:cs="Arial"/>
            <w:b w:val="0"/>
            <w:noProof/>
            <w:sz w:val="22"/>
          </w:rPr>
          <w:t>Figure 24: Total Hysterectomy MBS items, 2007-2016</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29" w:history="1">
        <w:r w:rsidR="00F51E48" w:rsidRPr="00877B48">
          <w:rPr>
            <w:rStyle w:val="Hyperlink"/>
            <w:rFonts w:ascii="Arial" w:hAnsi="Arial" w:cs="Arial"/>
            <w:b w:val="0"/>
            <w:noProof/>
            <w:sz w:val="22"/>
          </w:rPr>
          <w:t>Figure 25: Obstetrics and gynaecology separations by sector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_Toc515888829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0" w:history="1">
        <w:r w:rsidR="00F51E48" w:rsidRPr="00877B48">
          <w:rPr>
            <w:rStyle w:val="Hyperlink"/>
            <w:rFonts w:ascii="Arial" w:hAnsi="Arial" w:cs="Arial"/>
            <w:b w:val="0"/>
            <w:noProof/>
            <w:sz w:val="22"/>
          </w:rPr>
          <w:t>Figure 26: Women who gave birth in hospital, by hospital sector 2006-2015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28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1" w:history="1">
        <w:r w:rsidR="00F51E48" w:rsidRPr="00877B48">
          <w:rPr>
            <w:rStyle w:val="Hyperlink"/>
            <w:rFonts w:ascii="Arial" w:hAnsi="Arial" w:cs="Arial"/>
            <w:b w:val="0"/>
            <w:noProof/>
            <w:sz w:val="22"/>
          </w:rPr>
          <w:t>Figure 27: Scenario 1 supply and demand comparison</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31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2" w:history="1">
        <w:r w:rsidR="00F51E48" w:rsidRPr="00877B48">
          <w:rPr>
            <w:rStyle w:val="Hyperlink"/>
            <w:rFonts w:ascii="Arial" w:hAnsi="Arial" w:cs="Arial"/>
            <w:b w:val="0"/>
            <w:noProof/>
            <w:sz w:val="22"/>
          </w:rPr>
          <w:t>Figure 28: Scenario 2 supply and demand comparison</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31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3" w:history="1">
        <w:r w:rsidR="00F51E48" w:rsidRPr="00877B48">
          <w:rPr>
            <w:rStyle w:val="Hyperlink"/>
            <w:rFonts w:ascii="Arial" w:hAnsi="Arial" w:cs="Arial"/>
            <w:b w:val="0"/>
            <w:noProof/>
            <w:sz w:val="22"/>
          </w:rPr>
          <w:t>Figure 29: New Fellows pipeline projections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33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4" w:history="1">
        <w:r w:rsidR="00F51E48" w:rsidRPr="00877B48">
          <w:rPr>
            <w:rStyle w:val="Hyperlink"/>
            <w:rFonts w:ascii="Arial" w:hAnsi="Arial" w:cs="Arial"/>
            <w:b w:val="0"/>
            <w:noProof/>
            <w:sz w:val="22"/>
          </w:rPr>
          <w:t>Figure 30: Survey questions relating to Employment Status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5" w:history="1">
        <w:r w:rsidR="00F51E48" w:rsidRPr="00877B48">
          <w:rPr>
            <w:rStyle w:val="Hyperlink"/>
            <w:rFonts w:ascii="Arial" w:hAnsi="Arial" w:cs="Arial"/>
            <w:b w:val="0"/>
            <w:noProof/>
            <w:sz w:val="22"/>
          </w:rPr>
          <w:t>Figure 31: Survey questions relating to Clinician Status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6" w:history="1">
        <w:r w:rsidR="00F51E48" w:rsidRPr="00877B48">
          <w:rPr>
            <w:rStyle w:val="Hyperlink"/>
            <w:rFonts w:ascii="Arial" w:hAnsi="Arial" w:cs="Arial"/>
            <w:b w:val="0"/>
            <w:noProof/>
            <w:sz w:val="22"/>
          </w:rPr>
          <w:t>Figure 32: Survey questions relating to clinical and non-clinical hours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7" w:history="1">
        <w:r w:rsidR="00F51E48" w:rsidRPr="00877B48">
          <w:rPr>
            <w:rStyle w:val="Hyperlink"/>
            <w:rFonts w:ascii="Arial" w:hAnsi="Arial" w:cs="Arial"/>
            <w:b w:val="0"/>
            <w:noProof/>
            <w:sz w:val="22"/>
          </w:rPr>
          <w:t>Figure 33: Survey questions relating to principal field of main specialties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8" w:history="1">
        <w:r w:rsidR="00F51E48" w:rsidRPr="00877B48">
          <w:rPr>
            <w:rStyle w:val="Hyperlink"/>
            <w:rFonts w:ascii="Arial" w:hAnsi="Arial" w:cs="Arial"/>
            <w:b w:val="0"/>
            <w:noProof/>
            <w:sz w:val="22"/>
          </w:rPr>
          <w:t>Figure 34: Survey questions relating to training</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39" w:history="1">
        <w:r w:rsidR="00F51E48" w:rsidRPr="00877B48">
          <w:rPr>
            <w:rStyle w:val="Hyperlink"/>
            <w:rFonts w:ascii="Arial" w:hAnsi="Arial" w:cs="Arial"/>
            <w:b w:val="0"/>
            <w:noProof/>
            <w:sz w:val="22"/>
          </w:rPr>
          <w:t>Figure 35: Erroneous answer recorded in question 23</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_Toc515888839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0" w:history="1">
        <w:r w:rsidR="00F51E48" w:rsidRPr="00877B48">
          <w:rPr>
            <w:rStyle w:val="Hyperlink"/>
            <w:rFonts w:ascii="Arial" w:hAnsi="Arial" w:cs="Arial"/>
            <w:b w:val="0"/>
            <w:noProof/>
            <w:sz w:val="22"/>
          </w:rPr>
          <w:t>Figure 35: Demographics of the OGU subspecialty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1" w:history="1">
        <w:r w:rsidR="00F51E48" w:rsidRPr="00877B48">
          <w:rPr>
            <w:rStyle w:val="Hyperlink"/>
            <w:rFonts w:ascii="Arial" w:hAnsi="Arial" w:cs="Arial"/>
            <w:b w:val="0"/>
            <w:noProof/>
            <w:sz w:val="22"/>
          </w:rPr>
          <w:t>Figure 36: OGU subspecialty workforce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2" w:history="1">
        <w:r w:rsidR="00F51E48" w:rsidRPr="00877B48">
          <w:rPr>
            <w:rStyle w:val="Hyperlink"/>
            <w:rFonts w:ascii="Arial" w:hAnsi="Arial" w:cs="Arial"/>
            <w:b w:val="0"/>
            <w:noProof/>
            <w:sz w:val="22"/>
          </w:rPr>
          <w:t>Figure 37: Average hours by total, clinical, specialist clinical and specialist total hours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3" w:history="1">
        <w:r w:rsidR="00F51E48" w:rsidRPr="00877B48">
          <w:rPr>
            <w:rStyle w:val="Hyperlink"/>
            <w:rFonts w:ascii="Arial" w:hAnsi="Arial" w:cs="Arial"/>
            <w:b w:val="0"/>
            <w:noProof/>
            <w:sz w:val="22"/>
          </w:rPr>
          <w:t>Figure 38: Difference between total specialist and clinical specialist hour’s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4" w:history="1">
        <w:r w:rsidR="00F51E48" w:rsidRPr="00877B48">
          <w:rPr>
            <w:rStyle w:val="Hyperlink"/>
            <w:rFonts w:ascii="Arial" w:hAnsi="Arial" w:cs="Arial"/>
            <w:b w:val="0"/>
            <w:noProof/>
            <w:sz w:val="22"/>
          </w:rPr>
          <w:t>Figure 39: Average total specialist hours by states and territories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5" w:history="1">
        <w:r w:rsidR="00F51E48" w:rsidRPr="00877B48">
          <w:rPr>
            <w:rStyle w:val="Hyperlink"/>
            <w:rFonts w:ascii="Arial" w:hAnsi="Arial" w:cs="Arial"/>
            <w:b w:val="0"/>
            <w:noProof/>
            <w:sz w:val="22"/>
          </w:rPr>
          <w:t>Figure 40: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6" w:history="1">
        <w:r w:rsidR="00F51E48" w:rsidRPr="00877B48">
          <w:rPr>
            <w:rStyle w:val="Hyperlink"/>
            <w:rFonts w:ascii="Arial" w:hAnsi="Arial" w:cs="Arial"/>
            <w:b w:val="0"/>
            <w:noProof/>
            <w:sz w:val="22"/>
          </w:rPr>
          <w:t>Figure 41: Demographics of the REI subspecialty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7" w:history="1">
        <w:r w:rsidR="00F51E48" w:rsidRPr="00877B48">
          <w:rPr>
            <w:rStyle w:val="Hyperlink"/>
            <w:rFonts w:ascii="Arial" w:hAnsi="Arial" w:cs="Arial"/>
            <w:b w:val="0"/>
            <w:noProof/>
            <w:sz w:val="22"/>
          </w:rPr>
          <w:t>Figure 42: REI subspecialty workforce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8" w:history="1">
        <w:r w:rsidR="00F51E48" w:rsidRPr="00877B48">
          <w:rPr>
            <w:rStyle w:val="Hyperlink"/>
            <w:rFonts w:ascii="Arial" w:hAnsi="Arial" w:cs="Arial"/>
            <w:b w:val="0"/>
            <w:noProof/>
            <w:sz w:val="22"/>
          </w:rPr>
          <w:t>Figure 43: Average hours by total, clinical, specialist clinical and total hours worked</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49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49" w:history="1">
        <w:r w:rsidR="00F51E48" w:rsidRPr="00877B48">
          <w:rPr>
            <w:rStyle w:val="Hyperlink"/>
            <w:rFonts w:ascii="Arial" w:hAnsi="Arial" w:cs="Arial"/>
            <w:b w:val="0"/>
            <w:noProof/>
            <w:sz w:val="22"/>
          </w:rPr>
          <w:t>Figure 44: Difference between total specialist and clinical specialist hour’s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_Toc515888849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0" w:history="1">
        <w:r w:rsidR="00F51E48" w:rsidRPr="00877B48">
          <w:rPr>
            <w:rStyle w:val="Hyperlink"/>
            <w:rFonts w:ascii="Arial" w:hAnsi="Arial" w:cs="Arial"/>
            <w:b w:val="0"/>
            <w:noProof/>
            <w:sz w:val="22"/>
          </w:rPr>
          <w:t>Figure 45: Average total specialist hours by states and territories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1" w:history="1">
        <w:r w:rsidR="00F51E48" w:rsidRPr="00877B48">
          <w:rPr>
            <w:rStyle w:val="Hyperlink"/>
            <w:rFonts w:ascii="Arial" w:hAnsi="Arial" w:cs="Arial"/>
            <w:b w:val="0"/>
            <w:noProof/>
            <w:sz w:val="22"/>
          </w:rPr>
          <w:t>Figure 46: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2" w:history="1">
        <w:r w:rsidR="00F51E48" w:rsidRPr="00877B48">
          <w:rPr>
            <w:rStyle w:val="Hyperlink"/>
            <w:rFonts w:ascii="Arial" w:hAnsi="Arial" w:cs="Arial"/>
            <w:b w:val="0"/>
            <w:noProof/>
            <w:sz w:val="22"/>
          </w:rPr>
          <w:t>Figure 47: Demographics of the GO subspecialty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3" w:history="1">
        <w:r w:rsidR="00F51E48" w:rsidRPr="00877B48">
          <w:rPr>
            <w:rStyle w:val="Hyperlink"/>
            <w:rFonts w:ascii="Arial" w:hAnsi="Arial" w:cs="Arial"/>
            <w:b w:val="0"/>
            <w:noProof/>
            <w:sz w:val="22"/>
          </w:rPr>
          <w:t>Figure 48: GO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4" w:history="1">
        <w:r w:rsidR="00F51E48" w:rsidRPr="00877B48">
          <w:rPr>
            <w:rStyle w:val="Hyperlink"/>
            <w:rFonts w:ascii="Arial" w:hAnsi="Arial" w:cs="Arial"/>
            <w:b w:val="0"/>
            <w:noProof/>
            <w:sz w:val="22"/>
          </w:rPr>
          <w:t>Figure 49: Average hours by total, clinical, specialist clinical and specialist total hours worked</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5" w:history="1">
        <w:r w:rsidR="00F51E48" w:rsidRPr="00877B48">
          <w:rPr>
            <w:rStyle w:val="Hyperlink"/>
            <w:rFonts w:ascii="Arial" w:hAnsi="Arial" w:cs="Arial"/>
            <w:b w:val="0"/>
            <w:noProof/>
            <w:sz w:val="22"/>
          </w:rPr>
          <w:t>Figure 50: Difference between clinical and total specialist hour’s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52</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6" w:history="1">
        <w:r w:rsidR="00F51E48" w:rsidRPr="00877B48">
          <w:rPr>
            <w:rStyle w:val="Hyperlink"/>
            <w:rFonts w:ascii="Arial" w:hAnsi="Arial" w:cs="Arial"/>
            <w:b w:val="0"/>
            <w:noProof/>
            <w:sz w:val="22"/>
          </w:rPr>
          <w:t>Figure 51: Average total specialist hours by states and territories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52</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7" w:history="1">
        <w:r w:rsidR="00F51E48" w:rsidRPr="00877B48">
          <w:rPr>
            <w:rStyle w:val="Hyperlink"/>
            <w:rFonts w:ascii="Arial" w:hAnsi="Arial" w:cs="Arial"/>
            <w:b w:val="0"/>
            <w:noProof/>
            <w:sz w:val="22"/>
          </w:rPr>
          <w:t>Figure 52: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52</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8" w:history="1">
        <w:r w:rsidR="00F51E48" w:rsidRPr="00877B48">
          <w:rPr>
            <w:rStyle w:val="Hyperlink"/>
            <w:rFonts w:ascii="Arial" w:hAnsi="Arial" w:cs="Arial"/>
            <w:b w:val="0"/>
            <w:noProof/>
            <w:sz w:val="22"/>
          </w:rPr>
          <w:t>Figure 53: Demographics of the MFM subspecialty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59" w:history="1">
        <w:r w:rsidR="00F51E48" w:rsidRPr="00877B48">
          <w:rPr>
            <w:rStyle w:val="Hyperlink"/>
            <w:rFonts w:ascii="Arial" w:hAnsi="Arial" w:cs="Arial"/>
            <w:b w:val="0"/>
            <w:noProof/>
            <w:sz w:val="22"/>
          </w:rPr>
          <w:t>Figure 54: MFM subspecialty workforce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_Toc515888859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0" w:history="1">
        <w:r w:rsidR="00F51E48" w:rsidRPr="00877B48">
          <w:rPr>
            <w:rStyle w:val="Hyperlink"/>
            <w:rFonts w:ascii="Arial" w:hAnsi="Arial" w:cs="Arial"/>
            <w:b w:val="0"/>
            <w:noProof/>
            <w:sz w:val="22"/>
          </w:rPr>
          <w:t>Figure 55: Average hours by total, clinical, specialist clinical and specialist total hours worked</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1" w:history="1">
        <w:r w:rsidR="00F51E48" w:rsidRPr="00877B48">
          <w:rPr>
            <w:rStyle w:val="Hyperlink"/>
            <w:rFonts w:ascii="Arial" w:hAnsi="Arial" w:cs="Arial"/>
            <w:b w:val="0"/>
            <w:noProof/>
            <w:sz w:val="22"/>
          </w:rPr>
          <w:t>Figure 56: Difference between total specialist and clinical specialist hour’s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2" w:history="1">
        <w:r w:rsidR="00F51E48" w:rsidRPr="00877B48">
          <w:rPr>
            <w:rStyle w:val="Hyperlink"/>
            <w:rFonts w:ascii="Arial" w:hAnsi="Arial" w:cs="Arial"/>
            <w:b w:val="0"/>
            <w:noProof/>
            <w:sz w:val="22"/>
          </w:rPr>
          <w:t>Figure 57: Average total specialist hours by states and territories, 2016</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3" w:history="1">
        <w:r w:rsidR="00F51E48" w:rsidRPr="00877B48">
          <w:rPr>
            <w:rStyle w:val="Hyperlink"/>
            <w:rFonts w:ascii="Arial" w:hAnsi="Arial" w:cs="Arial"/>
            <w:b w:val="0"/>
            <w:noProof/>
            <w:sz w:val="22"/>
          </w:rPr>
          <w:t>Figure 58: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4" w:history="1">
        <w:r w:rsidR="00F51E48" w:rsidRPr="00877B48">
          <w:rPr>
            <w:rStyle w:val="Hyperlink"/>
            <w:rFonts w:ascii="Arial" w:hAnsi="Arial" w:cs="Arial"/>
            <w:b w:val="0"/>
            <w:noProof/>
            <w:sz w:val="22"/>
          </w:rPr>
          <w:t>Figure 59: Demographics of the UG subspecialty workforce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5" w:history="1">
        <w:r w:rsidR="00F51E48" w:rsidRPr="00877B48">
          <w:rPr>
            <w:rStyle w:val="Hyperlink"/>
            <w:rFonts w:ascii="Arial" w:hAnsi="Arial" w:cs="Arial"/>
            <w:b w:val="0"/>
            <w:noProof/>
            <w:sz w:val="22"/>
          </w:rPr>
          <w:t>Figure 60: UG subspecialty workforce (clinicians)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6" w:history="1">
        <w:r w:rsidR="00F51E48" w:rsidRPr="00877B48">
          <w:rPr>
            <w:rStyle w:val="Hyperlink"/>
            <w:rFonts w:ascii="Arial" w:hAnsi="Arial" w:cs="Arial"/>
            <w:b w:val="0"/>
            <w:noProof/>
            <w:sz w:val="22"/>
          </w:rPr>
          <w:t>Figure 61: Average hours by total, clinical, specialist clinical and specialist total hours worked</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55</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7" w:history="1">
        <w:r w:rsidR="00F51E48" w:rsidRPr="00877B48">
          <w:rPr>
            <w:rStyle w:val="Hyperlink"/>
            <w:rFonts w:ascii="Arial" w:hAnsi="Arial" w:cs="Arial"/>
            <w:b w:val="0"/>
            <w:noProof/>
            <w:sz w:val="22"/>
          </w:rPr>
          <w:t>Figure 62: Difference between total specialist and clinical specialist hour’s from average hours by age groups and gender</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8" w:history="1">
        <w:r w:rsidR="00F51E48" w:rsidRPr="00877B48">
          <w:rPr>
            <w:rStyle w:val="Hyperlink"/>
            <w:rFonts w:ascii="Arial" w:hAnsi="Arial" w:cs="Arial"/>
            <w:b w:val="0"/>
            <w:noProof/>
            <w:sz w:val="22"/>
          </w:rPr>
          <w:t>Figure 63: Average total specialist hours by states and territories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69" w:history="1">
        <w:r w:rsidR="00F51E48" w:rsidRPr="00877B48">
          <w:rPr>
            <w:rStyle w:val="Hyperlink"/>
            <w:rFonts w:ascii="Arial" w:hAnsi="Arial" w:cs="Arial"/>
            <w:b w:val="0"/>
            <w:noProof/>
            <w:sz w:val="22"/>
          </w:rPr>
          <w:t>Figure 64: Average total specialist hours by MMM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_Toc515888869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56</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0" w:history="1">
        <w:r w:rsidR="00F51E48" w:rsidRPr="00877B48">
          <w:rPr>
            <w:rStyle w:val="Hyperlink"/>
            <w:rFonts w:ascii="Arial" w:hAnsi="Arial" w:cs="Arial"/>
            <w:b w:val="0"/>
            <w:noProof/>
            <w:sz w:val="22"/>
          </w:rPr>
          <w:t>Figure 66: Hours worked as captured in the workforce survey.</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57</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1" w:history="1">
        <w:r w:rsidR="00F51E48" w:rsidRPr="00877B48">
          <w:rPr>
            <w:rStyle w:val="Hyperlink"/>
            <w:rFonts w:ascii="Arial" w:hAnsi="Arial" w:cs="Arial"/>
            <w:b w:val="0"/>
            <w:noProof/>
            <w:sz w:val="22"/>
          </w:rPr>
          <w:t>Figure 67: Estimating total specialty hours</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_Toc515888871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2" w:history="1">
        <w:r w:rsidR="00F51E48" w:rsidRPr="00877B48">
          <w:rPr>
            <w:rStyle w:val="Hyperlink"/>
            <w:rFonts w:ascii="Arial" w:hAnsi="Arial" w:cs="Arial"/>
            <w:b w:val="0"/>
            <w:noProof/>
            <w:sz w:val="22"/>
          </w:rPr>
          <w:t>Figure 68: Total specialty hours used in modelling – example</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_Toc515888872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58</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3" w:history="1">
        <w:r w:rsidR="00F51E48" w:rsidRPr="00877B48">
          <w:rPr>
            <w:rStyle w:val="Hyperlink"/>
            <w:rFonts w:ascii="Arial" w:hAnsi="Arial" w:cs="Arial"/>
            <w:b w:val="0"/>
            <w:noProof/>
            <w:sz w:val="22"/>
          </w:rPr>
          <w:t>Figure 69:  Survey question related to current specialist training</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_Toc515888873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4" w:history="1">
        <w:r w:rsidR="00F51E48" w:rsidRPr="00877B48">
          <w:rPr>
            <w:rStyle w:val="Hyperlink"/>
            <w:rFonts w:ascii="Arial" w:hAnsi="Arial" w:cs="Arial"/>
            <w:b w:val="0"/>
            <w:noProof/>
            <w:sz w:val="22"/>
          </w:rPr>
          <w:t>Figure 70: Survey question relating to current year of training program</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_Toc515888874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59</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5" w:history="1">
        <w:r w:rsidR="00F51E48" w:rsidRPr="00877B48">
          <w:rPr>
            <w:rStyle w:val="Hyperlink"/>
            <w:rFonts w:ascii="Arial" w:hAnsi="Arial" w:cs="Arial"/>
            <w:b w:val="0"/>
            <w:noProof/>
            <w:sz w:val="22"/>
          </w:rPr>
          <w:t>Figure 71: Survey questions relating to intending to train</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_Toc515888875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60</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6" w:history="1">
        <w:r w:rsidR="00F51E48" w:rsidRPr="00877B48">
          <w:rPr>
            <w:rStyle w:val="Hyperlink"/>
            <w:rFonts w:ascii="Arial" w:hAnsi="Arial" w:cs="Arial"/>
            <w:b w:val="0"/>
            <w:noProof/>
            <w:sz w:val="22"/>
          </w:rPr>
          <w:t>Figure 72: Number of initiated ART cycles, 2010 - 2015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_Toc515888876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61</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7" w:history="1">
        <w:r w:rsidR="00F51E48" w:rsidRPr="00877B48">
          <w:rPr>
            <w:rStyle w:val="Hyperlink"/>
            <w:rFonts w:ascii="Arial" w:hAnsi="Arial" w:cs="Arial"/>
            <w:b w:val="0"/>
            <w:noProof/>
            <w:sz w:val="22"/>
          </w:rPr>
          <w:t>Figure 73: Progression of autologous fresh cycles 2010-2015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_Toc515888877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62</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8" w:history="1">
        <w:r w:rsidR="00F51E48" w:rsidRPr="00877B48">
          <w:rPr>
            <w:rStyle w:val="Hyperlink"/>
            <w:rFonts w:ascii="Arial" w:hAnsi="Arial" w:cs="Arial"/>
            <w:b w:val="0"/>
            <w:noProof/>
            <w:sz w:val="22"/>
          </w:rPr>
          <w:t>Figure 74: Deliveries by maternal age groups, 2010-2015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_Toc515888878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63</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79" w:history="1">
        <w:r w:rsidR="00F51E48" w:rsidRPr="00877B48">
          <w:rPr>
            <w:rStyle w:val="Hyperlink"/>
            <w:rFonts w:ascii="Arial" w:hAnsi="Arial" w:cs="Arial"/>
            <w:b w:val="0"/>
            <w:noProof/>
            <w:sz w:val="22"/>
          </w:rPr>
          <w:t>Figure 75: Deliveries by gestation between 2010 and 2015</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_Toc515888879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64</w:t>
        </w:r>
        <w:r w:rsidR="00F51E48" w:rsidRPr="00877B48">
          <w:rPr>
            <w:rFonts w:ascii="Arial" w:hAnsi="Arial" w:cs="Arial"/>
            <w:b w:val="0"/>
            <w:noProof/>
            <w:webHidden/>
            <w:sz w:val="22"/>
          </w:rPr>
          <w:fldChar w:fldCharType="end"/>
        </w:r>
      </w:hyperlink>
    </w:p>
    <w:p w:rsidR="00F51E48" w:rsidRPr="00877B48" w:rsidRDefault="00740D24" w:rsidP="003747ED">
      <w:pPr>
        <w:pStyle w:val="TableofFigures"/>
        <w:tabs>
          <w:tab w:val="right" w:leader="dot" w:pos="9040"/>
        </w:tabs>
        <w:ind w:left="0" w:firstLine="0"/>
        <w:rPr>
          <w:rFonts w:ascii="Arial" w:eastAsiaTheme="minorEastAsia" w:hAnsi="Arial" w:cs="Arial"/>
          <w:b w:val="0"/>
          <w:bCs w:val="0"/>
          <w:noProof/>
          <w:sz w:val="24"/>
          <w:szCs w:val="22"/>
          <w:lang w:eastAsia="en-AU"/>
        </w:rPr>
      </w:pPr>
      <w:hyperlink w:anchor="_Toc515888880" w:history="1">
        <w:r w:rsidR="00F51E48" w:rsidRPr="00877B48">
          <w:rPr>
            <w:rStyle w:val="Hyperlink"/>
            <w:rFonts w:ascii="Arial" w:hAnsi="Arial" w:cs="Arial"/>
            <w:b w:val="0"/>
            <w:noProof/>
            <w:sz w:val="22"/>
          </w:rPr>
          <w:t>Figure 76: Deliveries by method of delivery</w:t>
        </w:r>
        <w:r w:rsidR="00F51E48" w:rsidRPr="00877B48">
          <w:rPr>
            <w:rFonts w:ascii="Arial" w:hAnsi="Arial" w:cs="Arial"/>
            <w:b w:val="0"/>
            <w:noProof/>
            <w:webHidden/>
            <w:sz w:val="22"/>
          </w:rPr>
          <w:tab/>
        </w:r>
        <w:r w:rsidR="00F51E48" w:rsidRPr="00877B48">
          <w:rPr>
            <w:rFonts w:ascii="Arial" w:hAnsi="Arial" w:cs="Arial"/>
            <w:b w:val="0"/>
            <w:noProof/>
            <w:webHidden/>
            <w:sz w:val="22"/>
          </w:rPr>
          <w:fldChar w:fldCharType="begin"/>
        </w:r>
        <w:r w:rsidR="00F51E48" w:rsidRPr="00877B48">
          <w:rPr>
            <w:rFonts w:ascii="Arial" w:hAnsi="Arial" w:cs="Arial"/>
            <w:b w:val="0"/>
            <w:noProof/>
            <w:webHidden/>
            <w:sz w:val="22"/>
          </w:rPr>
          <w:instrText xml:space="preserve"> PAGEREF _Toc515888880 \h </w:instrText>
        </w:r>
        <w:r w:rsidR="00F51E48" w:rsidRPr="00877B48">
          <w:rPr>
            <w:rFonts w:ascii="Arial" w:hAnsi="Arial" w:cs="Arial"/>
            <w:b w:val="0"/>
            <w:noProof/>
            <w:webHidden/>
            <w:sz w:val="22"/>
          </w:rPr>
        </w:r>
        <w:r w:rsidR="00F51E48" w:rsidRPr="00877B48">
          <w:rPr>
            <w:rFonts w:ascii="Arial" w:hAnsi="Arial" w:cs="Arial"/>
            <w:b w:val="0"/>
            <w:noProof/>
            <w:webHidden/>
            <w:sz w:val="22"/>
          </w:rPr>
          <w:fldChar w:fldCharType="separate"/>
        </w:r>
        <w:r w:rsidR="00D37E18">
          <w:rPr>
            <w:rFonts w:ascii="Arial" w:hAnsi="Arial" w:cs="Arial"/>
            <w:b w:val="0"/>
            <w:noProof/>
            <w:webHidden/>
            <w:sz w:val="22"/>
          </w:rPr>
          <w:t>64</w:t>
        </w:r>
        <w:r w:rsidR="00F51E48" w:rsidRPr="00877B48">
          <w:rPr>
            <w:rFonts w:ascii="Arial" w:hAnsi="Arial" w:cs="Arial"/>
            <w:b w:val="0"/>
            <w:noProof/>
            <w:webHidden/>
            <w:sz w:val="22"/>
          </w:rPr>
          <w:fldChar w:fldCharType="end"/>
        </w:r>
      </w:hyperlink>
    </w:p>
    <w:p w:rsidR="00612F06" w:rsidRDefault="005B7759" w:rsidP="005B7759">
      <w:pPr>
        <w:spacing w:line="276" w:lineRule="auto"/>
        <w:rPr>
          <w:rFonts w:eastAsia="Calibri"/>
          <w:szCs w:val="22"/>
        </w:rPr>
        <w:sectPr w:rsidR="00612F06" w:rsidSect="00561EB0">
          <w:headerReference w:type="even" r:id="rId10"/>
          <w:headerReference w:type="default" r:id="rId11"/>
          <w:footerReference w:type="default" r:id="rId12"/>
          <w:footerReference w:type="first" r:id="rId13"/>
          <w:pgSz w:w="11906" w:h="16838"/>
          <w:pgMar w:top="1247" w:right="1416" w:bottom="1247" w:left="1440" w:header="709" w:footer="709" w:gutter="0"/>
          <w:pgNumType w:fmt="lowerRoman" w:start="0"/>
          <w:cols w:space="708"/>
          <w:titlePg/>
          <w:docGrid w:linePitch="360"/>
        </w:sectPr>
      </w:pPr>
      <w:r w:rsidRPr="00877B48">
        <w:rPr>
          <w:rFonts w:eastAsia="Calibri" w:cs="Arial"/>
          <w:szCs w:val="20"/>
        </w:rPr>
        <w:fldChar w:fldCharType="end"/>
      </w:r>
    </w:p>
    <w:p w:rsidR="008C113D" w:rsidRDefault="008C113D" w:rsidP="00426E94">
      <w:pPr>
        <w:pStyle w:val="Heading1"/>
        <w:rPr>
          <w:rFonts w:eastAsia="Calibri"/>
        </w:rPr>
        <w:sectPr w:rsidR="008C113D" w:rsidSect="00561EB0">
          <w:footerReference w:type="default" r:id="rId14"/>
          <w:footerReference w:type="first" r:id="rId15"/>
          <w:type w:val="continuous"/>
          <w:pgSz w:w="11906" w:h="16838"/>
          <w:pgMar w:top="1440" w:right="1440" w:bottom="1440" w:left="1440" w:header="709" w:footer="709" w:gutter="0"/>
          <w:pgNumType w:start="1"/>
          <w:cols w:space="708"/>
          <w:titlePg/>
          <w:docGrid w:linePitch="360"/>
        </w:sectPr>
      </w:pPr>
    </w:p>
    <w:p w:rsidR="00B01FDB" w:rsidRDefault="00577982" w:rsidP="00426E94">
      <w:pPr>
        <w:pStyle w:val="Heading1"/>
        <w:rPr>
          <w:rFonts w:eastAsia="Calibri"/>
        </w:rPr>
      </w:pPr>
      <w:bookmarkStart w:id="2" w:name="_Toc521510432"/>
      <w:r>
        <w:rPr>
          <w:rFonts w:eastAsia="Calibri"/>
        </w:rPr>
        <w:lastRenderedPageBreak/>
        <w:t>Overview</w:t>
      </w:r>
      <w:bookmarkEnd w:id="2"/>
    </w:p>
    <w:p w:rsidR="00B01FDB" w:rsidRDefault="00B01FDB" w:rsidP="00544360">
      <w:r w:rsidRPr="00AE71AD">
        <w:t>The Australia’s Future Health Workforce – Doctors (AFHW - Doctors) report published in December 2014 indicated that Australia’s health workforce is under pressure and must undergo significant transformation to meet future demands for healthcare.</w:t>
      </w:r>
    </w:p>
    <w:p w:rsidR="00B01FDB" w:rsidRDefault="00B01FDB" w:rsidP="00544360">
      <w:r w:rsidRPr="00380E28">
        <w:t>Despite the projected overall position of oversupply, imbalances within the medical specialty workforces currently exist and are projected to continue</w:t>
      </w:r>
      <w:r w:rsidRPr="00AE71AD">
        <w:t>.</w:t>
      </w:r>
    </w:p>
    <w:p w:rsidR="00ED1E3F" w:rsidRDefault="00ED1E3F" w:rsidP="00544360">
      <w:r>
        <w:t xml:space="preserve">The medical workforce is a national resource; a resource that is valuable to the community both in terms of the cost of training, which is substantially borne by the taxpayer, and in terms of the benefits derived by the community from a well-trained health workforce. </w:t>
      </w:r>
    </w:p>
    <w:p w:rsidR="00ED1E3F" w:rsidRDefault="00ED1E3F" w:rsidP="00544360">
      <w:r>
        <w:t>In the past, uncoordinated decision making in the absence of an active workforce planning mechanism has seen a ‘boom and bust’ cycle in medical training and resulting doctor numbers. This has been a co</w:t>
      </w:r>
      <w:r w:rsidR="00106763">
        <w:t>s</w:t>
      </w:r>
      <w:r>
        <w:t xml:space="preserve">t to the community. </w:t>
      </w:r>
    </w:p>
    <w:p w:rsidR="00B01FDB" w:rsidRDefault="00B01FDB" w:rsidP="00544360">
      <w:r w:rsidRPr="00AE71AD">
        <w:t>The development of the AFHW – Doctors report was guided by the expert input of the National Medical Training Advisory Network (NMTAN) that has representation from all the key stakeholder groups in medical education, training and employment.</w:t>
      </w:r>
    </w:p>
    <w:p w:rsidR="00B01FDB" w:rsidRPr="00AE71AD" w:rsidRDefault="00B01FDB" w:rsidP="00544360">
      <w:r w:rsidRPr="00AE71AD">
        <w:t>The report makes recommendations for future work including:</w:t>
      </w:r>
    </w:p>
    <w:p w:rsidR="00B01FDB" w:rsidRPr="00380E28" w:rsidRDefault="00B01FDB" w:rsidP="000437F1">
      <w:pPr>
        <w:numPr>
          <w:ilvl w:val="0"/>
          <w:numId w:val="1"/>
        </w:numPr>
        <w:rPr>
          <w:szCs w:val="22"/>
        </w:rPr>
      </w:pPr>
      <w:r w:rsidRPr="00380E28">
        <w:rPr>
          <w:szCs w:val="22"/>
        </w:rPr>
        <w:t>updates to the workforce modelling results to determine requirements for future adjustments every two years; and</w:t>
      </w:r>
    </w:p>
    <w:p w:rsidR="00B01FDB" w:rsidRPr="00A92FD3" w:rsidRDefault="00B01FDB" w:rsidP="000437F1">
      <w:pPr>
        <w:numPr>
          <w:ilvl w:val="0"/>
          <w:numId w:val="1"/>
        </w:numPr>
        <w:rPr>
          <w:szCs w:val="22"/>
        </w:rPr>
      </w:pPr>
      <w:proofErr w:type="gramStart"/>
      <w:r w:rsidRPr="00380E28">
        <w:rPr>
          <w:szCs w:val="22"/>
        </w:rPr>
        <w:t>prioritisation</w:t>
      </w:r>
      <w:proofErr w:type="gramEnd"/>
      <w:r w:rsidRPr="00380E28">
        <w:rPr>
          <w:szCs w:val="22"/>
        </w:rPr>
        <w:t xml:space="preserve"> of future policy work to gain a better understanding of the prevocational years and overall capacity for and distribution of vocational medical training</w:t>
      </w:r>
      <w:r w:rsidRPr="00A92FD3">
        <w:rPr>
          <w:szCs w:val="22"/>
        </w:rPr>
        <w:t>.</w:t>
      </w:r>
    </w:p>
    <w:p w:rsidR="00994125" w:rsidRDefault="00397917" w:rsidP="00544360">
      <w:r>
        <w:t xml:space="preserve">The </w:t>
      </w:r>
      <w:r w:rsidR="007D3E4F">
        <w:rPr>
          <w:szCs w:val="22"/>
        </w:rPr>
        <w:t>Obstetrics and G</w:t>
      </w:r>
      <w:r w:rsidR="008C15CE">
        <w:rPr>
          <w:szCs w:val="22"/>
        </w:rPr>
        <w:t>ynaecology</w:t>
      </w:r>
      <w:r w:rsidR="007D3E4F">
        <w:rPr>
          <w:szCs w:val="22"/>
        </w:rPr>
        <w:t xml:space="preserve"> (O&amp;G)</w:t>
      </w:r>
      <w:r w:rsidRPr="00AE71AD">
        <w:t xml:space="preserve"> report is part of the first segment of analysis under the capacity and distribution work. </w:t>
      </w:r>
      <w:r w:rsidR="00192480" w:rsidRPr="00AE71AD">
        <w:t xml:space="preserve">This report </w:t>
      </w:r>
      <w:r w:rsidR="00B01FDB" w:rsidRPr="00AE71AD">
        <w:t xml:space="preserve">involves updating the supply and demand projections previously completed by the former Health Workforce Australia (HWA) and published in </w:t>
      </w:r>
      <w:r w:rsidR="00B01FDB" w:rsidRPr="00A03893">
        <w:rPr>
          <w:i/>
        </w:rPr>
        <w:t>Health Workforce 2025 - Medical Specialists Volume 3</w:t>
      </w:r>
      <w:r w:rsidR="00B01FDB" w:rsidRPr="00AE71AD">
        <w:t xml:space="preserve"> (HW 2025 Vol 3).</w:t>
      </w:r>
    </w:p>
    <w:p w:rsidR="00DC1351" w:rsidRDefault="00DC1351">
      <w:pPr>
        <w:spacing w:before="0" w:after="0"/>
        <w:jc w:val="left"/>
        <w:rPr>
          <w:rFonts w:cs="Arial"/>
          <w:b/>
          <w:bCs/>
          <w:color w:val="1F497D"/>
          <w:kern w:val="28"/>
          <w:sz w:val="32"/>
          <w:szCs w:val="32"/>
        </w:rPr>
      </w:pPr>
      <w:bookmarkStart w:id="3" w:name="_Toc429581506"/>
      <w:bookmarkStart w:id="4" w:name="_Toc429581508"/>
      <w:bookmarkStart w:id="5" w:name="_Toc429581509"/>
      <w:bookmarkStart w:id="6" w:name="_Toc429581511"/>
      <w:bookmarkStart w:id="7" w:name="_Toc429581512"/>
      <w:r>
        <w:br w:type="page"/>
      </w:r>
    </w:p>
    <w:p w:rsidR="00192480" w:rsidRPr="009E6D22" w:rsidRDefault="00192480" w:rsidP="00426E94">
      <w:pPr>
        <w:pStyle w:val="Heading1"/>
      </w:pPr>
      <w:bookmarkStart w:id="8" w:name="_Toc521510433"/>
      <w:r w:rsidRPr="007D3E4F">
        <w:lastRenderedPageBreak/>
        <w:t>Key findings</w:t>
      </w:r>
      <w:bookmarkEnd w:id="3"/>
      <w:bookmarkEnd w:id="8"/>
    </w:p>
    <w:p w:rsidR="00DC1351" w:rsidRDefault="00DC1351" w:rsidP="00544360">
      <w:pPr>
        <w:pStyle w:val="Heading2"/>
        <w:spacing w:before="0" w:after="0"/>
      </w:pPr>
      <w:bookmarkStart w:id="9" w:name="_Toc521510434"/>
      <w:bookmarkStart w:id="10" w:name="_Toc429581507"/>
      <w:r>
        <w:t>Current workforce and trainees</w:t>
      </w:r>
      <w:bookmarkEnd w:id="9"/>
    </w:p>
    <w:p w:rsidR="003965A3" w:rsidRPr="00696170" w:rsidRDefault="003965A3" w:rsidP="003965A3">
      <w:pPr>
        <w:rPr>
          <w:lang w:eastAsia="en-AU"/>
        </w:rPr>
      </w:pPr>
      <w:r w:rsidRPr="00696170">
        <w:rPr>
          <w:lang w:eastAsia="en-AU"/>
        </w:rPr>
        <w:t xml:space="preserve">There were </w:t>
      </w:r>
      <w:r w:rsidR="0020322F">
        <w:rPr>
          <w:lang w:eastAsia="en-AU"/>
        </w:rPr>
        <w:t>1,900</w:t>
      </w:r>
      <w:r>
        <w:rPr>
          <w:lang w:eastAsia="en-AU"/>
        </w:rPr>
        <w:t xml:space="preserve"> accredited O&amp;G</w:t>
      </w:r>
      <w:r w:rsidRPr="00696170">
        <w:rPr>
          <w:lang w:eastAsia="en-AU"/>
        </w:rPr>
        <w:t xml:space="preserve"> specialists with current medical registration in 2016. The large majority were clinicians (</w:t>
      </w:r>
      <w:r w:rsidR="00970590">
        <w:rPr>
          <w:lang w:eastAsia="en-AU"/>
        </w:rPr>
        <w:t>94</w:t>
      </w:r>
      <w:r w:rsidRPr="00696170">
        <w:rPr>
          <w:lang w:eastAsia="en-AU"/>
        </w:rPr>
        <w:t xml:space="preserve"> per cent). Of those clinicians, 8</w:t>
      </w:r>
      <w:r w:rsidR="00970590">
        <w:rPr>
          <w:lang w:eastAsia="en-AU"/>
        </w:rPr>
        <w:t>2</w:t>
      </w:r>
      <w:r w:rsidRPr="00696170">
        <w:rPr>
          <w:lang w:eastAsia="en-AU"/>
        </w:rPr>
        <w:t xml:space="preserve"> per cent were located in Modified Monash Model </w:t>
      </w:r>
      <w:r w:rsidR="00970590">
        <w:rPr>
          <w:lang w:eastAsia="en-AU"/>
        </w:rPr>
        <w:t xml:space="preserve">1 </w:t>
      </w:r>
      <w:r w:rsidRPr="00696170">
        <w:rPr>
          <w:lang w:eastAsia="en-AU"/>
        </w:rPr>
        <w:t>(MMM1</w:t>
      </w:r>
      <w:r w:rsidR="00970590">
        <w:rPr>
          <w:lang w:eastAsia="en-AU"/>
        </w:rPr>
        <w:t>)</w:t>
      </w:r>
      <w:r w:rsidRPr="00696170">
        <w:rPr>
          <w:lang w:eastAsia="en-AU"/>
        </w:rPr>
        <w:t xml:space="preserve"> and </w:t>
      </w:r>
      <w:r w:rsidR="00970590">
        <w:rPr>
          <w:lang w:eastAsia="en-AU"/>
        </w:rPr>
        <w:t>45</w:t>
      </w:r>
      <w:r w:rsidRPr="00696170">
        <w:rPr>
          <w:lang w:eastAsia="en-AU"/>
        </w:rPr>
        <w:t xml:space="preserve"> per cent were female</w:t>
      </w:r>
      <w:r>
        <w:rPr>
          <w:lang w:eastAsia="en-AU"/>
        </w:rPr>
        <w:t xml:space="preserve">. </w:t>
      </w:r>
      <w:r w:rsidR="00970590">
        <w:rPr>
          <w:lang w:eastAsia="en-AU"/>
        </w:rPr>
        <w:t>A total of</w:t>
      </w:r>
      <w:r>
        <w:rPr>
          <w:lang w:eastAsia="en-AU"/>
        </w:rPr>
        <w:t xml:space="preserve"> </w:t>
      </w:r>
      <w:r w:rsidR="00970590">
        <w:rPr>
          <w:lang w:eastAsia="en-AU"/>
        </w:rPr>
        <w:t>36</w:t>
      </w:r>
      <w:r w:rsidRPr="00696170">
        <w:rPr>
          <w:lang w:eastAsia="en-AU"/>
        </w:rPr>
        <w:t xml:space="preserve"> per cent </w:t>
      </w:r>
      <w:r>
        <w:rPr>
          <w:lang w:eastAsia="en-AU"/>
        </w:rPr>
        <w:t>of the workforce worked in the public sector</w:t>
      </w:r>
      <w:r w:rsidRPr="00696170">
        <w:rPr>
          <w:lang w:eastAsia="en-AU"/>
        </w:rPr>
        <w:t xml:space="preserve">. The average age of the </w:t>
      </w:r>
      <w:r w:rsidR="00970590">
        <w:rPr>
          <w:lang w:eastAsia="en-AU"/>
        </w:rPr>
        <w:t xml:space="preserve">O&amp;G </w:t>
      </w:r>
      <w:r w:rsidRPr="00696170">
        <w:rPr>
          <w:lang w:eastAsia="en-AU"/>
        </w:rPr>
        <w:t>workforce was 5</w:t>
      </w:r>
      <w:r w:rsidR="00970590">
        <w:rPr>
          <w:lang w:eastAsia="en-AU"/>
        </w:rPr>
        <w:t>2</w:t>
      </w:r>
      <w:r w:rsidRPr="00696170">
        <w:rPr>
          <w:lang w:eastAsia="en-AU"/>
        </w:rPr>
        <w:t xml:space="preserve"> years. </w:t>
      </w:r>
    </w:p>
    <w:p w:rsidR="003965A3" w:rsidRDefault="00970590" w:rsidP="003965A3">
      <w:r>
        <w:rPr>
          <w:lang w:eastAsia="en-AU"/>
        </w:rPr>
        <w:t>T</w:t>
      </w:r>
      <w:r w:rsidR="003965A3" w:rsidRPr="00696170">
        <w:rPr>
          <w:lang w:eastAsia="en-AU"/>
        </w:rPr>
        <w:t xml:space="preserve">he </w:t>
      </w:r>
      <w:r w:rsidR="003965A3">
        <w:rPr>
          <w:lang w:eastAsia="en-AU"/>
        </w:rPr>
        <w:t>National Health Workforce Data Set (</w:t>
      </w:r>
      <w:r w:rsidR="003965A3" w:rsidRPr="00696170">
        <w:rPr>
          <w:lang w:eastAsia="en-AU"/>
        </w:rPr>
        <w:t>NHWDS</w:t>
      </w:r>
      <w:r w:rsidR="003965A3">
        <w:rPr>
          <w:lang w:eastAsia="en-AU"/>
        </w:rPr>
        <w:t>)</w:t>
      </w:r>
      <w:r w:rsidR="003965A3" w:rsidRPr="00696170">
        <w:rPr>
          <w:lang w:eastAsia="en-AU"/>
        </w:rPr>
        <w:t xml:space="preserve"> reports </w:t>
      </w:r>
      <w:r>
        <w:rPr>
          <w:lang w:eastAsia="en-AU"/>
        </w:rPr>
        <w:t>580</w:t>
      </w:r>
      <w:r w:rsidR="003965A3">
        <w:rPr>
          <w:lang w:eastAsia="en-AU"/>
        </w:rPr>
        <w:t xml:space="preserve"> trainees</w:t>
      </w:r>
      <w:r w:rsidR="003965A3" w:rsidRPr="00696170">
        <w:rPr>
          <w:lang w:eastAsia="en-AU"/>
        </w:rPr>
        <w:t xml:space="preserve">, of which </w:t>
      </w:r>
      <w:r>
        <w:rPr>
          <w:lang w:eastAsia="en-AU"/>
        </w:rPr>
        <w:t>81</w:t>
      </w:r>
      <w:r w:rsidR="003965A3" w:rsidRPr="00696170">
        <w:rPr>
          <w:lang w:eastAsia="en-AU"/>
        </w:rPr>
        <w:t xml:space="preserve"> per cent were female and the majority</w:t>
      </w:r>
      <w:r>
        <w:rPr>
          <w:lang w:eastAsia="en-AU"/>
        </w:rPr>
        <w:t xml:space="preserve"> (85 per cent)</w:t>
      </w:r>
      <w:r w:rsidR="003965A3" w:rsidRPr="00696170">
        <w:rPr>
          <w:lang w:eastAsia="en-AU"/>
        </w:rPr>
        <w:t xml:space="preserve"> located in MMM1.</w:t>
      </w:r>
      <w:r w:rsidR="007D3E4F">
        <w:rPr>
          <w:lang w:eastAsia="en-AU"/>
        </w:rPr>
        <w:t xml:space="preserve"> </w:t>
      </w:r>
      <w:r w:rsidR="007D3E4F" w:rsidRPr="00A83E0F">
        <w:t xml:space="preserve">In comparison to the </w:t>
      </w:r>
      <w:r w:rsidR="009572D3">
        <w:t>Royal Australian and New Zealand College of Obstetrics and Gynaecology (</w:t>
      </w:r>
      <w:r w:rsidR="007D3E4F" w:rsidRPr="00A83E0F">
        <w:t>RANZCOG</w:t>
      </w:r>
      <w:r w:rsidR="009572D3">
        <w:t>)</w:t>
      </w:r>
      <w:r w:rsidR="007D3E4F">
        <w:t xml:space="preserve"> data, the 2016</w:t>
      </w:r>
      <w:r w:rsidR="007D3E4F" w:rsidRPr="00A83E0F">
        <w:t xml:space="preserve"> NHWDS reported </w:t>
      </w:r>
      <w:r w:rsidR="007D3E4F">
        <w:t>58</w:t>
      </w:r>
      <w:r w:rsidR="007D3E4F" w:rsidRPr="00A83E0F">
        <w:t xml:space="preserve"> </w:t>
      </w:r>
      <w:r w:rsidR="007D3E4F">
        <w:t>more</w:t>
      </w:r>
      <w:r w:rsidR="007D3E4F" w:rsidRPr="00A83E0F">
        <w:t xml:space="preserve"> (</w:t>
      </w:r>
      <w:r w:rsidR="007D3E4F" w:rsidRPr="00C80424">
        <w:t>1</w:t>
      </w:r>
      <w:r w:rsidR="007D3E4F">
        <w:t>0</w:t>
      </w:r>
      <w:r w:rsidR="007D3E4F" w:rsidRPr="00A83E0F">
        <w:t xml:space="preserve"> per cent) O&amp;G trainees.</w:t>
      </w:r>
    </w:p>
    <w:p w:rsidR="001B30C3" w:rsidRDefault="001B30C3" w:rsidP="003965A3">
      <w:r>
        <w:t xml:space="preserve">The following table summarises the distribution of O&amp;G specialists and trainees per 100,000 </w:t>
      </w:r>
      <w:proofErr w:type="gramStart"/>
      <w:r>
        <w:t>population</w:t>
      </w:r>
      <w:proofErr w:type="gramEnd"/>
      <w:r>
        <w:t>.</w:t>
      </w:r>
      <w:r w:rsidR="00556A17">
        <w:t xml:space="preserve"> This demonstrates significant</w:t>
      </w:r>
      <w:r w:rsidR="00D60464">
        <w:t>ly</w:t>
      </w:r>
      <w:r w:rsidR="00556A17">
        <w:t xml:space="preserve"> differen</w:t>
      </w:r>
      <w:r w:rsidR="00D60464">
        <w:t>t</w:t>
      </w:r>
      <w:r w:rsidR="00556A17">
        <w:t xml:space="preserve"> access to </w:t>
      </w:r>
      <w:r w:rsidR="00A40B29">
        <w:t>O&amp;</w:t>
      </w:r>
      <w:r w:rsidR="00556A17">
        <w:t xml:space="preserve">G specialists </w:t>
      </w:r>
      <w:r w:rsidR="00D60464">
        <w:t>across Australia.</w:t>
      </w:r>
    </w:p>
    <w:p w:rsidR="00676DD9" w:rsidRPr="00676DD9" w:rsidRDefault="00676DD9" w:rsidP="00676DD9">
      <w:pPr>
        <w:jc w:val="center"/>
        <w:rPr>
          <w:color w:val="000000" w:themeColor="text1"/>
        </w:rPr>
      </w:pPr>
      <w:r w:rsidRPr="00676DD9">
        <w:rPr>
          <w:b/>
          <w:bCs/>
          <w:color w:val="000000" w:themeColor="text1"/>
          <w:sz w:val="18"/>
          <w:szCs w:val="18"/>
          <w:lang w:eastAsia="en-AU"/>
        </w:rPr>
        <w:t>SUMMARY TABLE OF DISTRIBUTION</w:t>
      </w:r>
    </w:p>
    <w:tbl>
      <w:tblPr>
        <w:tblStyle w:val="TableGrid"/>
        <w:tblW w:w="9240"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Caption w:val="Summary table of distribution"/>
        <w:tblDescription w:val="Provides a summary of workforce distribution."/>
      </w:tblPr>
      <w:tblGrid>
        <w:gridCol w:w="1540"/>
        <w:gridCol w:w="1540"/>
        <w:gridCol w:w="1540"/>
        <w:gridCol w:w="1540"/>
        <w:gridCol w:w="1540"/>
        <w:gridCol w:w="1540"/>
      </w:tblGrid>
      <w:tr w:rsidR="00676DD9" w:rsidTr="005B41D8">
        <w:trPr>
          <w:tblHeader/>
        </w:trPr>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Modified Monash Category</w:t>
            </w:r>
          </w:p>
        </w:tc>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2015 female population</w:t>
            </w:r>
          </w:p>
        </w:tc>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Specialists and trainees (headcount)</w:t>
            </w:r>
          </w:p>
        </w:tc>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Headcount per 100,000 population</w:t>
            </w:r>
          </w:p>
        </w:tc>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Specialists and trainees (FTE)</w:t>
            </w:r>
          </w:p>
        </w:tc>
        <w:tc>
          <w:tcPr>
            <w:tcW w:w="1540" w:type="dxa"/>
            <w:shd w:val="clear" w:color="auto" w:fill="1F497D"/>
            <w:vAlign w:val="center"/>
          </w:tcPr>
          <w:p w:rsidR="00676DD9" w:rsidRPr="00676DD9" w:rsidRDefault="00676DD9" w:rsidP="006632A1">
            <w:pPr>
              <w:spacing w:before="0" w:after="0"/>
              <w:jc w:val="center"/>
              <w:rPr>
                <w:b/>
                <w:bCs/>
                <w:color w:val="FFFFFF" w:themeColor="background1"/>
                <w:sz w:val="18"/>
                <w:szCs w:val="18"/>
                <w:lang w:eastAsia="en-AU"/>
              </w:rPr>
            </w:pPr>
            <w:r w:rsidRPr="00676DD9">
              <w:rPr>
                <w:b/>
                <w:bCs/>
                <w:color w:val="FFFFFF" w:themeColor="background1"/>
                <w:sz w:val="18"/>
                <w:szCs w:val="18"/>
                <w:lang w:eastAsia="en-AU"/>
              </w:rPr>
              <w:t>FTE per 100,000 population</w:t>
            </w:r>
          </w:p>
        </w:tc>
      </w:tr>
      <w:tr w:rsidR="00676DD9" w:rsidTr="00A538E8">
        <w:trPr>
          <w:trHeight w:val="227"/>
        </w:trPr>
        <w:tc>
          <w:tcPr>
            <w:tcW w:w="1540" w:type="dxa"/>
            <w:vAlign w:val="center"/>
          </w:tcPr>
          <w:p w:rsidR="00676DD9" w:rsidRPr="00676DD9" w:rsidRDefault="00676DD9" w:rsidP="005B41D8">
            <w:pPr>
              <w:spacing w:before="0" w:after="0"/>
              <w:jc w:val="left"/>
              <w:rPr>
                <w:b/>
                <w:bCs/>
                <w:color w:val="000000" w:themeColor="text1"/>
                <w:sz w:val="18"/>
                <w:szCs w:val="18"/>
                <w:lang w:eastAsia="en-AU"/>
              </w:rPr>
            </w:pPr>
            <w:r w:rsidRPr="00AD71BA">
              <w:rPr>
                <w:bCs/>
                <w:sz w:val="18"/>
                <w:szCs w:val="18"/>
                <w:lang w:eastAsia="en-AU"/>
              </w:rPr>
              <w:t>MMM1</w:t>
            </w:r>
          </w:p>
        </w:tc>
        <w:tc>
          <w:tcPr>
            <w:tcW w:w="1540" w:type="dxa"/>
            <w:vAlign w:val="center"/>
          </w:tcPr>
          <w:p w:rsidR="00676DD9" w:rsidRPr="00676DD9" w:rsidRDefault="00676DD9" w:rsidP="00676DD9">
            <w:pPr>
              <w:spacing w:before="0" w:after="0"/>
              <w:jc w:val="right"/>
              <w:rPr>
                <w:b/>
                <w:bCs/>
                <w:color w:val="000000" w:themeColor="text1"/>
                <w:sz w:val="18"/>
                <w:szCs w:val="18"/>
                <w:lang w:eastAsia="en-AU"/>
              </w:rPr>
            </w:pPr>
            <w:r>
              <w:rPr>
                <w:sz w:val="18"/>
                <w:szCs w:val="18"/>
              </w:rPr>
              <w:t>8,518,707</w:t>
            </w:r>
          </w:p>
        </w:tc>
        <w:tc>
          <w:tcPr>
            <w:tcW w:w="1540" w:type="dxa"/>
            <w:vAlign w:val="center"/>
          </w:tcPr>
          <w:p w:rsidR="00676DD9" w:rsidRPr="00676DD9" w:rsidRDefault="00676DD9" w:rsidP="00676DD9">
            <w:pPr>
              <w:spacing w:before="0" w:after="0"/>
              <w:jc w:val="right"/>
              <w:rPr>
                <w:b/>
                <w:bCs/>
                <w:color w:val="000000" w:themeColor="text1"/>
                <w:sz w:val="18"/>
                <w:szCs w:val="18"/>
                <w:lang w:eastAsia="en-AU"/>
              </w:rPr>
            </w:pPr>
            <w:r>
              <w:rPr>
                <w:sz w:val="18"/>
                <w:szCs w:val="18"/>
              </w:rPr>
              <w:t>1,841</w:t>
            </w:r>
          </w:p>
        </w:tc>
        <w:tc>
          <w:tcPr>
            <w:tcW w:w="1540" w:type="dxa"/>
            <w:vAlign w:val="center"/>
          </w:tcPr>
          <w:p w:rsidR="00676DD9" w:rsidRPr="00676DD9" w:rsidRDefault="00676DD9" w:rsidP="00676DD9">
            <w:pPr>
              <w:spacing w:before="0" w:after="0"/>
              <w:jc w:val="right"/>
              <w:rPr>
                <w:b/>
                <w:bCs/>
                <w:color w:val="000000" w:themeColor="text1"/>
                <w:sz w:val="18"/>
                <w:szCs w:val="18"/>
                <w:lang w:eastAsia="en-AU"/>
              </w:rPr>
            </w:pPr>
            <w:r>
              <w:rPr>
                <w:sz w:val="18"/>
                <w:szCs w:val="18"/>
              </w:rPr>
              <w:t>21.6</w:t>
            </w:r>
          </w:p>
        </w:tc>
        <w:tc>
          <w:tcPr>
            <w:tcW w:w="1540" w:type="dxa"/>
            <w:vAlign w:val="center"/>
          </w:tcPr>
          <w:p w:rsidR="00676DD9" w:rsidRPr="00676DD9" w:rsidRDefault="00676DD9" w:rsidP="00676DD9">
            <w:pPr>
              <w:spacing w:before="0" w:after="0"/>
              <w:jc w:val="right"/>
              <w:rPr>
                <w:b/>
                <w:bCs/>
                <w:color w:val="000000" w:themeColor="text1"/>
                <w:sz w:val="18"/>
                <w:szCs w:val="18"/>
                <w:lang w:eastAsia="en-AU"/>
              </w:rPr>
            </w:pPr>
            <w:r>
              <w:rPr>
                <w:sz w:val="18"/>
                <w:szCs w:val="18"/>
              </w:rPr>
              <w:t>2,151</w:t>
            </w:r>
          </w:p>
        </w:tc>
        <w:tc>
          <w:tcPr>
            <w:tcW w:w="1540" w:type="dxa"/>
            <w:vAlign w:val="center"/>
          </w:tcPr>
          <w:p w:rsidR="00676DD9" w:rsidRPr="00676DD9" w:rsidRDefault="00676DD9" w:rsidP="00676DD9">
            <w:pPr>
              <w:spacing w:before="0" w:after="0"/>
              <w:jc w:val="right"/>
              <w:rPr>
                <w:b/>
                <w:bCs/>
                <w:color w:val="000000" w:themeColor="text1"/>
                <w:sz w:val="18"/>
                <w:szCs w:val="18"/>
                <w:lang w:eastAsia="en-AU"/>
              </w:rPr>
            </w:pPr>
            <w:r w:rsidRPr="001B30C3">
              <w:rPr>
                <w:b/>
                <w:sz w:val="18"/>
                <w:szCs w:val="18"/>
              </w:rPr>
              <w:t>25.</w:t>
            </w:r>
            <w:r>
              <w:rPr>
                <w:b/>
                <w:sz w:val="18"/>
                <w:szCs w:val="18"/>
              </w:rPr>
              <w:t>3</w:t>
            </w:r>
          </w:p>
        </w:tc>
      </w:tr>
      <w:tr w:rsidR="00676DD9" w:rsidTr="00A538E8">
        <w:trPr>
          <w:trHeight w:val="227"/>
        </w:trPr>
        <w:tc>
          <w:tcPr>
            <w:tcW w:w="1540" w:type="dxa"/>
            <w:shd w:val="clear" w:color="auto" w:fill="D3DFEE"/>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MMM2</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1,101,906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204</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18.5</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251</w:t>
            </w:r>
          </w:p>
        </w:tc>
        <w:tc>
          <w:tcPr>
            <w:tcW w:w="1540" w:type="dxa"/>
            <w:shd w:val="clear" w:color="auto" w:fill="D3DFEE"/>
            <w:vAlign w:val="center"/>
          </w:tcPr>
          <w:p w:rsidR="00676DD9" w:rsidRPr="001B30C3" w:rsidRDefault="00676DD9" w:rsidP="005B41D8">
            <w:pPr>
              <w:spacing w:before="0" w:after="0"/>
              <w:jc w:val="right"/>
              <w:rPr>
                <w:b/>
                <w:sz w:val="18"/>
                <w:szCs w:val="18"/>
                <w:lang w:eastAsia="en-AU"/>
              </w:rPr>
            </w:pPr>
            <w:r w:rsidRPr="001B30C3">
              <w:rPr>
                <w:b/>
                <w:sz w:val="18"/>
                <w:szCs w:val="18"/>
              </w:rPr>
              <w:t>22.8</w:t>
            </w:r>
          </w:p>
        </w:tc>
      </w:tr>
      <w:tr w:rsidR="00676DD9" w:rsidTr="00A538E8">
        <w:trPr>
          <w:trHeight w:val="227"/>
        </w:trPr>
        <w:tc>
          <w:tcPr>
            <w:tcW w:w="1540" w:type="dxa"/>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MMM3</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782,212</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135</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17.3</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166</w:t>
            </w:r>
          </w:p>
        </w:tc>
        <w:tc>
          <w:tcPr>
            <w:tcW w:w="1540" w:type="dxa"/>
            <w:vAlign w:val="center"/>
          </w:tcPr>
          <w:p w:rsidR="00676DD9" w:rsidRPr="001B30C3" w:rsidRDefault="00676DD9" w:rsidP="005B41D8">
            <w:pPr>
              <w:spacing w:before="0" w:after="0"/>
              <w:jc w:val="right"/>
              <w:rPr>
                <w:b/>
                <w:sz w:val="18"/>
                <w:szCs w:val="18"/>
                <w:lang w:eastAsia="en-AU"/>
              </w:rPr>
            </w:pPr>
            <w:r w:rsidRPr="001B30C3">
              <w:rPr>
                <w:b/>
                <w:sz w:val="18"/>
                <w:szCs w:val="18"/>
              </w:rPr>
              <w:t>21.2</w:t>
            </w:r>
          </w:p>
        </w:tc>
      </w:tr>
      <w:tr w:rsidR="00676DD9" w:rsidTr="00A538E8">
        <w:trPr>
          <w:trHeight w:val="227"/>
        </w:trPr>
        <w:tc>
          <w:tcPr>
            <w:tcW w:w="1540" w:type="dxa"/>
            <w:shd w:val="clear" w:color="auto" w:fill="D3DFEE"/>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MMM4</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438,711</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3.6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23</w:t>
            </w:r>
          </w:p>
        </w:tc>
        <w:tc>
          <w:tcPr>
            <w:tcW w:w="1540" w:type="dxa"/>
            <w:shd w:val="clear" w:color="auto" w:fill="D3DFEE"/>
            <w:vAlign w:val="center"/>
          </w:tcPr>
          <w:p w:rsidR="00676DD9" w:rsidRPr="001B30C3" w:rsidRDefault="00676DD9" w:rsidP="005B41D8">
            <w:pPr>
              <w:spacing w:before="0" w:after="0"/>
              <w:jc w:val="right"/>
              <w:rPr>
                <w:b/>
                <w:sz w:val="18"/>
                <w:szCs w:val="18"/>
                <w:lang w:eastAsia="en-AU"/>
              </w:rPr>
            </w:pPr>
            <w:r w:rsidRPr="001B30C3">
              <w:rPr>
                <w:b/>
                <w:sz w:val="18"/>
                <w:szCs w:val="18"/>
              </w:rPr>
              <w:t>5.2</w:t>
            </w:r>
          </w:p>
        </w:tc>
      </w:tr>
      <w:tr w:rsidR="00676DD9" w:rsidTr="00A538E8">
        <w:trPr>
          <w:trHeight w:val="227"/>
        </w:trPr>
        <w:tc>
          <w:tcPr>
            <w:tcW w:w="1540" w:type="dxa"/>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MMM5</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871,058</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6</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0.7</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7</w:t>
            </w:r>
          </w:p>
        </w:tc>
        <w:tc>
          <w:tcPr>
            <w:tcW w:w="1540" w:type="dxa"/>
            <w:vAlign w:val="center"/>
          </w:tcPr>
          <w:p w:rsidR="00676DD9" w:rsidRPr="001B30C3" w:rsidRDefault="00676DD9" w:rsidP="005B41D8">
            <w:pPr>
              <w:spacing w:before="0" w:after="0"/>
              <w:jc w:val="right"/>
              <w:rPr>
                <w:b/>
                <w:sz w:val="18"/>
                <w:szCs w:val="18"/>
                <w:lang w:eastAsia="en-AU"/>
              </w:rPr>
            </w:pPr>
            <w:r w:rsidRPr="001B30C3">
              <w:rPr>
                <w:b/>
                <w:sz w:val="18"/>
                <w:szCs w:val="18"/>
              </w:rPr>
              <w:t>0.8</w:t>
            </w:r>
          </w:p>
        </w:tc>
      </w:tr>
      <w:tr w:rsidR="00676DD9" w:rsidTr="00A538E8">
        <w:trPr>
          <w:trHeight w:val="227"/>
        </w:trPr>
        <w:tc>
          <w:tcPr>
            <w:tcW w:w="1540" w:type="dxa"/>
            <w:shd w:val="clear" w:color="auto" w:fill="D3DFEE"/>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143,126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14</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9.8</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sz w:val="18"/>
                <w:szCs w:val="18"/>
              </w:rPr>
              <w:t>18</w:t>
            </w:r>
          </w:p>
        </w:tc>
        <w:tc>
          <w:tcPr>
            <w:tcW w:w="1540" w:type="dxa"/>
            <w:shd w:val="clear" w:color="auto" w:fill="D3DFEE"/>
            <w:vAlign w:val="center"/>
          </w:tcPr>
          <w:p w:rsidR="00676DD9" w:rsidRPr="001B30C3" w:rsidRDefault="00676DD9" w:rsidP="005B41D8">
            <w:pPr>
              <w:spacing w:before="0" w:after="0"/>
              <w:jc w:val="right"/>
              <w:rPr>
                <w:b/>
                <w:sz w:val="18"/>
                <w:szCs w:val="18"/>
                <w:lang w:eastAsia="en-AU"/>
              </w:rPr>
            </w:pPr>
            <w:r w:rsidRPr="001B30C3">
              <w:rPr>
                <w:b/>
                <w:sz w:val="18"/>
                <w:szCs w:val="18"/>
              </w:rPr>
              <w:t>12.4</w:t>
            </w:r>
          </w:p>
        </w:tc>
      </w:tr>
      <w:tr w:rsidR="00676DD9" w:rsidTr="00A538E8">
        <w:trPr>
          <w:trHeight w:val="227"/>
        </w:trPr>
        <w:tc>
          <w:tcPr>
            <w:tcW w:w="1540" w:type="dxa"/>
            <w:vAlign w:val="center"/>
          </w:tcPr>
          <w:p w:rsidR="00676DD9" w:rsidRPr="00AD71BA" w:rsidRDefault="00676DD9" w:rsidP="005B41D8">
            <w:pPr>
              <w:spacing w:before="0" w:after="0"/>
              <w:jc w:val="left"/>
              <w:rPr>
                <w:bCs/>
                <w:sz w:val="18"/>
                <w:szCs w:val="18"/>
                <w:lang w:eastAsia="en-AU"/>
              </w:rPr>
            </w:pPr>
            <w:r w:rsidRPr="00AD71BA">
              <w:rPr>
                <w:bCs/>
                <w:sz w:val="18"/>
                <w:szCs w:val="18"/>
                <w:lang w:eastAsia="en-AU"/>
              </w:rPr>
              <w:t>MMM7</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95,130</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0</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0.0</w:t>
            </w:r>
          </w:p>
        </w:tc>
        <w:tc>
          <w:tcPr>
            <w:tcW w:w="1540" w:type="dxa"/>
            <w:vAlign w:val="center"/>
          </w:tcPr>
          <w:p w:rsidR="00676DD9" w:rsidRPr="00294F07" w:rsidRDefault="00676DD9" w:rsidP="005B41D8">
            <w:pPr>
              <w:spacing w:before="0" w:after="0"/>
              <w:jc w:val="right"/>
              <w:rPr>
                <w:sz w:val="18"/>
                <w:szCs w:val="18"/>
                <w:lang w:eastAsia="en-AU"/>
              </w:rPr>
            </w:pPr>
            <w:r>
              <w:rPr>
                <w:sz w:val="18"/>
                <w:szCs w:val="18"/>
              </w:rPr>
              <w:t>0</w:t>
            </w:r>
          </w:p>
        </w:tc>
        <w:tc>
          <w:tcPr>
            <w:tcW w:w="1540" w:type="dxa"/>
            <w:vAlign w:val="center"/>
          </w:tcPr>
          <w:p w:rsidR="00676DD9" w:rsidRPr="001B30C3" w:rsidRDefault="00676DD9" w:rsidP="005B41D8">
            <w:pPr>
              <w:spacing w:before="0" w:after="0"/>
              <w:jc w:val="right"/>
              <w:rPr>
                <w:b/>
                <w:sz w:val="18"/>
                <w:szCs w:val="18"/>
                <w:lang w:eastAsia="en-AU"/>
              </w:rPr>
            </w:pPr>
            <w:r w:rsidRPr="001B30C3">
              <w:rPr>
                <w:b/>
                <w:sz w:val="18"/>
                <w:szCs w:val="18"/>
              </w:rPr>
              <w:t>0.0</w:t>
            </w:r>
          </w:p>
        </w:tc>
      </w:tr>
      <w:tr w:rsidR="00676DD9" w:rsidTr="00A538E8">
        <w:trPr>
          <w:trHeight w:val="227"/>
        </w:trPr>
        <w:tc>
          <w:tcPr>
            <w:tcW w:w="1540" w:type="dxa"/>
            <w:shd w:val="clear" w:color="auto" w:fill="D3DFEE"/>
            <w:vAlign w:val="center"/>
          </w:tcPr>
          <w:p w:rsidR="00676DD9" w:rsidRPr="00AD71BA" w:rsidRDefault="00676DD9" w:rsidP="005B41D8">
            <w:pPr>
              <w:spacing w:before="0" w:after="0"/>
              <w:jc w:val="left"/>
              <w:rPr>
                <w:bCs/>
                <w:sz w:val="18"/>
                <w:szCs w:val="18"/>
                <w:lang w:eastAsia="en-AU"/>
              </w:rPr>
            </w:pPr>
            <w:r w:rsidRPr="00294F07">
              <w:rPr>
                <w:b/>
                <w:bCs/>
                <w:sz w:val="18"/>
                <w:szCs w:val="18"/>
                <w:lang w:eastAsia="en-AU"/>
              </w:rPr>
              <w:t>Grand Total</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b/>
                <w:bCs/>
                <w:sz w:val="18"/>
                <w:szCs w:val="18"/>
              </w:rPr>
              <w:t>11,950,850</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b/>
                <w:bCs/>
                <w:sz w:val="18"/>
                <w:szCs w:val="18"/>
              </w:rPr>
              <w:t>2,216</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b/>
                <w:bCs/>
                <w:sz w:val="18"/>
                <w:szCs w:val="18"/>
              </w:rPr>
              <w:t>18.5</w:t>
            </w:r>
          </w:p>
        </w:tc>
        <w:tc>
          <w:tcPr>
            <w:tcW w:w="1540" w:type="dxa"/>
            <w:shd w:val="clear" w:color="auto" w:fill="D3DFEE"/>
            <w:vAlign w:val="center"/>
          </w:tcPr>
          <w:p w:rsidR="00676DD9" w:rsidRPr="00294F07" w:rsidRDefault="00676DD9" w:rsidP="005B41D8">
            <w:pPr>
              <w:spacing w:before="0" w:after="0"/>
              <w:jc w:val="right"/>
              <w:rPr>
                <w:sz w:val="18"/>
                <w:szCs w:val="18"/>
                <w:lang w:eastAsia="en-AU"/>
              </w:rPr>
            </w:pPr>
            <w:r>
              <w:rPr>
                <w:b/>
                <w:bCs/>
                <w:sz w:val="18"/>
                <w:szCs w:val="18"/>
              </w:rPr>
              <w:t>2,615</w:t>
            </w:r>
          </w:p>
        </w:tc>
        <w:tc>
          <w:tcPr>
            <w:tcW w:w="1540" w:type="dxa"/>
            <w:shd w:val="clear" w:color="auto" w:fill="D3DFEE"/>
            <w:vAlign w:val="center"/>
          </w:tcPr>
          <w:p w:rsidR="00676DD9" w:rsidRPr="001B30C3" w:rsidRDefault="00676DD9" w:rsidP="005B41D8">
            <w:pPr>
              <w:spacing w:before="0" w:after="0"/>
              <w:jc w:val="right"/>
              <w:rPr>
                <w:b/>
                <w:sz w:val="18"/>
                <w:szCs w:val="18"/>
                <w:lang w:eastAsia="en-AU"/>
              </w:rPr>
            </w:pPr>
            <w:r w:rsidRPr="001B30C3">
              <w:rPr>
                <w:b/>
                <w:bCs/>
                <w:sz w:val="18"/>
                <w:szCs w:val="18"/>
              </w:rPr>
              <w:t>21.9</w:t>
            </w:r>
          </w:p>
        </w:tc>
      </w:tr>
    </w:tbl>
    <w:p w:rsidR="003965A3" w:rsidRDefault="003965A3" w:rsidP="00352A17">
      <w:pPr>
        <w:pStyle w:val="Heading2"/>
        <w:spacing w:before="120" w:after="0"/>
      </w:pPr>
      <w:bookmarkStart w:id="11" w:name="_Toc521510435"/>
      <w:r>
        <w:t>Scope of practice</w:t>
      </w:r>
      <w:bookmarkEnd w:id="11"/>
    </w:p>
    <w:p w:rsidR="0020322F" w:rsidRDefault="0020322F" w:rsidP="0020322F">
      <w:r>
        <w:t xml:space="preserve">A large proportion of O&amp;G fellows are working in both obstetrics and gynaecology. While a small proportion (just over nine per cent) only work in obstetrics and almost 30 per cent work exclusively in gynaecology. This data is based on the unique count of the RANZCOG fellows practice profile survey in 2016. The data clearly indicates a preference to </w:t>
      </w:r>
      <w:r w:rsidR="003117CE">
        <w:t xml:space="preserve">practising </w:t>
      </w:r>
      <w:r>
        <w:t>both O&amp;G and with a greater emphasis on gynaecology throughout.</w:t>
      </w:r>
      <w:r w:rsidRPr="00067305">
        <w:t xml:space="preserve"> </w:t>
      </w:r>
      <w:r>
        <w:t>The data shows that 68 per cent of the O&amp;G workforce provides services in MMM1, largely in the private sector (41.3 per cent). MMM4 has a lower total proportion (0.31 per cent) than MMM5 (2.28 per cent).</w:t>
      </w:r>
    </w:p>
    <w:p w:rsidR="003965A3" w:rsidRDefault="003965A3" w:rsidP="00544360">
      <w:pPr>
        <w:pStyle w:val="Heading2"/>
        <w:spacing w:before="0" w:after="0"/>
      </w:pPr>
      <w:bookmarkStart w:id="12" w:name="_Toc521510436"/>
      <w:r>
        <w:t>Private health insurance</w:t>
      </w:r>
      <w:bookmarkEnd w:id="12"/>
    </w:p>
    <w:p w:rsidR="0020322F" w:rsidRDefault="00770C6D" w:rsidP="0020322F">
      <w:pPr>
        <w:rPr>
          <w:rFonts w:cs="Arial"/>
          <w:szCs w:val="22"/>
          <w:shd w:val="clear" w:color="auto" w:fill="FBFBFB"/>
        </w:rPr>
      </w:pPr>
      <w:r>
        <w:rPr>
          <w:rFonts w:cs="Arial"/>
          <w:szCs w:val="22"/>
          <w:shd w:val="clear" w:color="auto" w:fill="FBFBFB"/>
        </w:rPr>
        <w:t xml:space="preserve">RANZCOG advised that private health insurance design affects the public/private split of </w:t>
      </w:r>
      <w:r w:rsidR="00A40B29">
        <w:rPr>
          <w:rFonts w:cs="Arial"/>
          <w:szCs w:val="22"/>
          <w:shd w:val="clear" w:color="auto" w:fill="FBFBFB"/>
        </w:rPr>
        <w:t>O&amp;G</w:t>
      </w:r>
      <w:r>
        <w:rPr>
          <w:rFonts w:cs="Arial"/>
          <w:szCs w:val="22"/>
          <w:shd w:val="clear" w:color="auto" w:fill="FBFBFB"/>
        </w:rPr>
        <w:t xml:space="preserve"> specialists’ work. RANZCOG submitted th</w:t>
      </w:r>
      <w:r w:rsidR="00A40B29">
        <w:rPr>
          <w:rFonts w:cs="Arial"/>
          <w:szCs w:val="22"/>
          <w:shd w:val="clear" w:color="auto" w:fill="FBFBFB"/>
        </w:rPr>
        <w:t>ese concerns</w:t>
      </w:r>
      <w:r w:rsidR="0020322F">
        <w:rPr>
          <w:rFonts w:cs="Arial"/>
          <w:szCs w:val="22"/>
          <w:shd w:val="clear" w:color="auto" w:fill="FBFBFB"/>
        </w:rPr>
        <w:t xml:space="preserve"> to the inquiry into value and affordability of private health insurance and out-of-pocket medical costs, July 2017. </w:t>
      </w:r>
    </w:p>
    <w:p w:rsidR="0020322F" w:rsidRDefault="0020322F" w:rsidP="0020322F">
      <w:pPr>
        <w:rPr>
          <w:rFonts w:cs="Arial"/>
          <w:szCs w:val="22"/>
          <w:shd w:val="clear" w:color="auto" w:fill="FBFBFB"/>
        </w:rPr>
      </w:pPr>
      <w:r w:rsidRPr="00571BF5">
        <w:rPr>
          <w:rFonts w:cs="Arial"/>
          <w:szCs w:val="22"/>
          <w:shd w:val="clear" w:color="auto" w:fill="FBFBFB"/>
        </w:rPr>
        <w:t>Most of the specialist training in O&amp;G is undertaken in public hospitals,</w:t>
      </w:r>
      <w:r w:rsidR="009D3406">
        <w:rPr>
          <w:rFonts w:cs="Arial"/>
          <w:szCs w:val="22"/>
          <w:shd w:val="clear" w:color="auto" w:fill="FBFBFB"/>
        </w:rPr>
        <w:t xml:space="preserve"> where obstetrics predominates</w:t>
      </w:r>
      <w:r w:rsidR="003117CE">
        <w:rPr>
          <w:rFonts w:cs="Arial"/>
          <w:szCs w:val="22"/>
          <w:shd w:val="clear" w:color="auto" w:fill="FBFBFB"/>
        </w:rPr>
        <w:t>,</w:t>
      </w:r>
      <w:r w:rsidR="009D3406">
        <w:rPr>
          <w:rFonts w:cs="Arial"/>
          <w:szCs w:val="22"/>
          <w:shd w:val="clear" w:color="auto" w:fill="FBFBFB"/>
        </w:rPr>
        <w:t xml:space="preserve"> making training in gynaecology surgery challenging</w:t>
      </w:r>
      <w:r w:rsidR="00C85D04">
        <w:rPr>
          <w:rFonts w:cs="Arial"/>
          <w:szCs w:val="22"/>
          <w:shd w:val="clear" w:color="auto" w:fill="FBFBFB"/>
        </w:rPr>
        <w:t xml:space="preserve"> due to the lower proportion of gynaecology in the public sector. </w:t>
      </w:r>
    </w:p>
    <w:p w:rsidR="003965A3" w:rsidRDefault="0020322F" w:rsidP="003965A3">
      <w:pPr>
        <w:pStyle w:val="Heading2"/>
      </w:pPr>
      <w:bookmarkStart w:id="13" w:name="_Toc521510437"/>
      <w:r>
        <w:t>Assisted R</w:t>
      </w:r>
      <w:r w:rsidR="003965A3">
        <w:t>eproductive Technology</w:t>
      </w:r>
      <w:bookmarkEnd w:id="13"/>
    </w:p>
    <w:p w:rsidR="0020322F" w:rsidRDefault="0020322F" w:rsidP="0020322F">
      <w:r>
        <w:rPr>
          <w:szCs w:val="22"/>
        </w:rPr>
        <w:t xml:space="preserve">Assisted reproductive technology (ART) </w:t>
      </w:r>
      <w:r w:rsidRPr="00571BF5">
        <w:t>services include a range of treatments to achieve pregnancy, involving laboratory or clinical techniques.</w:t>
      </w:r>
      <w:r>
        <w:t xml:space="preserve"> </w:t>
      </w:r>
      <w:r>
        <w:rPr>
          <w:szCs w:val="22"/>
        </w:rPr>
        <w:t xml:space="preserve">ART is a group of procedures that involve the in vitro (outside of body) handling of human oocytes (eggs) and sperm or embryos for the purposes of establishing a pregnancy. Each ART treatment involves a number of stages and is generally referred to as an ART treatment cycle. </w:t>
      </w:r>
      <w:r w:rsidRPr="00571BF5">
        <w:t xml:space="preserve">Under the MBS only one global item can be billed for each treatment cycle. Medicare does not set a limit on the number of treatment cycles a patient can receive. However, Medicare rebates are only </w:t>
      </w:r>
      <w:r w:rsidRPr="00571BF5">
        <w:lastRenderedPageBreak/>
        <w:t>available for clinically relevant services, being services that meet peer-approved standards.</w:t>
      </w:r>
      <w:r>
        <w:t xml:space="preserve"> </w:t>
      </w:r>
      <w:r w:rsidRPr="00571BF5">
        <w:t>Legislation prevents Medicare benefits being paid for surrogacy arrangements.</w:t>
      </w:r>
    </w:p>
    <w:p w:rsidR="0020322F" w:rsidRPr="002F3AE3" w:rsidRDefault="00511B65" w:rsidP="0020322F">
      <w:r>
        <w:rPr>
          <w:szCs w:val="22"/>
        </w:rPr>
        <w:t xml:space="preserve">The </w:t>
      </w:r>
      <w:r w:rsidR="0020322F">
        <w:rPr>
          <w:szCs w:val="22"/>
        </w:rPr>
        <w:t xml:space="preserve">number of </w:t>
      </w:r>
      <w:r>
        <w:rPr>
          <w:szCs w:val="22"/>
        </w:rPr>
        <w:t xml:space="preserve">ART </w:t>
      </w:r>
      <w:r w:rsidR="0020322F">
        <w:rPr>
          <w:szCs w:val="22"/>
        </w:rPr>
        <w:t>specialist</w:t>
      </w:r>
      <w:r w:rsidR="00A40B29">
        <w:rPr>
          <w:szCs w:val="22"/>
        </w:rPr>
        <w:t>s and</w:t>
      </w:r>
      <w:r w:rsidR="0020322F">
        <w:rPr>
          <w:szCs w:val="22"/>
        </w:rPr>
        <w:t xml:space="preserve"> </w:t>
      </w:r>
      <w:r w:rsidR="00A40B29">
        <w:rPr>
          <w:szCs w:val="22"/>
        </w:rPr>
        <w:t>different</w:t>
      </w:r>
      <w:r>
        <w:rPr>
          <w:szCs w:val="22"/>
        </w:rPr>
        <w:t xml:space="preserve"> </w:t>
      </w:r>
      <w:r w:rsidR="00C85D04">
        <w:rPr>
          <w:szCs w:val="22"/>
        </w:rPr>
        <w:t>treatments</w:t>
      </w:r>
      <w:r>
        <w:rPr>
          <w:szCs w:val="22"/>
        </w:rPr>
        <w:t xml:space="preserve"> is increasing</w:t>
      </w:r>
      <w:r w:rsidR="0020322F">
        <w:rPr>
          <w:szCs w:val="22"/>
        </w:rPr>
        <w:t xml:space="preserve">. </w:t>
      </w:r>
    </w:p>
    <w:p w:rsidR="00192480" w:rsidRPr="00EC0440" w:rsidRDefault="00192480" w:rsidP="00544360">
      <w:pPr>
        <w:pStyle w:val="Heading2"/>
        <w:spacing w:before="0" w:after="0"/>
      </w:pPr>
      <w:bookmarkStart w:id="14" w:name="_Toc521510438"/>
      <w:r w:rsidRPr="00EC0440">
        <w:t>Supply and demand projections</w:t>
      </w:r>
      <w:bookmarkEnd w:id="10"/>
      <w:bookmarkEnd w:id="14"/>
      <w:r w:rsidRPr="00EC0440">
        <w:t xml:space="preserve"> </w:t>
      </w:r>
    </w:p>
    <w:p w:rsidR="003965A3" w:rsidRPr="00696170" w:rsidRDefault="003965A3" w:rsidP="003965A3">
      <w:pPr>
        <w:rPr>
          <w:lang w:eastAsia="en-AU"/>
        </w:rPr>
      </w:pPr>
      <w:r w:rsidRPr="00696170">
        <w:rPr>
          <w:lang w:eastAsia="en-AU"/>
        </w:rPr>
        <w:t xml:space="preserve">The demand for </w:t>
      </w:r>
      <w:r w:rsidR="00970590">
        <w:rPr>
          <w:lang w:eastAsia="en-AU"/>
        </w:rPr>
        <w:t>O&amp;G</w:t>
      </w:r>
      <w:r w:rsidRPr="00696170">
        <w:rPr>
          <w:lang w:eastAsia="en-AU"/>
        </w:rPr>
        <w:t xml:space="preserve"> services is estimated to grow at </w:t>
      </w:r>
      <w:r w:rsidR="00970590">
        <w:rPr>
          <w:lang w:eastAsia="en-AU"/>
        </w:rPr>
        <w:t>1.9</w:t>
      </w:r>
      <w:r w:rsidRPr="00696170">
        <w:rPr>
          <w:lang w:eastAsia="en-AU"/>
        </w:rPr>
        <w:t xml:space="preserve"> per cent</w:t>
      </w:r>
      <w:r>
        <w:rPr>
          <w:lang w:eastAsia="en-AU"/>
        </w:rPr>
        <w:t xml:space="preserve"> to 2030</w:t>
      </w:r>
      <w:r w:rsidRPr="00696170">
        <w:rPr>
          <w:lang w:eastAsia="en-AU"/>
        </w:rPr>
        <w:t xml:space="preserve">. The results of the projections reveal </w:t>
      </w:r>
      <w:r w:rsidR="00970590">
        <w:rPr>
          <w:lang w:eastAsia="en-AU"/>
        </w:rPr>
        <w:t>a slight oversupply</w:t>
      </w:r>
      <w:r w:rsidRPr="00696170">
        <w:rPr>
          <w:lang w:eastAsia="en-AU"/>
        </w:rPr>
        <w:t xml:space="preserve"> of </w:t>
      </w:r>
      <w:r w:rsidR="00970590">
        <w:rPr>
          <w:lang w:eastAsia="en-AU"/>
        </w:rPr>
        <w:t>O&amp;G</w:t>
      </w:r>
      <w:r w:rsidRPr="00696170">
        <w:rPr>
          <w:lang w:eastAsia="en-AU"/>
        </w:rPr>
        <w:t xml:space="preserve"> specialists throughout the entire projection period. </w:t>
      </w:r>
    </w:p>
    <w:p w:rsidR="003965A3" w:rsidRPr="00EC699E" w:rsidRDefault="003965A3" w:rsidP="00012887">
      <w:pPr>
        <w:pStyle w:val="Heading3"/>
      </w:pPr>
      <w:r w:rsidRPr="00EC699E">
        <w:t>Scenario 1: dynamic intake scenario</w:t>
      </w:r>
    </w:p>
    <w:p w:rsidR="003965A3" w:rsidRDefault="003965A3" w:rsidP="00B14EA1">
      <w:pPr>
        <w:numPr>
          <w:ilvl w:val="0"/>
          <w:numId w:val="48"/>
        </w:numPr>
        <w:autoSpaceDE w:val="0"/>
        <w:autoSpaceDN w:val="0"/>
        <w:adjustRightInd w:val="0"/>
        <w:spacing w:before="0" w:after="0"/>
        <w:jc w:val="left"/>
      </w:pPr>
      <w:r w:rsidRPr="00DB1D02">
        <w:t>This scenario uses the dynamic pipeline</w:t>
      </w:r>
      <w:r w:rsidR="00970590">
        <w:t xml:space="preserve"> and indicates that the workforce would be largely in balance throughout the projection period</w:t>
      </w:r>
      <w:r w:rsidR="00970590" w:rsidRPr="00A92FD3">
        <w:t>.</w:t>
      </w:r>
      <w:r w:rsidR="00970590">
        <w:t xml:space="preserve"> By 2030, the slight oversupply accumulates to </w:t>
      </w:r>
      <w:r w:rsidR="00970590" w:rsidRPr="00FC59C7">
        <w:t xml:space="preserve">approximately </w:t>
      </w:r>
      <w:r w:rsidR="00970590">
        <w:t xml:space="preserve">2.1 per cent of the required number of O&amp;G specialists. </w:t>
      </w:r>
    </w:p>
    <w:p w:rsidR="003965A3" w:rsidRPr="00EC699E" w:rsidRDefault="003965A3" w:rsidP="00012887">
      <w:pPr>
        <w:pStyle w:val="Heading3"/>
      </w:pPr>
      <w:r w:rsidRPr="00EC699E">
        <w:t xml:space="preserve">Scenario 2: </w:t>
      </w:r>
      <w:r w:rsidR="00970590">
        <w:t>Reduced migration scenario</w:t>
      </w:r>
    </w:p>
    <w:p w:rsidR="00EF617F" w:rsidRDefault="00A258E2" w:rsidP="00B14EA1">
      <w:pPr>
        <w:pStyle w:val="ListParagraph"/>
        <w:numPr>
          <w:ilvl w:val="0"/>
          <w:numId w:val="49"/>
        </w:numPr>
        <w:ind w:left="357" w:hanging="357"/>
        <w:contextualSpacing w:val="0"/>
        <w:rPr>
          <w:lang w:eastAsia="en-AU"/>
        </w:rPr>
      </w:pPr>
      <w:r>
        <w:rPr>
          <w:lang w:eastAsia="en-AU"/>
        </w:rPr>
        <w:t xml:space="preserve">Specialist International Medial Graduates </w:t>
      </w:r>
      <w:r w:rsidR="00EF617F">
        <w:rPr>
          <w:lang w:eastAsia="en-AU"/>
        </w:rPr>
        <w:t>(</w:t>
      </w:r>
      <w:r w:rsidR="009D3406">
        <w:rPr>
          <w:lang w:eastAsia="en-AU"/>
        </w:rPr>
        <w:t>SIMGs</w:t>
      </w:r>
      <w:r w:rsidR="00EF617F">
        <w:rPr>
          <w:lang w:eastAsia="en-AU"/>
        </w:rPr>
        <w:t>)</w:t>
      </w:r>
      <w:r w:rsidR="009D3406">
        <w:rPr>
          <w:lang w:eastAsia="en-AU"/>
        </w:rPr>
        <w:t xml:space="preserve"> are often recruited to fill service need</w:t>
      </w:r>
      <w:r w:rsidR="00511B65">
        <w:rPr>
          <w:lang w:eastAsia="en-AU"/>
        </w:rPr>
        <w:t>. However their qualifications are not sufficient for them to supervise and train RANZCOG registrars</w:t>
      </w:r>
      <w:r w:rsidR="009D3406">
        <w:rPr>
          <w:lang w:eastAsia="en-AU"/>
        </w:rPr>
        <w:t>. Thus their appointment reduces capacity to train domestic graduates.</w:t>
      </w:r>
    </w:p>
    <w:p w:rsidR="00EF617F" w:rsidRDefault="00EF617F" w:rsidP="00EF617F">
      <w:pPr>
        <w:pStyle w:val="ListParagraph"/>
        <w:numPr>
          <w:ilvl w:val="0"/>
          <w:numId w:val="49"/>
        </w:numPr>
        <w:ind w:left="357" w:hanging="357"/>
        <w:contextualSpacing w:val="0"/>
        <w:rPr>
          <w:lang w:eastAsia="en-AU"/>
        </w:rPr>
      </w:pPr>
      <w:r>
        <w:rPr>
          <w:lang w:eastAsia="en-AU"/>
        </w:rPr>
        <w:t xml:space="preserve">This scenario attempts to reduce the </w:t>
      </w:r>
      <w:r w:rsidR="00A258E2">
        <w:rPr>
          <w:lang w:eastAsia="en-AU"/>
        </w:rPr>
        <w:t>SIMGs entering</w:t>
      </w:r>
      <w:r>
        <w:rPr>
          <w:lang w:eastAsia="en-AU"/>
        </w:rPr>
        <w:t xml:space="preserve"> the O&amp;G workforce by 50 per cent by 2030.  </w:t>
      </w:r>
    </w:p>
    <w:p w:rsidR="00EF617F" w:rsidRDefault="00A258E2" w:rsidP="00B14EA1">
      <w:pPr>
        <w:pStyle w:val="ListParagraph"/>
        <w:numPr>
          <w:ilvl w:val="0"/>
          <w:numId w:val="49"/>
        </w:numPr>
        <w:ind w:left="357" w:hanging="357"/>
        <w:contextualSpacing w:val="0"/>
        <w:rPr>
          <w:lang w:eastAsia="en-AU"/>
        </w:rPr>
      </w:pPr>
      <w:r>
        <w:rPr>
          <w:lang w:eastAsia="en-AU"/>
        </w:rPr>
        <w:t xml:space="preserve">The results of this scenario; maintain a balanced workforce (within the </w:t>
      </w:r>
      <w:r>
        <w:rPr>
          <w:rFonts w:cs="Arial"/>
          <w:lang w:eastAsia="en-AU"/>
        </w:rPr>
        <w:t>±</w:t>
      </w:r>
      <w:r>
        <w:rPr>
          <w:lang w:eastAsia="en-AU"/>
        </w:rPr>
        <w:t>3 per cent range) showing a shortfall of 1.5 per cent in 2030.</w:t>
      </w:r>
    </w:p>
    <w:p w:rsidR="00340529" w:rsidRPr="00340529" w:rsidRDefault="00340529" w:rsidP="00DC1351">
      <w:pPr>
        <w:pStyle w:val="Heading2"/>
      </w:pPr>
      <w:bookmarkStart w:id="15" w:name="_Toc521510439"/>
      <w:bookmarkStart w:id="16" w:name="_Toc429581510"/>
      <w:bookmarkEnd w:id="4"/>
      <w:bookmarkEnd w:id="5"/>
      <w:r w:rsidRPr="003965A3">
        <w:t>Recommendations:</w:t>
      </w:r>
      <w:bookmarkEnd w:id="15"/>
      <w:r w:rsidRPr="00340529">
        <w:t xml:space="preserve"> </w:t>
      </w:r>
    </w:p>
    <w:p w:rsidR="004C1BA3" w:rsidRDefault="00A92CCA" w:rsidP="003117CE">
      <w:pPr>
        <w:pStyle w:val="ListParagraph"/>
        <w:numPr>
          <w:ilvl w:val="0"/>
          <w:numId w:val="23"/>
        </w:numPr>
        <w:tabs>
          <w:tab w:val="left" w:pos="4962"/>
        </w:tabs>
        <w:contextualSpacing w:val="0"/>
      </w:pPr>
      <w:bookmarkStart w:id="17" w:name="_Toc429581513"/>
      <w:bookmarkStart w:id="18" w:name="_Toc424637708"/>
      <w:bookmarkEnd w:id="1"/>
      <w:bookmarkEnd w:id="6"/>
      <w:bookmarkEnd w:id="7"/>
      <w:bookmarkEnd w:id="16"/>
      <w:r>
        <w:t>T</w:t>
      </w:r>
      <w:r w:rsidR="004C1BA3">
        <w:t>he supply and demand projection be closely monitored by NMTAN and updated every two years.</w:t>
      </w:r>
      <w:r w:rsidR="00520AD6">
        <w:t xml:space="preserve"> This could be done in conjunction with consideration of the impacts of changes in the delivery of maternity services and the midwifery and GP obstetrician workforce.</w:t>
      </w:r>
    </w:p>
    <w:p w:rsidR="004C1BA3" w:rsidRDefault="004C1BA3" w:rsidP="004C1BA3">
      <w:pPr>
        <w:pStyle w:val="ListParagraph"/>
        <w:numPr>
          <w:ilvl w:val="0"/>
          <w:numId w:val="23"/>
        </w:numPr>
        <w:tabs>
          <w:tab w:val="left" w:pos="4962"/>
        </w:tabs>
        <w:contextualSpacing w:val="0"/>
      </w:pPr>
      <w:r w:rsidRPr="00340529">
        <w:t>The College and the NMTAN continue to monitor the</w:t>
      </w:r>
      <w:r>
        <w:t xml:space="preserve"> training numbers</w:t>
      </w:r>
      <w:r w:rsidR="00A40B29">
        <w:t xml:space="preserve">, </w:t>
      </w:r>
      <w:r w:rsidRPr="00340529">
        <w:t>transition rate</w:t>
      </w:r>
      <w:r>
        <w:t>s</w:t>
      </w:r>
      <w:r w:rsidR="00511B65">
        <w:t xml:space="preserve"> and workforce distribution.</w:t>
      </w:r>
    </w:p>
    <w:p w:rsidR="004C1BA3" w:rsidRDefault="00F15785" w:rsidP="00F15785">
      <w:pPr>
        <w:pStyle w:val="ListParagraph"/>
        <w:numPr>
          <w:ilvl w:val="0"/>
          <w:numId w:val="23"/>
        </w:numPr>
        <w:tabs>
          <w:tab w:val="left" w:pos="4962"/>
        </w:tabs>
        <w:contextualSpacing w:val="0"/>
      </w:pPr>
      <w:r w:rsidRPr="00632718">
        <w:t>The Department of Health should work with the Department of Home Affairs to ensure that migration program supports the migration of skilled obstetricians and gynaecologists only into areas of workforce need and, in that context, review current arrangements to ensure that</w:t>
      </w:r>
      <w:r>
        <w:t xml:space="preserve"> Specialist I</w:t>
      </w:r>
      <w:r w:rsidRPr="00632718">
        <w:t xml:space="preserve">nternational </w:t>
      </w:r>
      <w:r>
        <w:t xml:space="preserve">Medical </w:t>
      </w:r>
      <w:r w:rsidRPr="00632718">
        <w:t>graduates recruited to work in particular areas are in fact practising in those locations during the period of their sponsorship</w:t>
      </w:r>
      <w:r w:rsidR="00A258E2">
        <w:t>.</w:t>
      </w:r>
      <w:r w:rsidR="004C1BA3">
        <w:t>.</w:t>
      </w:r>
    </w:p>
    <w:p w:rsidR="00851130" w:rsidRDefault="007A5513" w:rsidP="004C1BA3">
      <w:pPr>
        <w:pStyle w:val="ListParagraph"/>
        <w:numPr>
          <w:ilvl w:val="0"/>
          <w:numId w:val="23"/>
        </w:numPr>
        <w:tabs>
          <w:tab w:val="left" w:pos="4962"/>
        </w:tabs>
        <w:contextualSpacing w:val="0"/>
      </w:pPr>
      <w:r>
        <w:t>To address w</w:t>
      </w:r>
      <w:r w:rsidR="00C9636B">
        <w:t>orkforce distribution</w:t>
      </w:r>
      <w:r w:rsidR="004868FF">
        <w:t>,</w:t>
      </w:r>
      <w:r w:rsidR="00C9636B">
        <w:t xml:space="preserve"> </w:t>
      </w:r>
      <w:r>
        <w:t>a targeted program</w:t>
      </w:r>
      <w:r w:rsidR="00851130">
        <w:t xml:space="preserve"> such as the Provincial Integrated Training Program </w:t>
      </w:r>
      <w:r>
        <w:t xml:space="preserve">should be delivered supporting </w:t>
      </w:r>
      <w:r w:rsidR="00851130">
        <w:t xml:space="preserve">trainees to undertake their training in rural and regional areas. </w:t>
      </w:r>
    </w:p>
    <w:p w:rsidR="00A258E2" w:rsidRDefault="00106763" w:rsidP="00106763">
      <w:pPr>
        <w:pStyle w:val="ListParagraph"/>
        <w:numPr>
          <w:ilvl w:val="0"/>
          <w:numId w:val="23"/>
        </w:numPr>
        <w:tabs>
          <w:tab w:val="left" w:pos="4962"/>
        </w:tabs>
        <w:contextualSpacing w:val="0"/>
      </w:pPr>
      <w:r>
        <w:t>RANZCOG to facilitate the development of SIMGs with Fellowship to become supervisors on the training program</w:t>
      </w:r>
      <w:r w:rsidR="00A258E2">
        <w:t>.</w:t>
      </w:r>
    </w:p>
    <w:p w:rsidR="00F15785" w:rsidRDefault="00106763" w:rsidP="00F15785">
      <w:pPr>
        <w:pStyle w:val="ListParagraph"/>
        <w:numPr>
          <w:ilvl w:val="0"/>
          <w:numId w:val="23"/>
        </w:numPr>
        <w:tabs>
          <w:tab w:val="left" w:pos="4962"/>
        </w:tabs>
        <w:contextualSpacing w:val="0"/>
      </w:pPr>
      <w:r>
        <w:t xml:space="preserve">RANZCOG to consider how trends towards subspecialisation are affecting workforce distribution and set an expectation </w:t>
      </w:r>
      <w:proofErr w:type="gramStart"/>
      <w:r>
        <w:t xml:space="preserve">that new </w:t>
      </w:r>
      <w:r w:rsidR="00A258E2">
        <w:t>f</w:t>
      </w:r>
      <w:r>
        <w:t>ellows</w:t>
      </w:r>
      <w:proofErr w:type="gramEnd"/>
      <w:r>
        <w:t xml:space="preserve"> will practice the full scope of </w:t>
      </w:r>
      <w:r w:rsidR="00511B65">
        <w:t xml:space="preserve">O&amp;G </w:t>
      </w:r>
      <w:r>
        <w:t>practice as is needed in regional and rural area</w:t>
      </w:r>
      <w:r w:rsidR="00F15785">
        <w:t>s.</w:t>
      </w:r>
    </w:p>
    <w:p w:rsidR="00B02BF3" w:rsidRDefault="00A258E2" w:rsidP="00F15785">
      <w:pPr>
        <w:pStyle w:val="ListParagraph"/>
        <w:tabs>
          <w:tab w:val="left" w:pos="4962"/>
        </w:tabs>
        <w:ind w:left="6"/>
        <w:contextualSpacing w:val="0"/>
        <w:jc w:val="left"/>
        <w:sectPr w:rsidR="00B02BF3" w:rsidSect="00B02BF3">
          <w:type w:val="continuous"/>
          <w:pgSz w:w="11906" w:h="16838"/>
          <w:pgMar w:top="1440" w:right="1440" w:bottom="1440" w:left="1440" w:header="709" w:footer="709" w:gutter="0"/>
          <w:pgNumType w:start="1"/>
          <w:cols w:space="0"/>
          <w:titlePg/>
          <w:docGrid w:linePitch="360"/>
        </w:sectPr>
      </w:pPr>
      <w:r>
        <w:t>.</w:t>
      </w:r>
    </w:p>
    <w:p w:rsidR="00C84E66" w:rsidRPr="00B30D1E" w:rsidRDefault="00C84E66" w:rsidP="00A258E2">
      <w:pPr>
        <w:pStyle w:val="ListParagraph"/>
        <w:numPr>
          <w:ilvl w:val="0"/>
          <w:numId w:val="23"/>
        </w:numPr>
        <w:tabs>
          <w:tab w:val="left" w:pos="4962"/>
        </w:tabs>
        <w:contextualSpacing w:val="0"/>
      </w:pPr>
      <w:r w:rsidRPr="00B30D1E">
        <w:lastRenderedPageBreak/>
        <w:br w:type="page"/>
      </w:r>
    </w:p>
    <w:bookmarkEnd w:id="17"/>
    <w:bookmarkEnd w:id="18"/>
    <w:p w:rsidR="00B02BF3" w:rsidRDefault="00B02BF3" w:rsidP="00426E94">
      <w:pPr>
        <w:pStyle w:val="Heading1"/>
        <w:rPr>
          <w:lang w:eastAsia="en-AU"/>
        </w:rPr>
        <w:sectPr w:rsidR="00B02BF3" w:rsidSect="00B02BF3">
          <w:type w:val="continuous"/>
          <w:pgSz w:w="11906" w:h="16838"/>
          <w:pgMar w:top="1440" w:right="1440" w:bottom="1440" w:left="1440" w:header="709" w:footer="709" w:gutter="0"/>
          <w:pgNumType w:start="1"/>
          <w:cols w:num="2" w:space="0"/>
          <w:titlePg/>
          <w:docGrid w:linePitch="360"/>
        </w:sectPr>
      </w:pPr>
    </w:p>
    <w:p w:rsidR="000C2D08" w:rsidRPr="00BD63C5" w:rsidRDefault="00AE0228" w:rsidP="00426E94">
      <w:pPr>
        <w:pStyle w:val="Heading1"/>
        <w:rPr>
          <w:sz w:val="24"/>
        </w:rPr>
      </w:pPr>
      <w:bookmarkStart w:id="19" w:name="_Toc521510440"/>
      <w:r w:rsidRPr="00380E28">
        <w:rPr>
          <w:lang w:eastAsia="en-AU"/>
        </w:rPr>
        <w:lastRenderedPageBreak/>
        <w:t>Introduction</w:t>
      </w:r>
      <w:bookmarkEnd w:id="19"/>
    </w:p>
    <w:p w:rsidR="00862C58" w:rsidRPr="00824DB2" w:rsidRDefault="00194806" w:rsidP="00862C58">
      <w:r w:rsidRPr="001D4619">
        <w:rPr>
          <w:szCs w:val="22"/>
        </w:rPr>
        <w:t>The RANZCOG</w:t>
      </w:r>
      <w:r>
        <w:rPr>
          <w:szCs w:val="22"/>
        </w:rPr>
        <w:t xml:space="preserve"> provide the training in </w:t>
      </w:r>
      <w:r w:rsidR="00856167">
        <w:t>O&amp;G</w:t>
      </w:r>
      <w:r>
        <w:t xml:space="preserve"> specialties. O&amp;G</w:t>
      </w:r>
      <w:r w:rsidR="00862C58" w:rsidRPr="00824DB2">
        <w:t xml:space="preserve"> are specialist branches of medicine and although they are each concerned with separate aspects of the health care of women, they are usually merged into the one service.</w:t>
      </w:r>
      <w:r>
        <w:t xml:space="preserve"> </w:t>
      </w:r>
    </w:p>
    <w:p w:rsidR="00862C58" w:rsidRPr="00824DB2" w:rsidRDefault="00862C58" w:rsidP="00862C58">
      <w:r w:rsidRPr="00824DB2">
        <w:t>Obstetricians provide medical care before, during and after childbirth. Gynaecologists diagnose, treat and aid in the prevention of disorders of the female reproductive system.</w:t>
      </w:r>
    </w:p>
    <w:p w:rsidR="00862C58" w:rsidRPr="00824DB2" w:rsidRDefault="00862C58" w:rsidP="00862C58">
      <w:r w:rsidRPr="00824DB2">
        <w:t>Obstetricians and gynaecologists perform the following tasks:</w:t>
      </w:r>
    </w:p>
    <w:p w:rsidR="00862C58" w:rsidRPr="00824DB2" w:rsidRDefault="00862C58" w:rsidP="00D17D24">
      <w:pPr>
        <w:pStyle w:val="ListParagraph"/>
        <w:numPr>
          <w:ilvl w:val="0"/>
          <w:numId w:val="9"/>
        </w:numPr>
      </w:pPr>
      <w:r w:rsidRPr="00824DB2">
        <w:t>carry out gynaecological examinations, diagnosis and operations on women referred to them by general practitioners, discuss contraceptive methods with their patients and prescribe suitable contraception;</w:t>
      </w:r>
    </w:p>
    <w:p w:rsidR="00862C58" w:rsidRPr="00824DB2" w:rsidRDefault="00862C58" w:rsidP="00D17D24">
      <w:pPr>
        <w:pStyle w:val="ListParagraph"/>
        <w:numPr>
          <w:ilvl w:val="0"/>
          <w:numId w:val="9"/>
        </w:numPr>
      </w:pPr>
      <w:r w:rsidRPr="00824DB2">
        <w:t>examine pregnant women throughout their pregnancies to ensure that they are progressing well and that good health is maintained, and advise and treat pregnant women for special health conditions brought about by their pregnancy;</w:t>
      </w:r>
    </w:p>
    <w:p w:rsidR="00862C58" w:rsidRPr="00824DB2" w:rsidRDefault="00862C58" w:rsidP="00D17D24">
      <w:pPr>
        <w:pStyle w:val="ListParagraph"/>
        <w:numPr>
          <w:ilvl w:val="0"/>
          <w:numId w:val="9"/>
        </w:numPr>
      </w:pPr>
      <w:r w:rsidRPr="00824DB2">
        <w:t>deliver babies through normal procedures or by caesarean section;</w:t>
      </w:r>
    </w:p>
    <w:p w:rsidR="00862C58" w:rsidRPr="00824DB2" w:rsidRDefault="00862C58" w:rsidP="00D17D24">
      <w:pPr>
        <w:pStyle w:val="ListParagraph"/>
        <w:numPr>
          <w:ilvl w:val="0"/>
          <w:numId w:val="9"/>
        </w:numPr>
      </w:pPr>
      <w:r w:rsidRPr="00824DB2">
        <w:t>examine mothers and babies after childbirth to ensure there are no complications or, if there are, refer them to other specialists, such as to paediatricians (children's doctors); and</w:t>
      </w:r>
    </w:p>
    <w:p w:rsidR="00862C58" w:rsidRPr="00824DB2" w:rsidRDefault="00862C58" w:rsidP="00D17D24">
      <w:pPr>
        <w:pStyle w:val="ListParagraph"/>
        <w:numPr>
          <w:ilvl w:val="0"/>
          <w:numId w:val="9"/>
        </w:numPr>
      </w:pPr>
      <w:proofErr w:type="gramStart"/>
      <w:r w:rsidRPr="00824DB2">
        <w:t>treat</w:t>
      </w:r>
      <w:proofErr w:type="gramEnd"/>
      <w:r w:rsidRPr="00824DB2">
        <w:t xml:space="preserve"> infertility by chemical or operative measures</w:t>
      </w:r>
      <w:r w:rsidRPr="00824DB2">
        <w:rPr>
          <w:vertAlign w:val="superscript"/>
        </w:rPr>
        <w:footnoteReference w:id="1"/>
      </w:r>
      <w:r w:rsidRPr="00824DB2">
        <w:t>.</w:t>
      </w:r>
    </w:p>
    <w:p w:rsidR="004938CD" w:rsidRDefault="007058F5" w:rsidP="004938CD">
      <w:pPr>
        <w:jc w:val="left"/>
        <w:rPr>
          <w:b/>
          <w:color w:val="FFFFFF" w:themeColor="background1"/>
          <w:szCs w:val="22"/>
        </w:rPr>
      </w:pPr>
      <w:r>
        <w:rPr>
          <w:szCs w:val="22"/>
        </w:rPr>
        <w:t xml:space="preserve">Obstetrics and gynaecology </w:t>
      </w:r>
      <w:r w:rsidR="0095133B">
        <w:rPr>
          <w:szCs w:val="22"/>
        </w:rPr>
        <w:t>comprises</w:t>
      </w:r>
      <w:r w:rsidR="004220DE">
        <w:rPr>
          <w:szCs w:val="22"/>
        </w:rPr>
        <w:t>:</w:t>
      </w:r>
    </w:p>
    <w:p w:rsidR="00561EB0" w:rsidRPr="00867316" w:rsidRDefault="00561EB0" w:rsidP="0086731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1F497D" w:themeFill="text2"/>
        <w:rPr>
          <w:b/>
          <w:color w:val="FFFFFF" w:themeColor="background1"/>
          <w:szCs w:val="22"/>
        </w:rPr>
      </w:pPr>
      <w:r w:rsidRPr="00867316">
        <w:rPr>
          <w:b/>
          <w:color w:val="FFFFFF" w:themeColor="background1"/>
          <w:szCs w:val="22"/>
        </w:rPr>
        <w:t>One specialty</w:t>
      </w:r>
    </w:p>
    <w:p w:rsidR="004938CD" w:rsidRPr="004938CD" w:rsidRDefault="00561EB0" w:rsidP="004938CD">
      <w:pPr>
        <w:numPr>
          <w:ilvl w:val="0"/>
          <w:numId w:val="13"/>
        </w:numPr>
        <w:spacing w:before="0" w:after="240"/>
        <w:ind w:left="357" w:hanging="357"/>
        <w:jc w:val="left"/>
        <w:rPr>
          <w:sz w:val="20"/>
          <w:szCs w:val="22"/>
        </w:rPr>
      </w:pPr>
      <w:r w:rsidRPr="0095133B">
        <w:rPr>
          <w:sz w:val="20"/>
          <w:szCs w:val="22"/>
        </w:rPr>
        <w:t>Specialist obstetrician and gynaecologist (O&amp;G)</w:t>
      </w:r>
    </w:p>
    <w:p w:rsidR="00561EB0" w:rsidRPr="00867316" w:rsidRDefault="00561EB0" w:rsidP="0086731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1F497D" w:themeFill="text2"/>
        <w:rPr>
          <w:b/>
        </w:rPr>
      </w:pPr>
      <w:r w:rsidRPr="00867316">
        <w:rPr>
          <w:b/>
          <w:color w:val="FFFFFF" w:themeColor="background1"/>
        </w:rPr>
        <w:t>Five sub-specialties</w:t>
      </w:r>
    </w:p>
    <w:p w:rsidR="00561EB0" w:rsidRDefault="00561EB0" w:rsidP="00B02BF3">
      <w:pPr>
        <w:pStyle w:val="ListParagraph"/>
        <w:numPr>
          <w:ilvl w:val="0"/>
          <w:numId w:val="71"/>
        </w:numPr>
        <w:jc w:val="left"/>
        <w:rPr>
          <w:color w:val="000000" w:themeColor="text1"/>
          <w:szCs w:val="22"/>
        </w:rPr>
      </w:pPr>
      <w:r w:rsidRPr="00561EB0">
        <w:rPr>
          <w:color w:val="000000" w:themeColor="text1"/>
          <w:szCs w:val="22"/>
        </w:rPr>
        <w:t>Gynaecological oncology (GO)</w:t>
      </w:r>
    </w:p>
    <w:p w:rsidR="00561EB0" w:rsidRDefault="00561EB0" w:rsidP="00B02BF3">
      <w:pPr>
        <w:pStyle w:val="ListParagraph"/>
        <w:numPr>
          <w:ilvl w:val="0"/>
          <w:numId w:val="71"/>
        </w:numPr>
        <w:jc w:val="left"/>
        <w:rPr>
          <w:color w:val="000000" w:themeColor="text1"/>
          <w:szCs w:val="22"/>
        </w:rPr>
      </w:pPr>
      <w:r w:rsidRPr="00561EB0">
        <w:rPr>
          <w:color w:val="000000" w:themeColor="text1"/>
          <w:szCs w:val="22"/>
        </w:rPr>
        <w:t>Maternal-fetal medicine (MFM)</w:t>
      </w:r>
    </w:p>
    <w:p w:rsidR="00561EB0" w:rsidRDefault="00561EB0" w:rsidP="00B02BF3">
      <w:pPr>
        <w:pStyle w:val="ListParagraph"/>
        <w:numPr>
          <w:ilvl w:val="0"/>
          <w:numId w:val="71"/>
        </w:numPr>
        <w:jc w:val="left"/>
        <w:rPr>
          <w:color w:val="000000" w:themeColor="text1"/>
          <w:szCs w:val="22"/>
        </w:rPr>
      </w:pPr>
      <w:r w:rsidRPr="00561EB0">
        <w:rPr>
          <w:color w:val="000000" w:themeColor="text1"/>
          <w:szCs w:val="22"/>
        </w:rPr>
        <w:t>Obstetrics and gynaecological ultrasound (OGU)</w:t>
      </w:r>
    </w:p>
    <w:p w:rsidR="00561EB0" w:rsidRDefault="00561EB0" w:rsidP="00B02BF3">
      <w:pPr>
        <w:pStyle w:val="ListParagraph"/>
        <w:numPr>
          <w:ilvl w:val="0"/>
          <w:numId w:val="71"/>
        </w:numPr>
        <w:jc w:val="left"/>
        <w:rPr>
          <w:color w:val="000000" w:themeColor="text1"/>
          <w:szCs w:val="22"/>
        </w:rPr>
      </w:pPr>
      <w:r w:rsidRPr="00561EB0">
        <w:rPr>
          <w:color w:val="000000" w:themeColor="text1"/>
          <w:szCs w:val="22"/>
        </w:rPr>
        <w:t>Reproductive endocrinology and infertility (REI)</w:t>
      </w:r>
    </w:p>
    <w:p w:rsidR="004938CD" w:rsidRPr="004938CD" w:rsidRDefault="00561EB0" w:rsidP="004938CD">
      <w:pPr>
        <w:pStyle w:val="ListParagraph"/>
        <w:numPr>
          <w:ilvl w:val="0"/>
          <w:numId w:val="71"/>
        </w:numPr>
        <w:spacing w:after="240"/>
        <w:ind w:left="357" w:hanging="357"/>
        <w:jc w:val="left"/>
        <w:rPr>
          <w:szCs w:val="22"/>
        </w:rPr>
      </w:pPr>
      <w:proofErr w:type="spellStart"/>
      <w:r w:rsidRPr="004938CD">
        <w:rPr>
          <w:color w:val="000000" w:themeColor="text1"/>
          <w:szCs w:val="22"/>
        </w:rPr>
        <w:t>Urogynaecology</w:t>
      </w:r>
      <w:proofErr w:type="spellEnd"/>
      <w:r w:rsidRPr="004938CD">
        <w:rPr>
          <w:color w:val="000000" w:themeColor="text1"/>
          <w:szCs w:val="22"/>
        </w:rPr>
        <w:t xml:space="preserve"> (UG)</w:t>
      </w:r>
    </w:p>
    <w:p w:rsidR="00862C58" w:rsidRPr="004938CD" w:rsidRDefault="0020308B" w:rsidP="004938CD">
      <w:pPr>
        <w:spacing w:after="0"/>
        <w:jc w:val="left"/>
        <w:rPr>
          <w:szCs w:val="22"/>
        </w:rPr>
      </w:pPr>
      <w:r>
        <w:t>S</w:t>
      </w:r>
      <w:r w:rsidR="00862C58">
        <w:t xml:space="preserve">ubspecialists are </w:t>
      </w:r>
      <w:r w:rsidR="00862C58" w:rsidRPr="000F5F9D">
        <w:t xml:space="preserve">specialist </w:t>
      </w:r>
      <w:r w:rsidR="004A5639">
        <w:t>O&amp;G</w:t>
      </w:r>
      <w:r w:rsidR="001D4619">
        <w:t>s</w:t>
      </w:r>
      <w:r w:rsidR="00862C58" w:rsidRPr="000F5F9D">
        <w:t xml:space="preserve"> </w:t>
      </w:r>
      <w:r>
        <w:t>(</w:t>
      </w:r>
      <w:r w:rsidR="00862C58" w:rsidRPr="001D4619">
        <w:t>FRANZCOG</w:t>
      </w:r>
      <w:r>
        <w:t>)</w:t>
      </w:r>
      <w:r w:rsidR="00061673">
        <w:t xml:space="preserve"> who</w:t>
      </w:r>
      <w:r w:rsidR="00862C58" w:rsidRPr="001D4619">
        <w:t xml:space="preserve"> successfully completed an additional prescribed program of training in the subspecialty area. </w:t>
      </w:r>
    </w:p>
    <w:p w:rsidR="00CB4F35" w:rsidRDefault="004A5639" w:rsidP="004A5639">
      <w:r>
        <w:t>O&amp;G</w:t>
      </w:r>
      <w:r w:rsidR="00642B5E" w:rsidRPr="00AE71AD">
        <w:t xml:space="preserve"> </w:t>
      </w:r>
      <w:r w:rsidR="00A202DF" w:rsidRPr="00AE71AD">
        <w:t xml:space="preserve">was selected as a </w:t>
      </w:r>
      <w:r w:rsidR="00502E54" w:rsidRPr="00AE71AD">
        <w:t>medical specialty to be considered</w:t>
      </w:r>
      <w:r w:rsidR="00A202DF" w:rsidRPr="00AE71AD">
        <w:t xml:space="preserve"> in the first segment </w:t>
      </w:r>
      <w:r w:rsidR="00A202DF" w:rsidRPr="00E833E8">
        <w:t xml:space="preserve">of analysis </w:t>
      </w:r>
      <w:r w:rsidR="00502E54" w:rsidRPr="00E833E8">
        <w:t>by the NMTAN largely due to concerns identified in HW 2025 Volume 3</w:t>
      </w:r>
      <w:r w:rsidR="006C1FDF">
        <w:t xml:space="preserve"> (HW 2025 v</w:t>
      </w:r>
      <w:r w:rsidR="001C50D6">
        <w:t>ol</w:t>
      </w:r>
      <w:r w:rsidR="006C1FDF">
        <w:t>.</w:t>
      </w:r>
      <w:r w:rsidR="001C50D6">
        <w:t xml:space="preserve"> 3)</w:t>
      </w:r>
      <w:r w:rsidR="004676F6" w:rsidRPr="00E833E8">
        <w:t xml:space="preserve">. </w:t>
      </w:r>
    </w:p>
    <w:p w:rsidR="000524D0" w:rsidRPr="00E833E8" w:rsidRDefault="000524D0" w:rsidP="00E833E8">
      <w:r w:rsidRPr="00E833E8">
        <w:t>Stakeholder</w:t>
      </w:r>
      <w:r w:rsidR="004868FF">
        <w:t>s</w:t>
      </w:r>
      <w:r w:rsidRPr="00E833E8">
        <w:t xml:space="preserve"> agreed that:</w:t>
      </w:r>
    </w:p>
    <w:p w:rsidR="00CB4F35" w:rsidRPr="00CB4F35" w:rsidRDefault="001C50D6" w:rsidP="00D17D24">
      <w:pPr>
        <w:pStyle w:val="ListParagraph"/>
        <w:numPr>
          <w:ilvl w:val="0"/>
          <w:numId w:val="8"/>
        </w:numPr>
        <w:autoSpaceDE w:val="0"/>
        <w:autoSpaceDN w:val="0"/>
        <w:adjustRightInd w:val="0"/>
        <w:spacing w:before="0" w:after="0"/>
      </w:pPr>
      <w:r>
        <w:t>Increasing sub-</w:t>
      </w:r>
      <w:r w:rsidR="00CB4F35" w:rsidRPr="00CB4F35">
        <w:t>specialisation within the O&amp;G specialty is an issue. Although it is a general training program, sub-specialisation is occurring in areas</w:t>
      </w:r>
      <w:r>
        <w:t xml:space="preserve"> such as IVF, gynaecology and fo</w:t>
      </w:r>
      <w:r w:rsidR="00CB4F35" w:rsidRPr="00CB4F35">
        <w:t>etal medicine. This has implications for affordability, distribution and service provision in the</w:t>
      </w:r>
      <w:r w:rsidR="00CB4F35">
        <w:t xml:space="preserve"> </w:t>
      </w:r>
      <w:r w:rsidR="00CB4F35" w:rsidRPr="00CB4F35">
        <w:t>public sector.</w:t>
      </w:r>
    </w:p>
    <w:p w:rsidR="00BB1A8B" w:rsidRPr="00E833E8" w:rsidRDefault="00CB4F35" w:rsidP="00E833E8">
      <w:r>
        <w:t>RANZCOG</w:t>
      </w:r>
      <w:r w:rsidR="00BB1A8B" w:rsidRPr="00E833E8">
        <w:t xml:space="preserve"> provided a range of considerations that may impact supply or demand: </w:t>
      </w:r>
    </w:p>
    <w:p w:rsidR="00CB4F35" w:rsidRPr="00CB4F35" w:rsidRDefault="00CB4F35" w:rsidP="00D17D24">
      <w:pPr>
        <w:pStyle w:val="ListParagraph"/>
        <w:numPr>
          <w:ilvl w:val="0"/>
          <w:numId w:val="8"/>
        </w:numPr>
        <w:autoSpaceDE w:val="0"/>
        <w:autoSpaceDN w:val="0"/>
        <w:adjustRightInd w:val="0"/>
        <w:spacing w:before="0" w:after="0"/>
      </w:pPr>
      <w:r w:rsidRPr="00CB4F35">
        <w:t xml:space="preserve">training capacity limitations, in particular limited availability to train in the private sector, the lack of continuity for funded training posts in regional areas, and the high number of SIMGs </w:t>
      </w:r>
      <w:r w:rsidR="00511B65" w:rsidRPr="00CB4F35">
        <w:t>un</w:t>
      </w:r>
      <w:r w:rsidR="00511B65">
        <w:t>accredited</w:t>
      </w:r>
      <w:r w:rsidR="00511B65" w:rsidRPr="00CB4F35">
        <w:t xml:space="preserve"> </w:t>
      </w:r>
      <w:r w:rsidRPr="00CB4F35">
        <w:t xml:space="preserve">to supervise trainees; </w:t>
      </w:r>
    </w:p>
    <w:p w:rsidR="00CB4F35" w:rsidRDefault="00CB4F35" w:rsidP="00D17D24">
      <w:pPr>
        <w:pStyle w:val="ListParagraph"/>
        <w:numPr>
          <w:ilvl w:val="0"/>
          <w:numId w:val="8"/>
        </w:numPr>
        <w:autoSpaceDE w:val="0"/>
        <w:autoSpaceDN w:val="0"/>
        <w:adjustRightInd w:val="0"/>
        <w:spacing w:before="0" w:after="0"/>
      </w:pPr>
      <w:r w:rsidRPr="00CB4F35">
        <w:lastRenderedPageBreak/>
        <w:t>increasing female workforce participation and the potential continued fall in average hours</w:t>
      </w:r>
      <w:r>
        <w:t xml:space="preserve"> </w:t>
      </w:r>
      <w:r w:rsidRPr="00CB4F35">
        <w:t>worked</w:t>
      </w:r>
      <w:r w:rsidR="004868FF">
        <w:t>;</w:t>
      </w:r>
    </w:p>
    <w:p w:rsidR="00CB4F35" w:rsidRPr="00CB4F35" w:rsidRDefault="00CB4F35" w:rsidP="00D17D24">
      <w:pPr>
        <w:pStyle w:val="ListParagraph"/>
        <w:numPr>
          <w:ilvl w:val="0"/>
          <w:numId w:val="8"/>
        </w:numPr>
        <w:autoSpaceDE w:val="0"/>
        <w:autoSpaceDN w:val="0"/>
        <w:adjustRightInd w:val="0"/>
        <w:spacing w:before="0" w:after="0"/>
      </w:pPr>
      <w:proofErr w:type="gramStart"/>
      <w:r w:rsidRPr="00CB4F35">
        <w:t>models</w:t>
      </w:r>
      <w:proofErr w:type="gramEnd"/>
      <w:r w:rsidRPr="00CB4F35">
        <w:t xml:space="preserve"> of care would directly impact future demand for O&amp;G services. Cited was the recent development of Medicare funded midwifery services. While at the time there was minimal impact on O&amp;G service provision due to the </w:t>
      </w:r>
      <w:proofErr w:type="spellStart"/>
      <w:r w:rsidRPr="00CB4F35">
        <w:t>recency</w:t>
      </w:r>
      <w:proofErr w:type="spellEnd"/>
      <w:r w:rsidRPr="00CB4F35">
        <w:t xml:space="preserve"> of this change, </w:t>
      </w:r>
      <w:r>
        <w:t>the</w:t>
      </w:r>
      <w:r w:rsidRPr="00CB4F35">
        <w:t xml:space="preserve"> influence </w:t>
      </w:r>
      <w:r>
        <w:t>on</w:t>
      </w:r>
      <w:r w:rsidRPr="00CB4F35">
        <w:t xml:space="preserve"> demand for O&amp;G services</w:t>
      </w:r>
      <w:r>
        <w:t xml:space="preserve"> may now be observable</w:t>
      </w:r>
      <w:r w:rsidR="004868FF">
        <w:t>;</w:t>
      </w:r>
    </w:p>
    <w:p w:rsidR="00CB4F35" w:rsidRPr="00CB4F35" w:rsidRDefault="00D82712" w:rsidP="00D17D24">
      <w:pPr>
        <w:pStyle w:val="ListParagraph"/>
        <w:numPr>
          <w:ilvl w:val="0"/>
          <w:numId w:val="8"/>
        </w:numPr>
        <w:autoSpaceDE w:val="0"/>
        <w:autoSpaceDN w:val="0"/>
        <w:adjustRightInd w:val="0"/>
        <w:spacing w:before="0" w:after="0"/>
      </w:pPr>
      <w:proofErr w:type="gramStart"/>
      <w:r>
        <w:t>s</w:t>
      </w:r>
      <w:r w:rsidR="00CB4F35" w:rsidRPr="00CB4F35">
        <w:t>ignificant</w:t>
      </w:r>
      <w:proofErr w:type="gramEnd"/>
      <w:r w:rsidR="00CB4F35" w:rsidRPr="00CB4F35">
        <w:t xml:space="preserve"> issues with the geographic distribution of the O&amp;G workforce. Financial barriers were highlighted as a contributing factor to geographic maldistribution, including:</w:t>
      </w:r>
    </w:p>
    <w:p w:rsidR="00CB4F35" w:rsidRDefault="00CB4F35" w:rsidP="00D17D24">
      <w:pPr>
        <w:pStyle w:val="ListParagraph"/>
        <w:numPr>
          <w:ilvl w:val="1"/>
          <w:numId w:val="8"/>
        </w:numPr>
        <w:autoSpaceDE w:val="0"/>
        <w:autoSpaceDN w:val="0"/>
        <w:adjustRightInd w:val="0"/>
        <w:spacing w:before="0" w:after="0"/>
      </w:pPr>
      <w:r w:rsidRPr="00CB4F35">
        <w:t>the financial disparity between region</w:t>
      </w:r>
      <w:r>
        <w:t>al and urban obstetric practice</w:t>
      </w:r>
      <w:r w:rsidR="004868FF">
        <w:t>;</w:t>
      </w:r>
    </w:p>
    <w:p w:rsidR="00CB4F35" w:rsidRPr="00CB4F35" w:rsidRDefault="00CB4F35" w:rsidP="00D17D24">
      <w:pPr>
        <w:pStyle w:val="ListParagraph"/>
        <w:numPr>
          <w:ilvl w:val="1"/>
          <w:numId w:val="8"/>
        </w:numPr>
        <w:autoSpaceDE w:val="0"/>
        <w:autoSpaceDN w:val="0"/>
        <w:adjustRightInd w:val="0"/>
        <w:spacing w:before="0" w:after="0"/>
      </w:pPr>
      <w:r w:rsidRPr="00CB4F35">
        <w:t>indemnity issu</w:t>
      </w:r>
      <w:r>
        <w:t>es in relation to locum schemes</w:t>
      </w:r>
      <w:r w:rsidR="004868FF">
        <w:t>;</w:t>
      </w:r>
    </w:p>
    <w:p w:rsidR="00CB4F35" w:rsidRPr="00CB4F35" w:rsidRDefault="00CB4F35" w:rsidP="00D17D24">
      <w:pPr>
        <w:pStyle w:val="ListParagraph"/>
        <w:numPr>
          <w:ilvl w:val="1"/>
          <w:numId w:val="8"/>
        </w:numPr>
        <w:autoSpaceDE w:val="0"/>
        <w:autoSpaceDN w:val="0"/>
        <w:adjustRightInd w:val="0"/>
        <w:spacing w:before="0" w:after="0"/>
      </w:pPr>
      <w:proofErr w:type="gramStart"/>
      <w:r w:rsidRPr="00CB4F35">
        <w:t>the</w:t>
      </w:r>
      <w:proofErr w:type="gramEnd"/>
      <w:r w:rsidRPr="00CB4F35">
        <w:t xml:space="preserve"> lack of rural incentive payments for specialist practitioners.</w:t>
      </w:r>
    </w:p>
    <w:p w:rsidR="0095133B" w:rsidRPr="004938CD" w:rsidRDefault="00D82712" w:rsidP="004938CD">
      <w:pPr>
        <w:pStyle w:val="ListParagraph"/>
        <w:numPr>
          <w:ilvl w:val="0"/>
          <w:numId w:val="8"/>
        </w:numPr>
        <w:autoSpaceDE w:val="0"/>
        <w:autoSpaceDN w:val="0"/>
        <w:adjustRightInd w:val="0"/>
        <w:spacing w:before="0"/>
        <w:ind w:left="357" w:hanging="357"/>
      </w:pPr>
      <w:r>
        <w:t>t</w:t>
      </w:r>
      <w:r w:rsidR="00CB4F35" w:rsidRPr="00CB4F35">
        <w:t>he development of rural pat</w:t>
      </w:r>
      <w:r w:rsidR="007A5513">
        <w:t xml:space="preserve">hways have the potential to </w:t>
      </w:r>
      <w:r w:rsidR="009313F0">
        <w:t xml:space="preserve">improve the numbers of </w:t>
      </w:r>
      <w:r w:rsidR="00CB4F35" w:rsidRPr="00CB4F35">
        <w:t>G</w:t>
      </w:r>
      <w:r w:rsidR="007A5513">
        <w:t xml:space="preserve">P obstetricians, </w:t>
      </w:r>
      <w:r w:rsidR="009313F0">
        <w:t xml:space="preserve">the </w:t>
      </w:r>
      <w:r w:rsidR="001B0C30">
        <w:t>D</w:t>
      </w:r>
      <w:r w:rsidR="009313F0">
        <w:t>iploma</w:t>
      </w:r>
      <w:r w:rsidR="001B0C30">
        <w:t xml:space="preserve"> Advanced</w:t>
      </w:r>
      <w:r w:rsidR="009313F0">
        <w:t xml:space="preserve"> (DRANZCOG) </w:t>
      </w:r>
      <w:r w:rsidR="007A5513">
        <w:t>improved access to obstetric and anaesthetic services for women living in rural and remote communities</w:t>
      </w:r>
      <w:r w:rsidR="00194806">
        <w:t>.</w:t>
      </w:r>
      <w:r w:rsidR="001B0C30">
        <w:t xml:space="preserve"> </w:t>
      </w:r>
      <w:r w:rsidR="007155E0">
        <w:t xml:space="preserve">For further information of Advanced GP Diploma please refer to the GP practising in obstetrics services section on page </w:t>
      </w:r>
      <w:r w:rsidR="004868FF">
        <w:t>22</w:t>
      </w:r>
      <w:r w:rsidR="007155E0">
        <w:t>.</w:t>
      </w:r>
    </w:p>
    <w:p w:rsidR="007A5513" w:rsidRPr="008F2488" w:rsidRDefault="00745510" w:rsidP="008F2488">
      <w:pPr>
        <w:autoSpaceDE w:val="0"/>
        <w:autoSpaceDN w:val="0"/>
        <w:adjustRightInd w:val="0"/>
        <w:spacing w:before="0" w:after="0"/>
        <w:jc w:val="left"/>
      </w:pPr>
      <w:r w:rsidRPr="008F2488">
        <w:t>A summary of the approved modelling inputs can be found in Appendix 1</w:t>
      </w:r>
      <w:r w:rsidR="00206AFC">
        <w:t xml:space="preserve"> and 2</w:t>
      </w:r>
      <w:r w:rsidRPr="008F2488">
        <w:t>.</w:t>
      </w:r>
    </w:p>
    <w:p w:rsidR="000C2D08" w:rsidRDefault="00741345" w:rsidP="00426E94">
      <w:pPr>
        <w:pStyle w:val="Heading1"/>
        <w:rPr>
          <w:lang w:eastAsia="en-AU"/>
        </w:rPr>
      </w:pPr>
      <w:bookmarkStart w:id="20" w:name="_Toc521510441"/>
      <w:r w:rsidRPr="00380E28">
        <w:rPr>
          <w:lang w:eastAsia="en-AU"/>
        </w:rPr>
        <w:t xml:space="preserve">Current workforce </w:t>
      </w:r>
      <w:r w:rsidR="00655CF0">
        <w:rPr>
          <w:lang w:eastAsia="en-AU"/>
        </w:rPr>
        <w:t>status</w:t>
      </w:r>
      <w:bookmarkEnd w:id="20"/>
    </w:p>
    <w:p w:rsidR="00D6085E" w:rsidRPr="00732E85" w:rsidRDefault="00D6085E" w:rsidP="00D6085E">
      <w:r w:rsidRPr="000F5F9D">
        <w:t>The</w:t>
      </w:r>
      <w:r w:rsidR="00C81D02">
        <w:t xml:space="preserve"> following</w:t>
      </w:r>
      <w:r w:rsidR="00C81D02" w:rsidRPr="000F5F9D">
        <w:t xml:space="preserve"> </w:t>
      </w:r>
      <w:r w:rsidR="0094712C">
        <w:t>profiles of the workforce</w:t>
      </w:r>
      <w:r w:rsidRPr="000F5F9D">
        <w:t xml:space="preserve"> detail all </w:t>
      </w:r>
      <w:r w:rsidR="001D4619" w:rsidRPr="000F5F9D">
        <w:t>obstetrics</w:t>
      </w:r>
      <w:r w:rsidRPr="000F5F9D">
        <w:t xml:space="preserve"> and gynaecology specialists as a whole (O&amp;G)</w:t>
      </w:r>
      <w:r w:rsidR="00BE2013">
        <w:t xml:space="preserve">. Appendix </w:t>
      </w:r>
      <w:r w:rsidR="00206AFC">
        <w:t>3</w:t>
      </w:r>
      <w:r w:rsidR="00BE2013">
        <w:t xml:space="preserve"> outlines the details of </w:t>
      </w:r>
      <w:r w:rsidRPr="000F5F9D">
        <w:t>each sub-specialty</w:t>
      </w:r>
      <w:r w:rsidR="0094712C">
        <w:t xml:space="preserve">. The profiles of the trainees and </w:t>
      </w:r>
      <w:r w:rsidR="0094712C" w:rsidRPr="000F5F9D">
        <w:t>prevocational intentions</w:t>
      </w:r>
      <w:r w:rsidRPr="00732E85">
        <w:t xml:space="preserve"> </w:t>
      </w:r>
      <w:r w:rsidR="0094712C">
        <w:t xml:space="preserve">detail </w:t>
      </w:r>
      <w:r w:rsidR="0094712C" w:rsidRPr="000F5F9D">
        <w:t xml:space="preserve">obstetrics and gynaecology as a whole (O&amp;G) </w:t>
      </w:r>
      <w:r w:rsidR="0094712C">
        <w:t xml:space="preserve">with references to subspecialties where there </w:t>
      </w:r>
      <w:r w:rsidRPr="00732E85">
        <w:t xml:space="preserve">are sufficient data. Workforce modelling and projections </w:t>
      </w:r>
      <w:r w:rsidR="001D4619">
        <w:t>were</w:t>
      </w:r>
      <w:r>
        <w:t xml:space="preserve"> only</w:t>
      </w:r>
      <w:r w:rsidRPr="00732E85">
        <w:t xml:space="preserve"> conducted for the </w:t>
      </w:r>
      <w:r w:rsidR="001D4619">
        <w:t>O&amp;G</w:t>
      </w:r>
      <w:r w:rsidRPr="00732E85">
        <w:t xml:space="preserve"> specialty as a whole (</w:t>
      </w:r>
      <w:r w:rsidR="001D4619">
        <w:t>specialty and subspecialties combined</w:t>
      </w:r>
      <w:r w:rsidRPr="00732E85">
        <w:t>)</w:t>
      </w:r>
      <w:r>
        <w:t>.</w:t>
      </w:r>
    </w:p>
    <w:p w:rsidR="00692C47" w:rsidRPr="00992C70" w:rsidRDefault="00692C47" w:rsidP="0020308B">
      <w:pPr>
        <w:pStyle w:val="Heading2"/>
        <w:spacing w:before="0" w:after="60"/>
        <w:rPr>
          <w:lang w:eastAsia="en-AU"/>
        </w:rPr>
      </w:pPr>
      <w:bookmarkStart w:id="21" w:name="_Toc521510442"/>
      <w:r>
        <w:t>Registra</w:t>
      </w:r>
      <w:r w:rsidR="004B5216">
        <w:t>tion, accreditation and special</w:t>
      </w:r>
      <w:r>
        <w:t>ty field</w:t>
      </w:r>
      <w:r w:rsidR="00303099">
        <w:t>s</w:t>
      </w:r>
      <w:bookmarkEnd w:id="21"/>
    </w:p>
    <w:p w:rsidR="006063CF" w:rsidRDefault="006063CF" w:rsidP="006063CF">
      <w:r>
        <w:t xml:space="preserve">The Medical Board publishes quarterly statistics on </w:t>
      </w:r>
      <w:r w:rsidRPr="00B30D1E">
        <w:t>Medical Practitioner Registrant Data</w:t>
      </w:r>
      <w:r>
        <w:rPr>
          <w:rStyle w:val="FootnoteReference"/>
        </w:rPr>
        <w:footnoteReference w:id="2"/>
      </w:r>
      <w:r>
        <w:t xml:space="preserve">. In the </w:t>
      </w:r>
      <w:r w:rsidR="00B4045C">
        <w:t>December</w:t>
      </w:r>
      <w:r w:rsidR="00751150">
        <w:t xml:space="preserve"> 201</w:t>
      </w:r>
      <w:r w:rsidR="002B01EE">
        <w:t>6</w:t>
      </w:r>
      <w:r w:rsidR="00E668F8">
        <w:t xml:space="preserve"> edition there were 1,9</w:t>
      </w:r>
      <w:r w:rsidR="00B4045C">
        <w:t>28</w:t>
      </w:r>
      <w:r w:rsidR="00E668F8">
        <w:t xml:space="preserve"> </w:t>
      </w:r>
      <w:r>
        <w:t>registrants with a specialty of O&amp;G. According to the NHWDS, in</w:t>
      </w:r>
      <w:r w:rsidR="00751150">
        <w:t xml:space="preserve"> 201</w:t>
      </w:r>
      <w:r w:rsidR="002B01EE">
        <w:t>6</w:t>
      </w:r>
      <w:r w:rsidRPr="00AE71AD">
        <w:t xml:space="preserve"> there were </w:t>
      </w:r>
      <w:r>
        <w:t>1,</w:t>
      </w:r>
      <w:r w:rsidR="00091647">
        <w:t>930</w:t>
      </w:r>
      <w:r w:rsidRPr="00AE71AD">
        <w:t xml:space="preserve"> accredited</w:t>
      </w:r>
      <w:r>
        <w:t xml:space="preserve"> O&amp;G specialists with current medical registration in Australia; </w:t>
      </w:r>
      <w:r w:rsidR="00B4045C">
        <w:t>two more</w:t>
      </w:r>
      <w:r>
        <w:t xml:space="preserve"> than </w:t>
      </w:r>
      <w:r w:rsidRPr="00411262">
        <w:t xml:space="preserve">reported in </w:t>
      </w:r>
      <w:r>
        <w:t>the Medical Board data. This is because the NHWDS is a snapshot at a point in time (as at the date of data extraction) and the figures include medical practitioners with current registration. The Medical Board/</w:t>
      </w:r>
      <w:r w:rsidR="00496877">
        <w:t>Australian Health Practitioner Regulation (</w:t>
      </w:r>
      <w:r>
        <w:t>AHPRA</w:t>
      </w:r>
      <w:r w:rsidR="00496877">
        <w:t>)</w:t>
      </w:r>
      <w:r>
        <w:t xml:space="preserve"> statistics report an annual figure and include medical practitioners who held a registration at some point in the year but may not have current registration.</w:t>
      </w:r>
    </w:p>
    <w:p w:rsidR="006063CF" w:rsidRDefault="006063CF" w:rsidP="006063CF">
      <w:r>
        <w:t>In the NHWDS there were 3</w:t>
      </w:r>
      <w:r w:rsidR="00091647">
        <w:t>0</w:t>
      </w:r>
      <w:r>
        <w:t xml:space="preserve"> O&amp;G specialists who did not renew their medical registration in 201</w:t>
      </w:r>
      <w:r w:rsidR="00091647">
        <w:t>6</w:t>
      </w:r>
      <w:r>
        <w:t xml:space="preserve">; resulting in a difference of only </w:t>
      </w:r>
      <w:r w:rsidR="00B4045C">
        <w:t>28</w:t>
      </w:r>
      <w:r>
        <w:t xml:space="preserve"> between the NHWDS and the Medical Board statistics.</w:t>
      </w:r>
    </w:p>
    <w:p w:rsidR="00480DA9" w:rsidRDefault="006063CF" w:rsidP="00544360">
      <w:r>
        <w:t xml:space="preserve">As can be seen in </w:t>
      </w:r>
      <w:r>
        <w:fldChar w:fldCharType="begin"/>
      </w:r>
      <w:r>
        <w:instrText xml:space="preserve"> REF _Ref442258904 \h </w:instrText>
      </w:r>
      <w:r>
        <w:fldChar w:fldCharType="separate"/>
      </w:r>
      <w:r w:rsidR="008C7087" w:rsidRPr="0088752F">
        <w:rPr>
          <w:szCs w:val="22"/>
        </w:rPr>
        <w:t xml:space="preserve">Figure </w:t>
      </w:r>
      <w:r w:rsidR="008C7087">
        <w:rPr>
          <w:noProof/>
          <w:szCs w:val="22"/>
        </w:rPr>
        <w:t>1</w:t>
      </w:r>
      <w:r>
        <w:fldChar w:fldCharType="end"/>
      </w:r>
      <w:r>
        <w:t>, of the 1,</w:t>
      </w:r>
      <w:r w:rsidR="00B4045C">
        <w:t xml:space="preserve">900 </w:t>
      </w:r>
      <w:r w:rsidRPr="00AE71AD">
        <w:t>accredited</w:t>
      </w:r>
      <w:r>
        <w:t xml:space="preserve"> O&amp;G specialists with current medical registration, </w:t>
      </w:r>
      <w:r w:rsidR="00E50955">
        <w:t>1,</w:t>
      </w:r>
      <w:r w:rsidR="00751150">
        <w:t>7</w:t>
      </w:r>
      <w:r w:rsidR="00B4045C">
        <w:t>47</w:t>
      </w:r>
      <w:r w:rsidR="00FA5FB3">
        <w:t xml:space="preserve"> (</w:t>
      </w:r>
      <w:r w:rsidR="00B4045C">
        <w:t>92</w:t>
      </w:r>
      <w:r w:rsidR="00371104" w:rsidRPr="00AE71AD">
        <w:t xml:space="preserve"> </w:t>
      </w:r>
      <w:r w:rsidR="00382301">
        <w:t>per</w:t>
      </w:r>
      <w:r w:rsidR="00B4045C">
        <w:t xml:space="preserve"> </w:t>
      </w:r>
      <w:r w:rsidR="00382301">
        <w:t>cent</w:t>
      </w:r>
      <w:r w:rsidR="00371104" w:rsidRPr="00AE71AD">
        <w:t xml:space="preserve">) </w:t>
      </w:r>
      <w:r w:rsidR="00BF18B3">
        <w:t>we</w:t>
      </w:r>
      <w:r w:rsidR="00371104" w:rsidRPr="00AE71AD">
        <w:t xml:space="preserve">re employed in the </w:t>
      </w:r>
      <w:r w:rsidR="00BF18B3">
        <w:t xml:space="preserve">medical </w:t>
      </w:r>
      <w:r w:rsidR="00371104" w:rsidRPr="00AE71AD">
        <w:t>workforce</w:t>
      </w:r>
      <w:r w:rsidR="00164C27">
        <w:t>.</w:t>
      </w:r>
      <w:r w:rsidR="00303099">
        <w:t xml:space="preserve"> </w:t>
      </w:r>
      <w:r w:rsidR="003B7BF9">
        <w:t>While t</w:t>
      </w:r>
      <w:r w:rsidR="00D57B11">
        <w:t xml:space="preserve">he majority </w:t>
      </w:r>
      <w:r w:rsidR="003B7BF9">
        <w:t>(</w:t>
      </w:r>
      <w:r w:rsidR="00494178">
        <w:t>1</w:t>
      </w:r>
      <w:r w:rsidR="00164C27">
        <w:t>,</w:t>
      </w:r>
      <w:r w:rsidR="00751150">
        <w:t>7</w:t>
      </w:r>
      <w:r w:rsidR="00B4045C">
        <w:t>42</w:t>
      </w:r>
      <w:r w:rsidR="003B7BF9">
        <w:t xml:space="preserve">) </w:t>
      </w:r>
      <w:r w:rsidR="00D57B11">
        <w:t xml:space="preserve">worked in </w:t>
      </w:r>
      <w:r w:rsidR="00E50955">
        <w:t>O&amp;G</w:t>
      </w:r>
      <w:r w:rsidR="003B7BF9">
        <w:t xml:space="preserve">, </w:t>
      </w:r>
      <w:r w:rsidR="004A7F1D">
        <w:t>five</w:t>
      </w:r>
      <w:r w:rsidR="003B7BF9">
        <w:t xml:space="preserve"> did not work in </w:t>
      </w:r>
      <w:r w:rsidR="00E50955">
        <w:t>O&amp;G</w:t>
      </w:r>
      <w:r w:rsidR="004C1856">
        <w:t xml:space="preserve">. </w:t>
      </w:r>
      <w:r w:rsidR="003B7BF9" w:rsidRPr="007B29CD">
        <w:t xml:space="preserve">Those who did work in </w:t>
      </w:r>
      <w:r w:rsidR="00E50955">
        <w:t>O&amp;G</w:t>
      </w:r>
      <w:r w:rsidR="003B7BF9" w:rsidRPr="007B29CD">
        <w:t xml:space="preserve"> were </w:t>
      </w:r>
      <w:r w:rsidR="00D57B11" w:rsidRPr="007B29CD">
        <w:t xml:space="preserve">mostly </w:t>
      </w:r>
      <w:r w:rsidR="00371104" w:rsidRPr="007B29CD">
        <w:t>clinicians</w:t>
      </w:r>
      <w:r w:rsidR="00FA5FB3">
        <w:t xml:space="preserve"> (</w:t>
      </w:r>
      <w:r w:rsidR="0091123C">
        <w:t>9</w:t>
      </w:r>
      <w:r w:rsidR="00B4045C">
        <w:t>4</w:t>
      </w:r>
      <w:r w:rsidR="00E37497" w:rsidRPr="007B29CD">
        <w:t xml:space="preserve"> </w:t>
      </w:r>
      <w:r w:rsidR="00382301" w:rsidRPr="007B29CD">
        <w:t>per</w:t>
      </w:r>
      <w:r w:rsidR="00B4045C">
        <w:t xml:space="preserve"> </w:t>
      </w:r>
      <w:r w:rsidR="00382301" w:rsidRPr="007B29CD">
        <w:t>cent</w:t>
      </w:r>
      <w:r w:rsidR="00E37497" w:rsidRPr="007B29CD">
        <w:t>)</w:t>
      </w:r>
      <w:r w:rsidR="00D57B11" w:rsidRPr="007B29CD">
        <w:t xml:space="preserve"> with the remainder </w:t>
      </w:r>
      <w:r w:rsidR="00371104" w:rsidRPr="007B29CD">
        <w:t>work</w:t>
      </w:r>
      <w:r w:rsidR="00D57B11" w:rsidRPr="007B29CD">
        <w:t>ing</w:t>
      </w:r>
      <w:r w:rsidR="00371104" w:rsidRPr="007B29CD">
        <w:t xml:space="preserve"> as administrators, teachers/educators and researchers</w:t>
      </w:r>
      <w:r>
        <w:t>.</w:t>
      </w:r>
      <w:r w:rsidR="00371104" w:rsidRPr="007B29CD">
        <w:t xml:space="preserve"> </w:t>
      </w:r>
    </w:p>
    <w:p w:rsidR="00DC7142" w:rsidRDefault="00E50955" w:rsidP="0091527B">
      <w:r w:rsidRPr="009D725B">
        <w:t xml:space="preserve">Two </w:t>
      </w:r>
      <w:r w:rsidR="0091527B" w:rsidRPr="009D725B">
        <w:t>per</w:t>
      </w:r>
      <w:r w:rsidR="00B4045C" w:rsidRPr="009D725B">
        <w:t xml:space="preserve"> </w:t>
      </w:r>
      <w:r w:rsidR="0091527B" w:rsidRPr="009D725B">
        <w:t>cent (</w:t>
      </w:r>
      <w:r w:rsidR="009D725B" w:rsidRPr="009D725B">
        <w:t>37</w:t>
      </w:r>
      <w:r w:rsidR="00745510" w:rsidRPr="009D725B">
        <w:t>) of</w:t>
      </w:r>
      <w:r w:rsidR="0091527B" w:rsidRPr="009D725B">
        <w:t xml:space="preserve"> </w:t>
      </w:r>
      <w:r w:rsidRPr="009D725B">
        <w:t>O&amp;G</w:t>
      </w:r>
      <w:r w:rsidR="00AD674D" w:rsidRPr="009D725B">
        <w:t xml:space="preserve"> specialist </w:t>
      </w:r>
      <w:r w:rsidR="00572429" w:rsidRPr="009D725B">
        <w:t>clinicians</w:t>
      </w:r>
      <w:r w:rsidR="0091527B" w:rsidRPr="009D725B">
        <w:t xml:space="preserve"> also worked in a</w:t>
      </w:r>
      <w:r w:rsidRPr="009D725B">
        <w:t>nother</w:t>
      </w:r>
      <w:r w:rsidR="0091527B" w:rsidRPr="009D725B">
        <w:t xml:space="preserve"> specialty </w:t>
      </w:r>
      <w:r w:rsidRPr="009D725B">
        <w:t>in addition to</w:t>
      </w:r>
      <w:r w:rsidR="0091527B" w:rsidRPr="009D725B">
        <w:t xml:space="preserve"> </w:t>
      </w:r>
      <w:r w:rsidRPr="009D725B">
        <w:t>O&amp;G</w:t>
      </w:r>
      <w:r w:rsidR="0091527B" w:rsidRPr="009D725B">
        <w:t xml:space="preserve">. The most common second specialties were </w:t>
      </w:r>
      <w:r w:rsidR="00847831" w:rsidRPr="009D725B">
        <w:t>general practice (</w:t>
      </w:r>
      <w:r w:rsidR="009D725B" w:rsidRPr="009D725B">
        <w:t>21</w:t>
      </w:r>
      <w:r w:rsidR="00762693" w:rsidRPr="009D725B">
        <w:t>)</w:t>
      </w:r>
      <w:r w:rsidR="004868FF">
        <w:t xml:space="preserve">, </w:t>
      </w:r>
      <w:r w:rsidR="00FA5FB3" w:rsidRPr="009D725B">
        <w:t>physician</w:t>
      </w:r>
      <w:r w:rsidR="0091527B" w:rsidRPr="009D725B">
        <w:t xml:space="preserve"> (</w:t>
      </w:r>
      <w:r w:rsidR="005C6CAF">
        <w:t>three</w:t>
      </w:r>
      <w:r w:rsidR="00762693" w:rsidRPr="009D725B">
        <w:t>)</w:t>
      </w:r>
      <w:r w:rsidR="00847831" w:rsidRPr="009D725B">
        <w:t xml:space="preserve">, </w:t>
      </w:r>
      <w:r w:rsidR="009D725B" w:rsidRPr="009D725B">
        <w:t>surgery (</w:t>
      </w:r>
      <w:r w:rsidR="005C6CAF">
        <w:t>three</w:t>
      </w:r>
      <w:r w:rsidR="009D725B" w:rsidRPr="009D725B">
        <w:t xml:space="preserve">), </w:t>
      </w:r>
      <w:r w:rsidR="00847831" w:rsidRPr="009D725B">
        <w:t>sexual health medicine (</w:t>
      </w:r>
      <w:r w:rsidR="005C6CAF">
        <w:t>two</w:t>
      </w:r>
      <w:r w:rsidR="00847831" w:rsidRPr="009D725B">
        <w:t>) and pain medicine (</w:t>
      </w:r>
      <w:r w:rsidR="005C6CAF">
        <w:t>two</w:t>
      </w:r>
      <w:r w:rsidR="00847831" w:rsidRPr="009D725B">
        <w:t>)</w:t>
      </w:r>
      <w:r w:rsidR="00572429" w:rsidRPr="009D725B">
        <w:t>.</w:t>
      </w:r>
    </w:p>
    <w:p w:rsidR="00DC7142" w:rsidRDefault="00DC7142">
      <w:pPr>
        <w:spacing w:before="0" w:after="0"/>
        <w:jc w:val="left"/>
      </w:pPr>
      <w:r>
        <w:br w:type="page"/>
      </w:r>
    </w:p>
    <w:p w:rsidR="00480DA9" w:rsidRPr="0088752F" w:rsidRDefault="00466C7E" w:rsidP="00544360">
      <w:pPr>
        <w:pStyle w:val="Caption"/>
        <w:rPr>
          <w:szCs w:val="22"/>
        </w:rPr>
      </w:pPr>
      <w:bookmarkStart w:id="22" w:name="_Ref442258904"/>
      <w:bookmarkStart w:id="23" w:name="_Ref444670863"/>
      <w:bookmarkStart w:id="24" w:name="_Toc442268267"/>
      <w:bookmarkStart w:id="25" w:name="_Toc515888805"/>
      <w:r w:rsidRPr="0088752F">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1</w:t>
      </w:r>
      <w:r w:rsidR="008C16B5">
        <w:rPr>
          <w:szCs w:val="22"/>
        </w:rPr>
        <w:fldChar w:fldCharType="end"/>
      </w:r>
      <w:bookmarkEnd w:id="22"/>
      <w:bookmarkEnd w:id="23"/>
      <w:r w:rsidR="00A1727C">
        <w:rPr>
          <w:noProof/>
          <w:szCs w:val="22"/>
        </w:rPr>
        <w:t>:</w:t>
      </w:r>
      <w:r w:rsidR="00C06590">
        <w:rPr>
          <w:noProof/>
          <w:szCs w:val="22"/>
        </w:rPr>
        <w:t xml:space="preserve"> </w:t>
      </w:r>
      <w:r w:rsidR="00C81D02">
        <w:rPr>
          <w:szCs w:val="22"/>
        </w:rPr>
        <w:t>O&amp;G</w:t>
      </w:r>
      <w:r w:rsidRPr="0088752F">
        <w:rPr>
          <w:szCs w:val="22"/>
        </w:rPr>
        <w:t xml:space="preserve"> workforce by job role</w:t>
      </w:r>
      <w:bookmarkEnd w:id="24"/>
      <w:bookmarkEnd w:id="25"/>
    </w:p>
    <w:p w:rsidR="00BB48D7" w:rsidRDefault="00DC7142" w:rsidP="00012887">
      <w:pPr>
        <w:rPr>
          <w:rFonts w:eastAsia="Calibri"/>
        </w:rPr>
      </w:pPr>
      <w:r>
        <w:rPr>
          <w:rFonts w:eastAsia="Calibri"/>
          <w:noProof/>
          <w:lang w:eastAsia="en-AU"/>
        </w:rPr>
        <w:drawing>
          <wp:inline distT="0" distB="0" distL="0" distR="0" wp14:anchorId="4360D168" wp14:editId="744E586C">
            <wp:extent cx="5797550" cy="1926590"/>
            <wp:effectExtent l="0" t="0" r="0" b="0"/>
            <wp:docPr id="712" name="Picture 712" descr="Provides an overview of the obstetrics and gynaecology workforce by job role including:&#10;A total workforce of 1,930 consisting of 1,900 registered, 1,747 employed, and 1,742 employed in obstetrics and gynaecology with 1,640 clinicians, 29 administration, 34 teacher/educator, 21 researcher and 18 other." title="Figure 1: Obstetrics and Gynaecology workforce by job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550" cy="1926590"/>
                    </a:xfrm>
                    <a:prstGeom prst="rect">
                      <a:avLst/>
                    </a:prstGeom>
                    <a:noFill/>
                  </pic:spPr>
                </pic:pic>
              </a:graphicData>
            </a:graphic>
          </wp:inline>
        </w:drawing>
      </w:r>
      <w:r w:rsidR="00825DE5" w:rsidRPr="00634696">
        <w:rPr>
          <w:rFonts w:eastAsia="Calibri"/>
          <w:i/>
          <w:color w:val="4F81BD"/>
          <w:sz w:val="16"/>
          <w:szCs w:val="16"/>
        </w:rPr>
        <w:t xml:space="preserve">Source: </w:t>
      </w:r>
      <w:r w:rsidR="00537D7E" w:rsidRPr="00634696">
        <w:rPr>
          <w:rFonts w:eastAsia="Calibri"/>
          <w:i/>
          <w:color w:val="4F81BD"/>
          <w:sz w:val="16"/>
          <w:szCs w:val="16"/>
        </w:rPr>
        <w:t>NHWDS, Medical Practitioner 2016</w:t>
      </w:r>
    </w:p>
    <w:p w:rsidR="002D79CD" w:rsidRDefault="00585AE1" w:rsidP="00D82712">
      <w:pPr>
        <w:spacing w:before="0"/>
        <w:rPr>
          <w:szCs w:val="22"/>
        </w:rPr>
      </w:pPr>
      <w:r w:rsidRPr="0020308B">
        <w:t xml:space="preserve">In the AHPRA data, all obstetricians and gynaecologists have the specialist O&amp;G accreditation </w:t>
      </w:r>
      <w:r>
        <w:t xml:space="preserve">in addition to </w:t>
      </w:r>
      <w:r w:rsidRPr="0020308B">
        <w:t>subspecialty accreditations (where applicable).</w:t>
      </w:r>
      <w:r>
        <w:t xml:space="preserve"> </w:t>
      </w:r>
      <w:r w:rsidR="007F2D06">
        <w:fldChar w:fldCharType="begin"/>
      </w:r>
      <w:r w:rsidR="007F2D06">
        <w:instrText xml:space="preserve"> REF _Ref452978868 \h </w:instrText>
      </w:r>
      <w:r w:rsidR="007F2D06">
        <w:fldChar w:fldCharType="separate"/>
      </w:r>
      <w:r w:rsidR="008C7087" w:rsidRPr="00E07C3F">
        <w:rPr>
          <w:szCs w:val="22"/>
        </w:rPr>
        <w:t xml:space="preserve">Table </w:t>
      </w:r>
      <w:r w:rsidR="008C7087">
        <w:rPr>
          <w:noProof/>
          <w:szCs w:val="22"/>
        </w:rPr>
        <w:t>1</w:t>
      </w:r>
      <w:r w:rsidR="007F2D06">
        <w:fldChar w:fldCharType="end"/>
      </w:r>
      <w:r w:rsidR="007F2D06">
        <w:t xml:space="preserve"> shows that, o</w:t>
      </w:r>
      <w:r w:rsidR="00F707FB">
        <w:t>f the 1,</w:t>
      </w:r>
      <w:r w:rsidR="00F33DC9">
        <w:t>930</w:t>
      </w:r>
      <w:r w:rsidR="00F707FB" w:rsidRPr="00AE71AD">
        <w:t xml:space="preserve"> accredited</w:t>
      </w:r>
      <w:r w:rsidR="00F707FB">
        <w:t xml:space="preserve"> O&amp;G specialists with current medical registration in </w:t>
      </w:r>
      <w:r w:rsidR="00F707FB" w:rsidRPr="009B7CF1">
        <w:t>Australia, 87</w:t>
      </w:r>
      <w:r w:rsidR="00F33DC9">
        <w:t xml:space="preserve">.4 </w:t>
      </w:r>
      <w:r w:rsidR="00F707FB" w:rsidRPr="009B7CF1">
        <w:t>per</w:t>
      </w:r>
      <w:r w:rsidR="00F33DC9">
        <w:t xml:space="preserve"> </w:t>
      </w:r>
      <w:r w:rsidR="00F707FB" w:rsidRPr="009B7CF1">
        <w:t xml:space="preserve">cent had the </w:t>
      </w:r>
      <w:r w:rsidR="00F707FB" w:rsidRPr="009B7CF1">
        <w:rPr>
          <w:szCs w:val="22"/>
        </w:rPr>
        <w:t>specialist (O&amp;G) accreditation only (non-subspecialists) while 2</w:t>
      </w:r>
      <w:r w:rsidR="00F33DC9">
        <w:rPr>
          <w:szCs w:val="22"/>
        </w:rPr>
        <w:t>44</w:t>
      </w:r>
      <w:r w:rsidR="00F707FB" w:rsidRPr="009B7CF1">
        <w:rPr>
          <w:szCs w:val="22"/>
        </w:rPr>
        <w:t xml:space="preserve"> </w:t>
      </w:r>
      <w:r w:rsidR="00B57D43" w:rsidRPr="009B7CF1">
        <w:rPr>
          <w:szCs w:val="22"/>
        </w:rPr>
        <w:t xml:space="preserve">also </w:t>
      </w:r>
      <w:r w:rsidR="00F707FB" w:rsidRPr="009B7CF1">
        <w:rPr>
          <w:szCs w:val="22"/>
        </w:rPr>
        <w:t>had ac</w:t>
      </w:r>
      <w:r w:rsidR="009B7CF1">
        <w:rPr>
          <w:szCs w:val="22"/>
        </w:rPr>
        <w:t xml:space="preserve">creditation in one subspecialty and </w:t>
      </w:r>
      <w:r w:rsidR="00C73E57" w:rsidRPr="009D725B">
        <w:rPr>
          <w:szCs w:val="22"/>
        </w:rPr>
        <w:t>20</w:t>
      </w:r>
      <w:r w:rsidR="009B7CF1" w:rsidRPr="009D725B">
        <w:rPr>
          <w:szCs w:val="22"/>
        </w:rPr>
        <w:t xml:space="preserve"> had accreditations in two </w:t>
      </w:r>
      <w:r w:rsidR="00C73E57" w:rsidRPr="009D725B">
        <w:rPr>
          <w:szCs w:val="22"/>
        </w:rPr>
        <w:t xml:space="preserve">O&amp;G </w:t>
      </w:r>
      <w:r w:rsidR="009B7CF1" w:rsidRPr="009D725B">
        <w:rPr>
          <w:szCs w:val="22"/>
        </w:rPr>
        <w:t>subspecialties</w:t>
      </w:r>
      <w:r w:rsidR="00C73E57" w:rsidRPr="009D725B">
        <w:rPr>
          <w:szCs w:val="22"/>
        </w:rPr>
        <w:t xml:space="preserve"> with the highest combination in O&amp;G and gynaecological oncology</w:t>
      </w:r>
      <w:r w:rsidR="009D725B">
        <w:rPr>
          <w:szCs w:val="22"/>
        </w:rPr>
        <w:t>.</w:t>
      </w:r>
      <w:r w:rsidR="001A30A3">
        <w:rPr>
          <w:szCs w:val="22"/>
        </w:rPr>
        <w:t xml:space="preserve"> </w:t>
      </w:r>
    </w:p>
    <w:p w:rsidR="00F707FB" w:rsidRDefault="007F2D06" w:rsidP="007F2D06">
      <w:pPr>
        <w:pStyle w:val="Caption"/>
        <w:rPr>
          <w:szCs w:val="22"/>
        </w:rPr>
      </w:pPr>
      <w:bookmarkStart w:id="26" w:name="_Ref452978868"/>
      <w:bookmarkStart w:id="27" w:name="_Toc515887822"/>
      <w:r w:rsidRPr="00E07C3F">
        <w:rPr>
          <w:szCs w:val="22"/>
        </w:rPr>
        <w:t xml:space="preserve">Table </w:t>
      </w:r>
      <w:r w:rsidR="00751150" w:rsidRPr="00E07C3F">
        <w:rPr>
          <w:szCs w:val="22"/>
        </w:rPr>
        <w:fldChar w:fldCharType="begin"/>
      </w:r>
      <w:r w:rsidR="00751150" w:rsidRPr="00E07C3F">
        <w:rPr>
          <w:szCs w:val="22"/>
        </w:rPr>
        <w:instrText xml:space="preserve"> SEQ Table \* ARABIC </w:instrText>
      </w:r>
      <w:r w:rsidR="00751150" w:rsidRPr="00E07C3F">
        <w:rPr>
          <w:szCs w:val="22"/>
        </w:rPr>
        <w:fldChar w:fldCharType="separate"/>
      </w:r>
      <w:r w:rsidR="008C7087">
        <w:rPr>
          <w:noProof/>
          <w:szCs w:val="22"/>
        </w:rPr>
        <w:t>1</w:t>
      </w:r>
      <w:r w:rsidR="00751150" w:rsidRPr="00E07C3F">
        <w:rPr>
          <w:noProof/>
          <w:szCs w:val="22"/>
        </w:rPr>
        <w:fldChar w:fldCharType="end"/>
      </w:r>
      <w:bookmarkEnd w:id="26"/>
      <w:r w:rsidR="00A1727C" w:rsidRPr="00E07C3F">
        <w:rPr>
          <w:szCs w:val="22"/>
        </w:rPr>
        <w:t>:</w:t>
      </w:r>
      <w:r w:rsidR="00F707FB" w:rsidRPr="00E07C3F">
        <w:rPr>
          <w:szCs w:val="22"/>
        </w:rPr>
        <w:t xml:space="preserve"> Speciality and subspecialty </w:t>
      </w:r>
      <w:r w:rsidR="00B57D43" w:rsidRPr="00E07C3F">
        <w:rPr>
          <w:szCs w:val="22"/>
        </w:rPr>
        <w:t xml:space="preserve">accreditation </w:t>
      </w:r>
      <w:r w:rsidR="00F707FB" w:rsidRPr="00E07C3F">
        <w:rPr>
          <w:szCs w:val="22"/>
        </w:rPr>
        <w:t>combinations</w:t>
      </w:r>
      <w:bookmarkEnd w:id="27"/>
    </w:p>
    <w:tbl>
      <w:tblPr>
        <w:tblStyle w:val="LightShading-Accent1"/>
        <w:tblW w:w="4938" w:type="pct"/>
        <w:tblInd w:w="108" w:type="dxa"/>
        <w:tblLook w:val="0420" w:firstRow="1" w:lastRow="0" w:firstColumn="0" w:lastColumn="0" w:noHBand="0" w:noVBand="1"/>
        <w:tblCaption w:val="Table 1: Speciality and subspecialty accreditation combinations"/>
        <w:tblDescription w:val="Obstetrics and gynaecology only with 1,686 registrations&#10;Obstetrics and gynaecology and subspecialty:  &#10;Obstetrics and gynaecological ultrasound with 73 registrations&#10;Reproductive endocrinology and infertility with 54 registrations&#10;Gynaecological oncology with 45 registrations&#10;Maternal-fetal medicine with 41 registrations&#10;Urogynaecology with 31 registrations&#10;Total registrations are 1,930&#10;"/>
      </w:tblPr>
      <w:tblGrid>
        <w:gridCol w:w="5102"/>
        <w:gridCol w:w="4025"/>
      </w:tblGrid>
      <w:tr w:rsidR="00537D7E" w:rsidRPr="00537D7E" w:rsidTr="000F4F2D">
        <w:trPr>
          <w:cnfStyle w:val="100000000000" w:firstRow="1" w:lastRow="0" w:firstColumn="0" w:lastColumn="0" w:oddVBand="0" w:evenVBand="0" w:oddHBand="0" w:evenHBand="0" w:firstRowFirstColumn="0" w:firstRowLastColumn="0" w:lastRowFirstColumn="0" w:lastRowLastColumn="0"/>
          <w:trHeight w:val="227"/>
          <w:tblHeader/>
        </w:trPr>
        <w:tc>
          <w:tcPr>
            <w:tcW w:w="2795" w:type="pct"/>
            <w:tcBorders>
              <w:top w:val="single" w:sz="4" w:space="0" w:color="auto"/>
              <w:left w:val="single" w:sz="4" w:space="0" w:color="auto"/>
              <w:bottom w:val="single" w:sz="4" w:space="0" w:color="auto"/>
            </w:tcBorders>
            <w:shd w:val="clear" w:color="auto" w:fill="1F497D" w:themeFill="text2"/>
            <w:hideMark/>
          </w:tcPr>
          <w:p w:rsidR="00537D7E" w:rsidRPr="00537D7E" w:rsidRDefault="00537D7E" w:rsidP="00537D7E">
            <w:pPr>
              <w:spacing w:before="0" w:after="0"/>
              <w:rPr>
                <w:color w:val="FFFFFF"/>
                <w:sz w:val="20"/>
                <w:szCs w:val="20"/>
                <w:lang w:eastAsia="en-AU"/>
              </w:rPr>
            </w:pPr>
            <w:r w:rsidRPr="00537D7E">
              <w:rPr>
                <w:color w:val="FFFFFF" w:themeColor="background1"/>
                <w:sz w:val="20"/>
                <w:szCs w:val="20"/>
                <w:lang w:eastAsia="en-AU"/>
              </w:rPr>
              <w:t>Subspecialty accreditation</w:t>
            </w:r>
          </w:p>
        </w:tc>
        <w:tc>
          <w:tcPr>
            <w:tcW w:w="2205" w:type="pct"/>
            <w:tcBorders>
              <w:top w:val="single" w:sz="4" w:space="0" w:color="auto"/>
              <w:bottom w:val="single" w:sz="4" w:space="0" w:color="auto"/>
              <w:right w:val="single" w:sz="4" w:space="0" w:color="auto"/>
            </w:tcBorders>
            <w:shd w:val="clear" w:color="auto" w:fill="1F497D" w:themeFill="text2"/>
            <w:hideMark/>
          </w:tcPr>
          <w:p w:rsidR="00537D7E" w:rsidRPr="00537D7E" w:rsidRDefault="00537D7E" w:rsidP="000F4F2D">
            <w:pPr>
              <w:spacing w:before="0" w:after="0"/>
              <w:jc w:val="right"/>
              <w:rPr>
                <w:color w:val="FFFFFF"/>
                <w:sz w:val="20"/>
                <w:szCs w:val="20"/>
                <w:lang w:eastAsia="en-AU"/>
              </w:rPr>
            </w:pPr>
            <w:r w:rsidRPr="00537D7E">
              <w:rPr>
                <w:color w:val="FFFFFF" w:themeColor="background1"/>
                <w:sz w:val="20"/>
                <w:szCs w:val="20"/>
                <w:lang w:eastAsia="en-AU"/>
              </w:rPr>
              <w:t>Number of registrations</w:t>
            </w:r>
          </w:p>
        </w:tc>
      </w:tr>
      <w:tr w:rsidR="00537D7E" w:rsidRPr="00537D7E" w:rsidTr="000F4F2D">
        <w:trPr>
          <w:cnfStyle w:val="000000100000" w:firstRow="0" w:lastRow="0" w:firstColumn="0" w:lastColumn="0" w:oddVBand="0" w:evenVBand="0" w:oddHBand="1" w:evenHBand="0" w:firstRowFirstColumn="0" w:firstRowLastColumn="0" w:lastRowFirstColumn="0" w:lastRowLastColumn="0"/>
          <w:trHeight w:val="227"/>
        </w:trPr>
        <w:tc>
          <w:tcPr>
            <w:tcW w:w="2795" w:type="pct"/>
            <w:tcBorders>
              <w:top w:val="single" w:sz="4" w:space="0" w:color="auto"/>
              <w:left w:val="single" w:sz="4" w:space="0" w:color="auto"/>
            </w:tcBorders>
            <w:hideMark/>
          </w:tcPr>
          <w:p w:rsidR="00537D7E" w:rsidRPr="00537D7E" w:rsidRDefault="00537D7E" w:rsidP="00537D7E">
            <w:pPr>
              <w:spacing w:before="0" w:after="0"/>
              <w:rPr>
                <w:color w:val="auto"/>
                <w:sz w:val="20"/>
                <w:szCs w:val="20"/>
                <w:lang w:eastAsia="en-AU"/>
              </w:rPr>
            </w:pPr>
            <w:r w:rsidRPr="00537D7E">
              <w:rPr>
                <w:color w:val="auto"/>
                <w:sz w:val="20"/>
                <w:szCs w:val="20"/>
                <w:lang w:eastAsia="en-AU"/>
              </w:rPr>
              <w:t>Obstetrics and gynaecology (O&amp;G) only</w:t>
            </w:r>
          </w:p>
        </w:tc>
        <w:tc>
          <w:tcPr>
            <w:tcW w:w="2205" w:type="pct"/>
            <w:tcBorders>
              <w:top w:val="single" w:sz="4" w:space="0" w:color="auto"/>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1,686</w:t>
            </w:r>
          </w:p>
        </w:tc>
      </w:tr>
      <w:tr w:rsidR="00537D7E" w:rsidRPr="00537D7E" w:rsidTr="000F4F2D">
        <w:trPr>
          <w:trHeight w:val="227"/>
        </w:trPr>
        <w:tc>
          <w:tcPr>
            <w:tcW w:w="2795" w:type="pct"/>
            <w:tcBorders>
              <w:left w:val="single" w:sz="4" w:space="0" w:color="auto"/>
            </w:tcBorders>
            <w:hideMark/>
          </w:tcPr>
          <w:p w:rsidR="00537D7E" w:rsidRPr="00537D7E" w:rsidRDefault="00537D7E" w:rsidP="00537D7E">
            <w:pPr>
              <w:spacing w:before="0" w:after="0"/>
              <w:rPr>
                <w:color w:val="auto"/>
                <w:sz w:val="20"/>
                <w:szCs w:val="20"/>
                <w:lang w:eastAsia="en-AU"/>
              </w:rPr>
            </w:pPr>
            <w:r w:rsidRPr="00537D7E">
              <w:rPr>
                <w:color w:val="auto"/>
                <w:sz w:val="20"/>
                <w:szCs w:val="20"/>
                <w:lang w:eastAsia="en-AU"/>
              </w:rPr>
              <w:t>Obstetrics and gynaecology (O&amp;G) and subspecialty:</w:t>
            </w:r>
          </w:p>
        </w:tc>
        <w:tc>
          <w:tcPr>
            <w:tcW w:w="2205" w:type="pct"/>
            <w:tcBorders>
              <w:right w:val="single" w:sz="4" w:space="0" w:color="auto"/>
            </w:tcBorders>
            <w:hideMark/>
          </w:tcPr>
          <w:p w:rsidR="00537D7E" w:rsidRPr="00537D7E" w:rsidRDefault="00537D7E" w:rsidP="000F4F2D">
            <w:pPr>
              <w:spacing w:before="0" w:after="0"/>
              <w:jc w:val="right"/>
              <w:rPr>
                <w:color w:val="auto"/>
                <w:lang w:eastAsia="en-AU"/>
              </w:rPr>
            </w:pPr>
            <w:r w:rsidRPr="00537D7E">
              <w:rPr>
                <w:color w:val="auto"/>
                <w:lang w:eastAsia="en-AU"/>
              </w:rPr>
              <w:t> </w:t>
            </w:r>
          </w:p>
        </w:tc>
      </w:tr>
      <w:tr w:rsidR="00537D7E" w:rsidRPr="00537D7E" w:rsidTr="000F4F2D">
        <w:trPr>
          <w:cnfStyle w:val="000000100000" w:firstRow="0" w:lastRow="0" w:firstColumn="0" w:lastColumn="0" w:oddVBand="0" w:evenVBand="0" w:oddHBand="1" w:evenHBand="0" w:firstRowFirstColumn="0" w:firstRowLastColumn="0" w:lastRowFirstColumn="0" w:lastRowLastColumn="0"/>
          <w:trHeight w:val="227"/>
        </w:trPr>
        <w:tc>
          <w:tcPr>
            <w:tcW w:w="2795" w:type="pct"/>
            <w:tcBorders>
              <w:left w:val="single" w:sz="4" w:space="0" w:color="auto"/>
            </w:tcBorders>
            <w:hideMark/>
          </w:tcPr>
          <w:p w:rsidR="00537D7E" w:rsidRPr="00537D7E" w:rsidRDefault="00537D7E" w:rsidP="00537D7E">
            <w:pPr>
              <w:spacing w:before="0" w:after="0"/>
              <w:jc w:val="right"/>
              <w:rPr>
                <w:color w:val="auto"/>
                <w:sz w:val="20"/>
                <w:szCs w:val="20"/>
                <w:lang w:eastAsia="en-AU"/>
              </w:rPr>
            </w:pPr>
            <w:r w:rsidRPr="00537D7E">
              <w:rPr>
                <w:color w:val="auto"/>
                <w:sz w:val="20"/>
                <w:szCs w:val="20"/>
                <w:lang w:eastAsia="en-AU"/>
              </w:rPr>
              <w:t>Obstetrics and gynaecological ultrasound (OGU)</w:t>
            </w:r>
          </w:p>
        </w:tc>
        <w:tc>
          <w:tcPr>
            <w:tcW w:w="2205" w:type="pct"/>
            <w:tcBorders>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73</w:t>
            </w:r>
          </w:p>
        </w:tc>
      </w:tr>
      <w:tr w:rsidR="00537D7E" w:rsidRPr="00537D7E" w:rsidTr="000F4F2D">
        <w:trPr>
          <w:trHeight w:val="227"/>
        </w:trPr>
        <w:tc>
          <w:tcPr>
            <w:tcW w:w="2795" w:type="pct"/>
            <w:tcBorders>
              <w:left w:val="single" w:sz="4" w:space="0" w:color="auto"/>
            </w:tcBorders>
            <w:hideMark/>
          </w:tcPr>
          <w:p w:rsidR="00537D7E" w:rsidRPr="00537D7E" w:rsidRDefault="00537D7E" w:rsidP="00537D7E">
            <w:pPr>
              <w:spacing w:before="0" w:after="0"/>
              <w:jc w:val="right"/>
              <w:rPr>
                <w:color w:val="auto"/>
                <w:sz w:val="20"/>
                <w:szCs w:val="20"/>
                <w:lang w:eastAsia="en-AU"/>
              </w:rPr>
            </w:pPr>
            <w:r w:rsidRPr="00537D7E">
              <w:rPr>
                <w:color w:val="auto"/>
                <w:sz w:val="20"/>
                <w:szCs w:val="20"/>
                <w:lang w:eastAsia="en-AU"/>
              </w:rPr>
              <w:t>Reproductive endocrinology and infertility (REI)</w:t>
            </w:r>
          </w:p>
        </w:tc>
        <w:tc>
          <w:tcPr>
            <w:tcW w:w="2205" w:type="pct"/>
            <w:tcBorders>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54</w:t>
            </w:r>
          </w:p>
        </w:tc>
      </w:tr>
      <w:tr w:rsidR="00537D7E" w:rsidRPr="00537D7E" w:rsidTr="000F4F2D">
        <w:trPr>
          <w:cnfStyle w:val="000000100000" w:firstRow="0" w:lastRow="0" w:firstColumn="0" w:lastColumn="0" w:oddVBand="0" w:evenVBand="0" w:oddHBand="1" w:evenHBand="0" w:firstRowFirstColumn="0" w:firstRowLastColumn="0" w:lastRowFirstColumn="0" w:lastRowLastColumn="0"/>
          <w:trHeight w:val="227"/>
        </w:trPr>
        <w:tc>
          <w:tcPr>
            <w:tcW w:w="2795" w:type="pct"/>
            <w:tcBorders>
              <w:left w:val="single" w:sz="4" w:space="0" w:color="auto"/>
            </w:tcBorders>
            <w:hideMark/>
          </w:tcPr>
          <w:p w:rsidR="00537D7E" w:rsidRPr="00537D7E" w:rsidRDefault="00537D7E" w:rsidP="00537D7E">
            <w:pPr>
              <w:spacing w:before="0" w:after="0"/>
              <w:jc w:val="right"/>
              <w:rPr>
                <w:color w:val="auto"/>
                <w:sz w:val="20"/>
                <w:szCs w:val="20"/>
                <w:lang w:eastAsia="en-AU"/>
              </w:rPr>
            </w:pPr>
            <w:r w:rsidRPr="00537D7E">
              <w:rPr>
                <w:color w:val="auto"/>
                <w:sz w:val="20"/>
                <w:szCs w:val="20"/>
                <w:lang w:eastAsia="en-AU"/>
              </w:rPr>
              <w:t>Gynaecological oncology (GO)</w:t>
            </w:r>
          </w:p>
        </w:tc>
        <w:tc>
          <w:tcPr>
            <w:tcW w:w="2205" w:type="pct"/>
            <w:tcBorders>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45</w:t>
            </w:r>
          </w:p>
        </w:tc>
      </w:tr>
      <w:tr w:rsidR="00537D7E" w:rsidRPr="00537D7E" w:rsidTr="000F4F2D">
        <w:trPr>
          <w:trHeight w:val="227"/>
        </w:trPr>
        <w:tc>
          <w:tcPr>
            <w:tcW w:w="2795" w:type="pct"/>
            <w:tcBorders>
              <w:left w:val="single" w:sz="4" w:space="0" w:color="auto"/>
            </w:tcBorders>
            <w:hideMark/>
          </w:tcPr>
          <w:p w:rsidR="00537D7E" w:rsidRPr="00537D7E" w:rsidRDefault="00537D7E" w:rsidP="00537D7E">
            <w:pPr>
              <w:spacing w:before="0" w:after="0"/>
              <w:jc w:val="right"/>
              <w:rPr>
                <w:color w:val="auto"/>
                <w:sz w:val="20"/>
                <w:szCs w:val="20"/>
                <w:lang w:eastAsia="en-AU"/>
              </w:rPr>
            </w:pPr>
            <w:r w:rsidRPr="00537D7E">
              <w:rPr>
                <w:color w:val="auto"/>
                <w:sz w:val="20"/>
                <w:szCs w:val="20"/>
                <w:lang w:eastAsia="en-AU"/>
              </w:rPr>
              <w:t>Maternal-fetal medicine (MFM)</w:t>
            </w:r>
          </w:p>
        </w:tc>
        <w:tc>
          <w:tcPr>
            <w:tcW w:w="2205" w:type="pct"/>
            <w:tcBorders>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41</w:t>
            </w:r>
          </w:p>
        </w:tc>
      </w:tr>
      <w:tr w:rsidR="00537D7E" w:rsidRPr="00537D7E" w:rsidTr="000F4F2D">
        <w:trPr>
          <w:cnfStyle w:val="000000100000" w:firstRow="0" w:lastRow="0" w:firstColumn="0" w:lastColumn="0" w:oddVBand="0" w:evenVBand="0" w:oddHBand="1" w:evenHBand="0" w:firstRowFirstColumn="0" w:firstRowLastColumn="0" w:lastRowFirstColumn="0" w:lastRowLastColumn="0"/>
          <w:trHeight w:val="227"/>
        </w:trPr>
        <w:tc>
          <w:tcPr>
            <w:tcW w:w="2795" w:type="pct"/>
            <w:tcBorders>
              <w:left w:val="single" w:sz="4" w:space="0" w:color="auto"/>
            </w:tcBorders>
            <w:hideMark/>
          </w:tcPr>
          <w:p w:rsidR="00537D7E" w:rsidRPr="00537D7E" w:rsidRDefault="00537D7E" w:rsidP="00537D7E">
            <w:pPr>
              <w:spacing w:before="0" w:after="0"/>
              <w:jc w:val="right"/>
              <w:rPr>
                <w:color w:val="auto"/>
                <w:sz w:val="20"/>
                <w:szCs w:val="20"/>
                <w:lang w:eastAsia="en-AU"/>
              </w:rPr>
            </w:pPr>
            <w:proofErr w:type="spellStart"/>
            <w:r w:rsidRPr="00537D7E">
              <w:rPr>
                <w:color w:val="auto"/>
                <w:sz w:val="20"/>
                <w:szCs w:val="20"/>
                <w:lang w:eastAsia="en-AU"/>
              </w:rPr>
              <w:t>Urogynaecology</w:t>
            </w:r>
            <w:proofErr w:type="spellEnd"/>
            <w:r w:rsidRPr="00537D7E">
              <w:rPr>
                <w:color w:val="auto"/>
                <w:sz w:val="20"/>
                <w:szCs w:val="20"/>
                <w:lang w:eastAsia="en-AU"/>
              </w:rPr>
              <w:t xml:space="preserve"> (UG)</w:t>
            </w:r>
          </w:p>
        </w:tc>
        <w:tc>
          <w:tcPr>
            <w:tcW w:w="2205" w:type="pct"/>
            <w:tcBorders>
              <w:right w:val="single" w:sz="4" w:space="0" w:color="auto"/>
            </w:tcBorders>
            <w:hideMark/>
          </w:tcPr>
          <w:p w:rsidR="00537D7E" w:rsidRPr="00537D7E" w:rsidRDefault="00537D7E" w:rsidP="000F4F2D">
            <w:pPr>
              <w:spacing w:before="0" w:after="0"/>
              <w:jc w:val="right"/>
              <w:rPr>
                <w:color w:val="auto"/>
                <w:sz w:val="20"/>
                <w:szCs w:val="20"/>
                <w:lang w:eastAsia="en-AU"/>
              </w:rPr>
            </w:pPr>
            <w:r w:rsidRPr="00537D7E">
              <w:rPr>
                <w:color w:val="auto"/>
                <w:sz w:val="20"/>
                <w:szCs w:val="20"/>
                <w:lang w:eastAsia="en-AU"/>
              </w:rPr>
              <w:t>31</w:t>
            </w:r>
          </w:p>
        </w:tc>
      </w:tr>
      <w:tr w:rsidR="00537D7E" w:rsidRPr="00537D7E" w:rsidTr="000F4F2D">
        <w:trPr>
          <w:trHeight w:val="227"/>
        </w:trPr>
        <w:tc>
          <w:tcPr>
            <w:tcW w:w="2795" w:type="pct"/>
            <w:tcBorders>
              <w:left w:val="single" w:sz="4" w:space="0" w:color="auto"/>
              <w:bottom w:val="single" w:sz="4" w:space="0" w:color="auto"/>
            </w:tcBorders>
            <w:hideMark/>
          </w:tcPr>
          <w:p w:rsidR="00537D7E" w:rsidRPr="00537D7E" w:rsidRDefault="00537D7E" w:rsidP="00537D7E">
            <w:pPr>
              <w:spacing w:before="0" w:after="0"/>
              <w:rPr>
                <w:b/>
                <w:bCs/>
                <w:color w:val="auto"/>
                <w:sz w:val="20"/>
                <w:szCs w:val="20"/>
                <w:lang w:eastAsia="en-AU"/>
              </w:rPr>
            </w:pPr>
            <w:r w:rsidRPr="00537D7E">
              <w:rPr>
                <w:b/>
                <w:bCs/>
                <w:color w:val="auto"/>
                <w:sz w:val="20"/>
                <w:szCs w:val="20"/>
                <w:lang w:eastAsia="en-AU"/>
              </w:rPr>
              <w:t>Total</w:t>
            </w:r>
          </w:p>
        </w:tc>
        <w:tc>
          <w:tcPr>
            <w:tcW w:w="2205" w:type="pct"/>
            <w:tcBorders>
              <w:bottom w:val="single" w:sz="4" w:space="0" w:color="auto"/>
              <w:right w:val="single" w:sz="4" w:space="0" w:color="auto"/>
            </w:tcBorders>
            <w:noWrap/>
            <w:hideMark/>
          </w:tcPr>
          <w:p w:rsidR="00537D7E" w:rsidRPr="00537D7E" w:rsidRDefault="00537D7E" w:rsidP="000F4F2D">
            <w:pPr>
              <w:spacing w:before="0" w:after="0"/>
              <w:jc w:val="right"/>
              <w:rPr>
                <w:b/>
                <w:bCs/>
                <w:color w:val="auto"/>
                <w:sz w:val="20"/>
                <w:szCs w:val="20"/>
                <w:lang w:eastAsia="en-AU"/>
              </w:rPr>
            </w:pPr>
            <w:r w:rsidRPr="00537D7E">
              <w:rPr>
                <w:b/>
                <w:bCs/>
                <w:color w:val="auto"/>
                <w:sz w:val="20"/>
                <w:szCs w:val="20"/>
                <w:lang w:eastAsia="en-AU"/>
              </w:rPr>
              <w:t>1,930</w:t>
            </w:r>
          </w:p>
        </w:tc>
      </w:tr>
    </w:tbl>
    <w:p w:rsidR="00537D7E" w:rsidRPr="00634696" w:rsidRDefault="00537D7E" w:rsidP="00012887">
      <w:pPr>
        <w:rPr>
          <w:rFonts w:eastAsia="Calibri"/>
          <w:i/>
          <w:color w:val="4F81BD"/>
          <w:sz w:val="16"/>
          <w:szCs w:val="16"/>
        </w:rPr>
      </w:pPr>
      <w:r w:rsidRPr="00634696">
        <w:rPr>
          <w:rFonts w:eastAsia="Calibri"/>
          <w:i/>
          <w:color w:val="4F81BD"/>
          <w:sz w:val="16"/>
          <w:szCs w:val="16"/>
        </w:rPr>
        <w:t>Source: NHWDS, Medical Practitioner 2016</w:t>
      </w:r>
    </w:p>
    <w:p w:rsidR="005611CD" w:rsidRPr="00162B77" w:rsidRDefault="00FE4FCE" w:rsidP="002A6D47">
      <w:pPr>
        <w:pStyle w:val="Heading2"/>
      </w:pPr>
      <w:bookmarkStart w:id="28" w:name="_Toc521510443"/>
      <w:r>
        <w:t>Age and g</w:t>
      </w:r>
      <w:r w:rsidR="005611CD" w:rsidRPr="00162B77">
        <w:t>ender</w:t>
      </w:r>
      <w:bookmarkEnd w:id="28"/>
    </w:p>
    <w:p w:rsidR="003D26F1" w:rsidRDefault="00D51E4B" w:rsidP="00426E94">
      <w:pPr>
        <w:rPr>
          <w:noProof/>
        </w:rPr>
      </w:pPr>
      <w:r w:rsidRPr="00B124B4">
        <w:t xml:space="preserve">The age distribution </w:t>
      </w:r>
      <w:r w:rsidR="00745510" w:rsidRPr="00B124B4">
        <w:t>of</w:t>
      </w:r>
      <w:r w:rsidRPr="00B124B4">
        <w:t xml:space="preserve"> </w:t>
      </w:r>
      <w:r w:rsidR="0032497B">
        <w:t xml:space="preserve">O&amp;G </w:t>
      </w:r>
      <w:r w:rsidR="000B0793">
        <w:t>specialist</w:t>
      </w:r>
      <w:r w:rsidR="001D4619">
        <w:t>s</w:t>
      </w:r>
      <w:r w:rsidR="000B0793">
        <w:t xml:space="preserve"> </w:t>
      </w:r>
      <w:r w:rsidRPr="00B124B4">
        <w:t xml:space="preserve">in Australia </w:t>
      </w:r>
      <w:r w:rsidR="00466C7E" w:rsidRPr="00B124B4">
        <w:t>(</w:t>
      </w:r>
      <w:r w:rsidR="00466C7E" w:rsidRPr="00B124B4">
        <w:fldChar w:fldCharType="begin"/>
      </w:r>
      <w:r w:rsidR="00466C7E" w:rsidRPr="00B124B4">
        <w:instrText xml:space="preserve"> REF _Ref442258938 \h </w:instrText>
      </w:r>
      <w:r w:rsidR="00A92FD3" w:rsidRPr="00B124B4">
        <w:instrText xml:space="preserve"> \* MERGEFORMAT </w:instrText>
      </w:r>
      <w:r w:rsidR="00466C7E" w:rsidRPr="00B124B4">
        <w:fldChar w:fldCharType="separate"/>
      </w:r>
      <w:r w:rsidR="008C7087" w:rsidRPr="00AE71AD">
        <w:rPr>
          <w:szCs w:val="22"/>
        </w:rPr>
        <w:t>Figure</w:t>
      </w:r>
      <w:r w:rsidR="008C7087">
        <w:rPr>
          <w:szCs w:val="22"/>
        </w:rPr>
        <w:t xml:space="preserve"> </w:t>
      </w:r>
      <w:r w:rsidR="008C7087">
        <w:rPr>
          <w:noProof/>
          <w:szCs w:val="22"/>
        </w:rPr>
        <w:t>2</w:t>
      </w:r>
      <w:r w:rsidR="00466C7E" w:rsidRPr="00B124B4">
        <w:fldChar w:fldCharType="end"/>
      </w:r>
      <w:r w:rsidR="009256B5" w:rsidRPr="00B124B4">
        <w:t xml:space="preserve">) </w:t>
      </w:r>
      <w:r w:rsidRPr="00B124B4">
        <w:t>show</w:t>
      </w:r>
      <w:r w:rsidR="000F4F2D">
        <w:t>s</w:t>
      </w:r>
      <w:r w:rsidRPr="00B124B4">
        <w:t xml:space="preserve"> the</w:t>
      </w:r>
      <w:r w:rsidR="0091123C">
        <w:t xml:space="preserve"> majority are in the </w:t>
      </w:r>
      <w:r w:rsidR="00F33DC9">
        <w:t>45-49</w:t>
      </w:r>
      <w:r w:rsidR="00384EAA" w:rsidRPr="00B124B4">
        <w:t xml:space="preserve"> year</w:t>
      </w:r>
      <w:r w:rsidRPr="00B124B4">
        <w:t xml:space="preserve"> </w:t>
      </w:r>
      <w:r w:rsidR="00AE565C" w:rsidRPr="00B124B4">
        <w:t>age group</w:t>
      </w:r>
      <w:r w:rsidR="00384EAA" w:rsidRPr="00B124B4">
        <w:t>s</w:t>
      </w:r>
      <w:r w:rsidRPr="00B124B4">
        <w:t xml:space="preserve"> for registered, employed, clinicians and those working in </w:t>
      </w:r>
      <w:r w:rsidR="0091123C">
        <w:t>O&amp;G</w:t>
      </w:r>
      <w:r w:rsidRPr="00B124B4">
        <w:t xml:space="preserve">. </w:t>
      </w:r>
      <w:r w:rsidR="00F33DC9">
        <w:t xml:space="preserve">From the peak </w:t>
      </w:r>
      <w:r w:rsidR="0095133B">
        <w:t xml:space="preserve">age group </w:t>
      </w:r>
      <w:r w:rsidR="00E80407">
        <w:t>(45-49 years)</w:t>
      </w:r>
      <w:r w:rsidR="0095133B">
        <w:t xml:space="preserve"> a </w:t>
      </w:r>
      <w:r w:rsidR="00F33DC9">
        <w:t>steady decline</w:t>
      </w:r>
      <w:r w:rsidR="00E80407">
        <w:t xml:space="preserve"> begins</w:t>
      </w:r>
      <w:r w:rsidR="00F33DC9">
        <w:t xml:space="preserve"> in the number of O&amp;G specialists reducing significantly beyond </w:t>
      </w:r>
      <w:r w:rsidR="00E668F8">
        <w:t>75</w:t>
      </w:r>
      <w:r w:rsidR="0095133B">
        <w:t xml:space="preserve">+ </w:t>
      </w:r>
      <w:r w:rsidR="00E668F8">
        <w:t>years of age.</w:t>
      </w:r>
      <w:bookmarkStart w:id="29" w:name="_Ref442258938"/>
      <w:bookmarkStart w:id="30" w:name="_Toc442268268"/>
    </w:p>
    <w:p w:rsidR="006F7BED" w:rsidRPr="00AE71AD" w:rsidRDefault="006F7BED" w:rsidP="0088752F">
      <w:pPr>
        <w:pStyle w:val="Caption"/>
        <w:rPr>
          <w:szCs w:val="22"/>
        </w:rPr>
      </w:pPr>
      <w:bookmarkStart w:id="31" w:name="_Toc515888806"/>
      <w:r w:rsidRPr="00AE71AD">
        <w:rPr>
          <w:szCs w:val="22"/>
        </w:rPr>
        <w:t>Figure</w:t>
      </w:r>
      <w:r w:rsidR="00BB653F">
        <w:rPr>
          <w:szCs w:val="22"/>
        </w:rPr>
        <w:t xml:space="preserv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2</w:t>
      </w:r>
      <w:r w:rsidR="008C16B5">
        <w:rPr>
          <w:szCs w:val="22"/>
        </w:rPr>
        <w:fldChar w:fldCharType="end"/>
      </w:r>
      <w:bookmarkEnd w:id="29"/>
      <w:r w:rsidR="00BE4867">
        <w:rPr>
          <w:szCs w:val="22"/>
        </w:rPr>
        <w:t>:</w:t>
      </w:r>
      <w:r w:rsidR="00836B0F">
        <w:rPr>
          <w:szCs w:val="22"/>
        </w:rPr>
        <w:t xml:space="preserve"> </w:t>
      </w:r>
      <w:r w:rsidRPr="00AE71AD">
        <w:rPr>
          <w:szCs w:val="22"/>
        </w:rPr>
        <w:t xml:space="preserve">Comparison of </w:t>
      </w:r>
      <w:r w:rsidR="0091123C">
        <w:rPr>
          <w:szCs w:val="22"/>
        </w:rPr>
        <w:t xml:space="preserve">O&amp;G </w:t>
      </w:r>
      <w:r w:rsidR="004C1856">
        <w:rPr>
          <w:szCs w:val="22"/>
        </w:rPr>
        <w:t>specialist</w:t>
      </w:r>
      <w:r w:rsidR="0091123C">
        <w:rPr>
          <w:szCs w:val="22"/>
        </w:rPr>
        <w:t>s</w:t>
      </w:r>
      <w:r w:rsidR="00303099">
        <w:rPr>
          <w:szCs w:val="22"/>
        </w:rPr>
        <w:t xml:space="preserve"> </w:t>
      </w:r>
      <w:r w:rsidRPr="00AE71AD">
        <w:rPr>
          <w:szCs w:val="22"/>
        </w:rPr>
        <w:t xml:space="preserve">that are registered, employed, working in </w:t>
      </w:r>
      <w:r w:rsidR="0091123C">
        <w:rPr>
          <w:szCs w:val="22"/>
        </w:rPr>
        <w:t>O&amp;G</w:t>
      </w:r>
      <w:r w:rsidRPr="00AE71AD">
        <w:rPr>
          <w:szCs w:val="22"/>
        </w:rPr>
        <w:t>, clinicians (headcount) by age group</w:t>
      </w:r>
      <w:bookmarkEnd w:id="30"/>
      <w:bookmarkEnd w:id="31"/>
    </w:p>
    <w:p w:rsidR="00371104" w:rsidRPr="000F4F2D" w:rsidRDefault="003D26F1" w:rsidP="000F4F2D">
      <w:pPr>
        <w:spacing w:before="0" w:after="0"/>
        <w:rPr>
          <w:rFonts w:eastAsia="Calibri"/>
          <w:i/>
          <w:color w:val="4F81BD" w:themeColor="accent1"/>
          <w:sz w:val="16"/>
          <w:szCs w:val="16"/>
        </w:rPr>
      </w:pPr>
      <w:r>
        <w:rPr>
          <w:rFonts w:eastAsia="Calibri"/>
          <w:i/>
          <w:noProof/>
          <w:color w:val="4F81BD" w:themeColor="accent1"/>
          <w:sz w:val="16"/>
          <w:szCs w:val="16"/>
          <w:lang w:eastAsia="en-AU"/>
        </w:rPr>
        <w:drawing>
          <wp:inline distT="0" distB="0" distL="0" distR="0" wp14:anchorId="3B84F21E" wp14:editId="76493001">
            <wp:extent cx="5547995" cy="2042160"/>
            <wp:effectExtent l="0" t="0" r="0" b="0"/>
            <wp:docPr id="295" name="Picture 295" descr="The head count for all categories increased in early age groups, peaking in the 45-49 age group.  There was a gradual decline for each following age group.  From 75 years onwards workforce numbers were minimal." title="Figure 2: Comparison of obstetrics and gynaecology specialists that are registered, employed, working in obstetrics and gynaecology, clinicians (headcoun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2042160"/>
                    </a:xfrm>
                    <a:prstGeom prst="rect">
                      <a:avLst/>
                    </a:prstGeom>
                    <a:noFill/>
                  </pic:spPr>
                </pic:pic>
              </a:graphicData>
            </a:graphic>
          </wp:inline>
        </w:drawing>
      </w:r>
      <w:r w:rsidR="00371104" w:rsidRPr="000F4F2D">
        <w:rPr>
          <w:rFonts w:eastAsia="Calibri"/>
          <w:i/>
          <w:color w:val="4F81BD" w:themeColor="accent1"/>
          <w:sz w:val="16"/>
          <w:szCs w:val="16"/>
        </w:rPr>
        <w:t xml:space="preserve">Source: </w:t>
      </w:r>
      <w:r w:rsidR="00061DEC" w:rsidRPr="000F4F2D">
        <w:rPr>
          <w:rFonts w:eastAsia="Calibri"/>
          <w:i/>
          <w:color w:val="4F81BD" w:themeColor="accent1"/>
          <w:sz w:val="16"/>
          <w:szCs w:val="16"/>
        </w:rPr>
        <w:t>NHWDS, Medical Practitioner 2016</w:t>
      </w:r>
    </w:p>
    <w:p w:rsidR="00371104" w:rsidRDefault="00745510" w:rsidP="00544360">
      <w:r w:rsidRPr="00B124B4">
        <w:lastRenderedPageBreak/>
        <w:t xml:space="preserve">The gender distribution of </w:t>
      </w:r>
      <w:r w:rsidR="00B124B4">
        <w:t xml:space="preserve">the </w:t>
      </w:r>
      <w:r w:rsidR="0091123C">
        <w:t>O&amp;G</w:t>
      </w:r>
      <w:r w:rsidR="00B124B4">
        <w:t xml:space="preserve"> workforce</w:t>
      </w:r>
      <w:r w:rsidR="004628E8" w:rsidRPr="00B124B4">
        <w:t xml:space="preserve"> </w:t>
      </w:r>
      <w:r w:rsidR="00466C7E" w:rsidRPr="00B124B4">
        <w:t>(</w:t>
      </w:r>
      <w:r w:rsidR="00466C7E" w:rsidRPr="00B124B4">
        <w:fldChar w:fldCharType="begin"/>
      </w:r>
      <w:r w:rsidR="00466C7E" w:rsidRPr="00B124B4">
        <w:instrText xml:space="preserve"> REF _Ref442258959 \h </w:instrText>
      </w:r>
      <w:r w:rsidR="00A92FD3" w:rsidRPr="00B124B4">
        <w:instrText xml:space="preserve"> \* MERGEFORMAT </w:instrText>
      </w:r>
      <w:r w:rsidR="00466C7E" w:rsidRPr="00B124B4">
        <w:fldChar w:fldCharType="separate"/>
      </w:r>
      <w:r w:rsidR="008C7087" w:rsidRPr="008C7087">
        <w:t>Figure 3</w:t>
      </w:r>
      <w:r w:rsidR="00466C7E" w:rsidRPr="00B124B4">
        <w:fldChar w:fldCharType="end"/>
      </w:r>
      <w:r w:rsidR="00466C7E" w:rsidRPr="00B124B4">
        <w:t xml:space="preserve">) </w:t>
      </w:r>
      <w:r w:rsidR="000B0793">
        <w:t xml:space="preserve">shows that </w:t>
      </w:r>
      <w:r w:rsidR="00930A26">
        <w:t>just over half</w:t>
      </w:r>
      <w:r w:rsidR="00494178">
        <w:t xml:space="preserve"> (</w:t>
      </w:r>
      <w:r w:rsidR="0091123C">
        <w:t>approx</w:t>
      </w:r>
      <w:r w:rsidR="00E668F8">
        <w:t xml:space="preserve">imately </w:t>
      </w:r>
      <w:r w:rsidR="009B7CF1">
        <w:t>5</w:t>
      </w:r>
      <w:r w:rsidR="00E668F8">
        <w:t>6 per cent</w:t>
      </w:r>
      <w:r w:rsidR="000B0793">
        <w:t>)</w:t>
      </w:r>
      <w:r w:rsidR="00FC7A1D" w:rsidRPr="00B124B4">
        <w:t>,</w:t>
      </w:r>
      <w:r w:rsidR="004628E8" w:rsidRPr="00B124B4">
        <w:t xml:space="preserve"> are male across </w:t>
      </w:r>
      <w:r w:rsidR="00FC7A1D" w:rsidRPr="00B124B4">
        <w:t>all groups:</w:t>
      </w:r>
      <w:r w:rsidR="004628E8" w:rsidRPr="00B124B4">
        <w:t xml:space="preserve"> registered, employed, clinicians and those working in the field.</w:t>
      </w:r>
    </w:p>
    <w:p w:rsidR="00E37497" w:rsidRPr="00AE71AD" w:rsidRDefault="00E37497" w:rsidP="0088752F">
      <w:pPr>
        <w:pStyle w:val="Caption"/>
        <w:rPr>
          <w:szCs w:val="22"/>
        </w:rPr>
      </w:pPr>
      <w:bookmarkStart w:id="32" w:name="_Ref442258959"/>
      <w:bookmarkStart w:id="33" w:name="_Toc442268269"/>
      <w:bookmarkStart w:id="34" w:name="_Toc515888807"/>
      <w:r w:rsidRPr="00AE71AD">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3</w:t>
      </w:r>
      <w:r w:rsidR="008C16B5">
        <w:rPr>
          <w:szCs w:val="22"/>
        </w:rPr>
        <w:fldChar w:fldCharType="end"/>
      </w:r>
      <w:bookmarkEnd w:id="32"/>
      <w:r w:rsidR="00BE4867">
        <w:rPr>
          <w:szCs w:val="22"/>
        </w:rPr>
        <w:t>:</w:t>
      </w:r>
      <w:r w:rsidR="00C06590">
        <w:rPr>
          <w:szCs w:val="22"/>
        </w:rPr>
        <w:t xml:space="preserve"> </w:t>
      </w:r>
      <w:r w:rsidRPr="00AE71AD">
        <w:rPr>
          <w:szCs w:val="22"/>
        </w:rPr>
        <w:t xml:space="preserve">Gender distribution of </w:t>
      </w:r>
      <w:r w:rsidR="0091123C">
        <w:rPr>
          <w:szCs w:val="22"/>
        </w:rPr>
        <w:t>O&amp;G</w:t>
      </w:r>
      <w:r w:rsidRPr="00AE71AD">
        <w:rPr>
          <w:szCs w:val="22"/>
        </w:rPr>
        <w:t xml:space="preserve"> workfor</w:t>
      </w:r>
      <w:r w:rsidR="0064027C" w:rsidRPr="00AE71AD">
        <w:rPr>
          <w:szCs w:val="22"/>
        </w:rPr>
        <w:t>ce</w:t>
      </w:r>
      <w:bookmarkEnd w:id="33"/>
      <w:bookmarkEnd w:id="34"/>
    </w:p>
    <w:p w:rsidR="006C3E7A" w:rsidRDefault="00C20D65" w:rsidP="00012887">
      <w:pPr>
        <w:rPr>
          <w:rFonts w:eastAsia="Calibri"/>
        </w:rPr>
      </w:pPr>
      <w:r>
        <w:rPr>
          <w:rFonts w:eastAsia="Calibri"/>
          <w:noProof/>
          <w:lang w:eastAsia="en-AU"/>
        </w:rPr>
        <w:drawing>
          <wp:inline distT="0" distB="0" distL="0" distR="0" wp14:anchorId="70C37EA9" wp14:editId="16DF139B">
            <wp:extent cx="5541645" cy="2414270"/>
            <wp:effectExtent l="0" t="0" r="1905" b="5080"/>
            <wp:docPr id="304" name="Picture 304" descr="The gender distribution of the obstetrics and gynaecology workforce shows that just over half, are male across all groups: registered, employed, clinicians and those working in the field." title="Figure 3: Gender distribution of obstetrics and gynaecolog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r w:rsidR="006C3E7A" w:rsidRPr="00634696">
        <w:rPr>
          <w:rFonts w:eastAsia="Calibri"/>
          <w:i/>
          <w:color w:val="4F81BD"/>
          <w:sz w:val="16"/>
          <w:szCs w:val="16"/>
        </w:rPr>
        <w:t xml:space="preserve">Source: </w:t>
      </w:r>
      <w:r w:rsidR="00061DEC" w:rsidRPr="00634696">
        <w:rPr>
          <w:rFonts w:eastAsia="Calibri"/>
          <w:i/>
          <w:color w:val="4F81BD"/>
          <w:sz w:val="16"/>
          <w:szCs w:val="16"/>
        </w:rPr>
        <w:t>NHWDS, Medical Practitioner 2016</w:t>
      </w:r>
    </w:p>
    <w:p w:rsidR="009256B5" w:rsidRPr="00577982" w:rsidRDefault="009256B5" w:rsidP="002A6D47">
      <w:pPr>
        <w:pStyle w:val="Heading2"/>
      </w:pPr>
      <w:bookmarkStart w:id="35" w:name="_Toc521510444"/>
      <w:r w:rsidRPr="00577982">
        <w:t>Growth</w:t>
      </w:r>
      <w:bookmarkEnd w:id="35"/>
    </w:p>
    <w:p w:rsidR="0060033A" w:rsidRPr="00B124B4" w:rsidRDefault="00466C7E" w:rsidP="00544360">
      <w:r w:rsidRPr="00B124B4">
        <w:fldChar w:fldCharType="begin"/>
      </w:r>
      <w:r w:rsidRPr="00B124B4">
        <w:instrText xml:space="preserve"> REF _Ref442258981 \h </w:instrText>
      </w:r>
      <w:r w:rsidR="00A92FD3" w:rsidRPr="00B124B4">
        <w:instrText xml:space="preserve"> \* MERGEFORMAT </w:instrText>
      </w:r>
      <w:r w:rsidRPr="00B124B4">
        <w:fldChar w:fldCharType="separate"/>
      </w:r>
      <w:r w:rsidR="008C7087" w:rsidRPr="008C7087">
        <w:t>Figure 4</w:t>
      </w:r>
      <w:r w:rsidRPr="00B124B4">
        <w:fldChar w:fldCharType="end"/>
      </w:r>
      <w:r w:rsidRPr="00B124B4">
        <w:t xml:space="preserve"> shows that the</w:t>
      </w:r>
      <w:r w:rsidR="0060033A" w:rsidRPr="00B124B4">
        <w:t xml:space="preserve"> number of employed </w:t>
      </w:r>
      <w:r w:rsidR="0091123C">
        <w:t xml:space="preserve">O&amp;G </w:t>
      </w:r>
      <w:r w:rsidR="002B5B5E">
        <w:t>specialist</w:t>
      </w:r>
      <w:r w:rsidR="0091123C">
        <w:t>s</w:t>
      </w:r>
      <w:r w:rsidR="002B5B5E">
        <w:t xml:space="preserve"> </w:t>
      </w:r>
      <w:r w:rsidR="0060033A" w:rsidRPr="00B124B4">
        <w:t>has grown over the years (</w:t>
      </w:r>
      <w:r w:rsidR="00FC7A1D" w:rsidRPr="00B124B4">
        <w:t xml:space="preserve">average annual growth of </w:t>
      </w:r>
      <w:r w:rsidR="004450FD">
        <w:t>4.77</w:t>
      </w:r>
      <w:r w:rsidR="00560253" w:rsidRPr="00B124B4">
        <w:t xml:space="preserve"> per</w:t>
      </w:r>
      <w:r w:rsidR="00C65FC7">
        <w:t xml:space="preserve"> </w:t>
      </w:r>
      <w:r w:rsidR="0060033A" w:rsidRPr="00B124B4">
        <w:t xml:space="preserve">cent), with female </w:t>
      </w:r>
      <w:r w:rsidR="0091123C">
        <w:t xml:space="preserve">O&amp;G specialists </w:t>
      </w:r>
      <w:r w:rsidR="0060033A" w:rsidRPr="00B124B4">
        <w:t xml:space="preserve">experiencing the largest growth over the last </w:t>
      </w:r>
      <w:r w:rsidR="002B5B5E">
        <w:t>four</w:t>
      </w:r>
      <w:r w:rsidR="00560253" w:rsidRPr="00B124B4">
        <w:t xml:space="preserve"> years – at a</w:t>
      </w:r>
      <w:r w:rsidR="00FC7A1D" w:rsidRPr="00B124B4">
        <w:t>n average annual</w:t>
      </w:r>
      <w:r w:rsidR="00560253" w:rsidRPr="00B124B4">
        <w:t xml:space="preserve"> rate of </w:t>
      </w:r>
      <w:r w:rsidR="004450FD">
        <w:t>8.29</w:t>
      </w:r>
      <w:r w:rsidR="00560253" w:rsidRPr="00B124B4">
        <w:t xml:space="preserve"> per</w:t>
      </w:r>
      <w:r w:rsidR="00C65FC7">
        <w:t xml:space="preserve"> </w:t>
      </w:r>
      <w:r w:rsidR="0060033A" w:rsidRPr="00B124B4">
        <w:t xml:space="preserve">cent, while males have only </w:t>
      </w:r>
      <w:r w:rsidR="00DE1925">
        <w:t>increased by</w:t>
      </w:r>
      <w:r w:rsidR="0060033A" w:rsidRPr="00B124B4">
        <w:t xml:space="preserve"> </w:t>
      </w:r>
      <w:r w:rsidR="004450FD">
        <w:t>0.7</w:t>
      </w:r>
      <w:r w:rsidR="0060033A" w:rsidRPr="00B124B4">
        <w:t xml:space="preserve"> per</w:t>
      </w:r>
      <w:r w:rsidR="00C65FC7">
        <w:t xml:space="preserve"> </w:t>
      </w:r>
      <w:r w:rsidR="0060033A" w:rsidRPr="00B124B4">
        <w:t>cent</w:t>
      </w:r>
      <w:r w:rsidR="00FC7A1D" w:rsidRPr="00B124B4">
        <w:t xml:space="preserve"> (average annual growth)</w:t>
      </w:r>
      <w:r w:rsidR="0060033A" w:rsidRPr="00B124B4">
        <w:t xml:space="preserve">. </w:t>
      </w:r>
      <w:r w:rsidR="00B124B4">
        <w:t>T</w:t>
      </w:r>
      <w:r w:rsidR="0060033A" w:rsidRPr="00B124B4">
        <w:t xml:space="preserve">he proportion of females has </w:t>
      </w:r>
      <w:r w:rsidR="00DE1925">
        <w:t>increased</w:t>
      </w:r>
      <w:r w:rsidR="00B124B4">
        <w:t xml:space="preserve"> from </w:t>
      </w:r>
      <w:r w:rsidR="0091123C">
        <w:t>36</w:t>
      </w:r>
      <w:r w:rsidR="00B124B4">
        <w:t xml:space="preserve"> per</w:t>
      </w:r>
      <w:r w:rsidR="00C65FC7">
        <w:t xml:space="preserve"> </w:t>
      </w:r>
      <w:r w:rsidR="00B124B4">
        <w:t>cent</w:t>
      </w:r>
      <w:r w:rsidR="00494178">
        <w:t xml:space="preserve"> in 2011 </w:t>
      </w:r>
      <w:r w:rsidR="00B124B4">
        <w:t xml:space="preserve">to </w:t>
      </w:r>
      <w:r w:rsidR="0091123C">
        <w:t>4</w:t>
      </w:r>
      <w:r w:rsidR="00C65FC7">
        <w:t>4</w:t>
      </w:r>
      <w:r w:rsidR="00B124B4">
        <w:t xml:space="preserve"> per</w:t>
      </w:r>
      <w:r w:rsidR="00C65FC7">
        <w:t xml:space="preserve"> </w:t>
      </w:r>
      <w:r w:rsidR="00B124B4">
        <w:t>cent</w:t>
      </w:r>
      <w:r w:rsidR="0060033A" w:rsidRPr="00B124B4">
        <w:t xml:space="preserve"> </w:t>
      </w:r>
      <w:r w:rsidR="00494178">
        <w:t>in</w:t>
      </w:r>
      <w:r w:rsidR="00EF3FA5" w:rsidRPr="00B124B4">
        <w:t xml:space="preserve"> </w:t>
      </w:r>
      <w:r w:rsidR="00384EAA" w:rsidRPr="00B124B4">
        <w:t>201</w:t>
      </w:r>
      <w:r w:rsidR="00C65FC7">
        <w:t>6</w:t>
      </w:r>
      <w:r w:rsidR="0060033A" w:rsidRPr="00B124B4">
        <w:t>.</w:t>
      </w:r>
    </w:p>
    <w:p w:rsidR="0060033A" w:rsidRPr="00D90ADE" w:rsidRDefault="0060033A" w:rsidP="00544360">
      <w:pPr>
        <w:pStyle w:val="Caption"/>
        <w:keepNext/>
        <w:rPr>
          <w:szCs w:val="22"/>
        </w:rPr>
      </w:pPr>
      <w:bookmarkStart w:id="36" w:name="_Ref442258981"/>
      <w:bookmarkStart w:id="37" w:name="_Toc442268270"/>
      <w:bookmarkStart w:id="38" w:name="_Toc515888808"/>
      <w:r w:rsidRPr="00D90ADE">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4</w:t>
      </w:r>
      <w:r w:rsidR="008C16B5">
        <w:rPr>
          <w:szCs w:val="22"/>
        </w:rPr>
        <w:fldChar w:fldCharType="end"/>
      </w:r>
      <w:bookmarkEnd w:id="36"/>
      <w:r w:rsidR="003B5254">
        <w:rPr>
          <w:szCs w:val="22"/>
        </w:rPr>
        <w:t>:</w:t>
      </w:r>
      <w:r w:rsidR="00C06590" w:rsidRPr="00D90ADE">
        <w:rPr>
          <w:szCs w:val="22"/>
        </w:rPr>
        <w:t xml:space="preserve"> </w:t>
      </w:r>
      <w:r w:rsidRPr="00D90ADE">
        <w:rPr>
          <w:szCs w:val="22"/>
        </w:rPr>
        <w:t xml:space="preserve">Employed </w:t>
      </w:r>
      <w:r w:rsidR="009D2938">
        <w:rPr>
          <w:szCs w:val="22"/>
        </w:rPr>
        <w:t xml:space="preserve">O&amp;G </w:t>
      </w:r>
      <w:r w:rsidR="002B5B5E">
        <w:rPr>
          <w:szCs w:val="22"/>
        </w:rPr>
        <w:t>specialist</w:t>
      </w:r>
      <w:r w:rsidR="009D2938">
        <w:rPr>
          <w:szCs w:val="22"/>
        </w:rPr>
        <w:t>s</w:t>
      </w:r>
      <w:r w:rsidR="002B5B5E">
        <w:rPr>
          <w:szCs w:val="22"/>
        </w:rPr>
        <w:t xml:space="preserve"> </w:t>
      </w:r>
      <w:r w:rsidR="007C1F45">
        <w:rPr>
          <w:szCs w:val="22"/>
        </w:rPr>
        <w:t>by gender, 2011</w:t>
      </w:r>
      <w:r w:rsidR="0064027C" w:rsidRPr="00D90ADE">
        <w:rPr>
          <w:szCs w:val="22"/>
        </w:rPr>
        <w:t xml:space="preserve"> to 201</w:t>
      </w:r>
      <w:bookmarkEnd w:id="37"/>
      <w:r w:rsidR="00F7694E">
        <w:rPr>
          <w:szCs w:val="22"/>
        </w:rPr>
        <w:t>6</w:t>
      </w:r>
      <w:bookmarkEnd w:id="38"/>
    </w:p>
    <w:p w:rsidR="00426E94" w:rsidRPr="00C46A59" w:rsidRDefault="00AC139A" w:rsidP="00C46A59">
      <w:pPr>
        <w:rPr>
          <w:i/>
          <w:color w:val="4F81BD"/>
          <w:sz w:val="16"/>
          <w:szCs w:val="16"/>
        </w:rPr>
      </w:pPr>
      <w:r>
        <w:rPr>
          <w:noProof/>
          <w:lang w:eastAsia="en-AU"/>
        </w:rPr>
        <w:drawing>
          <wp:inline distT="0" distB="0" distL="0" distR="0" wp14:anchorId="06FFDEAE" wp14:editId="210E639F">
            <wp:extent cx="5541645" cy="2414270"/>
            <wp:effectExtent l="0" t="0" r="1905" b="5080"/>
            <wp:docPr id="305" name="Picture 305" descr="The total number of employed obstetrics and gynaecology specialists increased between 2011 and 2016.  Female obstetrics and gynaecology specialists experienced the largest growth over the last four years. The number of male obstetrics and gynaecology specialists has stagnated." title="Figure 4: Employed obstetrics and gynaecology specialists by gender, 201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r w:rsidR="0060033A" w:rsidRPr="00012887">
        <w:rPr>
          <w:i/>
          <w:color w:val="4F81BD"/>
          <w:sz w:val="16"/>
          <w:szCs w:val="16"/>
        </w:rPr>
        <w:t>Sources: NHWDS: medical practitioners 2011 to 201</w:t>
      </w:r>
      <w:r w:rsidR="00061DEC" w:rsidRPr="00012887">
        <w:rPr>
          <w:i/>
          <w:color w:val="4F81BD"/>
          <w:sz w:val="16"/>
          <w:szCs w:val="16"/>
        </w:rPr>
        <w:t>6</w:t>
      </w:r>
      <w:bookmarkStart w:id="39" w:name="_Toc521510445"/>
    </w:p>
    <w:p w:rsidR="00692C47" w:rsidRDefault="00692C47" w:rsidP="00C46A59">
      <w:pPr>
        <w:pStyle w:val="Heading2"/>
        <w:spacing w:after="0"/>
      </w:pPr>
      <w:r w:rsidRPr="00A55DF1">
        <w:t>Current specialist clinicians</w:t>
      </w:r>
      <w:bookmarkEnd w:id="39"/>
    </w:p>
    <w:p w:rsidR="0032497B" w:rsidRPr="00577982" w:rsidRDefault="007C1F45" w:rsidP="00577982">
      <w:pPr>
        <w:pStyle w:val="Heading3"/>
        <w:spacing w:before="120"/>
      </w:pPr>
      <w:r w:rsidRPr="00577982">
        <w:t>All</w:t>
      </w:r>
      <w:r w:rsidR="0032497B" w:rsidRPr="00577982">
        <w:t xml:space="preserve"> </w:t>
      </w:r>
      <w:r w:rsidR="00F17C93" w:rsidRPr="00577982">
        <w:t>O&amp;G specialists</w:t>
      </w:r>
      <w:r w:rsidRPr="00577982">
        <w:t xml:space="preserve"> (</w:t>
      </w:r>
      <w:r w:rsidR="00F17C93" w:rsidRPr="00577982">
        <w:t>including</w:t>
      </w:r>
      <w:r w:rsidRPr="00577982">
        <w:t xml:space="preserve"> subspecialists)</w:t>
      </w:r>
    </w:p>
    <w:p w:rsidR="00C46A59" w:rsidRDefault="009E3319" w:rsidP="00544360">
      <w:r>
        <w:t>Accord</w:t>
      </w:r>
      <w:r w:rsidR="00D5377A">
        <w:t>ing to the 201</w:t>
      </w:r>
      <w:r w:rsidR="00E80407">
        <w:t>6</w:t>
      </w:r>
      <w:r>
        <w:t xml:space="preserve"> NHWDS, there were </w:t>
      </w:r>
      <w:r w:rsidR="009D2938">
        <w:t>1</w:t>
      </w:r>
      <w:r w:rsidR="00E80407">
        <w:t>,</w:t>
      </w:r>
      <w:r w:rsidR="00A55DF1">
        <w:t>742</w:t>
      </w:r>
      <w:r>
        <w:t xml:space="preserve"> </w:t>
      </w:r>
      <w:r w:rsidR="009D2938">
        <w:t xml:space="preserve">O&amp;G </w:t>
      </w:r>
      <w:r w:rsidR="0017704E">
        <w:t>specialist</w:t>
      </w:r>
      <w:r w:rsidR="009D2938">
        <w:t>s</w:t>
      </w:r>
      <w:r w:rsidR="007C1F45">
        <w:t xml:space="preserve"> and subspecialists</w:t>
      </w:r>
      <w:r w:rsidR="009D2938">
        <w:t xml:space="preserve"> </w:t>
      </w:r>
      <w:r>
        <w:t>who indicated they were employed and working as clinicians (</w:t>
      </w:r>
      <w:r w:rsidR="00472829">
        <w:t>O&amp;G</w:t>
      </w:r>
      <w:r w:rsidR="004628E8" w:rsidRPr="00380E28">
        <w:t xml:space="preserve"> workforce</w:t>
      </w:r>
      <w:r>
        <w:t>) with the following characteristics</w:t>
      </w:r>
      <w:r w:rsidR="00E646B5">
        <w:t>:</w:t>
      </w:r>
    </w:p>
    <w:p w:rsidR="00C46A59" w:rsidRDefault="00C46A59">
      <w:pPr>
        <w:spacing w:before="0" w:after="0"/>
        <w:jc w:val="left"/>
      </w:pPr>
      <w:r>
        <w:br w:type="page"/>
      </w:r>
    </w:p>
    <w:p w:rsidR="00D46E0D" w:rsidRDefault="001E6BAA" w:rsidP="001E6BAA">
      <w:pPr>
        <w:pStyle w:val="Caption"/>
        <w:rPr>
          <w:lang w:eastAsia="en-AU"/>
        </w:rPr>
      </w:pPr>
      <w:bookmarkStart w:id="40" w:name="_Toc442268271"/>
      <w:bookmarkStart w:id="41" w:name="_Toc515888809"/>
      <w:r w:rsidRPr="00F23728">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w:t>
      </w:r>
      <w:r w:rsidR="00556A17">
        <w:rPr>
          <w:noProof/>
        </w:rPr>
        <w:fldChar w:fldCharType="end"/>
      </w:r>
      <w:r w:rsidR="00F17C93">
        <w:t>:</w:t>
      </w:r>
      <w:r w:rsidR="00C06590">
        <w:t xml:space="preserve"> </w:t>
      </w:r>
      <w:r w:rsidRPr="00F23728">
        <w:t xml:space="preserve">Demographics of the </w:t>
      </w:r>
      <w:r w:rsidR="007C1F45">
        <w:t>O&amp;G</w:t>
      </w:r>
      <w:r w:rsidRPr="00F23728">
        <w:t xml:space="preserve"> workforce</w:t>
      </w:r>
      <w:bookmarkEnd w:id="40"/>
      <w:bookmarkEnd w:id="41"/>
    </w:p>
    <w:p w:rsidR="00DA294F" w:rsidRDefault="00DA294F" w:rsidP="00DA294F">
      <w:pPr>
        <w:spacing w:before="0" w:after="0"/>
        <w:jc w:val="left"/>
        <w:rPr>
          <w:rFonts w:eastAsia="Calibri"/>
          <w:i/>
          <w:color w:val="4F81BD" w:themeColor="accent1"/>
          <w:sz w:val="16"/>
        </w:rPr>
      </w:pPr>
      <w:r>
        <w:rPr>
          <w:rFonts w:eastAsia="Calibri"/>
          <w:i/>
          <w:noProof/>
          <w:color w:val="4F81BD" w:themeColor="accent1"/>
          <w:sz w:val="16"/>
          <w:lang w:eastAsia="en-AU"/>
        </w:rPr>
        <w:drawing>
          <wp:inline distT="0" distB="0" distL="0" distR="0" wp14:anchorId="40109D42" wp14:editId="586DC64A">
            <wp:extent cx="4450715" cy="2767965"/>
            <wp:effectExtent l="0" t="0" r="0" b="0"/>
            <wp:docPr id="306" name="Picture 306" descr="The average age of obstetrics and gynaecology specialists was 52 years.&#10;There were 45% of obstetrics and gynaecology specialists who were female.&#10;Obstetrics and gynaecology specialists averaged 45.7 total specialist hours, with females working 44.8 specialist hours.&#10;Obstetrics and gynaecology specialists aged 55 years and over represent 37% of the workforce, and tend to work 43.0 hours.&#10;There were 57% of obstetrics and gynaecology specialists located in NSW and VIC.&#10;There were 82% of obstetrics and gynaecology specialists located in Modified Monash Model Area 1.&#10;There were 36% of obstetrics and gynaecology specialists working in the public sector." title="Figure 5: Demographics of the obstetrics and gynaecolog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715" cy="2767965"/>
                    </a:xfrm>
                    <a:prstGeom prst="rect">
                      <a:avLst/>
                    </a:prstGeom>
                    <a:noFill/>
                  </pic:spPr>
                </pic:pic>
              </a:graphicData>
            </a:graphic>
          </wp:inline>
        </w:drawing>
      </w:r>
    </w:p>
    <w:p w:rsidR="000522FE" w:rsidRPr="003B5254" w:rsidRDefault="00E934E0" w:rsidP="00A55DF1">
      <w:pPr>
        <w:spacing w:before="0" w:after="0"/>
        <w:ind w:left="720"/>
        <w:rPr>
          <w:rFonts w:eastAsia="Calibri"/>
          <w:i/>
          <w:color w:val="4F81BD" w:themeColor="accent1"/>
          <w:sz w:val="16"/>
        </w:rPr>
      </w:pPr>
      <w:r w:rsidRPr="003B5254">
        <w:rPr>
          <w:rFonts w:eastAsia="Calibri"/>
          <w:i/>
          <w:color w:val="4F81BD" w:themeColor="accent1"/>
          <w:sz w:val="16"/>
        </w:rPr>
        <w:t>Source:</w:t>
      </w:r>
      <w:r w:rsidR="00FF6456" w:rsidRPr="003B5254">
        <w:rPr>
          <w:rFonts w:eastAsia="Calibri"/>
          <w:i/>
          <w:color w:val="4F81BD" w:themeColor="accent1"/>
          <w:sz w:val="16"/>
        </w:rPr>
        <w:t xml:space="preserve"> </w:t>
      </w:r>
      <w:bookmarkStart w:id="42" w:name="_Ref455568508"/>
      <w:r w:rsidR="00061DEC">
        <w:rPr>
          <w:rFonts w:eastAsia="Calibri"/>
          <w:i/>
          <w:color w:val="4F81BD" w:themeColor="accent1"/>
          <w:sz w:val="16"/>
        </w:rPr>
        <w:t>NHWDS, Medical Practitioner 2016</w:t>
      </w:r>
    </w:p>
    <w:p w:rsidR="00A02039" w:rsidRPr="00023E29" w:rsidRDefault="00A02039" w:rsidP="00F17C93">
      <w:pPr>
        <w:pStyle w:val="Heading3"/>
      </w:pPr>
      <w:r w:rsidRPr="00023E29">
        <w:t>Distribution</w:t>
      </w:r>
      <w:bookmarkEnd w:id="42"/>
    </w:p>
    <w:p w:rsidR="00A55DF1" w:rsidRDefault="00A55DF1" w:rsidP="00A55DF1">
      <w:r w:rsidRPr="00380E28">
        <w:t xml:space="preserve">The </w:t>
      </w:r>
      <w:r>
        <w:t>previous</w:t>
      </w:r>
      <w:r w:rsidRPr="00380E28">
        <w:t xml:space="preserve"> </w:t>
      </w:r>
      <w:r>
        <w:t xml:space="preserve">geographic distribution </w:t>
      </w:r>
      <w:r w:rsidRPr="00380E28">
        <w:t xml:space="preserve">classification system was based on the Australian Standard Geographical Classification – Remoteness Area (ASGC-RA) system. </w:t>
      </w:r>
      <w:r>
        <w:t>T</w:t>
      </w:r>
      <w:r w:rsidRPr="00380E28">
        <w:t xml:space="preserve">he Australian Bureau of Statistics (ABS) has </w:t>
      </w:r>
      <w:r>
        <w:t xml:space="preserve">now replaced </w:t>
      </w:r>
      <w:r w:rsidR="004868FF">
        <w:t xml:space="preserve">with </w:t>
      </w:r>
      <w:r>
        <w:t xml:space="preserve">ASGC </w:t>
      </w:r>
      <w:r w:rsidRPr="00380E28">
        <w:t>with the Australian Statistical Geography Standard (ASGS). The ASGS uses the latest residential population data to determine the five base</w:t>
      </w:r>
      <w:r>
        <w:t xml:space="preserve"> categories. The </w:t>
      </w:r>
      <w:r w:rsidR="00877EE0">
        <w:t xml:space="preserve">Modified Monash </w:t>
      </w:r>
      <w:r w:rsidR="00877EE0" w:rsidRPr="00BB58A2">
        <w:t>Model</w:t>
      </w:r>
      <w:r w:rsidR="00877EE0">
        <w:t xml:space="preserve"> (MMM)</w:t>
      </w:r>
      <w:r w:rsidR="00877EE0" w:rsidRPr="00BB58A2">
        <w:t xml:space="preserve"> </w:t>
      </w:r>
      <w:r w:rsidRPr="00380E28">
        <w:t>will overlay the ASGS for the purposes of administering some health workforce pr</w:t>
      </w:r>
      <w:r>
        <w:t>ograms</w:t>
      </w:r>
      <w:r w:rsidRPr="00380E28">
        <w:t>.</w:t>
      </w:r>
    </w:p>
    <w:p w:rsidR="00A55DF1" w:rsidRPr="00AE71AD" w:rsidRDefault="00A55DF1" w:rsidP="00A55DF1">
      <w:pPr>
        <w:pStyle w:val="Caption"/>
        <w:keepNext/>
        <w:rPr>
          <w:szCs w:val="22"/>
        </w:rPr>
      </w:pPr>
      <w:bookmarkStart w:id="43" w:name="_Ref442356156"/>
      <w:bookmarkStart w:id="44" w:name="_Ref442259040"/>
      <w:bookmarkStart w:id="45" w:name="_Toc515887823"/>
      <w:r w:rsidRPr="00AE71AD">
        <w:rPr>
          <w:szCs w:val="22"/>
        </w:rPr>
        <w:t xml:space="preserve">Table </w:t>
      </w:r>
      <w:r w:rsidRPr="00AE71AD">
        <w:rPr>
          <w:szCs w:val="22"/>
        </w:rPr>
        <w:fldChar w:fldCharType="begin"/>
      </w:r>
      <w:r w:rsidRPr="00AE71AD">
        <w:rPr>
          <w:szCs w:val="22"/>
        </w:rPr>
        <w:instrText xml:space="preserve"> SEQ Table \* ARABIC </w:instrText>
      </w:r>
      <w:r w:rsidRPr="00AE71AD">
        <w:rPr>
          <w:szCs w:val="22"/>
        </w:rPr>
        <w:fldChar w:fldCharType="separate"/>
      </w:r>
      <w:r w:rsidR="008C7087">
        <w:rPr>
          <w:noProof/>
          <w:szCs w:val="22"/>
        </w:rPr>
        <w:t>2</w:t>
      </w:r>
      <w:r w:rsidRPr="00AE71AD">
        <w:rPr>
          <w:noProof/>
          <w:szCs w:val="22"/>
        </w:rPr>
        <w:fldChar w:fldCharType="end"/>
      </w:r>
      <w:bookmarkEnd w:id="43"/>
      <w:r>
        <w:rPr>
          <w:noProof/>
          <w:szCs w:val="22"/>
        </w:rPr>
        <w:t xml:space="preserve">: </w:t>
      </w:r>
      <w:r w:rsidRPr="00AE71AD">
        <w:rPr>
          <w:szCs w:val="22"/>
        </w:rPr>
        <w:t xml:space="preserve"> Definitions of the Modified Monash </w:t>
      </w:r>
      <w:r w:rsidR="00C60CF0">
        <w:rPr>
          <w:szCs w:val="22"/>
        </w:rPr>
        <w:t xml:space="preserve">Model </w:t>
      </w:r>
      <w:r w:rsidRPr="00AE71AD">
        <w:rPr>
          <w:szCs w:val="22"/>
        </w:rPr>
        <w:t>Categories</w:t>
      </w:r>
      <w:bookmarkEnd w:id="44"/>
      <w:bookmarkEnd w:id="45"/>
    </w:p>
    <w:tbl>
      <w:tblPr>
        <w:tblStyle w:val="LightShading-Accent1"/>
        <w:tblW w:w="4822" w:type="pct"/>
        <w:tblInd w:w="108" w:type="dxa"/>
        <w:tblLook w:val="04A0" w:firstRow="1" w:lastRow="0" w:firstColumn="1" w:lastColumn="0" w:noHBand="0" w:noVBand="1"/>
        <w:tblCaption w:val="Table 2:  Definitions of the Modified Monash Model Categories"/>
        <w:tblDescription w:val="MMM1 - All areas categorised ASGS-RA 1.&#10;MMM2 - Areas categorised ASGS-RA 2 and ASGS-RA 3 that are in, or within 20km road distance, of a town with population &gt;50,000.&#10;MMM3 - Areas categorised ASGS-RA 2 and ASGS-RA 3 that are not in MMM 2 and are in, or within 15km road distance, of a town with population between 15,000 and 50,000.&#10;MMM4 - Areas categorised ASGS-RA 2 and ASGS-RA 3 that are not in MMM 2 or MMM 3, and are in, or within 10km road distance, of a town with population between 5,000 and 15,000.&#10;MMM5 - All other areas in ASGS-RA 2 and 3.&#10;MMM6 - All areas categorised ASGS-RA 4 that are not on a populated island that is separated from the mainland in the ABS geography and is more than 5km offshore.&#10;MMM7 - All other areas – that being ASGS-RA 5 and areas on a populated island that is separated from the mainland in the ABS geography and is more than 5km offshore."/>
      </w:tblPr>
      <w:tblGrid>
        <w:gridCol w:w="1083"/>
        <w:gridCol w:w="7830"/>
      </w:tblGrid>
      <w:tr w:rsidR="00A55DF1" w:rsidRPr="003B5254" w:rsidTr="00AD5C3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41" w:type="pct"/>
            <w:tcBorders>
              <w:top w:val="single" w:sz="4" w:space="0" w:color="auto"/>
              <w:left w:val="single" w:sz="4" w:space="0" w:color="auto"/>
              <w:bottom w:val="single" w:sz="4" w:space="0" w:color="auto"/>
            </w:tcBorders>
            <w:shd w:val="clear" w:color="auto" w:fill="1F497D" w:themeFill="text2"/>
          </w:tcPr>
          <w:p w:rsidR="00A55DF1" w:rsidRPr="003B5254" w:rsidRDefault="00A55DF1" w:rsidP="00AD5C38">
            <w:pPr>
              <w:spacing w:before="0" w:after="0"/>
              <w:jc w:val="center"/>
              <w:rPr>
                <w:color w:val="FFFFFF" w:themeColor="background1"/>
                <w:sz w:val="20"/>
                <w:szCs w:val="18"/>
                <w:lang w:eastAsia="en-AU"/>
              </w:rPr>
            </w:pPr>
            <w:r w:rsidRPr="003B5254">
              <w:rPr>
                <w:color w:val="FFFFFF" w:themeColor="background1"/>
                <w:sz w:val="20"/>
                <w:szCs w:val="18"/>
                <w:lang w:eastAsia="en-AU"/>
              </w:rPr>
              <w:t>MM Category</w:t>
            </w:r>
          </w:p>
        </w:tc>
        <w:tc>
          <w:tcPr>
            <w:tcW w:w="4459" w:type="pct"/>
            <w:tcBorders>
              <w:top w:val="single" w:sz="4" w:space="0" w:color="auto"/>
              <w:bottom w:val="single" w:sz="4" w:space="0" w:color="auto"/>
              <w:right w:val="single" w:sz="4" w:space="0" w:color="auto"/>
            </w:tcBorders>
            <w:shd w:val="clear" w:color="auto" w:fill="1F497D" w:themeFill="text2"/>
          </w:tcPr>
          <w:p w:rsidR="00A55DF1" w:rsidRPr="003B5254" w:rsidRDefault="00A55DF1" w:rsidP="00AD5C38">
            <w:pPr>
              <w:spacing w:before="0" w:after="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8"/>
                <w:lang w:eastAsia="en-AU"/>
              </w:rPr>
            </w:pPr>
            <w:r w:rsidRPr="003B5254">
              <w:rPr>
                <w:noProof/>
                <w:color w:val="FFFFFF" w:themeColor="background1"/>
                <w:sz w:val="20"/>
                <w:szCs w:val="18"/>
                <w:lang w:eastAsia="en-AU"/>
              </w:rPr>
              <w:t>Definition</w:t>
            </w:r>
          </w:p>
        </w:tc>
      </w:tr>
      <w:tr w:rsidR="00A55DF1" w:rsidRPr="00FE4FCE" w:rsidTr="00AD5C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1" w:type="pct"/>
            <w:tcBorders>
              <w:top w:val="single" w:sz="4" w:space="0" w:color="auto"/>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1</w:t>
            </w:r>
          </w:p>
        </w:tc>
        <w:tc>
          <w:tcPr>
            <w:tcW w:w="4459" w:type="pct"/>
            <w:tcBorders>
              <w:top w:val="single" w:sz="4" w:space="0" w:color="auto"/>
              <w:right w:val="single" w:sz="4" w:space="0" w:color="auto"/>
            </w:tcBorders>
          </w:tcPr>
          <w:p w:rsidR="00A55DF1" w:rsidRPr="00FE4FCE" w:rsidRDefault="00A55DF1" w:rsidP="00AD5C38">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areas categorised ASGS-RA</w:t>
            </w:r>
            <w:r w:rsidR="004868FF">
              <w:rPr>
                <w:color w:val="auto"/>
                <w:sz w:val="20"/>
                <w:szCs w:val="18"/>
                <w:lang w:eastAsia="en-AU"/>
              </w:rPr>
              <w:t xml:space="preserve"> </w:t>
            </w:r>
            <w:r w:rsidRPr="00FE4FCE">
              <w:rPr>
                <w:color w:val="auto"/>
                <w:sz w:val="20"/>
                <w:szCs w:val="18"/>
                <w:lang w:eastAsia="en-AU"/>
              </w:rPr>
              <w:t>1.</w:t>
            </w:r>
          </w:p>
        </w:tc>
      </w:tr>
      <w:tr w:rsidR="00A55DF1" w:rsidRPr="00FE4FCE" w:rsidTr="00AD5C38">
        <w:trPr>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2</w:t>
            </w:r>
          </w:p>
        </w:tc>
        <w:tc>
          <w:tcPr>
            <w:tcW w:w="4459" w:type="pct"/>
            <w:tcBorders>
              <w:right w:val="single" w:sz="4" w:space="0" w:color="auto"/>
            </w:tcBorders>
          </w:tcPr>
          <w:p w:rsidR="00A55DF1" w:rsidRPr="00FE4FCE" w:rsidRDefault="00A55DF1" w:rsidP="00AD5C38">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Areas categorised ASGS-RA 2 and ASGS-RA 3 that are in, or within 20km road distance, of a town with population &gt;50,000.</w:t>
            </w:r>
          </w:p>
        </w:tc>
      </w:tr>
      <w:tr w:rsidR="00A55DF1" w:rsidRPr="00FE4FCE" w:rsidTr="00AD5C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3</w:t>
            </w:r>
          </w:p>
        </w:tc>
        <w:tc>
          <w:tcPr>
            <w:tcW w:w="4459" w:type="pct"/>
            <w:tcBorders>
              <w:right w:val="single" w:sz="4" w:space="0" w:color="auto"/>
            </w:tcBorders>
          </w:tcPr>
          <w:p w:rsidR="00A55DF1" w:rsidRPr="00FE4FCE" w:rsidRDefault="00A55DF1" w:rsidP="004868FF">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Areas categorised ASGS-RA 2 and ASGS-RA 3 that are not in MM</w:t>
            </w:r>
            <w:r w:rsidR="004868FF">
              <w:rPr>
                <w:color w:val="auto"/>
                <w:sz w:val="20"/>
                <w:szCs w:val="18"/>
                <w:lang w:eastAsia="en-AU"/>
              </w:rPr>
              <w:t>M</w:t>
            </w:r>
            <w:r w:rsidRPr="00FE4FCE">
              <w:rPr>
                <w:color w:val="auto"/>
                <w:sz w:val="20"/>
                <w:szCs w:val="18"/>
                <w:lang w:eastAsia="en-AU"/>
              </w:rPr>
              <w:t>2 and are in, or within 15km road distance, of a town with population between 15,000 and 50,000.</w:t>
            </w:r>
          </w:p>
        </w:tc>
      </w:tr>
      <w:tr w:rsidR="00A55DF1" w:rsidRPr="00FE4FCE" w:rsidTr="00AD5C38">
        <w:trPr>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4</w:t>
            </w:r>
          </w:p>
        </w:tc>
        <w:tc>
          <w:tcPr>
            <w:tcW w:w="4459" w:type="pct"/>
            <w:tcBorders>
              <w:right w:val="single" w:sz="4" w:space="0" w:color="auto"/>
            </w:tcBorders>
          </w:tcPr>
          <w:p w:rsidR="00A55DF1" w:rsidRPr="00FE4FCE" w:rsidRDefault="00A55DF1" w:rsidP="00AD5C38">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Areas categorised ASGS-RA 2 and ASGS-RA 3 that are not in MM</w:t>
            </w:r>
            <w:r w:rsidR="004868FF">
              <w:rPr>
                <w:color w:val="auto"/>
                <w:sz w:val="20"/>
                <w:szCs w:val="18"/>
                <w:lang w:eastAsia="en-AU"/>
              </w:rPr>
              <w:t>M</w:t>
            </w:r>
            <w:r w:rsidRPr="00FE4FCE">
              <w:rPr>
                <w:color w:val="auto"/>
                <w:sz w:val="20"/>
                <w:szCs w:val="18"/>
                <w:lang w:eastAsia="en-AU"/>
              </w:rPr>
              <w:t>2 or MM</w:t>
            </w:r>
            <w:r w:rsidR="004868FF">
              <w:rPr>
                <w:color w:val="auto"/>
                <w:sz w:val="20"/>
                <w:szCs w:val="18"/>
                <w:lang w:eastAsia="en-AU"/>
              </w:rPr>
              <w:t>M</w:t>
            </w:r>
            <w:r w:rsidRPr="00FE4FCE">
              <w:rPr>
                <w:color w:val="auto"/>
                <w:sz w:val="20"/>
                <w:szCs w:val="18"/>
                <w:lang w:eastAsia="en-AU"/>
              </w:rPr>
              <w:t>3, and are in, or within 10km road distance, of a town with population between 5,000 and 15,000.</w:t>
            </w:r>
          </w:p>
        </w:tc>
      </w:tr>
      <w:tr w:rsidR="00A55DF1" w:rsidRPr="00FE4FCE" w:rsidTr="00AD5C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5</w:t>
            </w:r>
          </w:p>
        </w:tc>
        <w:tc>
          <w:tcPr>
            <w:tcW w:w="4459" w:type="pct"/>
            <w:tcBorders>
              <w:right w:val="single" w:sz="4" w:space="0" w:color="auto"/>
            </w:tcBorders>
          </w:tcPr>
          <w:p w:rsidR="00A55DF1" w:rsidRPr="00FE4FCE" w:rsidRDefault="00A55DF1" w:rsidP="00AD5C38">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other areas in ASGS-RA 2 and 3.</w:t>
            </w:r>
          </w:p>
        </w:tc>
      </w:tr>
      <w:tr w:rsidR="00A55DF1" w:rsidRPr="00FE4FCE" w:rsidTr="00AD5C38">
        <w:trPr>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6</w:t>
            </w:r>
          </w:p>
        </w:tc>
        <w:tc>
          <w:tcPr>
            <w:tcW w:w="4459" w:type="pct"/>
            <w:tcBorders>
              <w:right w:val="single" w:sz="4" w:space="0" w:color="auto"/>
            </w:tcBorders>
          </w:tcPr>
          <w:p w:rsidR="00A55DF1" w:rsidRPr="00FE4FCE" w:rsidRDefault="00A55DF1" w:rsidP="00AD5C38">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All areas categorised ASGS-RA 4 that are not on a populated island that is separated from the mainland in the ABS geography and is more than 5km offshore.</w:t>
            </w:r>
          </w:p>
        </w:tc>
      </w:tr>
      <w:tr w:rsidR="00A55DF1" w:rsidRPr="00FE4FCE" w:rsidTr="00AD5C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bottom w:val="single" w:sz="4" w:space="0" w:color="auto"/>
            </w:tcBorders>
          </w:tcPr>
          <w:p w:rsidR="00A55DF1" w:rsidRPr="00FE4FCE" w:rsidRDefault="00C60CF0" w:rsidP="00AD5C38">
            <w:pPr>
              <w:spacing w:before="0" w:after="0"/>
              <w:jc w:val="center"/>
              <w:rPr>
                <w:b w:val="0"/>
                <w:color w:val="auto"/>
                <w:sz w:val="20"/>
                <w:szCs w:val="18"/>
                <w:lang w:eastAsia="en-AU"/>
              </w:rPr>
            </w:pPr>
            <w:r>
              <w:rPr>
                <w:b w:val="0"/>
                <w:color w:val="auto"/>
                <w:sz w:val="20"/>
                <w:szCs w:val="18"/>
                <w:lang w:eastAsia="en-AU"/>
              </w:rPr>
              <w:t>MMM</w:t>
            </w:r>
            <w:r w:rsidR="00A55DF1" w:rsidRPr="00FE4FCE">
              <w:rPr>
                <w:b w:val="0"/>
                <w:color w:val="auto"/>
                <w:sz w:val="20"/>
                <w:szCs w:val="18"/>
                <w:lang w:eastAsia="en-AU"/>
              </w:rPr>
              <w:t>7</w:t>
            </w:r>
          </w:p>
        </w:tc>
        <w:tc>
          <w:tcPr>
            <w:tcW w:w="4459" w:type="pct"/>
            <w:tcBorders>
              <w:bottom w:val="single" w:sz="4" w:space="0" w:color="auto"/>
              <w:right w:val="single" w:sz="4" w:space="0" w:color="auto"/>
            </w:tcBorders>
          </w:tcPr>
          <w:p w:rsidR="00A55DF1" w:rsidRPr="00FE4FCE" w:rsidRDefault="00A55DF1" w:rsidP="00AD5C38">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other areas – that being ASGS-RA 5 and areas on a populated island that is separated from the mainland in the ABS geography and is more than 5km offshore.</w:t>
            </w:r>
          </w:p>
        </w:tc>
      </w:tr>
    </w:tbl>
    <w:p w:rsidR="00A55DF1" w:rsidRPr="001C2CBE" w:rsidRDefault="00A55DF1" w:rsidP="00B71CD4">
      <w:pPr>
        <w:spacing w:before="0"/>
        <w:rPr>
          <w:bCs/>
          <w:i/>
          <w:color w:val="000000"/>
          <w:sz w:val="16"/>
          <w:szCs w:val="22"/>
          <w:lang w:eastAsia="en-AU"/>
        </w:rPr>
      </w:pPr>
      <w:r w:rsidRPr="001C2CBE">
        <w:rPr>
          <w:bCs/>
          <w:i/>
          <w:color w:val="000000"/>
          <w:sz w:val="16"/>
          <w:szCs w:val="22"/>
          <w:lang w:eastAsia="en-AU"/>
        </w:rPr>
        <w:t xml:space="preserve">Source: </w:t>
      </w:r>
      <w:hyperlink r:id="rId21" w:history="1">
        <w:r w:rsidR="00932B16">
          <w:rPr>
            <w:rStyle w:val="Hyperlink"/>
            <w:bCs/>
            <w:i/>
            <w:sz w:val="16"/>
            <w:szCs w:val="22"/>
            <w:lang w:eastAsia="en-AU"/>
          </w:rPr>
          <w:t>Doctor Connect website</w:t>
        </w:r>
      </w:hyperlink>
      <w:r w:rsidRPr="001C2CBE">
        <w:rPr>
          <w:bCs/>
          <w:i/>
          <w:color w:val="000000"/>
          <w:sz w:val="16"/>
          <w:szCs w:val="22"/>
          <w:lang w:eastAsia="en-AU"/>
        </w:rPr>
        <w:t xml:space="preserve"> </w:t>
      </w:r>
    </w:p>
    <w:p w:rsidR="0020286A" w:rsidRPr="00BB58A2" w:rsidRDefault="00A64AA8" w:rsidP="00544360">
      <w:r w:rsidRPr="00BB58A2">
        <w:fldChar w:fldCharType="begin"/>
      </w:r>
      <w:r w:rsidRPr="00BB58A2">
        <w:instrText xml:space="preserve"> REF _Ref442259018 \h </w:instrText>
      </w:r>
      <w:r w:rsidR="00A92FD3" w:rsidRPr="00BB58A2">
        <w:instrText xml:space="preserve"> \* MERGEFORMAT </w:instrText>
      </w:r>
      <w:r w:rsidRPr="00BB58A2">
        <w:fldChar w:fldCharType="separate"/>
      </w:r>
      <w:r w:rsidR="008C7087" w:rsidRPr="008C7087">
        <w:t>Figure 6</w:t>
      </w:r>
      <w:r w:rsidRPr="00BB58A2">
        <w:fldChar w:fldCharType="end"/>
      </w:r>
      <w:r w:rsidRPr="00BB58A2">
        <w:t xml:space="preserve"> illustrates </w:t>
      </w:r>
      <w:r w:rsidR="00B21964" w:rsidRPr="00BB58A2">
        <w:t xml:space="preserve">the </w:t>
      </w:r>
      <w:r w:rsidR="00877EE0">
        <w:t xml:space="preserve">MMM </w:t>
      </w:r>
      <w:r w:rsidRPr="00BB58A2">
        <w:t xml:space="preserve">and density of </w:t>
      </w:r>
      <w:r w:rsidR="00B21964" w:rsidRPr="00BB58A2">
        <w:t xml:space="preserve">the </w:t>
      </w:r>
      <w:r w:rsidR="007C1F45">
        <w:t>O&amp;G</w:t>
      </w:r>
      <w:r w:rsidR="006D784D">
        <w:t xml:space="preserve"> </w:t>
      </w:r>
      <w:r w:rsidR="00B21964" w:rsidRPr="00BB58A2">
        <w:t>workforce within these areas. T</w:t>
      </w:r>
      <w:r w:rsidR="006C1FDF">
        <w:t>he M</w:t>
      </w:r>
      <w:r w:rsidR="00C60CF0">
        <w:t>M</w:t>
      </w:r>
      <w:r w:rsidR="002D79CD">
        <w:t>M</w:t>
      </w:r>
      <w:r w:rsidR="00B21964" w:rsidRPr="00BB58A2">
        <w:t xml:space="preserve"> </w:t>
      </w:r>
      <w:r w:rsidRPr="00BB58A2">
        <w:t xml:space="preserve">is a classification system that better categorises metropolitan, regional, rural and remote areas according to both geographical remoteness and town size. </w:t>
      </w:r>
    </w:p>
    <w:p w:rsidR="00C07A92" w:rsidRDefault="00A64AA8" w:rsidP="00C22D74">
      <w:pPr>
        <w:spacing w:before="0"/>
      </w:pPr>
      <w:r w:rsidRPr="00BB58A2">
        <w:t xml:space="preserve">The system was developed to recognise the challenges in attracting health professionals to more remote and smaller </w:t>
      </w:r>
      <w:r w:rsidRPr="00B124B4">
        <w:t>communities. M</w:t>
      </w:r>
      <w:r w:rsidR="00C60CF0">
        <w:t>M</w:t>
      </w:r>
      <w:r w:rsidR="006C1FDF">
        <w:t>M</w:t>
      </w:r>
      <w:r w:rsidRPr="00B124B4">
        <w:t>1 indicates major cities and progresses to M</w:t>
      </w:r>
      <w:r w:rsidR="00C60CF0">
        <w:t>M</w:t>
      </w:r>
      <w:r w:rsidR="006C1FDF">
        <w:t>M</w:t>
      </w:r>
      <w:r w:rsidRPr="00B124B4">
        <w:t>7</w:t>
      </w:r>
      <w:r w:rsidR="00EF3FA5" w:rsidRPr="00B124B4">
        <w:t>,</w:t>
      </w:r>
      <w:r w:rsidRPr="00B124B4">
        <w:t xml:space="preserve"> which indicates very remote Australia; </w:t>
      </w:r>
      <w:fldSimple w:instr=" REF  _Ref442356156  \* MERGEFORMAT ">
        <w:r w:rsidR="008C7087" w:rsidRPr="008C7087">
          <w:t xml:space="preserve">Table </w:t>
        </w:r>
        <w:r w:rsidR="008C7087" w:rsidRPr="008C7087">
          <w:rPr>
            <w:noProof/>
          </w:rPr>
          <w:t>2</w:t>
        </w:r>
      </w:fldSimple>
      <w:r w:rsidRPr="00B124B4">
        <w:t xml:space="preserve"> defines each </w:t>
      </w:r>
      <w:r w:rsidR="00162B77" w:rsidRPr="00B124B4">
        <w:t>of</w:t>
      </w:r>
      <w:r w:rsidRPr="00B124B4">
        <w:t xml:space="preserve"> these M</w:t>
      </w:r>
      <w:r w:rsidR="00C60CF0">
        <w:t>M</w:t>
      </w:r>
      <w:r w:rsidRPr="00B124B4">
        <w:t xml:space="preserve">M categories. As can be seen </w:t>
      </w:r>
      <w:r w:rsidR="00B9212A">
        <w:t>o</w:t>
      </w:r>
      <w:r w:rsidR="00B9212A" w:rsidRPr="00B124B4">
        <w:t xml:space="preserve">n </w:t>
      </w:r>
      <w:r w:rsidRPr="00B124B4">
        <w:t xml:space="preserve">the map, </w:t>
      </w:r>
      <w:r w:rsidR="00B21964" w:rsidRPr="00B124B4">
        <w:t>the</w:t>
      </w:r>
      <w:r w:rsidR="00C07A92" w:rsidRPr="00B124B4">
        <w:t xml:space="preserve"> </w:t>
      </w:r>
      <w:r w:rsidR="007C1F45">
        <w:t>O&amp;G</w:t>
      </w:r>
      <w:r w:rsidR="00B124B4">
        <w:t xml:space="preserve"> </w:t>
      </w:r>
      <w:r w:rsidR="00B21964" w:rsidRPr="00B124B4">
        <w:t>workforce is</w:t>
      </w:r>
      <w:r w:rsidR="00C07A92" w:rsidRPr="00B124B4">
        <w:t xml:space="preserve"> located throughout Australia, </w:t>
      </w:r>
      <w:r w:rsidR="00B21964" w:rsidRPr="00B124B4">
        <w:t>but</w:t>
      </w:r>
      <w:r w:rsidR="00C07A92" w:rsidRPr="00B124B4">
        <w:t xml:space="preserve"> </w:t>
      </w:r>
      <w:r w:rsidR="007C1F45">
        <w:t>highly</w:t>
      </w:r>
      <w:r w:rsidR="00C07A92" w:rsidRPr="00B124B4">
        <w:t xml:space="preserve"> concentra</w:t>
      </w:r>
      <w:r w:rsidR="00B124B4" w:rsidRPr="00B124B4">
        <w:t xml:space="preserve">ted in </w:t>
      </w:r>
      <w:r w:rsidR="004868FF">
        <w:t xml:space="preserve">metropolitan </w:t>
      </w:r>
      <w:r w:rsidR="007C1F45">
        <w:t>and inner regional areas.</w:t>
      </w:r>
    </w:p>
    <w:p w:rsidR="00502E54" w:rsidRPr="002E41FB" w:rsidRDefault="00502E54" w:rsidP="00544360">
      <w:pPr>
        <w:pStyle w:val="Caption"/>
        <w:keepNext/>
        <w:rPr>
          <w:szCs w:val="22"/>
        </w:rPr>
      </w:pPr>
      <w:bookmarkStart w:id="46" w:name="_Ref442259018"/>
      <w:bookmarkStart w:id="47" w:name="_Toc442268272"/>
      <w:bookmarkStart w:id="48" w:name="_Toc515888810"/>
      <w:r w:rsidRPr="002E41FB">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6</w:t>
      </w:r>
      <w:r w:rsidR="008C16B5">
        <w:rPr>
          <w:szCs w:val="22"/>
        </w:rPr>
        <w:fldChar w:fldCharType="end"/>
      </w:r>
      <w:bookmarkEnd w:id="46"/>
      <w:r w:rsidR="00FE4FCE">
        <w:rPr>
          <w:szCs w:val="22"/>
        </w:rPr>
        <w:t>:</w:t>
      </w:r>
      <w:r w:rsidR="00C06590" w:rsidRPr="002E41FB">
        <w:rPr>
          <w:szCs w:val="22"/>
        </w:rPr>
        <w:t xml:space="preserve"> </w:t>
      </w:r>
      <w:r w:rsidR="007C1F45">
        <w:rPr>
          <w:szCs w:val="22"/>
        </w:rPr>
        <w:t>O&amp;G</w:t>
      </w:r>
      <w:r w:rsidR="00EB0674" w:rsidRPr="002E41FB">
        <w:rPr>
          <w:szCs w:val="22"/>
        </w:rPr>
        <w:t xml:space="preserve"> </w:t>
      </w:r>
      <w:r w:rsidRPr="002E41FB">
        <w:rPr>
          <w:szCs w:val="22"/>
        </w:rPr>
        <w:t xml:space="preserve">clinicians by </w:t>
      </w:r>
      <w:r w:rsidR="006C1FDF">
        <w:rPr>
          <w:szCs w:val="22"/>
        </w:rPr>
        <w:t>M</w:t>
      </w:r>
      <w:r w:rsidR="00204763">
        <w:rPr>
          <w:szCs w:val="22"/>
        </w:rPr>
        <w:t>M</w:t>
      </w:r>
      <w:r w:rsidR="00C60CF0">
        <w:rPr>
          <w:szCs w:val="22"/>
        </w:rPr>
        <w:t>M</w:t>
      </w:r>
      <w:bookmarkEnd w:id="47"/>
      <w:bookmarkEnd w:id="48"/>
    </w:p>
    <w:p w:rsidR="00E934E0" w:rsidRDefault="001C736D" w:rsidP="002F0558">
      <w:pPr>
        <w:spacing w:after="0"/>
        <w:jc w:val="left"/>
        <w:rPr>
          <w:lang w:eastAsia="en-AU"/>
        </w:rPr>
      </w:pPr>
      <w:r>
        <w:rPr>
          <w:noProof/>
          <w:lang w:eastAsia="en-AU"/>
        </w:rPr>
        <w:drawing>
          <wp:inline distT="0" distB="0" distL="0" distR="0" wp14:anchorId="448866C9" wp14:editId="3FDC0702">
            <wp:extent cx="4754880" cy="3385313"/>
            <wp:effectExtent l="0" t="0" r="7620" b="5715"/>
            <wp:docPr id="719" name="Picture 719" descr="The density of the obstetrics and gynaecology workforce by Modified Monash Model. The Modified Monash Model (MMM) is a new classification system that better categorises metropolitan, regional, rural and remote areas according to both geographical remoteness and town size." title="Figure 6: Obstetrics and gynaecology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54444" cy="3385002"/>
                    </a:xfrm>
                    <a:prstGeom prst="rect">
                      <a:avLst/>
                    </a:prstGeom>
                  </pic:spPr>
                </pic:pic>
              </a:graphicData>
            </a:graphic>
          </wp:inline>
        </w:drawing>
      </w:r>
    </w:p>
    <w:p w:rsidR="004A7F1D" w:rsidRDefault="004A7F1D" w:rsidP="004A7F1D">
      <w:pPr>
        <w:spacing w:before="0" w:after="0"/>
        <w:jc w:val="left"/>
        <w:rPr>
          <w:rFonts w:eastAsia="Calibri"/>
          <w:i/>
          <w:color w:val="4F81BD" w:themeColor="accent1"/>
          <w:sz w:val="16"/>
        </w:rPr>
      </w:pPr>
      <w:r w:rsidRPr="003B5254">
        <w:rPr>
          <w:rFonts w:eastAsia="Calibri"/>
          <w:i/>
          <w:color w:val="4F81BD" w:themeColor="accent1"/>
          <w:sz w:val="16"/>
        </w:rPr>
        <w:t xml:space="preserve">Source: </w:t>
      </w:r>
      <w:r>
        <w:rPr>
          <w:rFonts w:eastAsia="Calibri"/>
          <w:i/>
          <w:color w:val="4F81BD" w:themeColor="accent1"/>
          <w:sz w:val="16"/>
        </w:rPr>
        <w:t>NHWDS, Medical Practitioner 2016</w:t>
      </w:r>
    </w:p>
    <w:p w:rsidR="00944808" w:rsidRDefault="001B7C59" w:rsidP="00577982">
      <w:pPr>
        <w:pStyle w:val="Heading4"/>
        <w:spacing w:after="120"/>
      </w:pPr>
      <w:r>
        <w:t>Workforce Distribution Challenges</w:t>
      </w:r>
    </w:p>
    <w:p w:rsidR="001B7C59" w:rsidRDefault="001B7C59" w:rsidP="00C90AA2">
      <w:pPr>
        <w:spacing w:before="0"/>
      </w:pPr>
      <w:r>
        <w:t xml:space="preserve">In common with other specialities, there are challenges in attracting health professionals to rural and remote areas.  Often, trainees have established relationships and commitments prior to entering the training program which makes it difficult for them to relocate.  Whilst the RANZCOG training program has a </w:t>
      </w:r>
      <w:r w:rsidR="00B14EA1">
        <w:t>mandatory</w:t>
      </w:r>
      <w:r>
        <w:t xml:space="preserve"> rural and regional training component, the challenge in building a sustainable wo</w:t>
      </w:r>
      <w:r w:rsidR="00C90AA2">
        <w:t>rkforce in these areas remains.</w:t>
      </w:r>
    </w:p>
    <w:p w:rsidR="001B7C59" w:rsidRDefault="001B7C59" w:rsidP="00C90AA2">
      <w:pPr>
        <w:spacing w:before="0"/>
      </w:pPr>
      <w:r>
        <w:t xml:space="preserve">One attraction of regional training posts is the ability to gain diverse and extensive procedural experience.  The data pertaining to procedural numbers is being made available to hospitals </w:t>
      </w:r>
      <w:proofErr w:type="gramStart"/>
      <w:r>
        <w:t>who</w:t>
      </w:r>
      <w:proofErr w:type="gramEnd"/>
      <w:r>
        <w:t xml:space="preserve"> may be able to utilise this information to attract trainees to these areas.</w:t>
      </w:r>
    </w:p>
    <w:p w:rsidR="007D5317" w:rsidRDefault="007D5317" w:rsidP="00B14EA1">
      <w:pPr>
        <w:spacing w:before="0" w:after="0"/>
      </w:pPr>
      <w:r>
        <w:t xml:space="preserve">RANZCOG is also utilising data from online logbooks to identify areas where procedural experience is inadequate.  In </w:t>
      </w:r>
      <w:r w:rsidR="00B9212A">
        <w:t xml:space="preserve">the </w:t>
      </w:r>
      <w:r>
        <w:t xml:space="preserve">future, these hospitals may be allocated </w:t>
      </w:r>
      <w:r w:rsidR="008E5617">
        <w:t xml:space="preserve">fewer </w:t>
      </w:r>
      <w:r>
        <w:t>trainees</w:t>
      </w:r>
      <w:r w:rsidR="00A40B29">
        <w:t>.</w:t>
      </w:r>
    </w:p>
    <w:p w:rsidR="0020286A" w:rsidRDefault="0020286A" w:rsidP="00F17C93">
      <w:pPr>
        <w:pStyle w:val="Heading3"/>
      </w:pPr>
      <w:bookmarkStart w:id="49" w:name="_Ref455568745"/>
      <w:r w:rsidRPr="0020286A">
        <w:t>Hours worked</w:t>
      </w:r>
      <w:bookmarkEnd w:id="49"/>
    </w:p>
    <w:p w:rsidR="00426E94" w:rsidRDefault="00556D61" w:rsidP="00C46A59">
      <w:bookmarkStart w:id="50" w:name="_Ref442259268"/>
      <w:bookmarkStart w:id="51" w:name="_Toc442268275"/>
      <w:r w:rsidRPr="00556D61">
        <w:t>There are a number of way</w:t>
      </w:r>
      <w:r>
        <w:t>s</w:t>
      </w:r>
      <w:r w:rsidRPr="00556D61">
        <w:t xml:space="preserve"> that the hours of a medical practitioner can be analysed. Appendix </w:t>
      </w:r>
      <w:r w:rsidR="00206AFC">
        <w:t>4</w:t>
      </w:r>
      <w:r w:rsidRPr="00556D61">
        <w:t xml:space="preserve"> outline</w:t>
      </w:r>
      <w:r w:rsidR="00640BDB">
        <w:t>s</w:t>
      </w:r>
      <w:r w:rsidRPr="00556D61">
        <w:t xml:space="preserve"> the methodology for determining the most appropriate measure of hours for </w:t>
      </w:r>
      <w:r w:rsidR="00640BDB" w:rsidRPr="00556D61">
        <w:t>specialists</w:t>
      </w:r>
      <w:r w:rsidR="002F0558">
        <w:t>;</w:t>
      </w:r>
      <w:r w:rsidRPr="00556D61">
        <w:t xml:space="preserve"> </w:t>
      </w:r>
      <w:r w:rsidR="00640BDB">
        <w:t xml:space="preserve">resulting in considering the clinical and non-clinical hours of the speciality </w:t>
      </w:r>
      <w:r w:rsidR="00033C1A">
        <w:t xml:space="preserve">amassing to </w:t>
      </w:r>
      <w:r w:rsidR="00640BDB">
        <w:t xml:space="preserve">total specialist hours. </w:t>
      </w:r>
    </w:p>
    <w:p w:rsidR="00B71CD4" w:rsidRDefault="00B71CD4" w:rsidP="00B71CD4">
      <w:r>
        <w:fldChar w:fldCharType="begin"/>
      </w:r>
      <w:r>
        <w:instrText xml:space="preserve"> REF _Ref487614679 \h </w:instrText>
      </w:r>
      <w:r>
        <w:fldChar w:fldCharType="separate"/>
      </w:r>
      <w:r w:rsidR="008C7087" w:rsidRPr="00F23728">
        <w:t xml:space="preserve">Figure </w:t>
      </w:r>
      <w:r w:rsidR="008C7087">
        <w:rPr>
          <w:noProof/>
        </w:rPr>
        <w:t>7</w:t>
      </w:r>
      <w:r>
        <w:fldChar w:fldCharType="end"/>
      </w:r>
      <w:r w:rsidRPr="005C6681">
        <w:t xml:space="preserve"> shows the difference between the hours worked by the </w:t>
      </w:r>
      <w:r>
        <w:t xml:space="preserve">O&amp;G </w:t>
      </w:r>
      <w:r w:rsidRPr="005C6681">
        <w:t xml:space="preserve">workforce by gender. There is </w:t>
      </w:r>
      <w:r>
        <w:t>very little</w:t>
      </w:r>
      <w:r w:rsidRPr="005C6681">
        <w:t xml:space="preserve"> difference</w:t>
      </w:r>
      <w:r>
        <w:t xml:space="preserve"> </w:t>
      </w:r>
      <w:r w:rsidRPr="005C6681">
        <w:t xml:space="preserve">between </w:t>
      </w:r>
      <w:r>
        <w:t xml:space="preserve">the hours worked by </w:t>
      </w:r>
      <w:r w:rsidRPr="005C6681">
        <w:t>males and females</w:t>
      </w:r>
      <w:r w:rsidR="00640BDB">
        <w:t xml:space="preserve"> (just under</w:t>
      </w:r>
      <w:r>
        <w:t xml:space="preserve"> </w:t>
      </w:r>
      <w:r w:rsidR="0038080C">
        <w:t>two</w:t>
      </w:r>
      <w:r>
        <w:t xml:space="preserve"> hours on average); with </w:t>
      </w:r>
      <w:r w:rsidRPr="005C6681">
        <w:t xml:space="preserve">females working </w:t>
      </w:r>
      <w:r>
        <w:t>fewer hours on average</w:t>
      </w:r>
      <w:r w:rsidRPr="005C6681">
        <w:t>. As expected, for both males and females, the total hours</w:t>
      </w:r>
      <w:r w:rsidR="00640BDB">
        <w:t xml:space="preserve"> (A)</w:t>
      </w:r>
      <w:r w:rsidRPr="005C6681">
        <w:t xml:space="preserve"> are greater than the clinical hours</w:t>
      </w:r>
      <w:r w:rsidR="00640BDB">
        <w:t xml:space="preserve"> (B)</w:t>
      </w:r>
      <w:r w:rsidRPr="005C6681">
        <w:t xml:space="preserve"> and these are again greater than the specialist clinical hours</w:t>
      </w:r>
      <w:r w:rsidR="00640BDB">
        <w:t xml:space="preserve"> (C)</w:t>
      </w:r>
      <w:r w:rsidRPr="005C6681">
        <w:t xml:space="preserve">. </w:t>
      </w:r>
      <w:r>
        <w:t xml:space="preserve">The difference between the total specialist (D) and specialist clinical (C) hours indicates the clinical support (non-clinical hours) component for the O&amp;G workforce. On average almost </w:t>
      </w:r>
      <w:r w:rsidR="0038080C">
        <w:t>six</w:t>
      </w:r>
      <w:r>
        <w:t xml:space="preserve"> hours per week for both males and females (1</w:t>
      </w:r>
      <w:r w:rsidR="00640BDB">
        <w:t>2</w:t>
      </w:r>
      <w:r w:rsidR="002106DA">
        <w:t xml:space="preserve"> per cent</w:t>
      </w:r>
      <w:r>
        <w:t xml:space="preserve"> of specialist hours), is spent performing clinical support in O&amp;G.</w:t>
      </w:r>
    </w:p>
    <w:p w:rsidR="00536EA8" w:rsidRDefault="00536EA8" w:rsidP="00536EA8">
      <w:pPr>
        <w:pStyle w:val="Caption"/>
        <w:keepNext/>
      </w:pPr>
      <w:bookmarkStart w:id="52" w:name="_Ref487614679"/>
      <w:bookmarkStart w:id="53" w:name="_Toc515888811"/>
      <w:r w:rsidRPr="00F23728">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w:t>
      </w:r>
      <w:r w:rsidR="00556A17">
        <w:rPr>
          <w:noProof/>
        </w:rPr>
        <w:fldChar w:fldCharType="end"/>
      </w:r>
      <w:bookmarkEnd w:id="50"/>
      <w:bookmarkEnd w:id="52"/>
      <w:r w:rsidR="00B83947">
        <w:t>:</w:t>
      </w:r>
      <w:r>
        <w:t xml:space="preserve"> </w:t>
      </w:r>
      <w:r w:rsidRPr="00F23728">
        <w:t>Average hours by total, clinical</w:t>
      </w:r>
      <w:r>
        <w:t>,</w:t>
      </w:r>
      <w:r w:rsidRPr="00F23728">
        <w:t xml:space="preserve"> specialist </w:t>
      </w:r>
      <w:r>
        <w:t>clinical and specialist total</w:t>
      </w:r>
      <w:r w:rsidRPr="00F23728">
        <w:t xml:space="preserve"> </w:t>
      </w:r>
      <w:r>
        <w:t xml:space="preserve">hours </w:t>
      </w:r>
      <w:r w:rsidRPr="00F23728">
        <w:t>worked</w:t>
      </w:r>
      <w:bookmarkEnd w:id="51"/>
      <w:bookmarkEnd w:id="53"/>
    </w:p>
    <w:p w:rsidR="00536EA8" w:rsidRPr="007D3E4F" w:rsidRDefault="00606B27" w:rsidP="007D3E4F">
      <w:pPr>
        <w:spacing w:before="0" w:after="0"/>
        <w:rPr>
          <w:rFonts w:eastAsia="Calibri"/>
          <w:i/>
          <w:color w:val="4F81BD" w:themeColor="accent1"/>
          <w:sz w:val="10"/>
          <w:szCs w:val="16"/>
        </w:rPr>
      </w:pPr>
      <w:r>
        <w:rPr>
          <w:rFonts w:eastAsia="Calibri"/>
          <w:i/>
          <w:noProof/>
          <w:color w:val="4F81BD" w:themeColor="accent1"/>
          <w:sz w:val="16"/>
          <w:lang w:eastAsia="en-AU"/>
        </w:rPr>
        <w:drawing>
          <wp:inline distT="0" distB="0" distL="0" distR="0" wp14:anchorId="7705B755" wp14:editId="31572F64">
            <wp:extent cx="5547995" cy="2030095"/>
            <wp:effectExtent l="0" t="0" r="0" b="8255"/>
            <wp:docPr id="307" name="Picture 307" descr="Male Total Hours - 47.5&#10;Female Total Hours - 45.8&#10;Male Clinical Hours - 41.6&#10;Female Clinical  Hours - 40.1&#10;Male Specialist Clinical Hours - 40.5&#10;Female Specialist Clinical  Hours - 39.2&#10;Male Total Specialist Hours - 46.5&#10;Female Total  Specialist  Hours - 44.8" title="Figure 7: Average hours by total, clinical, specialist clinical and specialist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995" cy="2030095"/>
                    </a:xfrm>
                    <a:prstGeom prst="rect">
                      <a:avLst/>
                    </a:prstGeom>
                    <a:noFill/>
                  </pic:spPr>
                </pic:pic>
              </a:graphicData>
            </a:graphic>
          </wp:inline>
        </w:drawing>
      </w:r>
      <w:r w:rsidR="00536EA8" w:rsidRPr="007D3E4F">
        <w:rPr>
          <w:rFonts w:eastAsia="Calibri"/>
          <w:i/>
          <w:color w:val="4F81BD" w:themeColor="accent1"/>
          <w:sz w:val="16"/>
        </w:rPr>
        <w:t>Source: NHWDS, M</w:t>
      </w:r>
      <w:r w:rsidR="00061DEC" w:rsidRPr="007D3E4F">
        <w:rPr>
          <w:rFonts w:eastAsia="Calibri"/>
          <w:i/>
          <w:color w:val="4F81BD" w:themeColor="accent1"/>
          <w:sz w:val="16"/>
        </w:rPr>
        <w:t>edical Practitioner 2016</w:t>
      </w:r>
    </w:p>
    <w:p w:rsidR="00401EF8" w:rsidRDefault="00640BDB" w:rsidP="0009595A">
      <w:r>
        <w:t>T</w:t>
      </w:r>
      <w:r w:rsidR="0009595A" w:rsidRPr="00AE71AD">
        <w:t>he</w:t>
      </w:r>
      <w:r w:rsidR="0009595A">
        <w:t xml:space="preserve"> difference between the</w:t>
      </w:r>
      <w:r w:rsidR="0009595A" w:rsidRPr="00AE71AD">
        <w:t xml:space="preserve"> </w:t>
      </w:r>
      <w:r w:rsidR="0009595A">
        <w:t>total specialist hours</w:t>
      </w:r>
      <w:r w:rsidR="00382301">
        <w:t xml:space="preserve"> (D)</w:t>
      </w:r>
      <w:r w:rsidR="0009595A">
        <w:t xml:space="preserve"> and clinical specialist </w:t>
      </w:r>
      <w:r w:rsidR="0009595A" w:rsidRPr="00AE71AD">
        <w:t>hours</w:t>
      </w:r>
      <w:r w:rsidR="0009595A">
        <w:t xml:space="preserve"> </w:t>
      </w:r>
      <w:r w:rsidR="00382301">
        <w:t xml:space="preserve">(C) </w:t>
      </w:r>
      <w:r w:rsidR="0009595A">
        <w:t>b</w:t>
      </w:r>
      <w:r w:rsidR="0071088E">
        <w:t>y gender and age group</w:t>
      </w:r>
      <w:r>
        <w:t xml:space="preserve"> are shown in </w:t>
      </w:r>
      <w:r>
        <w:fldChar w:fldCharType="begin"/>
      </w:r>
      <w:r>
        <w:instrText xml:space="preserve"> REF _Ref442345693 \h  \* MERGEFORMAT </w:instrText>
      </w:r>
      <w:r>
        <w:fldChar w:fldCharType="separate"/>
      </w:r>
      <w:r w:rsidR="008C7087" w:rsidRPr="00CC5C72">
        <w:rPr>
          <w:szCs w:val="22"/>
        </w:rPr>
        <w:t xml:space="preserve">Figure </w:t>
      </w:r>
      <w:r w:rsidR="008C7087">
        <w:rPr>
          <w:noProof/>
          <w:szCs w:val="22"/>
        </w:rPr>
        <w:t>8</w:t>
      </w:r>
      <w:r>
        <w:fldChar w:fldCharType="end"/>
      </w:r>
      <w:r w:rsidR="0071088E">
        <w:t xml:space="preserve">. </w:t>
      </w:r>
      <w:r w:rsidR="00401EF8">
        <w:t>The x-axis is assumed to</w:t>
      </w:r>
      <w:r w:rsidR="00B4005A">
        <w:t xml:space="preserve"> be </w:t>
      </w:r>
      <w:r w:rsidR="00401EF8">
        <w:t xml:space="preserve">average hours worked (40 hours) </w:t>
      </w:r>
      <w:r>
        <w:t xml:space="preserve">and </w:t>
      </w:r>
      <w:r w:rsidR="00B4005A">
        <w:t>the bars in positive or negative position show the hours worked greater or less than 40 hours by age and gender</w:t>
      </w:r>
      <w:r w:rsidR="0038080C">
        <w:t xml:space="preserve"> respectively</w:t>
      </w:r>
      <w:r w:rsidR="00B4005A">
        <w:t xml:space="preserve">. </w:t>
      </w:r>
    </w:p>
    <w:p w:rsidR="00B4005A" w:rsidRDefault="00640BDB" w:rsidP="0009595A">
      <w:r>
        <w:t>As expected the younger age groups work greater than 40 hours and from 65 onwards the hours</w:t>
      </w:r>
      <w:r w:rsidR="00B4005A">
        <w:t xml:space="preserve"> begin to reduce (less than 40 hours). The males aged 30-55 years tend to work the greater proportion of </w:t>
      </w:r>
      <w:r w:rsidR="003E07E5">
        <w:t xml:space="preserve">40 </w:t>
      </w:r>
      <w:r w:rsidR="00B4005A">
        <w:t>hours</w:t>
      </w:r>
      <w:r w:rsidR="003E07E5">
        <w:t xml:space="preserve"> per week</w:t>
      </w:r>
      <w:r w:rsidR="00B4005A">
        <w:t>,</w:t>
      </w:r>
      <w:r w:rsidR="003E07E5">
        <w:t xml:space="preserve"> while females aged 65-74 work the higher proportion of less than 40 hours per week. </w:t>
      </w:r>
      <w:r w:rsidR="00B4005A">
        <w:t xml:space="preserve"> </w:t>
      </w:r>
    </w:p>
    <w:p w:rsidR="00426E94" w:rsidRDefault="003E07E5" w:rsidP="00C46A59">
      <w:r>
        <w:t xml:space="preserve">The total specialist hours tend to </w:t>
      </w:r>
      <w:r w:rsidR="00030941">
        <w:t xml:space="preserve">be </w:t>
      </w:r>
      <w:r>
        <w:t>greater than the clinical hours for both male</w:t>
      </w:r>
      <w:r w:rsidR="002F0558">
        <w:t>s</w:t>
      </w:r>
      <w:r>
        <w:t xml:space="preserve"> and females between the </w:t>
      </w:r>
      <w:r w:rsidR="00030941">
        <w:t xml:space="preserve">ages of 35-64 years, while it shifts between the ages of </w:t>
      </w:r>
      <w:r w:rsidR="002F0558">
        <w:t xml:space="preserve">65-79 where the clinical hours are reduced more than the total specialist hours indicating that O&amp;G in these age groups are spending slightly more time doing non-clinical work </w:t>
      </w:r>
      <w:r w:rsidR="008E5617">
        <w:t xml:space="preserve">than </w:t>
      </w:r>
      <w:r w:rsidR="002F0558">
        <w:t xml:space="preserve">clinical work. </w:t>
      </w:r>
    </w:p>
    <w:p w:rsidR="00AB1FDE" w:rsidRPr="00CC5C72" w:rsidRDefault="00AB1FDE" w:rsidP="00C46A59">
      <w:pPr>
        <w:pStyle w:val="Caption"/>
        <w:spacing w:before="120"/>
        <w:rPr>
          <w:szCs w:val="22"/>
        </w:rPr>
      </w:pPr>
      <w:bookmarkStart w:id="54" w:name="_Ref442345693"/>
      <w:bookmarkStart w:id="55" w:name="_Toc515888812"/>
      <w:r w:rsidRPr="00CC5C72">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8</w:t>
      </w:r>
      <w:r w:rsidR="008C16B5">
        <w:rPr>
          <w:szCs w:val="22"/>
        </w:rPr>
        <w:fldChar w:fldCharType="end"/>
      </w:r>
      <w:bookmarkEnd w:id="54"/>
      <w:r w:rsidR="004200F6">
        <w:rPr>
          <w:szCs w:val="22"/>
        </w:rPr>
        <w:t>:</w:t>
      </w:r>
      <w:r w:rsidRPr="00CC5C72">
        <w:rPr>
          <w:szCs w:val="22"/>
        </w:rPr>
        <w:t xml:space="preserve"> </w:t>
      </w:r>
      <w:r w:rsidR="006C6D08">
        <w:rPr>
          <w:szCs w:val="22"/>
        </w:rPr>
        <w:t>T</w:t>
      </w:r>
      <w:r w:rsidRPr="00CC5C72">
        <w:rPr>
          <w:szCs w:val="22"/>
        </w:rPr>
        <w:t xml:space="preserve">otal specialist and clinical specialist </w:t>
      </w:r>
      <w:proofErr w:type="gramStart"/>
      <w:r w:rsidRPr="00CC5C72">
        <w:rPr>
          <w:szCs w:val="22"/>
        </w:rPr>
        <w:t>hours</w:t>
      </w:r>
      <w:proofErr w:type="gramEnd"/>
      <w:r w:rsidRPr="00CC5C72">
        <w:rPr>
          <w:szCs w:val="22"/>
        </w:rPr>
        <w:t xml:space="preserve"> </w:t>
      </w:r>
      <w:r w:rsidR="004A7F1D">
        <w:rPr>
          <w:szCs w:val="22"/>
        </w:rPr>
        <w:t xml:space="preserve">difference from average hours </w:t>
      </w:r>
      <w:r w:rsidRPr="00CC5C72">
        <w:rPr>
          <w:szCs w:val="22"/>
        </w:rPr>
        <w:t xml:space="preserve">by </w:t>
      </w:r>
      <w:r w:rsidR="004200F6">
        <w:rPr>
          <w:szCs w:val="22"/>
        </w:rPr>
        <w:t>age groups and gender</w:t>
      </w:r>
      <w:bookmarkEnd w:id="55"/>
    </w:p>
    <w:p w:rsidR="00D5377A" w:rsidRPr="003B5254" w:rsidRDefault="009318C7" w:rsidP="00594356">
      <w:pPr>
        <w:spacing w:before="0"/>
        <w:rPr>
          <w:rFonts w:eastAsia="Calibri"/>
          <w:i/>
          <w:color w:val="4F81BD" w:themeColor="accent1"/>
          <w:sz w:val="16"/>
          <w:szCs w:val="16"/>
        </w:rPr>
      </w:pPr>
      <w:r w:rsidRPr="009318C7">
        <w:rPr>
          <w:noProof/>
          <w:lang w:eastAsia="en-AU"/>
        </w:rPr>
        <w:drawing>
          <wp:inline distT="0" distB="0" distL="0" distR="0" wp14:anchorId="78C1DE60" wp14:editId="407CFAEB">
            <wp:extent cx="5731510" cy="2517333"/>
            <wp:effectExtent l="0" t="0" r="2540" b="0"/>
            <wp:docPr id="744" name="Picture 744" descr="Total specialist and clinical specialist hours difference from average hours by age groups and gender." title="Figure 8: Total specialist and clinical specialist hours difference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17333"/>
                    </a:xfrm>
                    <a:prstGeom prst="rect">
                      <a:avLst/>
                    </a:prstGeom>
                  </pic:spPr>
                </pic:pic>
              </a:graphicData>
            </a:graphic>
          </wp:inline>
        </w:drawing>
      </w:r>
      <w:r w:rsidR="00D5377A" w:rsidRPr="003B5254">
        <w:rPr>
          <w:rFonts w:eastAsia="Calibri"/>
          <w:i/>
          <w:color w:val="4F81BD" w:themeColor="accent1"/>
          <w:sz w:val="16"/>
          <w:szCs w:val="16"/>
        </w:rPr>
        <w:t xml:space="preserve">Source: </w:t>
      </w:r>
      <w:r w:rsidR="00061DEC">
        <w:rPr>
          <w:rFonts w:eastAsia="Calibri"/>
          <w:i/>
          <w:color w:val="4F81BD" w:themeColor="accent1"/>
          <w:sz w:val="16"/>
          <w:szCs w:val="16"/>
        </w:rPr>
        <w:t>NHWDS, Medical Practitioner 2016</w:t>
      </w:r>
    </w:p>
    <w:p w:rsidR="00A66BC2" w:rsidRDefault="00F838A0" w:rsidP="00544360">
      <w:r w:rsidRPr="00AE71AD">
        <w:t>The</w:t>
      </w:r>
      <w:r w:rsidR="00A66BC2" w:rsidRPr="00AE71AD">
        <w:t xml:space="preserve"> average </w:t>
      </w:r>
      <w:r w:rsidR="000B4460">
        <w:t xml:space="preserve">total specialist </w:t>
      </w:r>
      <w:r w:rsidR="00A66BC2" w:rsidRPr="00AE71AD">
        <w:t xml:space="preserve">hours worked </w:t>
      </w:r>
      <w:r w:rsidRPr="00AE71AD">
        <w:t>by state</w:t>
      </w:r>
      <w:r w:rsidR="000F4F2D">
        <w:t xml:space="preserve"> and territory</w:t>
      </w:r>
      <w:r w:rsidRPr="00AE71AD">
        <w:t xml:space="preserve"> is shown </w:t>
      </w:r>
      <w:r w:rsidR="008670FB">
        <w:t xml:space="preserve">in </w:t>
      </w:r>
      <w:r w:rsidR="00466C7E">
        <w:fldChar w:fldCharType="begin"/>
      </w:r>
      <w:r w:rsidR="00466C7E">
        <w:instrText xml:space="preserve"> REF _Ref442259381 \h </w:instrText>
      </w:r>
      <w:r w:rsidR="00A92FD3">
        <w:instrText xml:space="preserve"> \* MERGEFORMAT </w:instrText>
      </w:r>
      <w:r w:rsidR="00466C7E">
        <w:fldChar w:fldCharType="separate"/>
      </w:r>
      <w:r w:rsidR="008C7087" w:rsidRPr="00F23728">
        <w:t xml:space="preserve">Figure </w:t>
      </w:r>
      <w:r w:rsidR="008C7087">
        <w:t>9</w:t>
      </w:r>
      <w:r w:rsidR="00466C7E">
        <w:fldChar w:fldCharType="end"/>
      </w:r>
      <w:r w:rsidRPr="00AE71AD">
        <w:t xml:space="preserve">. </w:t>
      </w:r>
      <w:r w:rsidR="00572AF5">
        <w:t>O&amp;G s</w:t>
      </w:r>
      <w:r w:rsidR="00DE7B26">
        <w:t>pecialist</w:t>
      </w:r>
      <w:r w:rsidR="00DB3F6A">
        <w:t xml:space="preserve"> </w:t>
      </w:r>
      <w:r w:rsidR="00382301">
        <w:t xml:space="preserve">in </w:t>
      </w:r>
      <w:r w:rsidR="006375CB">
        <w:t>the</w:t>
      </w:r>
      <w:r w:rsidR="00030941">
        <w:t xml:space="preserve"> ACT, </w:t>
      </w:r>
      <w:r w:rsidR="00B9212A">
        <w:t>QLD</w:t>
      </w:r>
      <w:r w:rsidR="00030941">
        <w:t xml:space="preserve">, NT, WA and </w:t>
      </w:r>
      <w:r w:rsidR="00B9212A">
        <w:t xml:space="preserve">TAS </w:t>
      </w:r>
      <w:r w:rsidR="00982E73">
        <w:t xml:space="preserve">tend to work </w:t>
      </w:r>
      <w:r w:rsidR="00DE7B26">
        <w:t>more</w:t>
      </w:r>
      <w:r w:rsidR="00982E73">
        <w:t xml:space="preserve"> than the national average (</w:t>
      </w:r>
      <w:r w:rsidR="00030941">
        <w:t>45.7</w:t>
      </w:r>
      <w:r w:rsidR="00982E73">
        <w:t xml:space="preserve"> hours), while</w:t>
      </w:r>
      <w:r w:rsidR="006375CB">
        <w:t xml:space="preserve"> those in</w:t>
      </w:r>
      <w:r w:rsidR="00982E73">
        <w:t xml:space="preserve"> </w:t>
      </w:r>
      <w:r w:rsidR="00B9212A">
        <w:t>VIC</w:t>
      </w:r>
      <w:r w:rsidR="00B9212A" w:rsidRPr="00AE71AD">
        <w:t xml:space="preserve"> </w:t>
      </w:r>
      <w:r w:rsidR="00542823">
        <w:t>tend</w:t>
      </w:r>
      <w:r w:rsidR="00982E73">
        <w:t xml:space="preserve"> to work </w:t>
      </w:r>
      <w:r w:rsidR="00DE7B26">
        <w:t>less</w:t>
      </w:r>
      <w:r w:rsidR="00982E73">
        <w:t xml:space="preserve"> than</w:t>
      </w:r>
      <w:r w:rsidR="00564DEB" w:rsidRPr="00AE71AD">
        <w:t xml:space="preserve"> the national average.</w:t>
      </w:r>
    </w:p>
    <w:p w:rsidR="007A1290" w:rsidRDefault="007A1290" w:rsidP="00544360">
      <w:pPr>
        <w:pStyle w:val="Caption"/>
        <w:keepNext/>
      </w:pPr>
      <w:bookmarkStart w:id="56" w:name="_Ref442259381"/>
      <w:bookmarkStart w:id="57" w:name="_Toc442268276"/>
      <w:bookmarkStart w:id="58" w:name="_Toc515888813"/>
      <w:r w:rsidRPr="00F23728">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9</w:t>
      </w:r>
      <w:r w:rsidR="00556A17">
        <w:rPr>
          <w:noProof/>
        </w:rPr>
        <w:fldChar w:fldCharType="end"/>
      </w:r>
      <w:bookmarkEnd w:id="56"/>
      <w:r w:rsidR="004200F6">
        <w:t>:</w:t>
      </w:r>
      <w:r w:rsidRPr="00F23728">
        <w:t xml:space="preserve"> Average</w:t>
      </w:r>
      <w:r w:rsidR="00D74BA6">
        <w:t xml:space="preserve"> total </w:t>
      </w:r>
      <w:r w:rsidR="00D74BA6" w:rsidRPr="00F23728">
        <w:t>specialist</w:t>
      </w:r>
      <w:r w:rsidR="00C95952" w:rsidRPr="00F23728">
        <w:t xml:space="preserve"> </w:t>
      </w:r>
      <w:r w:rsidRPr="00F23728">
        <w:t>hours by states and territories</w:t>
      </w:r>
      <w:bookmarkEnd w:id="57"/>
      <w:bookmarkEnd w:id="58"/>
    </w:p>
    <w:p w:rsidR="000024D0" w:rsidRDefault="000024D0" w:rsidP="007D3E4F">
      <w:pPr>
        <w:spacing w:before="0" w:after="0"/>
        <w:rPr>
          <w:rFonts w:eastAsia="Calibri"/>
          <w:i/>
          <w:color w:val="4F81BD" w:themeColor="accent1"/>
          <w:sz w:val="16"/>
        </w:rPr>
      </w:pPr>
      <w:r>
        <w:rPr>
          <w:rFonts w:eastAsia="Calibri"/>
          <w:i/>
          <w:noProof/>
          <w:color w:val="4F81BD" w:themeColor="accent1"/>
          <w:sz w:val="16"/>
          <w:lang w:eastAsia="en-AU"/>
        </w:rPr>
        <w:drawing>
          <wp:inline distT="0" distB="0" distL="0" distR="0" wp14:anchorId="15B2CE62" wp14:editId="07A4443F">
            <wp:extent cx="5255260" cy="2054225"/>
            <wp:effectExtent l="0" t="0" r="2540" b="3175"/>
            <wp:docPr id="745" name="Picture 745" descr="The average total specialist hours worked by states and territories. Obstetrics and gynaecology specialists in the Australian Capital Territory, Queensland, Northern Territory, Western Australia and Tasmania tend to work more than the national average, while those in Victoria tend to work less than the national average.&#10;NSW - 45.4&#10;VIC - 43.8&#10;QLD - 47.9&#10;SA - 45.9&#10;WA - 46.6&#10;TAS - 46.5&#10;NT - 47.6&#10;ACT - 48.8" title="Figure 9: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5260" cy="2054225"/>
                    </a:xfrm>
                    <a:prstGeom prst="rect">
                      <a:avLst/>
                    </a:prstGeom>
                    <a:noFill/>
                  </pic:spPr>
                </pic:pic>
              </a:graphicData>
            </a:graphic>
          </wp:inline>
        </w:drawing>
      </w:r>
    </w:p>
    <w:p w:rsidR="009D4A23" w:rsidRPr="007D3E4F" w:rsidRDefault="009D4A23" w:rsidP="007D3E4F">
      <w:pPr>
        <w:spacing w:before="0" w:after="0"/>
        <w:rPr>
          <w:i/>
          <w:color w:val="4F81BD" w:themeColor="accent1"/>
          <w:sz w:val="16"/>
        </w:rPr>
      </w:pPr>
      <w:r w:rsidRPr="007D3E4F">
        <w:rPr>
          <w:rFonts w:eastAsia="Calibri"/>
          <w:i/>
          <w:color w:val="4F81BD" w:themeColor="accent1"/>
          <w:sz w:val="16"/>
        </w:rPr>
        <w:t>Source: NHWDS, Medical Pract</w:t>
      </w:r>
      <w:r w:rsidR="00061DEC" w:rsidRPr="007D3E4F">
        <w:rPr>
          <w:rFonts w:eastAsia="Calibri"/>
          <w:i/>
          <w:color w:val="4F81BD" w:themeColor="accent1"/>
          <w:sz w:val="16"/>
        </w:rPr>
        <w:t>itioner 2016</w:t>
      </w:r>
    </w:p>
    <w:p w:rsidR="00DE7B26" w:rsidRDefault="00466C7E" w:rsidP="0036410A">
      <w:pPr>
        <w:spacing w:before="100" w:after="100"/>
      </w:pPr>
      <w:r>
        <w:fldChar w:fldCharType="begin"/>
      </w:r>
      <w:r>
        <w:instrText xml:space="preserve"> REF _Ref442259406 \h </w:instrText>
      </w:r>
      <w:r w:rsidR="00A92FD3">
        <w:instrText xml:space="preserve"> \* MERGEFORMAT </w:instrText>
      </w:r>
      <w:r>
        <w:fldChar w:fldCharType="separate"/>
      </w:r>
      <w:r w:rsidR="008C7087" w:rsidRPr="00F23728">
        <w:t xml:space="preserve">Figure </w:t>
      </w:r>
      <w:r w:rsidR="008C7087">
        <w:t>10</w:t>
      </w:r>
      <w:r>
        <w:fldChar w:fldCharType="end"/>
      </w:r>
      <w:r>
        <w:t xml:space="preserve"> </w:t>
      </w:r>
      <w:r w:rsidR="00A66BC2" w:rsidRPr="00AE71AD">
        <w:t xml:space="preserve">shows </w:t>
      </w:r>
      <w:r w:rsidR="00982E73">
        <w:t>there</w:t>
      </w:r>
      <w:r w:rsidR="00CA4524">
        <w:t xml:space="preserve"> </w:t>
      </w:r>
      <w:r w:rsidR="00CF24BC">
        <w:t>are</w:t>
      </w:r>
      <w:r w:rsidR="00982E73" w:rsidRPr="00AE71AD">
        <w:t xml:space="preserve"> </w:t>
      </w:r>
      <w:r w:rsidR="00397A36">
        <w:t>large</w:t>
      </w:r>
      <w:r w:rsidR="006375CB">
        <w:t>r</w:t>
      </w:r>
      <w:r w:rsidR="00982E73" w:rsidRPr="00AE71AD">
        <w:t xml:space="preserve"> variations </w:t>
      </w:r>
      <w:r w:rsidR="00382301">
        <w:t>in the</w:t>
      </w:r>
      <w:r w:rsidR="00382301" w:rsidRPr="00AE71AD">
        <w:t xml:space="preserve"> total </w:t>
      </w:r>
      <w:r w:rsidR="00382301">
        <w:t xml:space="preserve">specialist </w:t>
      </w:r>
      <w:r w:rsidR="00382301" w:rsidRPr="00AE71AD">
        <w:t>hours worked</w:t>
      </w:r>
      <w:r w:rsidR="00397A36">
        <w:t xml:space="preserve"> by the </w:t>
      </w:r>
      <w:r w:rsidR="00CF24BC">
        <w:t>O&amp;G</w:t>
      </w:r>
      <w:r w:rsidR="00397A36">
        <w:t xml:space="preserve"> </w:t>
      </w:r>
      <w:r w:rsidR="00CF24BC">
        <w:t>workforce</w:t>
      </w:r>
      <w:r w:rsidR="00397A36">
        <w:t xml:space="preserve"> </w:t>
      </w:r>
      <w:r w:rsidR="00CF24BC">
        <w:t>in the more outer regional and remote areas</w:t>
      </w:r>
      <w:r w:rsidR="00397A36">
        <w:t xml:space="preserve">; ranging from </w:t>
      </w:r>
      <w:r w:rsidR="006375CB">
        <w:t>5</w:t>
      </w:r>
      <w:r w:rsidR="00033C1A">
        <w:t>7.1</w:t>
      </w:r>
      <w:r w:rsidR="00397A36">
        <w:t xml:space="preserve"> hours per week in M</w:t>
      </w:r>
      <w:r w:rsidR="00C60CF0">
        <w:t>M</w:t>
      </w:r>
      <w:r w:rsidR="00397A36">
        <w:t>M</w:t>
      </w:r>
      <w:r w:rsidR="00CF24BC">
        <w:t>4</w:t>
      </w:r>
      <w:r w:rsidR="00397A36">
        <w:t xml:space="preserve"> to </w:t>
      </w:r>
      <w:r w:rsidR="00033C1A">
        <w:t>45.2</w:t>
      </w:r>
      <w:r w:rsidR="00B22892">
        <w:t xml:space="preserve"> hours per week in </w:t>
      </w:r>
      <w:r w:rsidR="00917816">
        <w:t>M</w:t>
      </w:r>
      <w:r w:rsidR="00C60CF0">
        <w:t>M</w:t>
      </w:r>
      <w:r w:rsidR="00397A36">
        <w:t>M</w:t>
      </w:r>
      <w:r w:rsidR="00033C1A">
        <w:t>1</w:t>
      </w:r>
      <w:r w:rsidR="00397A36">
        <w:t>.</w:t>
      </w:r>
      <w:r w:rsidR="00382301" w:rsidRPr="00AE71AD">
        <w:t xml:space="preserve"> </w:t>
      </w:r>
      <w:r w:rsidR="008E5617">
        <w:t>The comparatively low number of specialists in MM</w:t>
      </w:r>
      <w:r w:rsidR="00B9212A">
        <w:t>M</w:t>
      </w:r>
      <w:r w:rsidR="008E5617">
        <w:t xml:space="preserve">4 correlates with the </w:t>
      </w:r>
      <w:r w:rsidR="004B0CAD">
        <w:t>highest</w:t>
      </w:r>
      <w:r w:rsidR="008E5617">
        <w:t xml:space="preserve"> number of hours</w:t>
      </w:r>
      <w:r w:rsidR="00CC5EDD">
        <w:t xml:space="preserve"> worked</w:t>
      </w:r>
      <w:r w:rsidR="008E5617">
        <w:t xml:space="preserve"> per week.</w:t>
      </w:r>
    </w:p>
    <w:p w:rsidR="00E24041" w:rsidRDefault="00E24041" w:rsidP="00544360">
      <w:pPr>
        <w:pStyle w:val="Caption"/>
        <w:keepNext/>
      </w:pPr>
      <w:bookmarkStart w:id="59" w:name="_Ref442259406"/>
      <w:bookmarkStart w:id="60" w:name="_Toc442268277"/>
      <w:bookmarkStart w:id="61" w:name="_Toc515888814"/>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10</w:t>
      </w:r>
      <w:r w:rsidR="00556A17">
        <w:rPr>
          <w:noProof/>
        </w:rPr>
        <w:fldChar w:fldCharType="end"/>
      </w:r>
      <w:bookmarkEnd w:id="59"/>
      <w:r w:rsidR="004200F6">
        <w:t>:</w:t>
      </w:r>
      <w:r w:rsidR="00C95952" w:rsidRPr="00F23728">
        <w:t xml:space="preserve"> </w:t>
      </w:r>
      <w:bookmarkEnd w:id="60"/>
      <w:r w:rsidR="00917816" w:rsidRPr="00F23728">
        <w:t>Average</w:t>
      </w:r>
      <w:r w:rsidR="00917816">
        <w:t xml:space="preserve"> total </w:t>
      </w:r>
      <w:r w:rsidR="00917816" w:rsidRPr="00F23728">
        <w:t>specialist hours by</w:t>
      </w:r>
      <w:r w:rsidR="00B22892">
        <w:t xml:space="preserve"> M</w:t>
      </w:r>
      <w:r w:rsidR="00917816">
        <w:t>M</w:t>
      </w:r>
      <w:r w:rsidR="00C60CF0">
        <w:t>M</w:t>
      </w:r>
      <w:bookmarkEnd w:id="61"/>
    </w:p>
    <w:p w:rsidR="00536E6F" w:rsidRPr="00536E6F" w:rsidRDefault="00536E6F" w:rsidP="00536E6F">
      <w:pPr>
        <w:rPr>
          <w:rFonts w:eastAsia="Calibri"/>
        </w:rPr>
      </w:pPr>
      <w:r>
        <w:rPr>
          <w:rFonts w:eastAsia="Calibri"/>
          <w:noProof/>
          <w:lang w:eastAsia="en-AU"/>
        </w:rPr>
        <w:drawing>
          <wp:inline distT="0" distB="0" distL="0" distR="0" wp14:anchorId="43DAD2AB" wp14:editId="3CD0C349">
            <wp:extent cx="5257800" cy="1914525"/>
            <wp:effectExtent l="0" t="0" r="0" b="9525"/>
            <wp:docPr id="747" name="Picture 747" descr="There are larger variations in the total specialist hours worked by the obstetrics and gynaecology workforce in the more outer regional and remote areas; ranging from 57.1 hours per week in MMM4 to 45.2 hours per week in MMM1. The comparatively low number of specialists in MMM4 correlates with the highest number of hours worked per week.&#10;&#10;National average - 45.7&#10;MMM1- 45.2&#10;MMM2 - 47.4&#10;MMM3 - 48.2&#10;MMM4 - 57.1&#10;MMM5 - 48.0&#10;MMM6 - 49.0" title="Figure 10: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b="5175"/>
                    <a:stretch/>
                  </pic:blipFill>
                  <pic:spPr bwMode="auto">
                    <a:xfrm>
                      <a:off x="0" y="0"/>
                      <a:ext cx="5255260" cy="1913600"/>
                    </a:xfrm>
                    <a:prstGeom prst="rect">
                      <a:avLst/>
                    </a:prstGeom>
                    <a:noFill/>
                    <a:ln>
                      <a:noFill/>
                    </a:ln>
                    <a:extLst>
                      <a:ext uri="{53640926-AAD7-44D8-BBD7-CCE9431645EC}">
                        <a14:shadowObscured xmlns:a14="http://schemas.microsoft.com/office/drawing/2010/main"/>
                      </a:ext>
                    </a:extLst>
                  </pic:spPr>
                </pic:pic>
              </a:graphicData>
            </a:graphic>
          </wp:inline>
        </w:drawing>
      </w:r>
    </w:p>
    <w:p w:rsidR="00010D96" w:rsidRPr="00634696" w:rsidRDefault="00010D96" w:rsidP="00012887">
      <w:pPr>
        <w:rPr>
          <w:rFonts w:eastAsia="Calibri"/>
          <w:i/>
          <w:color w:val="4F81BD"/>
          <w:sz w:val="16"/>
          <w:szCs w:val="16"/>
        </w:rPr>
      </w:pPr>
      <w:r w:rsidRPr="00634696">
        <w:rPr>
          <w:rFonts w:eastAsia="Calibri"/>
          <w:i/>
          <w:color w:val="4F81BD"/>
          <w:sz w:val="16"/>
          <w:szCs w:val="16"/>
        </w:rPr>
        <w:t xml:space="preserve">Source: </w:t>
      </w:r>
      <w:r w:rsidR="00061DEC" w:rsidRPr="00634696">
        <w:rPr>
          <w:rFonts w:eastAsia="Calibri"/>
          <w:i/>
          <w:color w:val="4F81BD"/>
          <w:sz w:val="16"/>
          <w:szCs w:val="16"/>
        </w:rPr>
        <w:t>NHWDS, Medical Practitioner 2016</w:t>
      </w:r>
    </w:p>
    <w:p w:rsidR="00457755" w:rsidRDefault="00C60CF0" w:rsidP="0036410A">
      <w:pPr>
        <w:spacing w:before="100" w:after="100"/>
      </w:pPr>
      <w:r>
        <w:t xml:space="preserve">Table 3 </w:t>
      </w:r>
      <w:r w:rsidR="00287D18">
        <w:t xml:space="preserve">indicates </w:t>
      </w:r>
      <w:r w:rsidR="004200F6">
        <w:t>O&amp;Gs</w:t>
      </w:r>
      <w:r w:rsidR="00CF24BC">
        <w:t xml:space="preserve"> </w:t>
      </w:r>
      <w:r w:rsidR="00682074" w:rsidRPr="00287D18">
        <w:t>clinical</w:t>
      </w:r>
      <w:r w:rsidR="009D7D45" w:rsidRPr="00287D18">
        <w:t xml:space="preserve"> workload bet</w:t>
      </w:r>
      <w:r w:rsidR="00682074" w:rsidRPr="00287D18">
        <w:t>ween sectors</w:t>
      </w:r>
      <w:r w:rsidR="009D7D45" w:rsidRPr="00287D18">
        <w:t xml:space="preserve"> and </w:t>
      </w:r>
      <w:r w:rsidR="0075162D">
        <w:t>jurisdictions</w:t>
      </w:r>
      <w:r w:rsidR="009D7D45" w:rsidRPr="00287D18">
        <w:t xml:space="preserve">. </w:t>
      </w:r>
      <w:r w:rsidR="00564DEB" w:rsidRPr="00287D18">
        <w:t xml:space="preserve">The </w:t>
      </w:r>
      <w:r w:rsidR="009D7D45" w:rsidRPr="00287D18">
        <w:t xml:space="preserve">data shows </w:t>
      </w:r>
      <w:r w:rsidR="002D4660">
        <w:t xml:space="preserve">that in all </w:t>
      </w:r>
      <w:r w:rsidR="00023E29">
        <w:t>jurisdictions</w:t>
      </w:r>
      <w:r w:rsidR="002D4660">
        <w:t xml:space="preserve"> other than the NT,</w:t>
      </w:r>
      <w:r w:rsidR="009D7D45" w:rsidRPr="00287D18">
        <w:t xml:space="preserve"> the majority of</w:t>
      </w:r>
      <w:r w:rsidR="00DE6124">
        <w:t xml:space="preserve"> O&amp;G</w:t>
      </w:r>
      <w:r w:rsidR="009D7D45" w:rsidRPr="00287D18">
        <w:t xml:space="preserve"> </w:t>
      </w:r>
      <w:r w:rsidR="00945FAF">
        <w:t xml:space="preserve">specialist </w:t>
      </w:r>
      <w:r w:rsidR="0075162D">
        <w:t xml:space="preserve">FTE is spent in </w:t>
      </w:r>
      <w:r w:rsidR="00287D18">
        <w:t xml:space="preserve">the </w:t>
      </w:r>
      <w:r w:rsidR="00945FAF">
        <w:t>private</w:t>
      </w:r>
      <w:r w:rsidR="00287D18">
        <w:t xml:space="preserve"> sector</w:t>
      </w:r>
      <w:r w:rsidR="00B019CB">
        <w:t>. Nationally 6</w:t>
      </w:r>
      <w:r w:rsidR="00033C1A">
        <w:t>3</w:t>
      </w:r>
      <w:r w:rsidR="004200F6">
        <w:t xml:space="preserve"> per</w:t>
      </w:r>
      <w:r w:rsidR="00C65FC7">
        <w:t xml:space="preserve"> </w:t>
      </w:r>
      <w:r w:rsidR="004200F6">
        <w:t>cent</w:t>
      </w:r>
      <w:r w:rsidR="00B019CB">
        <w:t xml:space="preserve"> of</w:t>
      </w:r>
      <w:r w:rsidR="00287D18">
        <w:t xml:space="preserve"> </w:t>
      </w:r>
      <w:r w:rsidR="00B019CB">
        <w:t xml:space="preserve">O&amp;G specialists </w:t>
      </w:r>
      <w:r w:rsidR="00033C1A">
        <w:t>clinical FTE is</w:t>
      </w:r>
      <w:r w:rsidR="00B019CB">
        <w:t xml:space="preserve"> spent in the private sector. </w:t>
      </w:r>
      <w:r w:rsidR="00837923" w:rsidRPr="00287D18">
        <w:t>T</w:t>
      </w:r>
      <w:r w:rsidR="009D7D45" w:rsidRPr="00287D18">
        <w:t xml:space="preserve">he majority of </w:t>
      </w:r>
      <w:r w:rsidR="00DE6124">
        <w:t xml:space="preserve">O&amp;G </w:t>
      </w:r>
      <w:r w:rsidR="0075162D">
        <w:t>specialist</w:t>
      </w:r>
      <w:r w:rsidR="00DE6124">
        <w:t>s</w:t>
      </w:r>
      <w:r w:rsidR="0075162D">
        <w:t xml:space="preserve"> </w:t>
      </w:r>
      <w:r w:rsidR="009D7D45" w:rsidRPr="00287D18">
        <w:t xml:space="preserve">are located in the </w:t>
      </w:r>
      <w:r w:rsidR="00837923" w:rsidRPr="00287D18">
        <w:t xml:space="preserve">highly populated </w:t>
      </w:r>
      <w:r w:rsidR="009D7D45" w:rsidRPr="00287D18">
        <w:t>states of NSW, VIC and QLD and proportionally less in lower populous territories such as NT</w:t>
      </w:r>
      <w:r w:rsidR="00287D18">
        <w:t xml:space="preserve">, </w:t>
      </w:r>
      <w:r w:rsidR="009D7D45" w:rsidRPr="00287D18">
        <w:t>ACT</w:t>
      </w:r>
      <w:r w:rsidR="00033C1A">
        <w:t xml:space="preserve"> and </w:t>
      </w:r>
      <w:r w:rsidR="00B9212A">
        <w:t>TAS</w:t>
      </w:r>
      <w:r w:rsidR="009D7D45" w:rsidRPr="00287D18">
        <w:t>.</w:t>
      </w:r>
      <w:bookmarkStart w:id="62" w:name="_Ref442259426"/>
    </w:p>
    <w:p w:rsidR="001A1D34" w:rsidRDefault="001A1D34" w:rsidP="00544360">
      <w:pPr>
        <w:pStyle w:val="Caption"/>
        <w:keepNext/>
      </w:pPr>
      <w:bookmarkStart w:id="63" w:name="_Toc515887824"/>
      <w:r w:rsidRPr="00F23728">
        <w:t xml:space="preserve">Table </w:t>
      </w:r>
      <w:r w:rsidR="008F108A" w:rsidRPr="00F23728">
        <w:fldChar w:fldCharType="begin"/>
      </w:r>
      <w:r w:rsidR="00F90CFA" w:rsidRPr="00F23728">
        <w:instrText xml:space="preserve"> SEQ Table \* ARABIC </w:instrText>
      </w:r>
      <w:r w:rsidR="008F108A" w:rsidRPr="00F23728">
        <w:fldChar w:fldCharType="separate"/>
      </w:r>
      <w:r w:rsidR="008C7087">
        <w:rPr>
          <w:noProof/>
        </w:rPr>
        <w:t>3</w:t>
      </w:r>
      <w:r w:rsidR="008F108A" w:rsidRPr="00F23728">
        <w:rPr>
          <w:noProof/>
        </w:rPr>
        <w:fldChar w:fldCharType="end"/>
      </w:r>
      <w:bookmarkEnd w:id="62"/>
      <w:r w:rsidR="004200F6">
        <w:rPr>
          <w:noProof/>
        </w:rPr>
        <w:t>:</w:t>
      </w:r>
      <w:r w:rsidRPr="00F23728">
        <w:t xml:space="preserve"> </w:t>
      </w:r>
      <w:r w:rsidR="00CF24BC">
        <w:t>O&amp;G</w:t>
      </w:r>
      <w:r w:rsidR="004408B1">
        <w:t xml:space="preserve"> specialist</w:t>
      </w:r>
      <w:r w:rsidRPr="00F23728">
        <w:t xml:space="preserve"> clinicians (headcount and sector: </w:t>
      </w:r>
      <w:r w:rsidR="00391F87">
        <w:t xml:space="preserve">proportion of specialist clinical FTE in </w:t>
      </w:r>
      <w:r w:rsidRPr="00F23728">
        <w:t>public and private) by state and territory</w:t>
      </w:r>
      <w:bookmarkEnd w:id="63"/>
    </w:p>
    <w:tbl>
      <w:tblPr>
        <w:tblStyle w:val="TableGrid"/>
        <w:tblW w:w="0" w:type="auto"/>
        <w:tblBorders>
          <w:insideH w:val="none" w:sz="0" w:space="0" w:color="auto"/>
          <w:insideV w:val="none" w:sz="0" w:space="0" w:color="auto"/>
        </w:tblBorders>
        <w:tblLook w:val="04A0" w:firstRow="1" w:lastRow="0" w:firstColumn="1" w:lastColumn="0" w:noHBand="0" w:noVBand="1"/>
        <w:tblCaption w:val="Table 3: Obstetrics and gynaecology specialist clinicians (headcount and sector: proportion of specialist clinical FTE in public and private) by state and territory"/>
        <w:tblDescription w:val="The headcount of obstetrics and gynaecology clinicians was highest in New South Wales, Victoria and Queensland and lowest in Tasmania, Northern Territory and Australian Capital Territory.  In all states and territories the majority of specialist clinical full time equivalent was in the private sector."/>
      </w:tblPr>
      <w:tblGrid>
        <w:gridCol w:w="2310"/>
        <w:gridCol w:w="1626"/>
        <w:gridCol w:w="2551"/>
        <w:gridCol w:w="2755"/>
      </w:tblGrid>
      <w:tr w:rsidR="00032B52" w:rsidRPr="00032B52" w:rsidTr="00032B52">
        <w:trPr>
          <w:tblHeader/>
        </w:trPr>
        <w:tc>
          <w:tcPr>
            <w:tcW w:w="2310" w:type="dxa"/>
            <w:shd w:val="clear" w:color="auto" w:fill="1F497D"/>
            <w:vAlign w:val="center"/>
          </w:tcPr>
          <w:p w:rsidR="00032B52" w:rsidRPr="00032B52" w:rsidRDefault="00032B52" w:rsidP="00032B52">
            <w:pPr>
              <w:spacing w:before="0" w:after="0"/>
              <w:jc w:val="center"/>
              <w:rPr>
                <w:b/>
                <w:color w:val="FFFFFF" w:themeColor="background1"/>
                <w:sz w:val="20"/>
                <w:szCs w:val="20"/>
                <w:lang w:eastAsia="en-AU"/>
              </w:rPr>
            </w:pPr>
            <w:r w:rsidRPr="00032B52">
              <w:rPr>
                <w:b/>
                <w:color w:val="FFFFFF" w:themeColor="background1"/>
                <w:sz w:val="20"/>
                <w:szCs w:val="20"/>
                <w:lang w:eastAsia="en-AU"/>
              </w:rPr>
              <w:t>State and Territories</w:t>
            </w:r>
          </w:p>
        </w:tc>
        <w:tc>
          <w:tcPr>
            <w:tcW w:w="1626" w:type="dxa"/>
            <w:shd w:val="clear" w:color="auto" w:fill="1F497D"/>
            <w:vAlign w:val="center"/>
          </w:tcPr>
          <w:p w:rsidR="00032B52" w:rsidRPr="00032B52" w:rsidRDefault="00032B52" w:rsidP="00032B52">
            <w:pPr>
              <w:spacing w:before="0" w:after="0"/>
              <w:jc w:val="center"/>
              <w:rPr>
                <w:b/>
                <w:bCs/>
                <w:color w:val="FFFFFF" w:themeColor="background1"/>
                <w:sz w:val="20"/>
                <w:szCs w:val="20"/>
                <w:lang w:eastAsia="en-AU"/>
              </w:rPr>
            </w:pPr>
            <w:r w:rsidRPr="00032B52">
              <w:rPr>
                <w:b/>
                <w:bCs/>
                <w:color w:val="FFFFFF" w:themeColor="background1"/>
                <w:sz w:val="20"/>
                <w:szCs w:val="20"/>
                <w:lang w:eastAsia="en-AU"/>
              </w:rPr>
              <w:t>Headcount</w:t>
            </w:r>
          </w:p>
        </w:tc>
        <w:tc>
          <w:tcPr>
            <w:tcW w:w="2551" w:type="dxa"/>
            <w:shd w:val="clear" w:color="auto" w:fill="1F497D"/>
            <w:vAlign w:val="center"/>
          </w:tcPr>
          <w:p w:rsidR="00032B52" w:rsidRPr="00032B52" w:rsidRDefault="00032B52" w:rsidP="00032B52">
            <w:pPr>
              <w:spacing w:before="0" w:after="0"/>
              <w:jc w:val="center"/>
              <w:rPr>
                <w:b/>
                <w:bCs/>
                <w:color w:val="FFFFFF" w:themeColor="background1"/>
                <w:sz w:val="20"/>
                <w:szCs w:val="20"/>
                <w:lang w:eastAsia="en-AU"/>
              </w:rPr>
            </w:pPr>
            <w:r w:rsidRPr="00032B52">
              <w:rPr>
                <w:b/>
                <w:bCs/>
                <w:color w:val="FFFFFF" w:themeColor="background1"/>
                <w:sz w:val="20"/>
                <w:szCs w:val="20"/>
                <w:lang w:eastAsia="en-AU"/>
              </w:rPr>
              <w:t>Specialist clinical FTE</w:t>
            </w:r>
          </w:p>
          <w:p w:rsidR="00032B52" w:rsidRPr="00032B52" w:rsidRDefault="00032B52" w:rsidP="00032B52">
            <w:pPr>
              <w:spacing w:before="0" w:after="0"/>
              <w:jc w:val="center"/>
              <w:rPr>
                <w:b/>
                <w:bCs/>
                <w:color w:val="FFFFFF" w:themeColor="background1"/>
                <w:sz w:val="20"/>
                <w:szCs w:val="20"/>
                <w:lang w:eastAsia="en-AU"/>
              </w:rPr>
            </w:pPr>
            <w:r w:rsidRPr="00032B52">
              <w:rPr>
                <w:b/>
                <w:bCs/>
                <w:color w:val="FFFFFF" w:themeColor="background1"/>
                <w:sz w:val="20"/>
                <w:szCs w:val="20"/>
                <w:lang w:eastAsia="en-AU"/>
              </w:rPr>
              <w:t>% Public</w:t>
            </w:r>
          </w:p>
        </w:tc>
        <w:tc>
          <w:tcPr>
            <w:tcW w:w="2755" w:type="dxa"/>
            <w:shd w:val="clear" w:color="auto" w:fill="1F497D"/>
            <w:vAlign w:val="center"/>
          </w:tcPr>
          <w:p w:rsidR="00032B52" w:rsidRPr="00032B52" w:rsidRDefault="00032B52" w:rsidP="00032B52">
            <w:pPr>
              <w:spacing w:before="0" w:after="0"/>
              <w:jc w:val="center"/>
              <w:rPr>
                <w:b/>
                <w:bCs/>
                <w:color w:val="FFFFFF" w:themeColor="background1"/>
                <w:sz w:val="20"/>
                <w:szCs w:val="20"/>
                <w:lang w:eastAsia="en-AU"/>
              </w:rPr>
            </w:pPr>
            <w:r w:rsidRPr="00032B52">
              <w:rPr>
                <w:b/>
                <w:bCs/>
                <w:color w:val="FFFFFF" w:themeColor="background1"/>
                <w:sz w:val="20"/>
                <w:szCs w:val="20"/>
                <w:lang w:eastAsia="en-AU"/>
              </w:rPr>
              <w:t>Specialist clinical FTE</w:t>
            </w:r>
          </w:p>
          <w:p w:rsidR="00032B52" w:rsidRPr="00032B52" w:rsidRDefault="00032B52" w:rsidP="00032B52">
            <w:pPr>
              <w:spacing w:before="0" w:after="0"/>
              <w:jc w:val="center"/>
              <w:rPr>
                <w:b/>
                <w:bCs/>
                <w:color w:val="FFFFFF" w:themeColor="background1"/>
                <w:sz w:val="20"/>
                <w:szCs w:val="20"/>
                <w:lang w:eastAsia="en-AU"/>
              </w:rPr>
            </w:pPr>
            <w:r w:rsidRPr="00032B52">
              <w:rPr>
                <w:b/>
                <w:bCs/>
                <w:color w:val="FFFFFF" w:themeColor="background1"/>
                <w:sz w:val="20"/>
                <w:szCs w:val="20"/>
                <w:lang w:eastAsia="en-AU"/>
              </w:rPr>
              <w:t>% Private</w:t>
            </w:r>
          </w:p>
        </w:tc>
      </w:tr>
      <w:tr w:rsidR="00032B52" w:rsidTr="00032B52">
        <w:tc>
          <w:tcPr>
            <w:tcW w:w="2310" w:type="dxa"/>
            <w:vAlign w:val="center"/>
          </w:tcPr>
          <w:p w:rsidR="00032B52" w:rsidRPr="00061DEC" w:rsidRDefault="00032B52" w:rsidP="009A38EA">
            <w:pPr>
              <w:spacing w:before="0" w:after="0"/>
              <w:jc w:val="left"/>
              <w:rPr>
                <w:sz w:val="20"/>
                <w:szCs w:val="20"/>
                <w:lang w:eastAsia="en-AU"/>
              </w:rPr>
            </w:pPr>
            <w:r w:rsidRPr="00061DEC">
              <w:rPr>
                <w:sz w:val="20"/>
                <w:szCs w:val="20"/>
                <w:lang w:eastAsia="en-AU"/>
              </w:rPr>
              <w:t>ACT</w:t>
            </w:r>
          </w:p>
        </w:tc>
        <w:tc>
          <w:tcPr>
            <w:tcW w:w="1626"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26</w:t>
            </w:r>
          </w:p>
        </w:tc>
        <w:tc>
          <w:tcPr>
            <w:tcW w:w="2551"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29.9</w:t>
            </w:r>
          </w:p>
        </w:tc>
        <w:tc>
          <w:tcPr>
            <w:tcW w:w="2755"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70.</w:t>
            </w:r>
            <w:r>
              <w:rPr>
                <w:sz w:val="20"/>
                <w:szCs w:val="20"/>
                <w:lang w:eastAsia="en-AU"/>
              </w:rPr>
              <w:t>1</w:t>
            </w:r>
          </w:p>
        </w:tc>
      </w:tr>
      <w:tr w:rsidR="00032B52" w:rsidTr="00032B52">
        <w:tc>
          <w:tcPr>
            <w:tcW w:w="2310" w:type="dxa"/>
            <w:shd w:val="clear" w:color="auto" w:fill="D3DFEE"/>
            <w:vAlign w:val="center"/>
          </w:tcPr>
          <w:p w:rsidR="00032B52" w:rsidRPr="00061DEC" w:rsidRDefault="00032B52" w:rsidP="009A38EA">
            <w:pPr>
              <w:spacing w:before="0" w:after="0"/>
              <w:jc w:val="left"/>
              <w:rPr>
                <w:sz w:val="20"/>
                <w:szCs w:val="20"/>
                <w:lang w:eastAsia="en-AU"/>
              </w:rPr>
            </w:pPr>
            <w:r w:rsidRPr="00061DEC">
              <w:rPr>
                <w:sz w:val="20"/>
                <w:szCs w:val="20"/>
                <w:lang w:eastAsia="en-AU"/>
              </w:rPr>
              <w:t>NSW</w:t>
            </w:r>
          </w:p>
        </w:tc>
        <w:tc>
          <w:tcPr>
            <w:tcW w:w="1626"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494</w:t>
            </w:r>
          </w:p>
        </w:tc>
        <w:tc>
          <w:tcPr>
            <w:tcW w:w="2551"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33.</w:t>
            </w:r>
            <w:r>
              <w:rPr>
                <w:sz w:val="20"/>
                <w:szCs w:val="20"/>
                <w:lang w:eastAsia="en-AU"/>
              </w:rPr>
              <w:t>4</w:t>
            </w:r>
          </w:p>
        </w:tc>
        <w:tc>
          <w:tcPr>
            <w:tcW w:w="2755"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66.6</w:t>
            </w:r>
          </w:p>
        </w:tc>
      </w:tr>
      <w:tr w:rsidR="00032B52" w:rsidTr="00032B52">
        <w:tc>
          <w:tcPr>
            <w:tcW w:w="2310" w:type="dxa"/>
            <w:vAlign w:val="center"/>
          </w:tcPr>
          <w:p w:rsidR="00032B52" w:rsidRPr="00061DEC" w:rsidRDefault="00032B52" w:rsidP="009A38EA">
            <w:pPr>
              <w:spacing w:before="0" w:after="0"/>
              <w:jc w:val="left"/>
              <w:rPr>
                <w:sz w:val="20"/>
                <w:szCs w:val="20"/>
                <w:lang w:eastAsia="en-AU"/>
              </w:rPr>
            </w:pPr>
            <w:r w:rsidRPr="00061DEC">
              <w:rPr>
                <w:sz w:val="20"/>
                <w:szCs w:val="20"/>
                <w:lang w:eastAsia="en-AU"/>
              </w:rPr>
              <w:t>NT</w:t>
            </w:r>
          </w:p>
        </w:tc>
        <w:tc>
          <w:tcPr>
            <w:tcW w:w="1626"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19</w:t>
            </w:r>
          </w:p>
        </w:tc>
        <w:tc>
          <w:tcPr>
            <w:tcW w:w="2551"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71.</w:t>
            </w:r>
            <w:r>
              <w:rPr>
                <w:sz w:val="20"/>
                <w:szCs w:val="20"/>
                <w:lang w:eastAsia="en-AU"/>
              </w:rPr>
              <w:t>3</w:t>
            </w:r>
          </w:p>
        </w:tc>
        <w:tc>
          <w:tcPr>
            <w:tcW w:w="2755"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28.</w:t>
            </w:r>
            <w:r>
              <w:rPr>
                <w:sz w:val="20"/>
                <w:szCs w:val="20"/>
                <w:lang w:eastAsia="en-AU"/>
              </w:rPr>
              <w:t>8</w:t>
            </w:r>
          </w:p>
        </w:tc>
      </w:tr>
      <w:tr w:rsidR="00032B52" w:rsidTr="00032B52">
        <w:tc>
          <w:tcPr>
            <w:tcW w:w="2310" w:type="dxa"/>
            <w:shd w:val="clear" w:color="auto" w:fill="D3DFEE"/>
            <w:vAlign w:val="center"/>
          </w:tcPr>
          <w:p w:rsidR="00032B52" w:rsidRPr="00061DEC" w:rsidRDefault="00032B52" w:rsidP="009A38EA">
            <w:pPr>
              <w:spacing w:before="0" w:after="0"/>
              <w:jc w:val="left"/>
              <w:rPr>
                <w:sz w:val="20"/>
                <w:szCs w:val="20"/>
                <w:lang w:eastAsia="en-AU"/>
              </w:rPr>
            </w:pPr>
            <w:r w:rsidRPr="00061DEC">
              <w:rPr>
                <w:sz w:val="20"/>
                <w:szCs w:val="20"/>
                <w:lang w:eastAsia="en-AU"/>
              </w:rPr>
              <w:t>QLD</w:t>
            </w:r>
          </w:p>
        </w:tc>
        <w:tc>
          <w:tcPr>
            <w:tcW w:w="1626"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330</w:t>
            </w:r>
          </w:p>
        </w:tc>
        <w:tc>
          <w:tcPr>
            <w:tcW w:w="2551"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37.2</w:t>
            </w:r>
          </w:p>
        </w:tc>
        <w:tc>
          <w:tcPr>
            <w:tcW w:w="2755"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62.</w:t>
            </w:r>
            <w:r>
              <w:rPr>
                <w:sz w:val="20"/>
                <w:szCs w:val="20"/>
                <w:lang w:eastAsia="en-AU"/>
              </w:rPr>
              <w:t>8</w:t>
            </w:r>
          </w:p>
        </w:tc>
      </w:tr>
      <w:tr w:rsidR="00032B52" w:rsidTr="00032B52">
        <w:tc>
          <w:tcPr>
            <w:tcW w:w="2310" w:type="dxa"/>
            <w:vAlign w:val="center"/>
          </w:tcPr>
          <w:p w:rsidR="00032B52" w:rsidRPr="00061DEC" w:rsidRDefault="00032B52" w:rsidP="009A38EA">
            <w:pPr>
              <w:spacing w:before="0" w:after="0"/>
              <w:jc w:val="left"/>
              <w:rPr>
                <w:sz w:val="20"/>
                <w:szCs w:val="20"/>
                <w:lang w:eastAsia="en-AU"/>
              </w:rPr>
            </w:pPr>
            <w:r w:rsidRPr="00061DEC">
              <w:rPr>
                <w:sz w:val="20"/>
                <w:szCs w:val="20"/>
                <w:lang w:eastAsia="en-AU"/>
              </w:rPr>
              <w:t>SA</w:t>
            </w:r>
          </w:p>
        </w:tc>
        <w:tc>
          <w:tcPr>
            <w:tcW w:w="1626"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123</w:t>
            </w:r>
          </w:p>
        </w:tc>
        <w:tc>
          <w:tcPr>
            <w:tcW w:w="2551"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37.1</w:t>
            </w:r>
          </w:p>
        </w:tc>
        <w:tc>
          <w:tcPr>
            <w:tcW w:w="2755"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62.</w:t>
            </w:r>
            <w:r>
              <w:rPr>
                <w:sz w:val="20"/>
                <w:szCs w:val="20"/>
                <w:lang w:eastAsia="en-AU"/>
              </w:rPr>
              <w:t>9</w:t>
            </w:r>
          </w:p>
        </w:tc>
      </w:tr>
      <w:tr w:rsidR="00032B52" w:rsidTr="00032B52">
        <w:tc>
          <w:tcPr>
            <w:tcW w:w="2310" w:type="dxa"/>
            <w:shd w:val="clear" w:color="auto" w:fill="D3DFEE"/>
            <w:vAlign w:val="center"/>
          </w:tcPr>
          <w:p w:rsidR="00032B52" w:rsidRPr="00061DEC" w:rsidRDefault="00032B52" w:rsidP="009A38EA">
            <w:pPr>
              <w:spacing w:before="0" w:after="0"/>
              <w:jc w:val="left"/>
              <w:rPr>
                <w:sz w:val="20"/>
                <w:szCs w:val="20"/>
                <w:lang w:eastAsia="en-AU"/>
              </w:rPr>
            </w:pPr>
            <w:r w:rsidRPr="00061DEC">
              <w:rPr>
                <w:sz w:val="20"/>
                <w:szCs w:val="20"/>
                <w:lang w:eastAsia="en-AU"/>
              </w:rPr>
              <w:t>TAS</w:t>
            </w:r>
          </w:p>
        </w:tc>
        <w:tc>
          <w:tcPr>
            <w:tcW w:w="1626"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39</w:t>
            </w:r>
          </w:p>
        </w:tc>
        <w:tc>
          <w:tcPr>
            <w:tcW w:w="2551"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38.</w:t>
            </w:r>
            <w:r>
              <w:rPr>
                <w:sz w:val="20"/>
                <w:szCs w:val="20"/>
                <w:lang w:eastAsia="en-AU"/>
              </w:rPr>
              <w:t>9</w:t>
            </w:r>
          </w:p>
        </w:tc>
        <w:tc>
          <w:tcPr>
            <w:tcW w:w="2755"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61.1</w:t>
            </w:r>
          </w:p>
        </w:tc>
      </w:tr>
      <w:tr w:rsidR="00032B52" w:rsidTr="00032B52">
        <w:tc>
          <w:tcPr>
            <w:tcW w:w="2310" w:type="dxa"/>
            <w:vAlign w:val="center"/>
          </w:tcPr>
          <w:p w:rsidR="00032B52" w:rsidRPr="00061DEC" w:rsidRDefault="00032B52" w:rsidP="009A38EA">
            <w:pPr>
              <w:spacing w:before="0" w:after="0"/>
              <w:jc w:val="left"/>
              <w:rPr>
                <w:sz w:val="20"/>
                <w:szCs w:val="20"/>
                <w:lang w:eastAsia="en-AU"/>
              </w:rPr>
            </w:pPr>
            <w:r w:rsidRPr="00061DEC">
              <w:rPr>
                <w:sz w:val="20"/>
                <w:szCs w:val="20"/>
                <w:lang w:eastAsia="en-AU"/>
              </w:rPr>
              <w:t>VIC</w:t>
            </w:r>
          </w:p>
        </w:tc>
        <w:tc>
          <w:tcPr>
            <w:tcW w:w="1626"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442</w:t>
            </w:r>
          </w:p>
        </w:tc>
        <w:tc>
          <w:tcPr>
            <w:tcW w:w="2551"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36.3</w:t>
            </w:r>
          </w:p>
        </w:tc>
        <w:tc>
          <w:tcPr>
            <w:tcW w:w="2755" w:type="dxa"/>
            <w:vAlign w:val="center"/>
          </w:tcPr>
          <w:p w:rsidR="00032B52" w:rsidRPr="00061DEC" w:rsidRDefault="00032B52" w:rsidP="009A38EA">
            <w:pPr>
              <w:spacing w:before="0" w:after="0"/>
              <w:jc w:val="right"/>
              <w:rPr>
                <w:sz w:val="20"/>
                <w:szCs w:val="20"/>
                <w:lang w:eastAsia="en-AU"/>
              </w:rPr>
            </w:pPr>
            <w:r w:rsidRPr="00061DEC">
              <w:rPr>
                <w:sz w:val="20"/>
                <w:szCs w:val="20"/>
                <w:lang w:eastAsia="en-AU"/>
              </w:rPr>
              <w:t>63.</w:t>
            </w:r>
            <w:r>
              <w:rPr>
                <w:sz w:val="20"/>
                <w:szCs w:val="20"/>
                <w:lang w:eastAsia="en-AU"/>
              </w:rPr>
              <w:t>7</w:t>
            </w:r>
          </w:p>
        </w:tc>
      </w:tr>
      <w:tr w:rsidR="00032B52" w:rsidTr="00032B52">
        <w:tc>
          <w:tcPr>
            <w:tcW w:w="2310" w:type="dxa"/>
            <w:shd w:val="clear" w:color="auto" w:fill="D3DFEE"/>
            <w:vAlign w:val="center"/>
          </w:tcPr>
          <w:p w:rsidR="00032B52" w:rsidRPr="00061DEC" w:rsidRDefault="00032B52" w:rsidP="009A38EA">
            <w:pPr>
              <w:spacing w:before="0" w:after="0"/>
              <w:jc w:val="left"/>
              <w:rPr>
                <w:sz w:val="20"/>
                <w:szCs w:val="20"/>
                <w:lang w:eastAsia="en-AU"/>
              </w:rPr>
            </w:pPr>
            <w:r w:rsidRPr="00061DEC">
              <w:rPr>
                <w:sz w:val="20"/>
                <w:szCs w:val="20"/>
                <w:lang w:eastAsia="en-AU"/>
              </w:rPr>
              <w:t>WA</w:t>
            </w:r>
          </w:p>
        </w:tc>
        <w:tc>
          <w:tcPr>
            <w:tcW w:w="1626"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163</w:t>
            </w:r>
          </w:p>
        </w:tc>
        <w:tc>
          <w:tcPr>
            <w:tcW w:w="2551"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42.3</w:t>
            </w:r>
          </w:p>
        </w:tc>
        <w:tc>
          <w:tcPr>
            <w:tcW w:w="2755" w:type="dxa"/>
            <w:shd w:val="clear" w:color="auto" w:fill="D3DFEE"/>
            <w:vAlign w:val="center"/>
          </w:tcPr>
          <w:p w:rsidR="00032B52" w:rsidRPr="00061DEC" w:rsidRDefault="00032B52" w:rsidP="009A38EA">
            <w:pPr>
              <w:spacing w:before="0" w:after="0"/>
              <w:jc w:val="right"/>
              <w:rPr>
                <w:sz w:val="20"/>
                <w:szCs w:val="20"/>
                <w:lang w:eastAsia="en-AU"/>
              </w:rPr>
            </w:pPr>
            <w:r w:rsidRPr="00061DEC">
              <w:rPr>
                <w:sz w:val="20"/>
                <w:szCs w:val="20"/>
                <w:lang w:eastAsia="en-AU"/>
              </w:rPr>
              <w:t>57.7</w:t>
            </w:r>
          </w:p>
        </w:tc>
      </w:tr>
      <w:tr w:rsidR="00032B52" w:rsidTr="00032B52">
        <w:tc>
          <w:tcPr>
            <w:tcW w:w="2310" w:type="dxa"/>
            <w:vAlign w:val="center"/>
          </w:tcPr>
          <w:p w:rsidR="00032B52" w:rsidRPr="00061DEC" w:rsidRDefault="00032B52" w:rsidP="009A38EA">
            <w:pPr>
              <w:spacing w:before="0" w:after="0"/>
              <w:jc w:val="left"/>
              <w:rPr>
                <w:bCs/>
                <w:sz w:val="20"/>
                <w:szCs w:val="20"/>
                <w:lang w:eastAsia="en-AU"/>
              </w:rPr>
            </w:pPr>
            <w:r w:rsidRPr="00061DEC">
              <w:rPr>
                <w:bCs/>
                <w:sz w:val="20"/>
                <w:szCs w:val="20"/>
                <w:lang w:eastAsia="en-AU"/>
              </w:rPr>
              <w:t>U</w:t>
            </w:r>
            <w:r>
              <w:rPr>
                <w:bCs/>
                <w:sz w:val="20"/>
                <w:szCs w:val="20"/>
                <w:lang w:eastAsia="en-AU"/>
              </w:rPr>
              <w:t>nknown</w:t>
            </w:r>
          </w:p>
        </w:tc>
        <w:tc>
          <w:tcPr>
            <w:tcW w:w="1626" w:type="dxa"/>
            <w:vAlign w:val="center"/>
          </w:tcPr>
          <w:p w:rsidR="00032B52" w:rsidRPr="00061DEC" w:rsidRDefault="00032B52" w:rsidP="009A38EA">
            <w:pPr>
              <w:spacing w:before="0" w:after="0"/>
              <w:jc w:val="right"/>
              <w:rPr>
                <w:bCs/>
                <w:sz w:val="20"/>
                <w:szCs w:val="20"/>
                <w:lang w:eastAsia="en-AU"/>
              </w:rPr>
            </w:pPr>
            <w:r w:rsidRPr="00061DEC">
              <w:rPr>
                <w:bCs/>
                <w:sz w:val="20"/>
                <w:szCs w:val="20"/>
                <w:lang w:eastAsia="en-AU"/>
              </w:rPr>
              <w:t>4</w:t>
            </w:r>
          </w:p>
        </w:tc>
        <w:tc>
          <w:tcPr>
            <w:tcW w:w="2551" w:type="dxa"/>
            <w:vAlign w:val="center"/>
          </w:tcPr>
          <w:p w:rsidR="00032B52" w:rsidRPr="00061DEC" w:rsidRDefault="00032B52" w:rsidP="009A38EA">
            <w:pPr>
              <w:spacing w:before="0" w:after="0"/>
              <w:jc w:val="right"/>
              <w:rPr>
                <w:bCs/>
                <w:sz w:val="20"/>
                <w:szCs w:val="20"/>
                <w:lang w:eastAsia="en-AU"/>
              </w:rPr>
            </w:pPr>
            <w:r w:rsidRPr="00061DEC">
              <w:rPr>
                <w:bCs/>
                <w:sz w:val="20"/>
                <w:szCs w:val="20"/>
                <w:lang w:eastAsia="en-AU"/>
              </w:rPr>
              <w:t>100</w:t>
            </w:r>
            <w:r>
              <w:rPr>
                <w:bCs/>
                <w:sz w:val="20"/>
                <w:szCs w:val="20"/>
                <w:lang w:eastAsia="en-AU"/>
              </w:rPr>
              <w:t>.0</w:t>
            </w:r>
          </w:p>
        </w:tc>
        <w:tc>
          <w:tcPr>
            <w:tcW w:w="2755" w:type="dxa"/>
            <w:vAlign w:val="center"/>
          </w:tcPr>
          <w:p w:rsidR="00032B52" w:rsidRPr="00061DEC" w:rsidRDefault="00032B52" w:rsidP="009A38EA">
            <w:pPr>
              <w:spacing w:before="0" w:after="0"/>
              <w:jc w:val="right"/>
              <w:rPr>
                <w:bCs/>
                <w:sz w:val="20"/>
                <w:szCs w:val="20"/>
                <w:lang w:eastAsia="en-AU"/>
              </w:rPr>
            </w:pPr>
            <w:r w:rsidRPr="00061DEC">
              <w:rPr>
                <w:bCs/>
                <w:sz w:val="20"/>
                <w:szCs w:val="20"/>
                <w:lang w:eastAsia="en-AU"/>
              </w:rPr>
              <w:t>0</w:t>
            </w:r>
            <w:r>
              <w:rPr>
                <w:bCs/>
                <w:sz w:val="20"/>
                <w:szCs w:val="20"/>
                <w:lang w:eastAsia="en-AU"/>
              </w:rPr>
              <w:t>.0</w:t>
            </w:r>
          </w:p>
        </w:tc>
      </w:tr>
      <w:tr w:rsidR="00032B52" w:rsidTr="00032B52">
        <w:tc>
          <w:tcPr>
            <w:tcW w:w="2310" w:type="dxa"/>
            <w:shd w:val="clear" w:color="auto" w:fill="D3DFEE"/>
            <w:vAlign w:val="center"/>
          </w:tcPr>
          <w:p w:rsidR="00032B52" w:rsidRPr="00061DEC" w:rsidRDefault="00032B52" w:rsidP="009A38EA">
            <w:pPr>
              <w:spacing w:before="0" w:after="0"/>
              <w:jc w:val="left"/>
              <w:rPr>
                <w:b/>
                <w:sz w:val="20"/>
                <w:szCs w:val="20"/>
                <w:lang w:eastAsia="en-AU"/>
              </w:rPr>
            </w:pPr>
            <w:r w:rsidRPr="00061DEC">
              <w:rPr>
                <w:b/>
                <w:sz w:val="20"/>
                <w:szCs w:val="20"/>
                <w:lang w:eastAsia="en-AU"/>
              </w:rPr>
              <w:t>Total</w:t>
            </w:r>
          </w:p>
        </w:tc>
        <w:tc>
          <w:tcPr>
            <w:tcW w:w="1626" w:type="dxa"/>
            <w:shd w:val="clear" w:color="auto" w:fill="D3DFEE"/>
            <w:vAlign w:val="center"/>
          </w:tcPr>
          <w:p w:rsidR="00032B52" w:rsidRPr="00061DEC" w:rsidRDefault="00032B52" w:rsidP="009A38EA">
            <w:pPr>
              <w:spacing w:before="0" w:after="0"/>
              <w:jc w:val="right"/>
              <w:rPr>
                <w:b/>
                <w:sz w:val="20"/>
                <w:szCs w:val="20"/>
                <w:lang w:eastAsia="en-AU"/>
              </w:rPr>
            </w:pPr>
            <w:r w:rsidRPr="00061DEC">
              <w:rPr>
                <w:b/>
                <w:sz w:val="20"/>
                <w:szCs w:val="20"/>
                <w:lang w:eastAsia="en-AU"/>
              </w:rPr>
              <w:t>1</w:t>
            </w:r>
            <w:r>
              <w:rPr>
                <w:b/>
                <w:sz w:val="20"/>
                <w:szCs w:val="20"/>
                <w:lang w:eastAsia="en-AU"/>
              </w:rPr>
              <w:t>,</w:t>
            </w:r>
            <w:r w:rsidRPr="00061DEC">
              <w:rPr>
                <w:b/>
                <w:sz w:val="20"/>
                <w:szCs w:val="20"/>
                <w:lang w:eastAsia="en-AU"/>
              </w:rPr>
              <w:t>640</w:t>
            </w:r>
          </w:p>
        </w:tc>
        <w:tc>
          <w:tcPr>
            <w:tcW w:w="2551" w:type="dxa"/>
            <w:shd w:val="clear" w:color="auto" w:fill="D3DFEE"/>
            <w:vAlign w:val="center"/>
          </w:tcPr>
          <w:p w:rsidR="00032B52" w:rsidRPr="00061DEC" w:rsidRDefault="00032B52" w:rsidP="009A38EA">
            <w:pPr>
              <w:spacing w:before="0" w:after="0"/>
              <w:jc w:val="right"/>
              <w:rPr>
                <w:b/>
                <w:sz w:val="20"/>
                <w:szCs w:val="20"/>
                <w:lang w:eastAsia="en-AU"/>
              </w:rPr>
            </w:pPr>
            <w:r w:rsidRPr="00061DEC">
              <w:rPr>
                <w:b/>
                <w:sz w:val="20"/>
                <w:szCs w:val="20"/>
                <w:lang w:eastAsia="en-AU"/>
              </w:rPr>
              <w:t>36.7</w:t>
            </w:r>
          </w:p>
        </w:tc>
        <w:tc>
          <w:tcPr>
            <w:tcW w:w="2755" w:type="dxa"/>
            <w:shd w:val="clear" w:color="auto" w:fill="D3DFEE"/>
            <w:vAlign w:val="center"/>
          </w:tcPr>
          <w:p w:rsidR="00032B52" w:rsidRPr="00061DEC" w:rsidRDefault="00032B52" w:rsidP="009A38EA">
            <w:pPr>
              <w:spacing w:before="0" w:after="0"/>
              <w:jc w:val="right"/>
              <w:rPr>
                <w:b/>
                <w:sz w:val="20"/>
                <w:szCs w:val="20"/>
                <w:lang w:eastAsia="en-AU"/>
              </w:rPr>
            </w:pPr>
            <w:r w:rsidRPr="00061DEC">
              <w:rPr>
                <w:b/>
                <w:sz w:val="20"/>
                <w:szCs w:val="20"/>
                <w:lang w:eastAsia="en-AU"/>
              </w:rPr>
              <w:t>63.3</w:t>
            </w:r>
          </w:p>
        </w:tc>
      </w:tr>
    </w:tbl>
    <w:p w:rsidR="009A59C8" w:rsidRPr="00012887" w:rsidRDefault="009A59C8" w:rsidP="00032B52">
      <w:pPr>
        <w:spacing w:after="240"/>
        <w:rPr>
          <w:i/>
          <w:color w:val="4F81BD"/>
          <w:sz w:val="16"/>
          <w:szCs w:val="16"/>
        </w:rPr>
      </w:pPr>
      <w:r w:rsidRPr="00012887">
        <w:rPr>
          <w:i/>
          <w:color w:val="4F81BD"/>
          <w:sz w:val="16"/>
          <w:szCs w:val="16"/>
        </w:rPr>
        <w:t xml:space="preserve">Source: </w:t>
      </w:r>
      <w:r w:rsidR="00A8671F" w:rsidRPr="00012887">
        <w:rPr>
          <w:i/>
          <w:color w:val="4F81BD"/>
          <w:sz w:val="16"/>
          <w:szCs w:val="16"/>
        </w:rPr>
        <w:t>NHWDS, Medical Practitioner 2016</w:t>
      </w:r>
    </w:p>
    <w:p w:rsidR="00EE3DEE" w:rsidRDefault="00EE3DEE" w:rsidP="00544360">
      <w:pPr>
        <w:pStyle w:val="Heading2"/>
        <w:spacing w:before="0" w:after="0"/>
      </w:pPr>
      <w:bookmarkStart w:id="64" w:name="_Toc521510446"/>
      <w:r w:rsidRPr="0057129F">
        <w:lastRenderedPageBreak/>
        <w:t>Scopes of practice</w:t>
      </w:r>
      <w:r w:rsidR="00652055" w:rsidRPr="0057129F">
        <w:t xml:space="preserve"> in obstetrics and gynaecology</w:t>
      </w:r>
      <w:bookmarkEnd w:id="64"/>
    </w:p>
    <w:p w:rsidR="0008419A" w:rsidRDefault="00CC5EDD" w:rsidP="00EE3DEE">
      <w:r>
        <w:t>M</w:t>
      </w:r>
      <w:r w:rsidR="0008419A">
        <w:t xml:space="preserve">embers of the NMTAN and reinforced </w:t>
      </w:r>
      <w:r>
        <w:t>by</w:t>
      </w:r>
      <w:r w:rsidR="0008419A">
        <w:t xml:space="preserve"> RANZCOG, </w:t>
      </w:r>
      <w:r>
        <w:t>advised that it was</w:t>
      </w:r>
      <w:r w:rsidR="0008419A">
        <w:t xml:space="preserve"> important to ascertain the number of O&amp;G</w:t>
      </w:r>
      <w:r w:rsidR="00B9212A">
        <w:t xml:space="preserve"> </w:t>
      </w:r>
      <w:r w:rsidR="0008419A">
        <w:t>s</w:t>
      </w:r>
      <w:r w:rsidR="00B9212A">
        <w:t>pecialists</w:t>
      </w:r>
      <w:r w:rsidR="0008419A">
        <w:t xml:space="preserve"> working predominately in gynaecology compared to those working in obstetrics and those doing both. </w:t>
      </w:r>
    </w:p>
    <w:p w:rsidR="00A22B9D" w:rsidRDefault="0008419A" w:rsidP="00EE3DEE">
      <w:r>
        <w:t xml:space="preserve">The best available data to attempt to determine this was through the practice profile survey </w:t>
      </w:r>
      <w:r w:rsidR="00A22B9D">
        <w:t xml:space="preserve">of the college fellows; </w:t>
      </w:r>
      <w:r>
        <w:t xml:space="preserve">conducted through the RANZCOG. The </w:t>
      </w:r>
      <w:r w:rsidR="00A22B9D">
        <w:t xml:space="preserve">de-identified data provided to the Department included the number of fellows and the combination of practice delivered under the obstetrics and gynaecology scope in a private or public setting in a metropolitan or rural location. </w:t>
      </w:r>
    </w:p>
    <w:p w:rsidR="0008419A" w:rsidRDefault="00A22B9D" w:rsidP="00EE3DEE">
      <w:r>
        <w:t>The data below is presented as a combination of unique headcounts (2,066 fellows) in combination with those that are practising in multiple setting</w:t>
      </w:r>
      <w:r w:rsidR="000655CB">
        <w:t>s</w:t>
      </w:r>
      <w:r>
        <w:t>, resulting in a much large</w:t>
      </w:r>
      <w:r w:rsidR="000655CB">
        <w:t>r</w:t>
      </w:r>
      <w:r>
        <w:t xml:space="preserve"> count (9,480 in </w:t>
      </w:r>
      <w:proofErr w:type="gramStart"/>
      <w:r>
        <w:t>total</w:t>
      </w:r>
      <w:proofErr w:type="gramEnd"/>
      <w:r>
        <w:t>).</w:t>
      </w:r>
    </w:p>
    <w:p w:rsidR="00A22B9D" w:rsidRDefault="00A22B9D" w:rsidP="00A22B9D">
      <w:pPr>
        <w:pStyle w:val="Heading3"/>
      </w:pPr>
      <w:r>
        <w:t>Scope</w:t>
      </w:r>
      <w:r w:rsidR="00A52DFC">
        <w:t xml:space="preserve"> of practice</w:t>
      </w:r>
    </w:p>
    <w:p w:rsidR="00652055" w:rsidRDefault="00214A3A" w:rsidP="00214A3A">
      <w:r>
        <w:t xml:space="preserve">The following section focusses on those fellows working exclusively in obstetrics or gynaecology and those that are working across both. The following Venn diagram represents the crossover </w:t>
      </w:r>
      <w:r w:rsidR="003832A0">
        <w:t xml:space="preserve">between the scopes of </w:t>
      </w:r>
      <w:r>
        <w:t xml:space="preserve">practice. </w:t>
      </w:r>
      <w:r w:rsidR="003832A0">
        <w:t>A</w:t>
      </w:r>
      <w:r>
        <w:t xml:space="preserve"> large proportion of O&amp;G </w:t>
      </w:r>
      <w:r w:rsidR="003832A0">
        <w:t>fellows</w:t>
      </w:r>
      <w:r>
        <w:t xml:space="preserve"> are working in both obstetrics and gynaecology. While a small proportion (just over nine per cent) only work in obstetrics and almost 30 per cent work exclusively in gynaecology. This data is based on the unique count of the RANZCOG fellows</w:t>
      </w:r>
      <w:r w:rsidR="003832A0">
        <w:t xml:space="preserve"> practice profile survey in 2016</w:t>
      </w:r>
      <w:r>
        <w:t>.</w:t>
      </w:r>
    </w:p>
    <w:p w:rsidR="00A52DFC" w:rsidRDefault="00A52DFC" w:rsidP="00A52DFC">
      <w:pPr>
        <w:pStyle w:val="Caption"/>
        <w:keepNext/>
        <w:jc w:val="left"/>
      </w:pPr>
      <w:bookmarkStart w:id="65" w:name="_Toc515888815"/>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11</w:t>
      </w:r>
      <w:r w:rsidR="00556A17">
        <w:rPr>
          <w:noProof/>
        </w:rPr>
        <w:fldChar w:fldCharType="end"/>
      </w:r>
      <w:r w:rsidR="00652055">
        <w:t>: Intersecting s</w:t>
      </w:r>
      <w:r>
        <w:t>copes of practice</w:t>
      </w:r>
      <w:bookmarkEnd w:id="65"/>
    </w:p>
    <w:p w:rsidR="00A52DFC" w:rsidRDefault="00A52DFC" w:rsidP="00A52DFC">
      <w:pPr>
        <w:jc w:val="center"/>
      </w:pPr>
      <w:r>
        <w:rPr>
          <w:noProof/>
          <w:lang w:eastAsia="en-AU"/>
        </w:rPr>
        <w:drawing>
          <wp:inline distT="0" distB="0" distL="0" distR="0" wp14:anchorId="5336430D" wp14:editId="63B729B4">
            <wp:extent cx="3389497" cy="2412000"/>
            <wp:effectExtent l="0" t="0" r="1905" b="7620"/>
            <wp:docPr id="303" name="Picture 303" descr="This figure shows the intersecting scopes of practice with:&#10;29.8% gynaecology&#10;61% obstetrics and gynecology&#10;9.4% obstetrics" title="Figure 11: Intersecting scopes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497" cy="2412000"/>
                    </a:xfrm>
                    <a:prstGeom prst="rect">
                      <a:avLst/>
                    </a:prstGeom>
                    <a:noFill/>
                  </pic:spPr>
                </pic:pic>
              </a:graphicData>
            </a:graphic>
          </wp:inline>
        </w:drawing>
      </w:r>
    </w:p>
    <w:p w:rsidR="00A52DFC" w:rsidRPr="00634696" w:rsidRDefault="00A52DFC" w:rsidP="00012887">
      <w:pPr>
        <w:jc w:val="center"/>
        <w:rPr>
          <w:i/>
          <w:color w:val="4F81BD"/>
          <w:sz w:val="16"/>
          <w:szCs w:val="16"/>
        </w:rPr>
      </w:pPr>
      <w:r w:rsidRPr="00634696">
        <w:rPr>
          <w:i/>
          <w:color w:val="4F81BD"/>
          <w:sz w:val="16"/>
          <w:szCs w:val="16"/>
        </w:rPr>
        <w:t>Source: RANZCOG practice profile</w:t>
      </w:r>
      <w:r w:rsidR="008A7347" w:rsidRPr="00634696">
        <w:rPr>
          <w:i/>
          <w:color w:val="4F81BD"/>
          <w:sz w:val="16"/>
          <w:szCs w:val="16"/>
        </w:rPr>
        <w:t xml:space="preserve"> survey</w:t>
      </w:r>
      <w:r w:rsidRPr="00634696">
        <w:rPr>
          <w:i/>
          <w:color w:val="4F81BD"/>
          <w:sz w:val="16"/>
          <w:szCs w:val="16"/>
        </w:rPr>
        <w:t>, 2016</w:t>
      </w:r>
    </w:p>
    <w:p w:rsidR="00C46A59" w:rsidRDefault="003E7461" w:rsidP="00A52DFC">
      <w:r>
        <w:t>Further to this, the scope</w:t>
      </w:r>
      <w:r w:rsidR="00652055">
        <w:t>s</w:t>
      </w:r>
      <w:r>
        <w:t xml:space="preserve"> of practice can be broken down by different aspects of practice as shown in </w:t>
      </w:r>
      <w:r w:rsidR="008A7347">
        <w:t xml:space="preserve">Table 4. This table </w:t>
      </w:r>
      <w:r w:rsidR="00652055">
        <w:t>includes</w:t>
      </w:r>
      <w:r w:rsidR="008A7347">
        <w:t xml:space="preserve"> double count</w:t>
      </w:r>
      <w:r w:rsidR="00652055">
        <w:t>ing</w:t>
      </w:r>
      <w:r w:rsidR="008A7347">
        <w:t xml:space="preserve"> of individuals within the different aspects of practice in addition to working in </w:t>
      </w:r>
      <w:r w:rsidR="00652055">
        <w:t>multiple sectors</w:t>
      </w:r>
      <w:r w:rsidR="008A7347">
        <w:t xml:space="preserve"> across the various aspects of practice. </w:t>
      </w:r>
      <w:r w:rsidR="00652055">
        <w:t xml:space="preserve">For example, there may be an O&amp;G specialist </w:t>
      </w:r>
      <w:r w:rsidR="000655CB">
        <w:t xml:space="preserve">who </w:t>
      </w:r>
      <w:r w:rsidR="00652055">
        <w:t xml:space="preserve">works in the O&amp;G scope of practice in the aspect of colposcopy in the public and private sector which would be counted twice in addition to working in office gynaecology in the public and private sector which would also be counted twice; hence they have been counted four times. </w:t>
      </w:r>
      <w:r w:rsidR="00E9573E">
        <w:t xml:space="preserve">The data clearly indicates a preference to </w:t>
      </w:r>
      <w:r w:rsidR="000655CB">
        <w:t xml:space="preserve">practising </w:t>
      </w:r>
      <w:r w:rsidR="00E9573E">
        <w:t>both O&amp;G and with a greater emphasis on gynaecology throughout.</w:t>
      </w:r>
    </w:p>
    <w:p w:rsidR="00C46A59" w:rsidRDefault="00C46A59">
      <w:pPr>
        <w:spacing w:before="0" w:after="0"/>
        <w:jc w:val="left"/>
      </w:pPr>
      <w:r>
        <w:br w:type="page"/>
      </w:r>
    </w:p>
    <w:p w:rsidR="003E7461" w:rsidRDefault="003E7461" w:rsidP="003E7461">
      <w:pPr>
        <w:pStyle w:val="Caption"/>
        <w:keepNext/>
      </w:pPr>
      <w:bookmarkStart w:id="66" w:name="_Toc515887825"/>
      <w:r>
        <w:lastRenderedPageBreak/>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4</w:t>
      </w:r>
      <w:r w:rsidR="00556A17">
        <w:rPr>
          <w:noProof/>
        </w:rPr>
        <w:fldChar w:fldCharType="end"/>
      </w:r>
      <w:r>
        <w:t>: Scopes of practice by the various aspects of practice</w:t>
      </w:r>
      <w:bookmarkEnd w:id="66"/>
    </w:p>
    <w:tbl>
      <w:tblPr>
        <w:tblStyle w:val="LightShading-Accent1"/>
        <w:tblW w:w="4942" w:type="pct"/>
        <w:tblInd w:w="108" w:type="dxa"/>
        <w:tblLook w:val="0420" w:firstRow="1" w:lastRow="0" w:firstColumn="0" w:lastColumn="0" w:noHBand="0" w:noVBand="1"/>
        <w:tblCaption w:val="Table 4: Scopes of practice by the various aspects of practice"/>
        <w:tblDescription w:val="Shows the scopes of practice by the various aspects of practice."/>
      </w:tblPr>
      <w:tblGrid>
        <w:gridCol w:w="2556"/>
        <w:gridCol w:w="1664"/>
        <w:gridCol w:w="1703"/>
        <w:gridCol w:w="1606"/>
        <w:gridCol w:w="1606"/>
      </w:tblGrid>
      <w:tr w:rsidR="00A52DFC" w:rsidRPr="009F364D" w:rsidTr="00F56A31">
        <w:trPr>
          <w:cnfStyle w:val="100000000000" w:firstRow="1" w:lastRow="0" w:firstColumn="0" w:lastColumn="0" w:oddVBand="0" w:evenVBand="0" w:oddHBand="0" w:evenHBand="0" w:firstRowFirstColumn="0" w:firstRowLastColumn="0" w:lastRowFirstColumn="0" w:lastRowLastColumn="0"/>
          <w:trHeight w:val="283"/>
          <w:tblHeader/>
        </w:trPr>
        <w:tc>
          <w:tcPr>
            <w:tcW w:w="1399" w:type="pct"/>
            <w:tcBorders>
              <w:top w:val="single" w:sz="4" w:space="0" w:color="auto"/>
              <w:left w:val="single" w:sz="4" w:space="0" w:color="auto"/>
              <w:bottom w:val="single" w:sz="4" w:space="0" w:color="auto"/>
            </w:tcBorders>
            <w:shd w:val="clear" w:color="auto" w:fill="1F497D" w:themeFill="text2"/>
            <w:hideMark/>
          </w:tcPr>
          <w:p w:rsidR="00A52DFC" w:rsidRPr="009F364D" w:rsidRDefault="00A52DFC" w:rsidP="008A7347">
            <w:pPr>
              <w:spacing w:before="0" w:after="0"/>
              <w:jc w:val="left"/>
              <w:rPr>
                <w:rFonts w:cs="Arial"/>
                <w:color w:val="FFFFFF" w:themeColor="background1"/>
                <w:sz w:val="20"/>
                <w:szCs w:val="20"/>
                <w:lang w:eastAsia="en-AU"/>
              </w:rPr>
            </w:pPr>
            <w:r w:rsidRPr="009F364D">
              <w:rPr>
                <w:rFonts w:cs="Arial"/>
                <w:color w:val="FFFFFF" w:themeColor="background1"/>
                <w:sz w:val="20"/>
                <w:szCs w:val="20"/>
                <w:lang w:eastAsia="en-AU"/>
              </w:rPr>
              <w:t>Aspects included in practice</w:t>
            </w:r>
          </w:p>
        </w:tc>
        <w:tc>
          <w:tcPr>
            <w:tcW w:w="911" w:type="pct"/>
            <w:tcBorders>
              <w:top w:val="single" w:sz="4" w:space="0" w:color="auto"/>
              <w:bottom w:val="single" w:sz="4" w:space="0" w:color="auto"/>
            </w:tcBorders>
            <w:shd w:val="clear" w:color="auto" w:fill="1F497D" w:themeFill="text2"/>
            <w:hideMark/>
          </w:tcPr>
          <w:p w:rsidR="00A52DFC" w:rsidRPr="009F364D" w:rsidRDefault="00A52DFC" w:rsidP="008A7347">
            <w:pPr>
              <w:spacing w:before="0" w:after="0"/>
              <w:jc w:val="right"/>
              <w:rPr>
                <w:rFonts w:cs="Arial"/>
                <w:color w:val="FFFFFF" w:themeColor="background1"/>
                <w:sz w:val="20"/>
                <w:szCs w:val="20"/>
                <w:lang w:eastAsia="en-AU"/>
              </w:rPr>
            </w:pPr>
            <w:r w:rsidRPr="009F364D">
              <w:rPr>
                <w:rFonts w:cs="Arial"/>
                <w:color w:val="FFFFFF" w:themeColor="background1"/>
                <w:sz w:val="20"/>
                <w:szCs w:val="20"/>
                <w:lang w:eastAsia="en-AU"/>
              </w:rPr>
              <w:t>Obstetrics and gynaecology</w:t>
            </w:r>
          </w:p>
        </w:tc>
        <w:tc>
          <w:tcPr>
            <w:tcW w:w="932" w:type="pct"/>
            <w:tcBorders>
              <w:top w:val="single" w:sz="4" w:space="0" w:color="auto"/>
              <w:bottom w:val="single" w:sz="4" w:space="0" w:color="auto"/>
            </w:tcBorders>
            <w:shd w:val="clear" w:color="auto" w:fill="1F497D" w:themeFill="text2"/>
            <w:noWrap/>
            <w:hideMark/>
          </w:tcPr>
          <w:p w:rsidR="00A52DFC" w:rsidRPr="009F364D" w:rsidRDefault="00A52DFC" w:rsidP="008A7347">
            <w:pPr>
              <w:spacing w:before="0" w:after="0"/>
              <w:jc w:val="right"/>
              <w:rPr>
                <w:rFonts w:cs="Arial"/>
                <w:color w:val="FFFFFF" w:themeColor="background1"/>
                <w:sz w:val="20"/>
                <w:szCs w:val="20"/>
                <w:lang w:eastAsia="en-AU"/>
              </w:rPr>
            </w:pPr>
            <w:r w:rsidRPr="009F364D">
              <w:rPr>
                <w:rFonts w:cs="Arial"/>
                <w:color w:val="FFFFFF" w:themeColor="background1"/>
                <w:sz w:val="20"/>
                <w:szCs w:val="20"/>
                <w:lang w:eastAsia="en-AU"/>
              </w:rPr>
              <w:t>Gynaecology</w:t>
            </w:r>
          </w:p>
        </w:tc>
        <w:tc>
          <w:tcPr>
            <w:tcW w:w="879" w:type="pct"/>
            <w:tcBorders>
              <w:top w:val="single" w:sz="4" w:space="0" w:color="auto"/>
              <w:bottom w:val="single" w:sz="4" w:space="0" w:color="auto"/>
            </w:tcBorders>
            <w:shd w:val="clear" w:color="auto" w:fill="1F497D" w:themeFill="text2"/>
            <w:noWrap/>
            <w:hideMark/>
          </w:tcPr>
          <w:p w:rsidR="00A52DFC" w:rsidRPr="009F364D" w:rsidRDefault="00A52DFC" w:rsidP="008A7347">
            <w:pPr>
              <w:spacing w:before="0" w:after="0"/>
              <w:jc w:val="right"/>
              <w:rPr>
                <w:rFonts w:cs="Arial"/>
                <w:color w:val="FFFFFF" w:themeColor="background1"/>
                <w:sz w:val="20"/>
                <w:szCs w:val="20"/>
                <w:lang w:eastAsia="en-AU"/>
              </w:rPr>
            </w:pPr>
            <w:r w:rsidRPr="009F364D">
              <w:rPr>
                <w:rFonts w:cs="Arial"/>
                <w:color w:val="FFFFFF" w:themeColor="background1"/>
                <w:sz w:val="20"/>
                <w:szCs w:val="20"/>
                <w:lang w:eastAsia="en-AU"/>
              </w:rPr>
              <w:t>Obstetrics</w:t>
            </w:r>
          </w:p>
        </w:tc>
        <w:tc>
          <w:tcPr>
            <w:tcW w:w="879" w:type="pct"/>
            <w:tcBorders>
              <w:top w:val="single" w:sz="4" w:space="0" w:color="auto"/>
              <w:bottom w:val="single" w:sz="4" w:space="0" w:color="auto"/>
              <w:right w:val="single" w:sz="4" w:space="0" w:color="auto"/>
            </w:tcBorders>
            <w:shd w:val="clear" w:color="auto" w:fill="1F497D" w:themeFill="text2"/>
            <w:noWrap/>
            <w:hideMark/>
          </w:tcPr>
          <w:p w:rsidR="00A52DFC" w:rsidRPr="009F364D" w:rsidRDefault="00A52DFC" w:rsidP="008A7347">
            <w:pPr>
              <w:spacing w:before="0" w:after="0"/>
              <w:jc w:val="right"/>
              <w:rPr>
                <w:rFonts w:cs="Arial"/>
                <w:color w:val="FFFFFF" w:themeColor="background1"/>
                <w:sz w:val="20"/>
                <w:szCs w:val="20"/>
                <w:lang w:eastAsia="en-AU"/>
              </w:rPr>
            </w:pPr>
            <w:r w:rsidRPr="009F364D">
              <w:rPr>
                <w:rFonts w:cs="Arial"/>
                <w:color w:val="FFFFFF" w:themeColor="background1"/>
                <w:sz w:val="20"/>
                <w:szCs w:val="20"/>
                <w:lang w:eastAsia="en-AU"/>
              </w:rPr>
              <w:t>Total</w:t>
            </w:r>
          </w:p>
        </w:tc>
      </w:tr>
      <w:tr w:rsidR="00A52DFC" w:rsidRPr="009F364D" w:rsidTr="008A7347">
        <w:trPr>
          <w:cnfStyle w:val="000000100000" w:firstRow="0" w:lastRow="0" w:firstColumn="0" w:lastColumn="0" w:oddVBand="0" w:evenVBand="0" w:oddHBand="1" w:evenHBand="0" w:firstRowFirstColumn="0" w:firstRowLastColumn="0" w:lastRowFirstColumn="0" w:lastRowLastColumn="0"/>
          <w:trHeight w:val="283"/>
        </w:trPr>
        <w:tc>
          <w:tcPr>
            <w:tcW w:w="1399" w:type="pct"/>
            <w:tcBorders>
              <w:top w:val="single" w:sz="4" w:space="0" w:color="auto"/>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Colposcopy</w:t>
            </w:r>
          </w:p>
        </w:tc>
        <w:tc>
          <w:tcPr>
            <w:tcW w:w="911" w:type="pct"/>
            <w:tcBorders>
              <w:top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1,241</w:t>
            </w:r>
          </w:p>
        </w:tc>
        <w:tc>
          <w:tcPr>
            <w:tcW w:w="932" w:type="pct"/>
            <w:tcBorders>
              <w:top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609</w:t>
            </w:r>
          </w:p>
        </w:tc>
        <w:tc>
          <w:tcPr>
            <w:tcW w:w="879" w:type="pct"/>
            <w:tcBorders>
              <w:top w:val="single" w:sz="4" w:space="0" w:color="auto"/>
            </w:tcBorders>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tcBorders>
              <w:top w:val="single" w:sz="4" w:space="0" w:color="auto"/>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1,850</w:t>
            </w:r>
          </w:p>
        </w:tc>
      </w:tr>
      <w:tr w:rsidR="00A52DFC" w:rsidRPr="009F364D" w:rsidTr="003E7461">
        <w:trPr>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Fertility (inc IVF)</w:t>
            </w:r>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466</w:t>
            </w:r>
          </w:p>
        </w:tc>
        <w:tc>
          <w:tcPr>
            <w:tcW w:w="932" w:type="pct"/>
            <w:noWrap/>
            <w:hideMark/>
          </w:tcPr>
          <w:p w:rsidR="00A52DFC" w:rsidRPr="009F364D" w:rsidRDefault="00913194" w:rsidP="00913194">
            <w:pPr>
              <w:spacing w:before="0" w:after="0"/>
              <w:jc w:val="right"/>
              <w:rPr>
                <w:rFonts w:cs="Arial"/>
                <w:color w:val="000000"/>
                <w:sz w:val="20"/>
                <w:szCs w:val="20"/>
                <w:lang w:eastAsia="en-AU"/>
              </w:rPr>
            </w:pPr>
            <w:r>
              <w:rPr>
                <w:rFonts w:cs="Arial"/>
                <w:color w:val="000000"/>
                <w:sz w:val="20"/>
                <w:szCs w:val="20"/>
                <w:lang w:eastAsia="en-AU"/>
              </w:rPr>
              <w:t>-</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30</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496</w:t>
            </w:r>
          </w:p>
        </w:tc>
      </w:tr>
      <w:tr w:rsidR="00A52DFC" w:rsidRPr="009F364D" w:rsidTr="003E7461">
        <w:trPr>
          <w:cnfStyle w:val="000000100000" w:firstRow="0" w:lastRow="0" w:firstColumn="0" w:lastColumn="0" w:oddVBand="0" w:evenVBand="0" w:oddHBand="1" w:evenHBand="0" w:firstRowFirstColumn="0" w:firstRowLastColumn="0" w:lastRowFirstColumn="0" w:lastRowLastColumn="0"/>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Obstetrics</w:t>
            </w:r>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857</w:t>
            </w:r>
          </w:p>
        </w:tc>
        <w:tc>
          <w:tcPr>
            <w:tcW w:w="932"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154</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1,011</w:t>
            </w:r>
          </w:p>
        </w:tc>
      </w:tr>
      <w:tr w:rsidR="00A52DFC" w:rsidRPr="009F364D" w:rsidTr="003E7461">
        <w:trPr>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Office gynaecology</w:t>
            </w:r>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1,590</w:t>
            </w:r>
          </w:p>
        </w:tc>
        <w:tc>
          <w:tcPr>
            <w:tcW w:w="932"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750</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2,340</w:t>
            </w:r>
          </w:p>
        </w:tc>
      </w:tr>
      <w:tr w:rsidR="00A52DFC" w:rsidRPr="009F364D" w:rsidTr="003E7461">
        <w:trPr>
          <w:cnfStyle w:val="000000100000" w:firstRow="0" w:lastRow="0" w:firstColumn="0" w:lastColumn="0" w:oddVBand="0" w:evenVBand="0" w:oddHBand="1" w:evenHBand="0" w:firstRowFirstColumn="0" w:firstRowLastColumn="0" w:lastRowFirstColumn="0" w:lastRowLastColumn="0"/>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Operative gynaecology</w:t>
            </w:r>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1,698</w:t>
            </w:r>
          </w:p>
        </w:tc>
        <w:tc>
          <w:tcPr>
            <w:tcW w:w="932"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821</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2,519</w:t>
            </w:r>
          </w:p>
        </w:tc>
      </w:tr>
      <w:tr w:rsidR="00A52DFC" w:rsidRPr="009F364D" w:rsidTr="003E7461">
        <w:trPr>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r w:rsidRPr="009F364D">
              <w:rPr>
                <w:rFonts w:cs="Arial"/>
                <w:bCs/>
                <w:color w:val="000000"/>
                <w:sz w:val="20"/>
                <w:szCs w:val="20"/>
                <w:lang w:eastAsia="en-AU"/>
              </w:rPr>
              <w:t>Ultrasound</w:t>
            </w:r>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816</w:t>
            </w:r>
          </w:p>
        </w:tc>
        <w:tc>
          <w:tcPr>
            <w:tcW w:w="932"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147</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963</w:t>
            </w:r>
          </w:p>
        </w:tc>
      </w:tr>
      <w:tr w:rsidR="00A52DFC" w:rsidRPr="009F364D" w:rsidTr="003E7461">
        <w:trPr>
          <w:cnfStyle w:val="000000100000" w:firstRow="0" w:lastRow="0" w:firstColumn="0" w:lastColumn="0" w:oddVBand="0" w:evenVBand="0" w:oddHBand="1" w:evenHBand="0" w:firstRowFirstColumn="0" w:firstRowLastColumn="0" w:lastRowFirstColumn="0" w:lastRowLastColumn="0"/>
          <w:trHeight w:val="283"/>
        </w:trPr>
        <w:tc>
          <w:tcPr>
            <w:tcW w:w="1399" w:type="pct"/>
            <w:tcBorders>
              <w:left w:val="single" w:sz="4" w:space="0" w:color="auto"/>
            </w:tcBorders>
            <w:noWrap/>
            <w:hideMark/>
          </w:tcPr>
          <w:p w:rsidR="00A52DFC" w:rsidRPr="009F364D" w:rsidRDefault="00A52DFC" w:rsidP="008A7347">
            <w:pPr>
              <w:spacing w:before="0" w:after="0"/>
              <w:jc w:val="left"/>
              <w:rPr>
                <w:rFonts w:cs="Arial"/>
                <w:bCs/>
                <w:color w:val="000000"/>
                <w:sz w:val="20"/>
                <w:szCs w:val="20"/>
                <w:lang w:eastAsia="en-AU"/>
              </w:rPr>
            </w:pPr>
            <w:proofErr w:type="spellStart"/>
            <w:r w:rsidRPr="009F364D">
              <w:rPr>
                <w:rFonts w:cs="Arial"/>
                <w:bCs/>
                <w:color w:val="000000"/>
                <w:sz w:val="20"/>
                <w:szCs w:val="20"/>
                <w:lang w:eastAsia="en-AU"/>
              </w:rPr>
              <w:t>Urodynamics</w:t>
            </w:r>
            <w:proofErr w:type="spellEnd"/>
          </w:p>
        </w:tc>
        <w:tc>
          <w:tcPr>
            <w:tcW w:w="911" w:type="pct"/>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191</w:t>
            </w:r>
          </w:p>
        </w:tc>
        <w:tc>
          <w:tcPr>
            <w:tcW w:w="932"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110</w:t>
            </w:r>
          </w:p>
        </w:tc>
        <w:tc>
          <w:tcPr>
            <w:tcW w:w="879" w:type="pct"/>
            <w:noWrap/>
            <w:hideMark/>
          </w:tcPr>
          <w:p w:rsidR="00A52DFC" w:rsidRPr="009F364D" w:rsidRDefault="00A52DFC" w:rsidP="00913194">
            <w:pPr>
              <w:spacing w:before="0" w:after="0"/>
              <w:jc w:val="right"/>
              <w:rPr>
                <w:rFonts w:cs="Arial"/>
                <w:color w:val="000000"/>
                <w:sz w:val="20"/>
                <w:szCs w:val="20"/>
                <w:lang w:eastAsia="en-AU"/>
              </w:rPr>
            </w:pPr>
            <w:r w:rsidRPr="009F364D">
              <w:rPr>
                <w:rFonts w:cs="Arial"/>
                <w:color w:val="000000"/>
                <w:sz w:val="20"/>
                <w:szCs w:val="20"/>
                <w:lang w:eastAsia="en-AU"/>
              </w:rPr>
              <w:t>-</w:t>
            </w:r>
          </w:p>
        </w:tc>
        <w:tc>
          <w:tcPr>
            <w:tcW w:w="879" w:type="pct"/>
            <w:tcBorders>
              <w:right w:val="single" w:sz="4" w:space="0" w:color="auto"/>
            </w:tcBorders>
            <w:noWrap/>
            <w:hideMark/>
          </w:tcPr>
          <w:p w:rsidR="00A52DFC" w:rsidRPr="009F364D" w:rsidRDefault="00913194" w:rsidP="008A7347">
            <w:pPr>
              <w:spacing w:before="0" w:after="0"/>
              <w:jc w:val="right"/>
              <w:rPr>
                <w:rFonts w:cs="Arial"/>
                <w:color w:val="000000"/>
                <w:sz w:val="20"/>
                <w:szCs w:val="20"/>
                <w:lang w:eastAsia="en-AU"/>
              </w:rPr>
            </w:pPr>
            <w:r>
              <w:rPr>
                <w:rFonts w:cs="Arial"/>
                <w:color w:val="000000"/>
                <w:sz w:val="20"/>
                <w:szCs w:val="20"/>
                <w:lang w:eastAsia="en-AU"/>
              </w:rPr>
              <w:t>301</w:t>
            </w:r>
          </w:p>
        </w:tc>
      </w:tr>
      <w:tr w:rsidR="00A52DFC" w:rsidRPr="009F364D" w:rsidTr="003E7461">
        <w:trPr>
          <w:trHeight w:val="283"/>
        </w:trPr>
        <w:tc>
          <w:tcPr>
            <w:tcW w:w="1399" w:type="pct"/>
            <w:tcBorders>
              <w:left w:val="single" w:sz="4" w:space="0" w:color="auto"/>
              <w:bottom w:val="single" w:sz="4" w:space="0" w:color="auto"/>
            </w:tcBorders>
            <w:noWrap/>
            <w:hideMark/>
          </w:tcPr>
          <w:p w:rsidR="00A52DFC" w:rsidRPr="009F364D" w:rsidRDefault="00A52DFC" w:rsidP="008A7347">
            <w:pPr>
              <w:spacing w:before="0" w:after="0"/>
              <w:jc w:val="left"/>
              <w:rPr>
                <w:rFonts w:cs="Arial"/>
                <w:b/>
                <w:bCs/>
                <w:color w:val="000000"/>
                <w:sz w:val="20"/>
                <w:szCs w:val="20"/>
                <w:lang w:eastAsia="en-AU"/>
              </w:rPr>
            </w:pPr>
            <w:r w:rsidRPr="009F364D">
              <w:rPr>
                <w:rFonts w:cs="Arial"/>
                <w:b/>
                <w:bCs/>
                <w:color w:val="000000"/>
                <w:sz w:val="20"/>
                <w:szCs w:val="20"/>
                <w:lang w:eastAsia="en-AU"/>
              </w:rPr>
              <w:t>Total</w:t>
            </w:r>
          </w:p>
        </w:tc>
        <w:tc>
          <w:tcPr>
            <w:tcW w:w="911" w:type="pct"/>
            <w:tcBorders>
              <w:bottom w:val="single" w:sz="4" w:space="0" w:color="auto"/>
            </w:tcBorders>
            <w:noWrap/>
            <w:hideMark/>
          </w:tcPr>
          <w:p w:rsidR="00A52DFC" w:rsidRPr="009F364D" w:rsidRDefault="00913194" w:rsidP="008A7347">
            <w:pPr>
              <w:spacing w:before="0" w:after="0"/>
              <w:jc w:val="right"/>
              <w:rPr>
                <w:rFonts w:cs="Arial"/>
                <w:b/>
                <w:bCs/>
                <w:color w:val="000000"/>
                <w:sz w:val="20"/>
                <w:szCs w:val="20"/>
                <w:lang w:eastAsia="en-AU"/>
              </w:rPr>
            </w:pPr>
            <w:r>
              <w:rPr>
                <w:rFonts w:cs="Arial"/>
                <w:b/>
                <w:bCs/>
                <w:color w:val="000000"/>
                <w:sz w:val="20"/>
                <w:szCs w:val="20"/>
                <w:lang w:eastAsia="en-AU"/>
              </w:rPr>
              <w:t>6,859</w:t>
            </w:r>
          </w:p>
        </w:tc>
        <w:tc>
          <w:tcPr>
            <w:tcW w:w="932" w:type="pct"/>
            <w:tcBorders>
              <w:bottom w:val="single" w:sz="4" w:space="0" w:color="auto"/>
            </w:tcBorders>
            <w:noWrap/>
            <w:hideMark/>
          </w:tcPr>
          <w:p w:rsidR="00A52DFC" w:rsidRPr="009F364D" w:rsidRDefault="00913194" w:rsidP="008A7347">
            <w:pPr>
              <w:spacing w:before="0" w:after="0"/>
              <w:jc w:val="right"/>
              <w:rPr>
                <w:rFonts w:cs="Arial"/>
                <w:b/>
                <w:bCs/>
                <w:color w:val="000000"/>
                <w:sz w:val="20"/>
                <w:szCs w:val="20"/>
                <w:lang w:eastAsia="en-AU"/>
              </w:rPr>
            </w:pPr>
            <w:r>
              <w:rPr>
                <w:rFonts w:cs="Arial"/>
                <w:b/>
                <w:bCs/>
                <w:color w:val="000000"/>
                <w:sz w:val="20"/>
                <w:szCs w:val="20"/>
                <w:lang w:eastAsia="en-AU"/>
              </w:rPr>
              <w:t>2,290</w:t>
            </w:r>
          </w:p>
        </w:tc>
        <w:tc>
          <w:tcPr>
            <w:tcW w:w="879" w:type="pct"/>
            <w:tcBorders>
              <w:bottom w:val="single" w:sz="4" w:space="0" w:color="auto"/>
            </w:tcBorders>
            <w:noWrap/>
            <w:hideMark/>
          </w:tcPr>
          <w:p w:rsidR="00A52DFC" w:rsidRPr="009F364D" w:rsidRDefault="00A52DFC" w:rsidP="00913194">
            <w:pPr>
              <w:spacing w:before="0" w:after="0"/>
              <w:jc w:val="right"/>
              <w:rPr>
                <w:rFonts w:cs="Arial"/>
                <w:b/>
                <w:bCs/>
                <w:color w:val="000000"/>
                <w:sz w:val="20"/>
                <w:szCs w:val="20"/>
                <w:lang w:eastAsia="en-AU"/>
              </w:rPr>
            </w:pPr>
            <w:r w:rsidRPr="009F364D">
              <w:rPr>
                <w:rFonts w:cs="Arial"/>
                <w:b/>
                <w:bCs/>
                <w:color w:val="000000"/>
                <w:sz w:val="20"/>
                <w:szCs w:val="20"/>
                <w:lang w:eastAsia="en-AU"/>
              </w:rPr>
              <w:t>331</w:t>
            </w:r>
          </w:p>
        </w:tc>
        <w:tc>
          <w:tcPr>
            <w:tcW w:w="879" w:type="pct"/>
            <w:tcBorders>
              <w:bottom w:val="single" w:sz="4" w:space="0" w:color="auto"/>
              <w:right w:val="single" w:sz="4" w:space="0" w:color="auto"/>
            </w:tcBorders>
            <w:noWrap/>
            <w:hideMark/>
          </w:tcPr>
          <w:p w:rsidR="00A52DFC" w:rsidRPr="009F364D" w:rsidRDefault="00913194" w:rsidP="008A7347">
            <w:pPr>
              <w:spacing w:before="0" w:after="0"/>
              <w:jc w:val="right"/>
              <w:rPr>
                <w:rFonts w:cs="Arial"/>
                <w:b/>
                <w:bCs/>
                <w:color w:val="000000"/>
                <w:sz w:val="20"/>
                <w:szCs w:val="20"/>
                <w:lang w:eastAsia="en-AU"/>
              </w:rPr>
            </w:pPr>
            <w:r>
              <w:rPr>
                <w:rFonts w:cs="Arial"/>
                <w:b/>
                <w:bCs/>
                <w:color w:val="000000"/>
                <w:sz w:val="20"/>
                <w:szCs w:val="20"/>
                <w:lang w:eastAsia="en-AU"/>
              </w:rPr>
              <w:t>9,480</w:t>
            </w:r>
          </w:p>
        </w:tc>
      </w:tr>
    </w:tbl>
    <w:p w:rsidR="00214A3A" w:rsidRPr="009D20C2" w:rsidRDefault="00214A3A" w:rsidP="00214A3A">
      <w:pPr>
        <w:spacing w:before="0"/>
        <w:jc w:val="left"/>
        <w:rPr>
          <w:i/>
          <w:color w:val="4F81BD" w:themeColor="accent1"/>
          <w:sz w:val="16"/>
        </w:rPr>
      </w:pPr>
      <w:r w:rsidRPr="009D20C2">
        <w:rPr>
          <w:i/>
          <w:color w:val="4F81BD" w:themeColor="accent1"/>
          <w:sz w:val="16"/>
        </w:rPr>
        <w:t>Source: RANZCOG practice profile</w:t>
      </w:r>
      <w:r w:rsidR="008A7347" w:rsidRPr="009D20C2">
        <w:rPr>
          <w:i/>
          <w:color w:val="4F81BD" w:themeColor="accent1"/>
          <w:sz w:val="16"/>
        </w:rPr>
        <w:t xml:space="preserve"> survey</w:t>
      </w:r>
      <w:r w:rsidRPr="009D20C2">
        <w:rPr>
          <w:i/>
          <w:color w:val="4F81BD" w:themeColor="accent1"/>
          <w:sz w:val="16"/>
        </w:rPr>
        <w:t>, 2016</w:t>
      </w:r>
    </w:p>
    <w:p w:rsidR="00A52DFC" w:rsidRDefault="008A7347" w:rsidP="00A52DFC">
      <w:pPr>
        <w:pStyle w:val="Heading3"/>
      </w:pPr>
      <w:r>
        <w:t>Sector of practice</w:t>
      </w:r>
    </w:p>
    <w:p w:rsidR="00A52DFC" w:rsidRDefault="00A52DFC" w:rsidP="00A52DFC">
      <w:r>
        <w:t>Th</w:t>
      </w:r>
      <w:r w:rsidR="00610660">
        <w:t xml:space="preserve">is section focusses on those that are </w:t>
      </w:r>
      <w:r w:rsidR="000655CB">
        <w:t xml:space="preserve">practising </w:t>
      </w:r>
      <w:r w:rsidR="00610660">
        <w:t xml:space="preserve">in the private/public sector or both. The </w:t>
      </w:r>
      <w:r>
        <w:t xml:space="preserve">data </w:t>
      </w:r>
      <w:r w:rsidR="00610660">
        <w:t xml:space="preserve">in Figure 12 </w:t>
      </w:r>
      <w:r>
        <w:t xml:space="preserve">showed that there were a large number that worked in </w:t>
      </w:r>
      <w:r w:rsidR="00610660">
        <w:t>dual</w:t>
      </w:r>
      <w:r>
        <w:t xml:space="preserve"> combinations</w:t>
      </w:r>
      <w:r w:rsidR="00610660">
        <w:t xml:space="preserve"> (public and private sector)</w:t>
      </w:r>
      <w:r>
        <w:t xml:space="preserve"> within obstetrics and gynaecology. </w:t>
      </w:r>
      <w:r w:rsidR="00610660">
        <w:t xml:space="preserve">In </w:t>
      </w:r>
      <w:r w:rsidR="008A7347">
        <w:t xml:space="preserve">the gynaecology scope </w:t>
      </w:r>
      <w:r w:rsidR="00610660">
        <w:t xml:space="preserve">of practice the individual public and </w:t>
      </w:r>
      <w:r w:rsidR="008A7347">
        <w:t>private sector</w:t>
      </w:r>
      <w:r w:rsidR="00610660">
        <w:t>s</w:t>
      </w:r>
      <w:r w:rsidR="008A7347">
        <w:t xml:space="preserve"> </w:t>
      </w:r>
      <w:r w:rsidR="00610660">
        <w:t>are</w:t>
      </w:r>
      <w:r w:rsidR="008A7347">
        <w:t xml:space="preserve"> almost equal whereas the private sector is more dominant within the obstetrics scope of practice. </w:t>
      </w:r>
    </w:p>
    <w:p w:rsidR="008A7347" w:rsidRDefault="008A7347" w:rsidP="008A7347">
      <w:pPr>
        <w:pStyle w:val="Caption"/>
        <w:keepNext/>
      </w:pPr>
      <w:bookmarkStart w:id="67" w:name="_Toc515888816"/>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12</w:t>
      </w:r>
      <w:r w:rsidR="00556A17">
        <w:rPr>
          <w:noProof/>
        </w:rPr>
        <w:fldChar w:fldCharType="end"/>
      </w:r>
      <w:r>
        <w:t>: Sector of practice by scope of practice</w:t>
      </w:r>
      <w:bookmarkEnd w:id="67"/>
    </w:p>
    <w:p w:rsidR="00913194" w:rsidRDefault="00913194" w:rsidP="008A7347">
      <w:pPr>
        <w:spacing w:before="0" w:after="0"/>
      </w:pPr>
      <w:r>
        <w:rPr>
          <w:noProof/>
          <w:lang w:eastAsia="en-AU"/>
        </w:rPr>
        <w:drawing>
          <wp:inline distT="0" distB="0" distL="0" distR="0" wp14:anchorId="7535F75D" wp14:editId="325F9A5B">
            <wp:extent cx="5695950" cy="2314575"/>
            <wp:effectExtent l="0" t="0" r="0" b="9525"/>
            <wp:docPr id="748" name="Picture 748" descr="There were a large number that worked in dual combinations (public and private sector) within obstetrics and gynaecology. In the gynaecology scope of practice the individual public and private sectors are almost equal whereas the private sector is more dominant within the obstetrics scope of practice. " title="Figure 12: Sector of practice by scope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b="14610"/>
                    <a:stretch/>
                  </pic:blipFill>
                  <pic:spPr bwMode="auto">
                    <a:xfrm>
                      <a:off x="0" y="0"/>
                      <a:ext cx="5700395" cy="2316381"/>
                    </a:xfrm>
                    <a:prstGeom prst="rect">
                      <a:avLst/>
                    </a:prstGeom>
                    <a:noFill/>
                    <a:ln>
                      <a:noFill/>
                    </a:ln>
                    <a:extLst>
                      <a:ext uri="{53640926-AAD7-44D8-BBD7-CCE9431645EC}">
                        <a14:shadowObscured xmlns:a14="http://schemas.microsoft.com/office/drawing/2010/main"/>
                      </a:ext>
                    </a:extLst>
                  </pic:spPr>
                </pic:pic>
              </a:graphicData>
            </a:graphic>
          </wp:inline>
        </w:drawing>
      </w:r>
    </w:p>
    <w:p w:rsidR="00214A3A" w:rsidRPr="009D20C2" w:rsidRDefault="00214A3A" w:rsidP="00214A3A">
      <w:pPr>
        <w:spacing w:before="0"/>
        <w:jc w:val="left"/>
        <w:rPr>
          <w:i/>
          <w:color w:val="4F81BD" w:themeColor="accent1"/>
          <w:sz w:val="16"/>
        </w:rPr>
      </w:pPr>
      <w:r w:rsidRPr="009D20C2">
        <w:rPr>
          <w:i/>
          <w:color w:val="4F81BD" w:themeColor="accent1"/>
          <w:sz w:val="16"/>
        </w:rPr>
        <w:t>Source: RANZCOG practice profile</w:t>
      </w:r>
      <w:r w:rsidR="008A7347" w:rsidRPr="009D20C2">
        <w:rPr>
          <w:i/>
          <w:color w:val="4F81BD" w:themeColor="accent1"/>
          <w:sz w:val="16"/>
        </w:rPr>
        <w:t xml:space="preserve"> survey</w:t>
      </w:r>
      <w:r w:rsidRPr="009D20C2">
        <w:rPr>
          <w:i/>
          <w:color w:val="4F81BD" w:themeColor="accent1"/>
          <w:sz w:val="16"/>
        </w:rPr>
        <w:t>, 2016</w:t>
      </w:r>
    </w:p>
    <w:p w:rsidR="00A52DFC" w:rsidRPr="00A52DFC" w:rsidRDefault="000655CB" w:rsidP="00A52DFC">
      <w:pPr>
        <w:pStyle w:val="Heading3"/>
      </w:pPr>
      <w:r>
        <w:t xml:space="preserve">Practising </w:t>
      </w:r>
      <w:r w:rsidR="00A52DFC">
        <w:t>by location</w:t>
      </w:r>
    </w:p>
    <w:p w:rsidR="001A675B" w:rsidRDefault="00610660" w:rsidP="00EE3DEE">
      <w:r>
        <w:t xml:space="preserve">This section shows the location of the O&amp;G fellows by MMM and RAs. In Table 5, the scopes of practice are divided into the aspects of practice, by the individual MMM and show the proportion of the workforce by sector. </w:t>
      </w:r>
      <w:r w:rsidR="001A675B">
        <w:t>Again</w:t>
      </w:r>
      <w:r w:rsidR="000655CB">
        <w:t>,</w:t>
      </w:r>
      <w:r w:rsidR="001A675B">
        <w:t xml:space="preserve"> this data </w:t>
      </w:r>
      <w:r w:rsidR="00A6650F">
        <w:t>has multiple duplicates</w:t>
      </w:r>
      <w:r w:rsidR="001A675B">
        <w:t xml:space="preserve">. </w:t>
      </w:r>
    </w:p>
    <w:p w:rsidR="001A675B" w:rsidRDefault="001A675B" w:rsidP="00EE3DEE">
      <w:r>
        <w:t>The</w:t>
      </w:r>
      <w:r w:rsidR="00610660">
        <w:t xml:space="preserve"> data shows that 68 per cent of the </w:t>
      </w:r>
      <w:r>
        <w:t>O&amp;G workforce provides</w:t>
      </w:r>
      <w:r w:rsidR="00610660">
        <w:t xml:space="preserve"> services in MMM1, largely in the private sector</w:t>
      </w:r>
      <w:r w:rsidR="00A6650F">
        <w:t xml:space="preserve"> (41.3 per cent)</w:t>
      </w:r>
      <w:r w:rsidR="00610660">
        <w:t xml:space="preserve">. </w:t>
      </w:r>
      <w:r w:rsidR="00A6650F">
        <w:t xml:space="preserve">MMM4 has a lower total proportion (0.31 per cent) than MMM5 (2.28 per cent). While MMM7 has a higher proportion (0.27 per cent) that MMM6 (0.08 per cent). </w:t>
      </w:r>
      <w:r w:rsidR="00106763">
        <w:t xml:space="preserve">O&amp;G fellows provide no </w:t>
      </w:r>
      <w:proofErr w:type="spellStart"/>
      <w:r w:rsidR="00106763">
        <w:t>urodynamics</w:t>
      </w:r>
      <w:proofErr w:type="spellEnd"/>
      <w:r w:rsidR="00106763">
        <w:t xml:space="preserve"> or fertility (</w:t>
      </w:r>
      <w:proofErr w:type="spellStart"/>
      <w:r w:rsidR="00106763">
        <w:t>inc.</w:t>
      </w:r>
      <w:proofErr w:type="spellEnd"/>
      <w:r w:rsidR="00106763">
        <w:t xml:space="preserve"> IVF) o</w:t>
      </w:r>
      <w:r>
        <w:t>utside of MMM5</w:t>
      </w:r>
      <w:r w:rsidR="000655CB">
        <w:t>.</w:t>
      </w:r>
      <w:r>
        <w:t xml:space="preserve"> </w:t>
      </w:r>
    </w:p>
    <w:p w:rsidR="00610660" w:rsidRDefault="00610660" w:rsidP="00610660">
      <w:pPr>
        <w:pStyle w:val="Caption"/>
        <w:keepNext/>
      </w:pPr>
      <w:bookmarkStart w:id="68" w:name="_Toc515887826"/>
      <w:r>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5</w:t>
      </w:r>
      <w:r w:rsidR="00556A17">
        <w:rPr>
          <w:noProof/>
        </w:rPr>
        <w:fldChar w:fldCharType="end"/>
      </w:r>
      <w:r>
        <w:t>: Proportion of O&amp;G scope and various aspects of practice by MMM</w:t>
      </w:r>
      <w:bookmarkEnd w:id="68"/>
    </w:p>
    <w:tbl>
      <w:tblPr>
        <w:tblStyle w:val="LightShading-Accent1"/>
        <w:tblW w:w="4908" w:type="pct"/>
        <w:tblInd w:w="108" w:type="dxa"/>
        <w:tblLayout w:type="fixed"/>
        <w:tblLook w:val="0420" w:firstRow="1" w:lastRow="0" w:firstColumn="0" w:lastColumn="0" w:noHBand="0" w:noVBand="1"/>
        <w:tblCaption w:val="Table 5: Proportion of obstetrics and gynaecology scope and various aspects of practice by Modified Monash Model"/>
        <w:tblDescription w:val="The scopes of practice are divided into the aspects of practice, by the individual MMM and show the proportion of the workforce by sector. &#10;&#10;The data shows that 68 per cent of the obstetrics and gynaecology workforce provides services in MMM1, largely in the private sector (41.3 per cent). MMM4 has a lower total proportion (0.31 per cent) than MMM5 (2.28 per cent). While MMM7 has a higher proportion (0.27 per cent) than MMM6 (0.08 per cent). Obstetrics and gynaecology fellows provide no urodynamics or fertility (inc. IVF) outside of MMM5. &#10;"/>
      </w:tblPr>
      <w:tblGrid>
        <w:gridCol w:w="1423"/>
        <w:gridCol w:w="1597"/>
        <w:gridCol w:w="2518"/>
        <w:gridCol w:w="994"/>
        <w:gridCol w:w="1279"/>
        <w:gridCol w:w="1261"/>
      </w:tblGrid>
      <w:tr w:rsidR="0008419A" w:rsidRPr="00657197" w:rsidTr="00AB5839">
        <w:trPr>
          <w:cnfStyle w:val="100000000000" w:firstRow="1" w:lastRow="0" w:firstColumn="0" w:lastColumn="0" w:oddVBand="0" w:evenVBand="0" w:oddHBand="0" w:evenHBand="0" w:firstRowFirstColumn="0" w:firstRowLastColumn="0" w:lastRowFirstColumn="0" w:lastRowLastColumn="0"/>
          <w:trHeight w:val="227"/>
          <w:tblHeader/>
        </w:trPr>
        <w:tc>
          <w:tcPr>
            <w:tcW w:w="784" w:type="pct"/>
            <w:tcBorders>
              <w:top w:val="single" w:sz="4" w:space="0" w:color="auto"/>
              <w:left w:val="single" w:sz="4" w:space="0" w:color="auto"/>
              <w:bottom w:val="single" w:sz="4" w:space="0" w:color="auto"/>
            </w:tcBorders>
            <w:shd w:val="clear" w:color="auto" w:fill="1F497D" w:themeFill="text2"/>
            <w:noWrap/>
            <w:hideMark/>
          </w:tcPr>
          <w:p w:rsidR="009F364D" w:rsidRPr="00657197" w:rsidRDefault="009F364D" w:rsidP="009F364D">
            <w:pPr>
              <w:spacing w:before="0" w:after="0"/>
              <w:jc w:val="left"/>
              <w:rPr>
                <w:rFonts w:cs="Arial"/>
                <w:bCs w:val="0"/>
                <w:color w:val="FFFFFF" w:themeColor="background1"/>
                <w:sz w:val="18"/>
                <w:szCs w:val="18"/>
                <w:lang w:eastAsia="en-AU"/>
              </w:rPr>
            </w:pPr>
            <w:r w:rsidRPr="00657197">
              <w:rPr>
                <w:rFonts w:cs="Arial"/>
                <w:bCs w:val="0"/>
                <w:color w:val="FFFFFF" w:themeColor="background1"/>
                <w:sz w:val="18"/>
                <w:szCs w:val="18"/>
                <w:lang w:eastAsia="en-AU"/>
              </w:rPr>
              <w:t>MMM</w:t>
            </w:r>
          </w:p>
        </w:tc>
        <w:tc>
          <w:tcPr>
            <w:tcW w:w="878" w:type="pct"/>
            <w:tcBorders>
              <w:top w:val="single" w:sz="4" w:space="0" w:color="auto"/>
              <w:bottom w:val="single" w:sz="4" w:space="0" w:color="auto"/>
            </w:tcBorders>
            <w:shd w:val="clear" w:color="auto" w:fill="1F497D" w:themeFill="text2"/>
            <w:noWrap/>
            <w:hideMark/>
          </w:tcPr>
          <w:p w:rsidR="009F364D" w:rsidRPr="00657197" w:rsidRDefault="009F364D" w:rsidP="009F364D">
            <w:pPr>
              <w:spacing w:before="0" w:after="0"/>
              <w:jc w:val="left"/>
              <w:rPr>
                <w:rFonts w:cs="Arial"/>
                <w:bCs w:val="0"/>
                <w:color w:val="FFFFFF" w:themeColor="background1"/>
                <w:sz w:val="18"/>
                <w:szCs w:val="18"/>
                <w:lang w:eastAsia="en-AU"/>
              </w:rPr>
            </w:pPr>
            <w:r w:rsidRPr="00657197">
              <w:rPr>
                <w:rFonts w:cs="Arial"/>
                <w:bCs w:val="0"/>
                <w:color w:val="FFFFFF" w:themeColor="background1"/>
                <w:sz w:val="18"/>
                <w:szCs w:val="18"/>
                <w:lang w:eastAsia="en-AU"/>
              </w:rPr>
              <w:t>Scope</w:t>
            </w:r>
          </w:p>
        </w:tc>
        <w:tc>
          <w:tcPr>
            <w:tcW w:w="1388" w:type="pct"/>
            <w:tcBorders>
              <w:top w:val="single" w:sz="4" w:space="0" w:color="auto"/>
              <w:bottom w:val="single" w:sz="4" w:space="0" w:color="auto"/>
            </w:tcBorders>
            <w:shd w:val="clear" w:color="auto" w:fill="1F497D" w:themeFill="text2"/>
            <w:noWrap/>
            <w:hideMark/>
          </w:tcPr>
          <w:p w:rsidR="009F364D" w:rsidRPr="00657197" w:rsidRDefault="00474F5E" w:rsidP="009F364D">
            <w:pPr>
              <w:spacing w:before="0" w:after="0"/>
              <w:jc w:val="left"/>
              <w:rPr>
                <w:rFonts w:cs="Arial"/>
                <w:bCs w:val="0"/>
                <w:color w:val="FFFFFF" w:themeColor="background1"/>
                <w:sz w:val="18"/>
                <w:szCs w:val="18"/>
                <w:lang w:eastAsia="en-AU"/>
              </w:rPr>
            </w:pPr>
            <w:r w:rsidRPr="00657197">
              <w:rPr>
                <w:rFonts w:cs="Arial"/>
                <w:bCs w:val="0"/>
                <w:color w:val="FFFFFF" w:themeColor="background1"/>
                <w:sz w:val="18"/>
                <w:szCs w:val="18"/>
                <w:lang w:eastAsia="en-AU"/>
              </w:rPr>
              <w:t>Aspect of practice</w:t>
            </w:r>
          </w:p>
        </w:tc>
        <w:tc>
          <w:tcPr>
            <w:tcW w:w="548" w:type="pct"/>
            <w:tcBorders>
              <w:top w:val="single" w:sz="4" w:space="0" w:color="auto"/>
              <w:bottom w:val="single" w:sz="4" w:space="0" w:color="auto"/>
            </w:tcBorders>
            <w:shd w:val="clear" w:color="auto" w:fill="1F497D" w:themeFill="text2"/>
            <w:noWrap/>
            <w:hideMark/>
          </w:tcPr>
          <w:p w:rsidR="009F364D" w:rsidRPr="00657197" w:rsidRDefault="009F364D" w:rsidP="00474F5E">
            <w:pPr>
              <w:spacing w:before="0" w:after="0"/>
              <w:jc w:val="right"/>
              <w:rPr>
                <w:rFonts w:cs="Arial"/>
                <w:bCs w:val="0"/>
                <w:color w:val="FFFFFF" w:themeColor="background1"/>
                <w:sz w:val="18"/>
                <w:szCs w:val="18"/>
                <w:lang w:eastAsia="en-AU"/>
              </w:rPr>
            </w:pPr>
            <w:r w:rsidRPr="00657197">
              <w:rPr>
                <w:rFonts w:cs="Arial"/>
                <w:bCs w:val="0"/>
                <w:color w:val="FFFFFF" w:themeColor="background1"/>
                <w:sz w:val="18"/>
                <w:szCs w:val="18"/>
                <w:lang w:eastAsia="en-AU"/>
              </w:rPr>
              <w:t>Private</w:t>
            </w:r>
          </w:p>
        </w:tc>
        <w:tc>
          <w:tcPr>
            <w:tcW w:w="705" w:type="pct"/>
            <w:tcBorders>
              <w:top w:val="single" w:sz="4" w:space="0" w:color="auto"/>
              <w:bottom w:val="single" w:sz="4" w:space="0" w:color="auto"/>
            </w:tcBorders>
            <w:shd w:val="clear" w:color="auto" w:fill="1F497D" w:themeFill="text2"/>
            <w:noWrap/>
            <w:hideMark/>
          </w:tcPr>
          <w:p w:rsidR="009F364D" w:rsidRPr="00657197" w:rsidRDefault="009F364D" w:rsidP="00474F5E">
            <w:pPr>
              <w:spacing w:before="0" w:after="0"/>
              <w:jc w:val="right"/>
              <w:rPr>
                <w:rFonts w:cs="Arial"/>
                <w:bCs w:val="0"/>
                <w:color w:val="FFFFFF" w:themeColor="background1"/>
                <w:sz w:val="18"/>
                <w:szCs w:val="18"/>
                <w:lang w:eastAsia="en-AU"/>
              </w:rPr>
            </w:pPr>
            <w:r w:rsidRPr="00657197">
              <w:rPr>
                <w:rFonts w:cs="Arial"/>
                <w:bCs w:val="0"/>
                <w:color w:val="FFFFFF" w:themeColor="background1"/>
                <w:sz w:val="18"/>
                <w:szCs w:val="18"/>
                <w:lang w:eastAsia="en-AU"/>
              </w:rPr>
              <w:t>Public</w:t>
            </w:r>
          </w:p>
        </w:tc>
        <w:tc>
          <w:tcPr>
            <w:tcW w:w="698" w:type="pct"/>
            <w:tcBorders>
              <w:top w:val="single" w:sz="4" w:space="0" w:color="auto"/>
              <w:bottom w:val="single" w:sz="4" w:space="0" w:color="auto"/>
              <w:right w:val="single" w:sz="4" w:space="0" w:color="auto"/>
            </w:tcBorders>
            <w:shd w:val="clear" w:color="auto" w:fill="1F497D" w:themeFill="text2"/>
            <w:noWrap/>
            <w:hideMark/>
          </w:tcPr>
          <w:p w:rsidR="009F364D" w:rsidRPr="00657197" w:rsidRDefault="009F364D" w:rsidP="00474F5E">
            <w:pPr>
              <w:spacing w:before="0" w:after="0"/>
              <w:jc w:val="right"/>
              <w:rPr>
                <w:rFonts w:cs="Arial"/>
                <w:bCs w:val="0"/>
                <w:color w:val="FFFFFF" w:themeColor="background1"/>
                <w:sz w:val="18"/>
                <w:szCs w:val="18"/>
                <w:lang w:eastAsia="en-AU"/>
              </w:rPr>
            </w:pPr>
            <w:r w:rsidRPr="00657197">
              <w:rPr>
                <w:rFonts w:cs="Arial"/>
                <w:bCs w:val="0"/>
                <w:color w:val="FFFFFF" w:themeColor="background1"/>
                <w:sz w:val="18"/>
                <w:szCs w:val="18"/>
                <w:lang w:eastAsia="en-AU"/>
              </w:rPr>
              <w:t>Grand Total</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1</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8.38%</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4.59%</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12.96%</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9.95%</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7.00%</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16.95%</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9.80%</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8.19%</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17.99%</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1.16%</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0.64%</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1.80%</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3.51%</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0.39%</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3.90%</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3.66%</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3.85%</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7.51%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4.80%</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2.19%</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6.99%</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1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41.26%</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26.86%</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68.11%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2</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1.09%</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0.93%</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2.01%</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1.15%</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1.03%</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2.18%</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1.13%</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1.23%</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2.36%</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0.38%</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0.18%</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0.56%</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0.42%</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0.43%</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0.42%</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0.59%</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1.01%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0.68%</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0.35%</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1.02%</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2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5.26%</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4.32%</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9.59%</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3</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0.49%</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0.38%</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0.86%</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0.47%</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0.42%</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0.90%</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0.49%</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0.62%</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1.11%</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0.09%</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0.15%</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0.27%</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0.35%</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0.24%</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0.21%</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0.45%</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3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1.92%</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1.96%</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3.88%</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4</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0.04%</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0.04%</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4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0.07%</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0.23%</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0.31%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5</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0.21%</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0.28%</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0.50%</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0.24%</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0.28%</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0.53%</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0.23%</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0.36%</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0.59%</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0.13%</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0.20%</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0.07%</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0.13%</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0.19%</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0.09%</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0.11%</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0.20%</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5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1.02%</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1.26%</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2.28%</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6</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r>
      <w:tr w:rsidR="003548F8" w:rsidRPr="00657197" w:rsidTr="00AB5839">
        <w:trPr>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0.02%</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0.00%</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1A675B"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6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0.00%</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0.08%</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0.08%</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474F5E" w:rsidP="009F364D">
            <w:pPr>
              <w:spacing w:before="0" w:after="0"/>
              <w:jc w:val="left"/>
              <w:rPr>
                <w:rFonts w:cs="Arial"/>
                <w:bCs/>
                <w:color w:val="000000"/>
                <w:sz w:val="18"/>
                <w:szCs w:val="18"/>
                <w:lang w:eastAsia="en-AU"/>
              </w:rPr>
            </w:pPr>
            <w:r w:rsidRPr="00657197">
              <w:rPr>
                <w:rFonts w:cs="Arial"/>
                <w:bCs/>
                <w:color w:val="000000"/>
                <w:sz w:val="18"/>
                <w:szCs w:val="18"/>
                <w:lang w:eastAsia="en-AU"/>
              </w:rPr>
              <w:t>MMM</w:t>
            </w:r>
            <w:r w:rsidR="003548F8" w:rsidRPr="00657197">
              <w:rPr>
                <w:rFonts w:cs="Arial"/>
                <w:bCs/>
                <w:color w:val="000000"/>
                <w:sz w:val="18"/>
                <w:szCs w:val="18"/>
                <w:lang w:eastAsia="en-AU"/>
              </w:rPr>
              <w:t>7</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r>
      <w:tr w:rsidR="003548F8" w:rsidRPr="00657197" w:rsidTr="00AB5839">
        <w:trPr>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0.05%</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0.06%</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0.03%</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0.04%</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0.01%</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0.03%</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0.04%</w:t>
            </w:r>
          </w:p>
        </w:tc>
      </w:tr>
      <w:tr w:rsidR="003548F8" w:rsidRPr="00657197" w:rsidTr="00AB5839">
        <w:trPr>
          <w:trHeight w:val="227"/>
        </w:trPr>
        <w:tc>
          <w:tcPr>
            <w:tcW w:w="784" w:type="pct"/>
            <w:tcBorders>
              <w:top w:val="single" w:sz="4" w:space="0" w:color="auto"/>
              <w:left w:val="single" w:sz="4" w:space="0" w:color="auto"/>
              <w:bottom w:val="single" w:sz="4" w:space="0" w:color="auto"/>
            </w:tcBorders>
            <w:noWrap/>
            <w:hideMark/>
          </w:tcPr>
          <w:p w:rsidR="003548F8" w:rsidRPr="00657197" w:rsidRDefault="00474F5E" w:rsidP="009F364D">
            <w:pPr>
              <w:spacing w:before="0" w:after="0"/>
              <w:jc w:val="left"/>
              <w:rPr>
                <w:rFonts w:cs="Arial"/>
                <w:b/>
                <w:bCs/>
                <w:color w:val="000000"/>
                <w:sz w:val="18"/>
                <w:szCs w:val="18"/>
                <w:lang w:eastAsia="en-AU"/>
              </w:rPr>
            </w:pPr>
            <w:r w:rsidRPr="00657197">
              <w:rPr>
                <w:rFonts w:cs="Arial"/>
                <w:b/>
                <w:bCs/>
                <w:color w:val="000000"/>
                <w:sz w:val="18"/>
                <w:szCs w:val="18"/>
                <w:lang w:eastAsia="en-AU"/>
              </w:rPr>
              <w:t>MMM</w:t>
            </w:r>
            <w:r w:rsidR="003548F8" w:rsidRPr="00657197">
              <w:rPr>
                <w:rFonts w:cs="Arial"/>
                <w:b/>
                <w:bCs/>
                <w:color w:val="000000"/>
                <w:sz w:val="18"/>
                <w:szCs w:val="18"/>
                <w:lang w:eastAsia="en-AU"/>
              </w:rPr>
              <w:t>7 Total</w:t>
            </w:r>
          </w:p>
        </w:tc>
        <w:tc>
          <w:tcPr>
            <w:tcW w:w="878" w:type="pct"/>
            <w:tcBorders>
              <w:top w:val="single" w:sz="4" w:space="0" w:color="auto"/>
              <w:bottom w:val="single" w:sz="4" w:space="0" w:color="auto"/>
            </w:tcBorders>
            <w:noWrap/>
            <w:hideMark/>
          </w:tcPr>
          <w:p w:rsidR="003548F8" w:rsidRPr="00657197" w:rsidRDefault="003548F8"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0.05%</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0.22%</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0.27%</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Unknown</w:t>
            </w:r>
          </w:p>
        </w:tc>
        <w:tc>
          <w:tcPr>
            <w:tcW w:w="878" w:type="pct"/>
            <w:tcBorders>
              <w:top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Gynaecology</w:t>
            </w:r>
          </w:p>
        </w:tc>
        <w:tc>
          <w:tcPr>
            <w:tcW w:w="1388" w:type="pct"/>
            <w:tcBorders>
              <w:top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Colposcopy</w:t>
            </w:r>
          </w:p>
        </w:tc>
        <w:tc>
          <w:tcPr>
            <w:tcW w:w="548"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1.27%</w:t>
            </w:r>
          </w:p>
        </w:tc>
        <w:tc>
          <w:tcPr>
            <w:tcW w:w="705" w:type="pct"/>
            <w:tcBorders>
              <w:top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1.75%</w:t>
            </w:r>
          </w:p>
        </w:tc>
        <w:tc>
          <w:tcPr>
            <w:tcW w:w="698" w:type="pct"/>
            <w:tcBorders>
              <w:top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3.02%</w:t>
            </w:r>
          </w:p>
        </w:tc>
      </w:tr>
      <w:tr w:rsidR="003548F8" w:rsidRPr="00657197" w:rsidTr="00AB5839">
        <w:trPr>
          <w:trHeight w:val="227"/>
        </w:trPr>
        <w:tc>
          <w:tcPr>
            <w:tcW w:w="784" w:type="pct"/>
            <w:tcBorders>
              <w:left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Office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1.75%</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2.22%</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3.97%</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noWrap/>
            <w:hideMark/>
          </w:tcPr>
          <w:p w:rsidR="003548F8" w:rsidRPr="00657197" w:rsidRDefault="003548F8" w:rsidP="009F364D">
            <w:pPr>
              <w:spacing w:before="0" w:after="0"/>
              <w:jc w:val="left"/>
              <w:rPr>
                <w:rFonts w:cs="Arial"/>
                <w:bCs/>
                <w:color w:val="000000"/>
                <w:sz w:val="18"/>
                <w:szCs w:val="18"/>
                <w:lang w:eastAsia="en-AU"/>
              </w:rPr>
            </w:pPr>
          </w:p>
        </w:tc>
        <w:tc>
          <w:tcPr>
            <w:tcW w:w="1388" w:type="pct"/>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Operative gynaecology</w:t>
            </w:r>
          </w:p>
        </w:tc>
        <w:tc>
          <w:tcPr>
            <w:tcW w:w="548"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1.79%</w:t>
            </w:r>
          </w:p>
        </w:tc>
        <w:tc>
          <w:tcPr>
            <w:tcW w:w="705" w:type="pct"/>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2.57%</w:t>
            </w:r>
          </w:p>
        </w:tc>
        <w:tc>
          <w:tcPr>
            <w:tcW w:w="698" w:type="pct"/>
            <w:tcBorders>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4.37%</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w:t>
            </w:r>
            <w:proofErr w:type="spellStart"/>
            <w:r w:rsidRPr="00657197">
              <w:rPr>
                <w:rFonts w:cs="Arial"/>
                <w:color w:val="000000"/>
                <w:sz w:val="18"/>
                <w:szCs w:val="18"/>
                <w:lang w:eastAsia="en-AU"/>
              </w:rPr>
              <w:t>Urodynamics</w:t>
            </w:r>
            <w:proofErr w:type="spellEnd"/>
          </w:p>
        </w:tc>
        <w:tc>
          <w:tcPr>
            <w:tcW w:w="548"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0.24%</w:t>
            </w:r>
          </w:p>
        </w:tc>
        <w:tc>
          <w:tcPr>
            <w:tcW w:w="705" w:type="pct"/>
            <w:tcBorders>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0.20%</w:t>
            </w:r>
          </w:p>
        </w:tc>
        <w:tc>
          <w:tcPr>
            <w:tcW w:w="698" w:type="pct"/>
            <w:tcBorders>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0.44%</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r w:rsidRPr="00657197">
              <w:rPr>
                <w:rFonts w:cs="Arial"/>
                <w:bCs/>
                <w:color w:val="000000"/>
                <w:sz w:val="18"/>
                <w:szCs w:val="18"/>
                <w:lang w:eastAsia="en-AU"/>
              </w:rPr>
              <w:t>Obstetrics</w:t>
            </w:r>
          </w:p>
        </w:tc>
        <w:tc>
          <w:tcPr>
            <w:tcW w:w="1388" w:type="pct"/>
            <w:tcBorders>
              <w:top w:val="single" w:sz="4" w:space="0" w:color="auto"/>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Fertility (inc IVF)</w:t>
            </w:r>
          </w:p>
        </w:tc>
        <w:tc>
          <w:tcPr>
            <w:tcW w:w="548"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0.56%</w:t>
            </w:r>
          </w:p>
        </w:tc>
        <w:tc>
          <w:tcPr>
            <w:tcW w:w="705" w:type="pct"/>
            <w:tcBorders>
              <w:top w:val="single" w:sz="4" w:space="0" w:color="auto"/>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0.19%</w:t>
            </w:r>
          </w:p>
        </w:tc>
        <w:tc>
          <w:tcPr>
            <w:tcW w:w="698" w:type="pct"/>
            <w:tcBorders>
              <w:top w:val="single" w:sz="4" w:space="0" w:color="auto"/>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0.75%</w:t>
            </w:r>
          </w:p>
        </w:tc>
      </w:tr>
      <w:tr w:rsidR="003548F8" w:rsidRPr="00657197" w:rsidTr="00AB5839">
        <w:trPr>
          <w:trHeight w:val="227"/>
        </w:trPr>
        <w:tc>
          <w:tcPr>
            <w:tcW w:w="784" w:type="pct"/>
            <w:tcBorders>
              <w:top w:val="nil"/>
              <w:left w:val="single" w:sz="4" w:space="0" w:color="auto"/>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nil"/>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nil"/>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Obstetrics</w:t>
            </w:r>
          </w:p>
        </w:tc>
        <w:tc>
          <w:tcPr>
            <w:tcW w:w="548"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0.32%</w:t>
            </w:r>
          </w:p>
        </w:tc>
        <w:tc>
          <w:tcPr>
            <w:tcW w:w="705" w:type="pct"/>
            <w:tcBorders>
              <w:top w:val="nil"/>
              <w:bottom w:val="nil"/>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1.19%</w:t>
            </w:r>
          </w:p>
        </w:tc>
        <w:tc>
          <w:tcPr>
            <w:tcW w:w="698" w:type="pct"/>
            <w:tcBorders>
              <w:top w:val="nil"/>
              <w:bottom w:val="nil"/>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1.51%</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nil"/>
              <w:left w:val="single" w:sz="4" w:space="0" w:color="auto"/>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878" w:type="pct"/>
            <w:tcBorders>
              <w:top w:val="nil"/>
              <w:bottom w:val="single" w:sz="4" w:space="0" w:color="auto"/>
            </w:tcBorders>
            <w:noWrap/>
            <w:hideMark/>
          </w:tcPr>
          <w:p w:rsidR="003548F8" w:rsidRPr="00657197" w:rsidRDefault="003548F8" w:rsidP="009F364D">
            <w:pPr>
              <w:spacing w:before="0" w:after="0"/>
              <w:jc w:val="left"/>
              <w:rPr>
                <w:rFonts w:cs="Arial"/>
                <w:bCs/>
                <w:color w:val="000000"/>
                <w:sz w:val="18"/>
                <w:szCs w:val="18"/>
                <w:lang w:eastAsia="en-AU"/>
              </w:rPr>
            </w:pPr>
          </w:p>
        </w:tc>
        <w:tc>
          <w:tcPr>
            <w:tcW w:w="1388" w:type="pct"/>
            <w:tcBorders>
              <w:top w:val="nil"/>
              <w:bottom w:val="single" w:sz="4" w:space="0" w:color="auto"/>
            </w:tcBorders>
            <w:noWrap/>
            <w:vAlign w:val="center"/>
            <w:hideMark/>
          </w:tcPr>
          <w:p w:rsidR="003548F8" w:rsidRPr="00657197" w:rsidRDefault="003548F8" w:rsidP="00657197">
            <w:pPr>
              <w:spacing w:before="0" w:after="0"/>
              <w:jc w:val="left"/>
              <w:rPr>
                <w:rFonts w:cs="Arial"/>
                <w:color w:val="000000"/>
                <w:sz w:val="18"/>
                <w:szCs w:val="18"/>
                <w:lang w:eastAsia="en-AU"/>
              </w:rPr>
            </w:pPr>
            <w:r w:rsidRPr="00657197">
              <w:rPr>
                <w:rFonts w:cs="Arial"/>
                <w:color w:val="000000"/>
                <w:sz w:val="18"/>
                <w:szCs w:val="18"/>
                <w:lang w:eastAsia="en-AU"/>
              </w:rPr>
              <w:t xml:space="preserve"> Ultrasound</w:t>
            </w:r>
          </w:p>
        </w:tc>
        <w:tc>
          <w:tcPr>
            <w:tcW w:w="548"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0.78%</w:t>
            </w:r>
          </w:p>
        </w:tc>
        <w:tc>
          <w:tcPr>
            <w:tcW w:w="705" w:type="pct"/>
            <w:tcBorders>
              <w:top w:val="nil"/>
              <w:bottom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0.64%</w:t>
            </w:r>
          </w:p>
        </w:tc>
        <w:tc>
          <w:tcPr>
            <w:tcW w:w="698" w:type="pct"/>
            <w:tcBorders>
              <w:top w:val="nil"/>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color w:val="000000"/>
                <w:sz w:val="18"/>
                <w:szCs w:val="18"/>
                <w:lang w:eastAsia="en-AU"/>
              </w:rPr>
            </w:pPr>
            <w:r w:rsidRPr="00657197">
              <w:rPr>
                <w:rFonts w:cs="Arial"/>
                <w:color w:val="000000"/>
                <w:sz w:val="18"/>
                <w:szCs w:val="18"/>
              </w:rPr>
              <w:t>1.42%</w:t>
            </w:r>
          </w:p>
        </w:tc>
      </w:tr>
      <w:tr w:rsidR="00634696" w:rsidRPr="00657197" w:rsidTr="00AB5839">
        <w:trPr>
          <w:trHeight w:val="227"/>
        </w:trPr>
        <w:tc>
          <w:tcPr>
            <w:tcW w:w="782" w:type="pct"/>
            <w:tcBorders>
              <w:top w:val="single" w:sz="4" w:space="0" w:color="auto"/>
              <w:left w:val="single" w:sz="4" w:space="0" w:color="auto"/>
              <w:bottom w:val="single" w:sz="4" w:space="0" w:color="auto"/>
              <w:right w:val="nil"/>
            </w:tcBorders>
            <w:noWrap/>
            <w:hideMark/>
          </w:tcPr>
          <w:p w:rsidR="00634696" w:rsidRPr="00AB5839" w:rsidRDefault="00634696" w:rsidP="009F364D">
            <w:pPr>
              <w:spacing w:before="0" w:after="0"/>
              <w:jc w:val="left"/>
              <w:rPr>
                <w:rFonts w:cs="Arial"/>
                <w:b/>
                <w:bCs/>
                <w:color w:val="000000"/>
                <w:sz w:val="16"/>
                <w:szCs w:val="16"/>
                <w:lang w:eastAsia="en-AU"/>
              </w:rPr>
            </w:pPr>
            <w:r w:rsidRPr="00AB5839">
              <w:rPr>
                <w:rFonts w:cs="Arial"/>
                <w:b/>
                <w:bCs/>
                <w:color w:val="000000"/>
                <w:sz w:val="16"/>
                <w:szCs w:val="16"/>
                <w:lang w:eastAsia="en-AU"/>
              </w:rPr>
              <w:t>Unknown Total</w:t>
            </w:r>
          </w:p>
        </w:tc>
        <w:tc>
          <w:tcPr>
            <w:tcW w:w="880" w:type="pct"/>
            <w:tcBorders>
              <w:top w:val="single" w:sz="4" w:space="0" w:color="auto"/>
              <w:left w:val="nil"/>
              <w:bottom w:val="single" w:sz="4" w:space="0" w:color="auto"/>
            </w:tcBorders>
          </w:tcPr>
          <w:p w:rsidR="00634696" w:rsidRPr="00657197" w:rsidRDefault="00634696" w:rsidP="009F364D">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634696" w:rsidRPr="00657197" w:rsidRDefault="00634696"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634696" w:rsidRPr="00657197" w:rsidRDefault="00634696" w:rsidP="00657197">
            <w:pPr>
              <w:spacing w:before="0" w:after="0"/>
              <w:jc w:val="right"/>
              <w:rPr>
                <w:rFonts w:cs="Arial"/>
                <w:b/>
                <w:bCs/>
                <w:color w:val="000000"/>
                <w:sz w:val="18"/>
                <w:szCs w:val="18"/>
                <w:lang w:eastAsia="en-AU"/>
              </w:rPr>
            </w:pPr>
            <w:r w:rsidRPr="00657197">
              <w:rPr>
                <w:rFonts w:cs="Arial"/>
                <w:b/>
                <w:bCs/>
                <w:color w:val="000000"/>
                <w:sz w:val="18"/>
                <w:szCs w:val="18"/>
              </w:rPr>
              <w:t>6.71%</w:t>
            </w:r>
          </w:p>
        </w:tc>
        <w:tc>
          <w:tcPr>
            <w:tcW w:w="705" w:type="pct"/>
            <w:tcBorders>
              <w:top w:val="single" w:sz="4" w:space="0" w:color="auto"/>
              <w:bottom w:val="single" w:sz="4" w:space="0" w:color="auto"/>
            </w:tcBorders>
            <w:noWrap/>
            <w:vAlign w:val="center"/>
            <w:hideMark/>
          </w:tcPr>
          <w:p w:rsidR="00634696" w:rsidRPr="00657197" w:rsidRDefault="00634696" w:rsidP="00657197">
            <w:pPr>
              <w:spacing w:before="0" w:after="0"/>
              <w:jc w:val="right"/>
              <w:rPr>
                <w:rFonts w:cs="Arial"/>
                <w:b/>
                <w:bCs/>
                <w:color w:val="000000"/>
                <w:sz w:val="18"/>
                <w:szCs w:val="18"/>
                <w:lang w:eastAsia="en-AU"/>
              </w:rPr>
            </w:pPr>
            <w:r w:rsidRPr="00657197">
              <w:rPr>
                <w:rFonts w:cs="Arial"/>
                <w:b/>
                <w:bCs/>
                <w:color w:val="000000"/>
                <w:sz w:val="18"/>
                <w:szCs w:val="18"/>
              </w:rPr>
              <w:t>8.77%</w:t>
            </w:r>
          </w:p>
        </w:tc>
        <w:tc>
          <w:tcPr>
            <w:tcW w:w="698" w:type="pct"/>
            <w:tcBorders>
              <w:top w:val="single" w:sz="4" w:space="0" w:color="auto"/>
              <w:bottom w:val="single" w:sz="4" w:space="0" w:color="auto"/>
              <w:right w:val="single" w:sz="4" w:space="0" w:color="auto"/>
            </w:tcBorders>
            <w:noWrap/>
            <w:vAlign w:val="center"/>
            <w:hideMark/>
          </w:tcPr>
          <w:p w:rsidR="00634696" w:rsidRPr="00657197" w:rsidRDefault="00634696" w:rsidP="00657197">
            <w:pPr>
              <w:spacing w:before="0" w:after="0"/>
              <w:jc w:val="right"/>
              <w:rPr>
                <w:rFonts w:cs="Arial"/>
                <w:b/>
                <w:bCs/>
                <w:color w:val="000000"/>
                <w:sz w:val="18"/>
                <w:szCs w:val="18"/>
                <w:lang w:eastAsia="en-AU"/>
              </w:rPr>
            </w:pPr>
            <w:r w:rsidRPr="00657197">
              <w:rPr>
                <w:rFonts w:cs="Arial"/>
                <w:b/>
                <w:bCs/>
                <w:color w:val="000000"/>
                <w:sz w:val="18"/>
                <w:szCs w:val="18"/>
              </w:rPr>
              <w:t>15.47%</w:t>
            </w:r>
          </w:p>
        </w:tc>
      </w:tr>
      <w:tr w:rsidR="003548F8" w:rsidRPr="00657197" w:rsidTr="00AB5839">
        <w:trPr>
          <w:cnfStyle w:val="000000100000" w:firstRow="0" w:lastRow="0" w:firstColumn="0" w:lastColumn="0" w:oddVBand="0" w:evenVBand="0" w:oddHBand="1" w:evenHBand="0" w:firstRowFirstColumn="0" w:firstRowLastColumn="0" w:lastRowFirstColumn="0" w:lastRowLastColumn="0"/>
          <w:trHeight w:val="227"/>
        </w:trPr>
        <w:tc>
          <w:tcPr>
            <w:tcW w:w="784" w:type="pct"/>
            <w:tcBorders>
              <w:top w:val="single" w:sz="4" w:space="0" w:color="auto"/>
              <w:left w:val="single" w:sz="4" w:space="0" w:color="auto"/>
              <w:bottom w:val="single" w:sz="4" w:space="0" w:color="auto"/>
            </w:tcBorders>
            <w:noWrap/>
            <w:vAlign w:val="center"/>
            <w:hideMark/>
          </w:tcPr>
          <w:p w:rsidR="003548F8" w:rsidRPr="00657197" w:rsidRDefault="003548F8" w:rsidP="00474F5E">
            <w:pPr>
              <w:spacing w:before="0" w:after="0"/>
              <w:jc w:val="left"/>
              <w:rPr>
                <w:rFonts w:cs="Arial"/>
                <w:b/>
                <w:bCs/>
                <w:color w:val="000000"/>
                <w:sz w:val="18"/>
                <w:szCs w:val="18"/>
                <w:lang w:eastAsia="en-AU"/>
              </w:rPr>
            </w:pPr>
            <w:r w:rsidRPr="00657197">
              <w:rPr>
                <w:rFonts w:cs="Arial"/>
                <w:b/>
                <w:bCs/>
                <w:color w:val="000000"/>
                <w:sz w:val="18"/>
                <w:szCs w:val="18"/>
                <w:lang w:eastAsia="en-AU"/>
              </w:rPr>
              <w:t>Grand Total</w:t>
            </w:r>
          </w:p>
        </w:tc>
        <w:tc>
          <w:tcPr>
            <w:tcW w:w="878" w:type="pct"/>
            <w:tcBorders>
              <w:top w:val="single" w:sz="4" w:space="0" w:color="auto"/>
              <w:bottom w:val="single" w:sz="4" w:space="0" w:color="auto"/>
            </w:tcBorders>
            <w:noWrap/>
            <w:vAlign w:val="center"/>
            <w:hideMark/>
          </w:tcPr>
          <w:p w:rsidR="003548F8" w:rsidRPr="00657197" w:rsidRDefault="003548F8" w:rsidP="00474F5E">
            <w:pPr>
              <w:spacing w:before="0" w:after="0"/>
              <w:jc w:val="left"/>
              <w:rPr>
                <w:rFonts w:cs="Arial"/>
                <w:b/>
                <w:bCs/>
                <w:color w:val="000000"/>
                <w:sz w:val="18"/>
                <w:szCs w:val="18"/>
                <w:lang w:eastAsia="en-AU"/>
              </w:rPr>
            </w:pPr>
          </w:p>
        </w:tc>
        <w:tc>
          <w:tcPr>
            <w:tcW w:w="1388" w:type="pct"/>
            <w:tcBorders>
              <w:top w:val="single" w:sz="4" w:space="0" w:color="auto"/>
              <w:bottom w:val="single" w:sz="4" w:space="0" w:color="auto"/>
            </w:tcBorders>
            <w:noWrap/>
            <w:vAlign w:val="center"/>
            <w:hideMark/>
          </w:tcPr>
          <w:p w:rsidR="003548F8" w:rsidRPr="00657197" w:rsidRDefault="003548F8" w:rsidP="00657197">
            <w:pPr>
              <w:spacing w:before="0" w:after="0"/>
              <w:jc w:val="left"/>
              <w:rPr>
                <w:rFonts w:cs="Arial"/>
                <w:b/>
                <w:bCs/>
                <w:color w:val="000000"/>
                <w:sz w:val="18"/>
                <w:szCs w:val="18"/>
                <w:lang w:eastAsia="en-AU"/>
              </w:rPr>
            </w:pPr>
          </w:p>
        </w:tc>
        <w:tc>
          <w:tcPr>
            <w:tcW w:w="548"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56.30%</w:t>
            </w:r>
          </w:p>
        </w:tc>
        <w:tc>
          <w:tcPr>
            <w:tcW w:w="705" w:type="pct"/>
            <w:tcBorders>
              <w:top w:val="single" w:sz="4" w:space="0" w:color="auto"/>
              <w:bottom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43.70%</w:t>
            </w:r>
          </w:p>
        </w:tc>
        <w:tc>
          <w:tcPr>
            <w:tcW w:w="698" w:type="pct"/>
            <w:tcBorders>
              <w:top w:val="single" w:sz="4" w:space="0" w:color="auto"/>
              <w:bottom w:val="single" w:sz="4" w:space="0" w:color="auto"/>
              <w:right w:val="single" w:sz="4" w:space="0" w:color="auto"/>
            </w:tcBorders>
            <w:noWrap/>
            <w:vAlign w:val="center"/>
            <w:hideMark/>
          </w:tcPr>
          <w:p w:rsidR="003548F8" w:rsidRPr="00657197" w:rsidRDefault="003548F8" w:rsidP="00657197">
            <w:pPr>
              <w:spacing w:before="0" w:after="0"/>
              <w:jc w:val="right"/>
              <w:rPr>
                <w:rFonts w:cs="Arial"/>
                <w:b/>
                <w:bCs/>
                <w:color w:val="000000"/>
                <w:sz w:val="18"/>
                <w:szCs w:val="18"/>
                <w:lang w:eastAsia="en-AU"/>
              </w:rPr>
            </w:pPr>
            <w:r w:rsidRPr="00657197">
              <w:rPr>
                <w:rFonts w:cs="Arial"/>
                <w:b/>
                <w:bCs/>
                <w:color w:val="000000"/>
                <w:sz w:val="18"/>
                <w:szCs w:val="18"/>
              </w:rPr>
              <w:t>100.00%</w:t>
            </w:r>
          </w:p>
        </w:tc>
      </w:tr>
    </w:tbl>
    <w:p w:rsidR="00214A3A" w:rsidRPr="009D20C2" w:rsidRDefault="00214A3A" w:rsidP="00214A3A">
      <w:pPr>
        <w:spacing w:before="0"/>
        <w:jc w:val="left"/>
        <w:rPr>
          <w:i/>
          <w:color w:val="4F81BD" w:themeColor="accent1"/>
          <w:sz w:val="16"/>
        </w:rPr>
      </w:pPr>
      <w:r w:rsidRPr="009D20C2">
        <w:rPr>
          <w:i/>
          <w:color w:val="4F81BD" w:themeColor="accent1"/>
          <w:sz w:val="16"/>
        </w:rPr>
        <w:t>Source: RANZCOG practice profile</w:t>
      </w:r>
      <w:r w:rsidR="00E9573E" w:rsidRPr="009D20C2">
        <w:rPr>
          <w:i/>
          <w:color w:val="4F81BD" w:themeColor="accent1"/>
          <w:sz w:val="16"/>
        </w:rPr>
        <w:t xml:space="preserve"> survey</w:t>
      </w:r>
      <w:r w:rsidRPr="009D20C2">
        <w:rPr>
          <w:i/>
          <w:color w:val="4F81BD" w:themeColor="accent1"/>
          <w:sz w:val="16"/>
        </w:rPr>
        <w:t>, 2016</w:t>
      </w:r>
    </w:p>
    <w:p w:rsidR="00C46A59" w:rsidRDefault="00C46A59">
      <w:pPr>
        <w:spacing w:before="0" w:after="0"/>
        <w:jc w:val="left"/>
      </w:pPr>
      <w:r>
        <w:br w:type="page"/>
      </w:r>
    </w:p>
    <w:p w:rsidR="00B44178" w:rsidRDefault="00D6484F" w:rsidP="00EE3DEE">
      <w:r>
        <w:lastRenderedPageBreak/>
        <w:t xml:space="preserve">The following table shows the unique count of O&amp;G fellows </w:t>
      </w:r>
      <w:r w:rsidR="00657197">
        <w:t xml:space="preserve">by </w:t>
      </w:r>
      <w:r>
        <w:t xml:space="preserve">scope of practice by </w:t>
      </w:r>
      <w:r w:rsidR="00A027C9">
        <w:t>remoteness area (</w:t>
      </w:r>
      <w:r>
        <w:t>RA</w:t>
      </w:r>
      <w:r w:rsidR="00A027C9">
        <w:t>)</w:t>
      </w:r>
      <w:r>
        <w:t xml:space="preserve">. In Table 6 </w:t>
      </w:r>
      <w:r w:rsidR="0044172D">
        <w:t xml:space="preserve">as </w:t>
      </w:r>
      <w:r w:rsidR="00657197">
        <w:t xml:space="preserve">in the previous table the large majority are located in metropolitan areas – </w:t>
      </w:r>
      <w:r w:rsidR="00106763">
        <w:t xml:space="preserve">with </w:t>
      </w:r>
      <w:r w:rsidR="0044172D">
        <w:t xml:space="preserve">67 </w:t>
      </w:r>
      <w:r>
        <w:t xml:space="preserve">per cent </w:t>
      </w:r>
      <w:r w:rsidR="00657197">
        <w:t>of fellows located in RA1</w:t>
      </w:r>
      <w:r>
        <w:t>.</w:t>
      </w:r>
      <w:r w:rsidR="00657197">
        <w:t xml:space="preserve"> The fellows that work exclusively in obstetrics are located in RA1 at a higher rate (86 per cent) than O&amp;G and gynaecology (which are both similar proportions [66</w:t>
      </w:r>
      <w:r w:rsidR="0044172D">
        <w:t>-67</w:t>
      </w:r>
      <w:r w:rsidR="00657197">
        <w:t xml:space="preserve"> per cent]). </w:t>
      </w:r>
      <w:r w:rsidR="0057129F">
        <w:t>RA4 and RA5 have very low numbers in the O&amp;G scope of practice and none in the individual scopes of practice.</w:t>
      </w:r>
      <w:r w:rsidR="008E7E74">
        <w:t xml:space="preserve"> These responses show slight variation to the workforce survey responses to their practising location, where there are a</w:t>
      </w:r>
      <w:r w:rsidR="0044172D">
        <w:t>t</w:t>
      </w:r>
      <w:r w:rsidR="008E7E74">
        <w:t xml:space="preserve"> least 20 </w:t>
      </w:r>
      <w:r w:rsidR="0044172D">
        <w:t>fellows</w:t>
      </w:r>
      <w:r w:rsidR="008E7E74">
        <w:t xml:space="preserve"> stating they worked in remote areas (see Table 9).</w:t>
      </w:r>
    </w:p>
    <w:p w:rsidR="00D6484F" w:rsidRDefault="00D6484F" w:rsidP="00D6484F">
      <w:pPr>
        <w:pStyle w:val="Caption"/>
        <w:keepNext/>
      </w:pPr>
      <w:bookmarkStart w:id="69" w:name="_Toc515887827"/>
      <w:r>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6</w:t>
      </w:r>
      <w:r w:rsidR="00556A17">
        <w:rPr>
          <w:noProof/>
        </w:rPr>
        <w:fldChar w:fldCharType="end"/>
      </w:r>
      <w:r>
        <w:t>: O&amp;G scope of practice by RA</w:t>
      </w:r>
      <w:bookmarkEnd w:id="69"/>
    </w:p>
    <w:tbl>
      <w:tblPr>
        <w:tblStyle w:val="LightShading-Accent1"/>
        <w:tblW w:w="4942" w:type="pct"/>
        <w:tblInd w:w="108" w:type="dxa"/>
        <w:tblLook w:val="0420" w:firstRow="1" w:lastRow="0" w:firstColumn="0" w:lastColumn="0" w:noHBand="0" w:noVBand="1"/>
        <w:tblCaption w:val="Table 6: Obstetrics and gynaecology scope of practice by remoteness area"/>
        <w:tblDescription w:val="Shows the unique count of obstetrics and gynaecology fellows by scope of practice by remoteness area (RA). The large majority are located in metropolitan areas – with 67 per cent of fellows located in RA1. The fellows that work exclusively in obstetrics are located in RA1 at a higher rate of 86 per cent than obstetrics and gynaecology and gynaecology (which are both similar proportions [66-67 per cent]). RA4 and RA5 have very low numbers in the obstetrics and gynaecology scope of practice and none in the individual scopes of practice. These responses show slight variation to the workforce survey responses to their practising location, where there are at least 20 fellows stating they worked in remote areas."/>
      </w:tblPr>
      <w:tblGrid>
        <w:gridCol w:w="2485"/>
        <w:gridCol w:w="1681"/>
        <w:gridCol w:w="1664"/>
        <w:gridCol w:w="1626"/>
        <w:gridCol w:w="1679"/>
      </w:tblGrid>
      <w:tr w:rsidR="004D2B57" w:rsidRPr="004D2B57" w:rsidTr="00191F07">
        <w:trPr>
          <w:cnfStyle w:val="100000000000" w:firstRow="1" w:lastRow="0" w:firstColumn="0" w:lastColumn="0" w:oddVBand="0" w:evenVBand="0" w:oddHBand="0" w:evenHBand="0" w:firstRowFirstColumn="0" w:firstRowLastColumn="0" w:lastRowFirstColumn="0" w:lastRowLastColumn="0"/>
          <w:trHeight w:val="227"/>
          <w:tblHeader/>
        </w:trPr>
        <w:tc>
          <w:tcPr>
            <w:tcW w:w="1360" w:type="pct"/>
            <w:tcBorders>
              <w:top w:val="single" w:sz="4" w:space="0" w:color="auto"/>
              <w:left w:val="single" w:sz="4" w:space="0" w:color="auto"/>
              <w:bottom w:val="single" w:sz="4" w:space="0" w:color="auto"/>
            </w:tcBorders>
            <w:shd w:val="clear" w:color="auto" w:fill="1F497D" w:themeFill="text2"/>
            <w:noWrap/>
            <w:hideMark/>
          </w:tcPr>
          <w:p w:rsidR="007D5E61" w:rsidRPr="007D5E61" w:rsidRDefault="007D5E61" w:rsidP="006632A1">
            <w:pPr>
              <w:spacing w:before="0" w:after="0"/>
              <w:jc w:val="center"/>
              <w:rPr>
                <w:rFonts w:cs="Arial"/>
                <w:color w:val="FFFFFF" w:themeColor="background1"/>
                <w:sz w:val="20"/>
                <w:szCs w:val="22"/>
                <w:lang w:eastAsia="en-AU"/>
              </w:rPr>
            </w:pPr>
            <w:r w:rsidRPr="007D5E61">
              <w:rPr>
                <w:rFonts w:cs="Arial"/>
                <w:color w:val="FFFFFF" w:themeColor="background1"/>
                <w:sz w:val="20"/>
                <w:szCs w:val="22"/>
                <w:lang w:eastAsia="en-AU"/>
              </w:rPr>
              <w:t>Remoteness area</w:t>
            </w:r>
          </w:p>
        </w:tc>
        <w:tc>
          <w:tcPr>
            <w:tcW w:w="920" w:type="pct"/>
            <w:tcBorders>
              <w:top w:val="single" w:sz="4" w:space="0" w:color="auto"/>
              <w:bottom w:val="single" w:sz="4" w:space="0" w:color="auto"/>
            </w:tcBorders>
            <w:shd w:val="clear" w:color="auto" w:fill="1F497D" w:themeFill="text2"/>
            <w:hideMark/>
          </w:tcPr>
          <w:p w:rsidR="007D5E61" w:rsidRPr="007D5E61" w:rsidRDefault="004D2B57" w:rsidP="006632A1">
            <w:pPr>
              <w:spacing w:before="0" w:after="0"/>
              <w:jc w:val="center"/>
              <w:rPr>
                <w:rFonts w:cs="Arial"/>
                <w:color w:val="FFFFFF" w:themeColor="background1"/>
                <w:sz w:val="20"/>
                <w:szCs w:val="22"/>
                <w:lang w:eastAsia="en-AU"/>
              </w:rPr>
            </w:pPr>
            <w:r w:rsidRPr="004D2B57">
              <w:rPr>
                <w:rFonts w:cs="Arial"/>
                <w:color w:val="FFFFFF" w:themeColor="background1"/>
                <w:sz w:val="20"/>
                <w:szCs w:val="22"/>
                <w:lang w:eastAsia="en-AU"/>
              </w:rPr>
              <w:t>Obstetrics</w:t>
            </w:r>
            <w:r w:rsidR="007D5E61" w:rsidRPr="007D5E61">
              <w:rPr>
                <w:rFonts w:cs="Arial"/>
                <w:color w:val="FFFFFF" w:themeColor="background1"/>
                <w:sz w:val="20"/>
                <w:szCs w:val="22"/>
                <w:lang w:eastAsia="en-AU"/>
              </w:rPr>
              <w:t xml:space="preserve"> and gynaecology</w:t>
            </w:r>
          </w:p>
        </w:tc>
        <w:tc>
          <w:tcPr>
            <w:tcW w:w="911" w:type="pct"/>
            <w:tcBorders>
              <w:top w:val="single" w:sz="4" w:space="0" w:color="auto"/>
              <w:bottom w:val="single" w:sz="4" w:space="0" w:color="auto"/>
            </w:tcBorders>
            <w:shd w:val="clear" w:color="auto" w:fill="1F497D" w:themeFill="text2"/>
            <w:noWrap/>
            <w:hideMark/>
          </w:tcPr>
          <w:p w:rsidR="007D5E61" w:rsidRPr="007D5E61" w:rsidRDefault="007D5E61" w:rsidP="006632A1">
            <w:pPr>
              <w:spacing w:before="0" w:after="0"/>
              <w:jc w:val="center"/>
              <w:rPr>
                <w:rFonts w:cs="Arial"/>
                <w:color w:val="FFFFFF" w:themeColor="background1"/>
                <w:sz w:val="20"/>
                <w:szCs w:val="22"/>
                <w:lang w:eastAsia="en-AU"/>
              </w:rPr>
            </w:pPr>
            <w:r w:rsidRPr="007D5E61">
              <w:rPr>
                <w:rFonts w:cs="Arial"/>
                <w:color w:val="FFFFFF" w:themeColor="background1"/>
                <w:sz w:val="20"/>
                <w:szCs w:val="22"/>
                <w:lang w:eastAsia="en-AU"/>
              </w:rPr>
              <w:t>Gynaecology</w:t>
            </w:r>
          </w:p>
        </w:tc>
        <w:tc>
          <w:tcPr>
            <w:tcW w:w="890" w:type="pct"/>
            <w:tcBorders>
              <w:top w:val="single" w:sz="4" w:space="0" w:color="auto"/>
              <w:bottom w:val="single" w:sz="4" w:space="0" w:color="auto"/>
            </w:tcBorders>
            <w:shd w:val="clear" w:color="auto" w:fill="1F497D" w:themeFill="text2"/>
            <w:noWrap/>
            <w:hideMark/>
          </w:tcPr>
          <w:p w:rsidR="007D5E61" w:rsidRPr="007D5E61" w:rsidRDefault="007D5E61" w:rsidP="006632A1">
            <w:pPr>
              <w:spacing w:before="0" w:after="0"/>
              <w:jc w:val="center"/>
              <w:rPr>
                <w:rFonts w:cs="Arial"/>
                <w:color w:val="FFFFFF" w:themeColor="background1"/>
                <w:sz w:val="20"/>
                <w:szCs w:val="22"/>
                <w:lang w:eastAsia="en-AU"/>
              </w:rPr>
            </w:pPr>
            <w:r w:rsidRPr="007D5E61">
              <w:rPr>
                <w:rFonts w:cs="Arial"/>
                <w:color w:val="FFFFFF" w:themeColor="background1"/>
                <w:sz w:val="20"/>
                <w:szCs w:val="22"/>
                <w:lang w:eastAsia="en-AU"/>
              </w:rPr>
              <w:t>Obstetrics</w:t>
            </w:r>
          </w:p>
        </w:tc>
        <w:tc>
          <w:tcPr>
            <w:tcW w:w="920" w:type="pct"/>
            <w:tcBorders>
              <w:top w:val="single" w:sz="4" w:space="0" w:color="auto"/>
              <w:bottom w:val="single" w:sz="4" w:space="0" w:color="auto"/>
              <w:right w:val="single" w:sz="4" w:space="0" w:color="auto"/>
            </w:tcBorders>
            <w:shd w:val="clear" w:color="auto" w:fill="1F497D" w:themeFill="text2"/>
            <w:noWrap/>
            <w:hideMark/>
          </w:tcPr>
          <w:p w:rsidR="007D5E61" w:rsidRPr="007D5E61" w:rsidRDefault="007D5E61" w:rsidP="006632A1">
            <w:pPr>
              <w:spacing w:before="0" w:after="0"/>
              <w:jc w:val="center"/>
              <w:rPr>
                <w:rFonts w:cs="Arial"/>
                <w:color w:val="FFFFFF" w:themeColor="background1"/>
                <w:sz w:val="20"/>
                <w:szCs w:val="22"/>
                <w:lang w:eastAsia="en-AU"/>
              </w:rPr>
            </w:pPr>
            <w:r w:rsidRPr="007D5E61">
              <w:rPr>
                <w:rFonts w:cs="Arial"/>
                <w:color w:val="FFFFFF" w:themeColor="background1"/>
                <w:sz w:val="20"/>
                <w:szCs w:val="22"/>
                <w:lang w:eastAsia="en-AU"/>
              </w:rPr>
              <w:t>Total</w:t>
            </w:r>
          </w:p>
        </w:tc>
      </w:tr>
      <w:tr w:rsidR="004D2B57" w:rsidRPr="007D5E61" w:rsidTr="00191F07">
        <w:trPr>
          <w:cnfStyle w:val="000000100000" w:firstRow="0" w:lastRow="0" w:firstColumn="0" w:lastColumn="0" w:oddVBand="0" w:evenVBand="0" w:oddHBand="1" w:evenHBand="0" w:firstRowFirstColumn="0" w:firstRowLastColumn="0" w:lastRowFirstColumn="0" w:lastRowLastColumn="0"/>
          <w:trHeight w:val="227"/>
        </w:trPr>
        <w:tc>
          <w:tcPr>
            <w:tcW w:w="1360" w:type="pct"/>
            <w:tcBorders>
              <w:top w:val="single" w:sz="4" w:space="0" w:color="auto"/>
              <w:left w:val="single" w:sz="4" w:space="0" w:color="auto"/>
            </w:tcBorders>
            <w:noWrap/>
            <w:hideMark/>
          </w:tcPr>
          <w:p w:rsidR="007D5E61" w:rsidRPr="007D5E61" w:rsidRDefault="007D5E61" w:rsidP="007D5E61">
            <w:pPr>
              <w:spacing w:before="0" w:after="0"/>
              <w:jc w:val="left"/>
              <w:rPr>
                <w:rFonts w:cs="Arial"/>
                <w:color w:val="000000"/>
                <w:sz w:val="20"/>
                <w:szCs w:val="22"/>
                <w:lang w:eastAsia="en-AU"/>
              </w:rPr>
            </w:pPr>
            <w:r w:rsidRPr="007D5E61">
              <w:rPr>
                <w:rFonts w:cs="Arial"/>
                <w:color w:val="000000"/>
                <w:sz w:val="20"/>
                <w:szCs w:val="22"/>
                <w:lang w:eastAsia="en-AU"/>
              </w:rPr>
              <w:t>RA1</w:t>
            </w:r>
          </w:p>
        </w:tc>
        <w:tc>
          <w:tcPr>
            <w:tcW w:w="920" w:type="pct"/>
            <w:tcBorders>
              <w:top w:val="single" w:sz="4" w:space="0" w:color="auto"/>
            </w:tcBorders>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841</w:t>
            </w:r>
          </w:p>
        </w:tc>
        <w:tc>
          <w:tcPr>
            <w:tcW w:w="911" w:type="pct"/>
            <w:tcBorders>
              <w:top w:val="single" w:sz="4" w:space="0" w:color="auto"/>
            </w:tcBorders>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407</w:t>
            </w:r>
          </w:p>
        </w:tc>
        <w:tc>
          <w:tcPr>
            <w:tcW w:w="890" w:type="pct"/>
            <w:tcBorders>
              <w:top w:val="single" w:sz="4" w:space="0" w:color="auto"/>
            </w:tcBorders>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166</w:t>
            </w:r>
          </w:p>
        </w:tc>
        <w:tc>
          <w:tcPr>
            <w:tcW w:w="920" w:type="pct"/>
            <w:tcBorders>
              <w:top w:val="single" w:sz="4" w:space="0" w:color="auto"/>
              <w:right w:val="single" w:sz="4" w:space="0" w:color="auto"/>
            </w:tcBorders>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1,414</w:t>
            </w:r>
          </w:p>
        </w:tc>
      </w:tr>
      <w:tr w:rsidR="009D20C2" w:rsidRPr="007D5E61" w:rsidTr="00191F07">
        <w:trPr>
          <w:trHeight w:val="227"/>
        </w:trPr>
        <w:tc>
          <w:tcPr>
            <w:tcW w:w="1360" w:type="pct"/>
            <w:tcBorders>
              <w:left w:val="single" w:sz="4" w:space="0" w:color="auto"/>
            </w:tcBorders>
            <w:noWrap/>
            <w:hideMark/>
          </w:tcPr>
          <w:p w:rsidR="009D20C2" w:rsidRPr="007D5E61" w:rsidRDefault="009D20C2" w:rsidP="007D5E61">
            <w:pPr>
              <w:spacing w:before="0" w:after="0"/>
              <w:jc w:val="left"/>
              <w:rPr>
                <w:rFonts w:cs="Arial"/>
                <w:color w:val="000000"/>
                <w:sz w:val="20"/>
                <w:szCs w:val="22"/>
                <w:lang w:eastAsia="en-AU"/>
              </w:rPr>
            </w:pPr>
            <w:r w:rsidRPr="007D5E61">
              <w:rPr>
                <w:rFonts w:cs="Arial"/>
                <w:color w:val="000000"/>
                <w:sz w:val="20"/>
                <w:szCs w:val="22"/>
                <w:lang w:eastAsia="en-AU"/>
              </w:rPr>
              <w:t>RA2</w:t>
            </w:r>
          </w:p>
        </w:tc>
        <w:tc>
          <w:tcPr>
            <w:tcW w:w="920" w:type="pct"/>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143</w:t>
            </w:r>
          </w:p>
        </w:tc>
        <w:tc>
          <w:tcPr>
            <w:tcW w:w="911" w:type="pct"/>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62</w:t>
            </w:r>
          </w:p>
        </w:tc>
        <w:tc>
          <w:tcPr>
            <w:tcW w:w="890" w:type="pct"/>
            <w:noWrap/>
            <w:hideMark/>
          </w:tcPr>
          <w:p w:rsidR="009D20C2" w:rsidRPr="007D5E61" w:rsidRDefault="009D20C2" w:rsidP="00577982">
            <w:pPr>
              <w:spacing w:before="0" w:after="0"/>
              <w:jc w:val="center"/>
              <w:rPr>
                <w:rFonts w:cs="Arial"/>
                <w:color w:val="000000"/>
                <w:sz w:val="20"/>
                <w:szCs w:val="22"/>
                <w:lang w:eastAsia="en-AU"/>
              </w:rPr>
            </w:pPr>
            <w:r w:rsidRPr="00565A78">
              <w:rPr>
                <w:color w:val="auto"/>
                <w:sz w:val="20"/>
                <w:szCs w:val="20"/>
                <w:lang w:eastAsia="en-AU"/>
              </w:rPr>
              <w:t>np</w:t>
            </w:r>
          </w:p>
        </w:tc>
        <w:tc>
          <w:tcPr>
            <w:tcW w:w="920" w:type="pct"/>
            <w:tcBorders>
              <w:right w:val="single" w:sz="4" w:space="0" w:color="auto"/>
            </w:tcBorders>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211</w:t>
            </w:r>
          </w:p>
        </w:tc>
      </w:tr>
      <w:tr w:rsidR="009D20C2" w:rsidRPr="007D5E61" w:rsidTr="00191F07">
        <w:trPr>
          <w:cnfStyle w:val="000000100000" w:firstRow="0" w:lastRow="0" w:firstColumn="0" w:lastColumn="0" w:oddVBand="0" w:evenVBand="0" w:oddHBand="1" w:evenHBand="0" w:firstRowFirstColumn="0" w:firstRowLastColumn="0" w:lastRowFirstColumn="0" w:lastRowLastColumn="0"/>
          <w:trHeight w:val="227"/>
        </w:trPr>
        <w:tc>
          <w:tcPr>
            <w:tcW w:w="1360" w:type="pct"/>
            <w:tcBorders>
              <w:left w:val="single" w:sz="4" w:space="0" w:color="auto"/>
            </w:tcBorders>
            <w:noWrap/>
            <w:hideMark/>
          </w:tcPr>
          <w:p w:rsidR="009D20C2" w:rsidRPr="007D5E61" w:rsidRDefault="009D20C2" w:rsidP="007D5E61">
            <w:pPr>
              <w:spacing w:before="0" w:after="0"/>
              <w:jc w:val="left"/>
              <w:rPr>
                <w:rFonts w:cs="Arial"/>
                <w:color w:val="000000"/>
                <w:sz w:val="20"/>
                <w:szCs w:val="22"/>
                <w:lang w:eastAsia="en-AU"/>
              </w:rPr>
            </w:pPr>
            <w:r w:rsidRPr="007D5E61">
              <w:rPr>
                <w:rFonts w:cs="Arial"/>
                <w:color w:val="000000"/>
                <w:sz w:val="20"/>
                <w:szCs w:val="22"/>
                <w:lang w:eastAsia="en-AU"/>
              </w:rPr>
              <w:t>RA3</w:t>
            </w:r>
          </w:p>
        </w:tc>
        <w:tc>
          <w:tcPr>
            <w:tcW w:w="920" w:type="pct"/>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57</w:t>
            </w:r>
          </w:p>
        </w:tc>
        <w:tc>
          <w:tcPr>
            <w:tcW w:w="911" w:type="pct"/>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19</w:t>
            </w:r>
          </w:p>
        </w:tc>
        <w:tc>
          <w:tcPr>
            <w:tcW w:w="890" w:type="pct"/>
            <w:noWrap/>
            <w:hideMark/>
          </w:tcPr>
          <w:p w:rsidR="009D20C2" w:rsidRPr="007D5E61" w:rsidRDefault="009D20C2" w:rsidP="00577982">
            <w:pPr>
              <w:spacing w:before="0" w:after="0"/>
              <w:jc w:val="center"/>
              <w:rPr>
                <w:rFonts w:cs="Arial"/>
                <w:color w:val="000000"/>
                <w:sz w:val="20"/>
                <w:szCs w:val="22"/>
                <w:lang w:eastAsia="en-AU"/>
              </w:rPr>
            </w:pPr>
            <w:r w:rsidRPr="00565A78">
              <w:rPr>
                <w:color w:val="auto"/>
                <w:sz w:val="20"/>
                <w:szCs w:val="20"/>
                <w:lang w:eastAsia="en-AU"/>
              </w:rPr>
              <w:t>np</w:t>
            </w:r>
          </w:p>
        </w:tc>
        <w:tc>
          <w:tcPr>
            <w:tcW w:w="920" w:type="pct"/>
            <w:tcBorders>
              <w:right w:val="single" w:sz="4" w:space="0" w:color="auto"/>
            </w:tcBorders>
            <w:noWrap/>
            <w:hideMark/>
          </w:tcPr>
          <w:p w:rsidR="009D20C2" w:rsidRPr="007D5E61" w:rsidRDefault="009D20C2" w:rsidP="00577982">
            <w:pPr>
              <w:spacing w:before="0" w:after="0"/>
              <w:jc w:val="center"/>
              <w:rPr>
                <w:rFonts w:cs="Arial"/>
                <w:color w:val="000000"/>
                <w:sz w:val="20"/>
                <w:szCs w:val="22"/>
                <w:lang w:eastAsia="en-AU"/>
              </w:rPr>
            </w:pPr>
            <w:r w:rsidRPr="007D5E61">
              <w:rPr>
                <w:rFonts w:cs="Arial"/>
                <w:color w:val="000000"/>
                <w:sz w:val="20"/>
                <w:szCs w:val="22"/>
                <w:lang w:eastAsia="en-AU"/>
              </w:rPr>
              <w:t>78</w:t>
            </w:r>
          </w:p>
        </w:tc>
      </w:tr>
      <w:tr w:rsidR="009D20C2" w:rsidRPr="007D5E61" w:rsidTr="00191F07">
        <w:trPr>
          <w:trHeight w:val="227"/>
        </w:trPr>
        <w:tc>
          <w:tcPr>
            <w:tcW w:w="1360" w:type="pct"/>
            <w:tcBorders>
              <w:left w:val="single" w:sz="4" w:space="0" w:color="auto"/>
            </w:tcBorders>
            <w:noWrap/>
            <w:hideMark/>
          </w:tcPr>
          <w:p w:rsidR="009D20C2" w:rsidRPr="007D5E61" w:rsidRDefault="009D20C2" w:rsidP="007D5E61">
            <w:pPr>
              <w:spacing w:before="0" w:after="0"/>
              <w:jc w:val="left"/>
              <w:rPr>
                <w:rFonts w:cs="Arial"/>
                <w:color w:val="000000"/>
                <w:sz w:val="20"/>
                <w:szCs w:val="22"/>
                <w:lang w:eastAsia="en-AU"/>
              </w:rPr>
            </w:pPr>
            <w:r w:rsidRPr="007D5E61">
              <w:rPr>
                <w:rFonts w:cs="Arial"/>
                <w:color w:val="000000"/>
                <w:sz w:val="20"/>
                <w:szCs w:val="22"/>
                <w:lang w:eastAsia="en-AU"/>
              </w:rPr>
              <w:t>RA4</w:t>
            </w:r>
          </w:p>
        </w:tc>
        <w:tc>
          <w:tcPr>
            <w:tcW w:w="920" w:type="pct"/>
            <w:noWrap/>
            <w:hideMark/>
          </w:tcPr>
          <w:p w:rsidR="009D20C2" w:rsidRPr="007D5E61" w:rsidRDefault="009D20C2" w:rsidP="00577982">
            <w:pPr>
              <w:spacing w:before="0" w:after="0"/>
              <w:jc w:val="center"/>
              <w:rPr>
                <w:rFonts w:cs="Arial"/>
                <w:color w:val="000000"/>
                <w:sz w:val="20"/>
                <w:szCs w:val="22"/>
                <w:lang w:eastAsia="en-AU"/>
              </w:rPr>
            </w:pPr>
            <w:r w:rsidRPr="00D33A10">
              <w:rPr>
                <w:color w:val="auto"/>
                <w:sz w:val="20"/>
                <w:szCs w:val="20"/>
                <w:lang w:eastAsia="en-AU"/>
              </w:rPr>
              <w:t>np</w:t>
            </w:r>
          </w:p>
        </w:tc>
        <w:tc>
          <w:tcPr>
            <w:tcW w:w="911" w:type="pct"/>
            <w:noWrap/>
            <w:hideMark/>
          </w:tcPr>
          <w:p w:rsidR="009D20C2" w:rsidRPr="007D5E61" w:rsidRDefault="009D20C2" w:rsidP="00577982">
            <w:pPr>
              <w:spacing w:before="0" w:after="0"/>
              <w:jc w:val="center"/>
              <w:rPr>
                <w:rFonts w:cs="Arial"/>
                <w:color w:val="000000"/>
                <w:sz w:val="20"/>
                <w:szCs w:val="22"/>
                <w:lang w:eastAsia="en-AU"/>
              </w:rPr>
            </w:pPr>
          </w:p>
        </w:tc>
        <w:tc>
          <w:tcPr>
            <w:tcW w:w="890" w:type="pct"/>
            <w:noWrap/>
            <w:hideMark/>
          </w:tcPr>
          <w:p w:rsidR="009D20C2" w:rsidRPr="007D5E61" w:rsidRDefault="009D20C2" w:rsidP="00577982">
            <w:pPr>
              <w:spacing w:before="0" w:after="0"/>
              <w:jc w:val="center"/>
              <w:rPr>
                <w:rFonts w:cs="Arial"/>
                <w:color w:val="000000"/>
                <w:sz w:val="20"/>
                <w:szCs w:val="22"/>
                <w:lang w:eastAsia="en-AU"/>
              </w:rPr>
            </w:pPr>
          </w:p>
        </w:tc>
        <w:tc>
          <w:tcPr>
            <w:tcW w:w="920" w:type="pct"/>
            <w:tcBorders>
              <w:right w:val="single" w:sz="4" w:space="0" w:color="auto"/>
            </w:tcBorders>
            <w:noWrap/>
            <w:hideMark/>
          </w:tcPr>
          <w:p w:rsidR="009D20C2" w:rsidRPr="007D5E61" w:rsidRDefault="009D20C2" w:rsidP="00577982">
            <w:pPr>
              <w:spacing w:before="0" w:after="0"/>
              <w:jc w:val="center"/>
              <w:rPr>
                <w:rFonts w:cs="Arial"/>
                <w:color w:val="000000"/>
                <w:sz w:val="20"/>
                <w:szCs w:val="22"/>
                <w:lang w:eastAsia="en-AU"/>
              </w:rPr>
            </w:pPr>
            <w:r w:rsidRPr="00A72F2F">
              <w:rPr>
                <w:color w:val="auto"/>
                <w:sz w:val="20"/>
                <w:szCs w:val="20"/>
                <w:lang w:eastAsia="en-AU"/>
              </w:rPr>
              <w:t>np</w:t>
            </w:r>
          </w:p>
        </w:tc>
      </w:tr>
      <w:tr w:rsidR="009D20C2" w:rsidRPr="007D5E61" w:rsidTr="00191F07">
        <w:trPr>
          <w:cnfStyle w:val="000000100000" w:firstRow="0" w:lastRow="0" w:firstColumn="0" w:lastColumn="0" w:oddVBand="0" w:evenVBand="0" w:oddHBand="1" w:evenHBand="0" w:firstRowFirstColumn="0" w:firstRowLastColumn="0" w:lastRowFirstColumn="0" w:lastRowLastColumn="0"/>
          <w:trHeight w:val="227"/>
        </w:trPr>
        <w:tc>
          <w:tcPr>
            <w:tcW w:w="1360" w:type="pct"/>
            <w:tcBorders>
              <w:left w:val="single" w:sz="4" w:space="0" w:color="auto"/>
            </w:tcBorders>
            <w:noWrap/>
            <w:hideMark/>
          </w:tcPr>
          <w:p w:rsidR="009D20C2" w:rsidRPr="007D5E61" w:rsidRDefault="009D20C2" w:rsidP="007D5E61">
            <w:pPr>
              <w:spacing w:before="0" w:after="0"/>
              <w:jc w:val="left"/>
              <w:rPr>
                <w:rFonts w:cs="Arial"/>
                <w:color w:val="000000"/>
                <w:sz w:val="20"/>
                <w:szCs w:val="22"/>
                <w:lang w:eastAsia="en-AU"/>
              </w:rPr>
            </w:pPr>
            <w:r w:rsidRPr="007D5E61">
              <w:rPr>
                <w:rFonts w:cs="Arial"/>
                <w:color w:val="000000"/>
                <w:sz w:val="20"/>
                <w:szCs w:val="22"/>
                <w:lang w:eastAsia="en-AU"/>
              </w:rPr>
              <w:t>RA5</w:t>
            </w:r>
          </w:p>
        </w:tc>
        <w:tc>
          <w:tcPr>
            <w:tcW w:w="920" w:type="pct"/>
            <w:noWrap/>
            <w:hideMark/>
          </w:tcPr>
          <w:p w:rsidR="009D20C2" w:rsidRPr="007D5E61" w:rsidRDefault="009D20C2" w:rsidP="00577982">
            <w:pPr>
              <w:spacing w:before="0" w:after="0"/>
              <w:jc w:val="center"/>
              <w:rPr>
                <w:rFonts w:cs="Arial"/>
                <w:color w:val="000000"/>
                <w:sz w:val="20"/>
                <w:szCs w:val="22"/>
                <w:lang w:eastAsia="en-AU"/>
              </w:rPr>
            </w:pPr>
            <w:r w:rsidRPr="00D33A10">
              <w:rPr>
                <w:color w:val="auto"/>
                <w:sz w:val="20"/>
                <w:szCs w:val="20"/>
                <w:lang w:eastAsia="en-AU"/>
              </w:rPr>
              <w:t>np</w:t>
            </w:r>
          </w:p>
        </w:tc>
        <w:tc>
          <w:tcPr>
            <w:tcW w:w="911" w:type="pct"/>
            <w:noWrap/>
            <w:hideMark/>
          </w:tcPr>
          <w:p w:rsidR="009D20C2" w:rsidRPr="007D5E61" w:rsidRDefault="009D20C2" w:rsidP="00577982">
            <w:pPr>
              <w:spacing w:before="0" w:after="0"/>
              <w:jc w:val="center"/>
              <w:rPr>
                <w:rFonts w:cs="Arial"/>
                <w:color w:val="000000"/>
                <w:sz w:val="20"/>
                <w:szCs w:val="22"/>
                <w:lang w:eastAsia="en-AU"/>
              </w:rPr>
            </w:pPr>
          </w:p>
        </w:tc>
        <w:tc>
          <w:tcPr>
            <w:tcW w:w="890" w:type="pct"/>
            <w:noWrap/>
            <w:hideMark/>
          </w:tcPr>
          <w:p w:rsidR="009D20C2" w:rsidRPr="007D5E61" w:rsidRDefault="009D20C2" w:rsidP="00577982">
            <w:pPr>
              <w:spacing w:before="0" w:after="0"/>
              <w:jc w:val="center"/>
              <w:rPr>
                <w:rFonts w:cs="Arial"/>
                <w:color w:val="000000"/>
                <w:sz w:val="20"/>
                <w:szCs w:val="22"/>
                <w:lang w:eastAsia="en-AU"/>
              </w:rPr>
            </w:pPr>
          </w:p>
        </w:tc>
        <w:tc>
          <w:tcPr>
            <w:tcW w:w="920" w:type="pct"/>
            <w:tcBorders>
              <w:right w:val="single" w:sz="4" w:space="0" w:color="auto"/>
            </w:tcBorders>
            <w:noWrap/>
            <w:hideMark/>
          </w:tcPr>
          <w:p w:rsidR="009D20C2" w:rsidRPr="007D5E61" w:rsidRDefault="009D20C2" w:rsidP="00577982">
            <w:pPr>
              <w:spacing w:before="0" w:after="0"/>
              <w:jc w:val="center"/>
              <w:rPr>
                <w:rFonts w:cs="Arial"/>
                <w:color w:val="000000"/>
                <w:sz w:val="20"/>
                <w:szCs w:val="22"/>
                <w:lang w:eastAsia="en-AU"/>
              </w:rPr>
            </w:pPr>
            <w:r w:rsidRPr="00A72F2F">
              <w:rPr>
                <w:color w:val="auto"/>
                <w:sz w:val="20"/>
                <w:szCs w:val="20"/>
                <w:lang w:eastAsia="en-AU"/>
              </w:rPr>
              <w:t>np</w:t>
            </w:r>
          </w:p>
        </w:tc>
      </w:tr>
      <w:tr w:rsidR="004D2B57" w:rsidRPr="007D5E61" w:rsidTr="00191F07">
        <w:trPr>
          <w:trHeight w:val="227"/>
        </w:trPr>
        <w:tc>
          <w:tcPr>
            <w:tcW w:w="1360" w:type="pct"/>
            <w:tcBorders>
              <w:left w:val="single" w:sz="4" w:space="0" w:color="auto"/>
            </w:tcBorders>
            <w:noWrap/>
            <w:hideMark/>
          </w:tcPr>
          <w:p w:rsidR="007D5E61" w:rsidRPr="007D5E61" w:rsidRDefault="007D5E61" w:rsidP="007D5E61">
            <w:pPr>
              <w:spacing w:before="0" w:after="0"/>
              <w:jc w:val="left"/>
              <w:rPr>
                <w:rFonts w:cs="Arial"/>
                <w:color w:val="000000"/>
                <w:sz w:val="20"/>
                <w:szCs w:val="22"/>
                <w:lang w:eastAsia="en-AU"/>
              </w:rPr>
            </w:pPr>
            <w:r w:rsidRPr="007D5E61">
              <w:rPr>
                <w:rFonts w:cs="Arial"/>
                <w:color w:val="000000"/>
                <w:sz w:val="20"/>
                <w:szCs w:val="22"/>
                <w:lang w:eastAsia="en-AU"/>
              </w:rPr>
              <w:t>Unknown</w:t>
            </w:r>
          </w:p>
        </w:tc>
        <w:tc>
          <w:tcPr>
            <w:tcW w:w="920" w:type="pct"/>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209</w:t>
            </w:r>
          </w:p>
        </w:tc>
        <w:tc>
          <w:tcPr>
            <w:tcW w:w="911" w:type="pct"/>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127</w:t>
            </w:r>
          </w:p>
        </w:tc>
        <w:tc>
          <w:tcPr>
            <w:tcW w:w="890" w:type="pct"/>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20</w:t>
            </w:r>
          </w:p>
        </w:tc>
        <w:tc>
          <w:tcPr>
            <w:tcW w:w="920" w:type="pct"/>
            <w:tcBorders>
              <w:right w:val="single" w:sz="4" w:space="0" w:color="auto"/>
            </w:tcBorders>
            <w:noWrap/>
            <w:hideMark/>
          </w:tcPr>
          <w:p w:rsidR="007D5E61" w:rsidRPr="007D5E61" w:rsidRDefault="007D5E61" w:rsidP="00577982">
            <w:pPr>
              <w:spacing w:before="0" w:after="0"/>
              <w:jc w:val="center"/>
              <w:rPr>
                <w:rFonts w:cs="Arial"/>
                <w:color w:val="000000"/>
                <w:sz w:val="20"/>
                <w:szCs w:val="22"/>
                <w:lang w:eastAsia="en-AU"/>
              </w:rPr>
            </w:pPr>
            <w:r w:rsidRPr="007D5E61">
              <w:rPr>
                <w:rFonts w:cs="Arial"/>
                <w:color w:val="000000"/>
                <w:sz w:val="20"/>
                <w:szCs w:val="22"/>
                <w:lang w:eastAsia="en-AU"/>
              </w:rPr>
              <w:t>356</w:t>
            </w:r>
          </w:p>
        </w:tc>
      </w:tr>
      <w:tr w:rsidR="004D2B57" w:rsidRPr="007D5E61" w:rsidTr="00191F07">
        <w:trPr>
          <w:cnfStyle w:val="000000100000" w:firstRow="0" w:lastRow="0" w:firstColumn="0" w:lastColumn="0" w:oddVBand="0" w:evenVBand="0" w:oddHBand="1" w:evenHBand="0" w:firstRowFirstColumn="0" w:firstRowLastColumn="0" w:lastRowFirstColumn="0" w:lastRowLastColumn="0"/>
          <w:trHeight w:val="227"/>
        </w:trPr>
        <w:tc>
          <w:tcPr>
            <w:tcW w:w="1360" w:type="pct"/>
            <w:tcBorders>
              <w:left w:val="single" w:sz="4" w:space="0" w:color="auto"/>
              <w:bottom w:val="single" w:sz="4" w:space="0" w:color="auto"/>
            </w:tcBorders>
            <w:noWrap/>
            <w:hideMark/>
          </w:tcPr>
          <w:p w:rsidR="007D5E61" w:rsidRPr="007D5E61" w:rsidRDefault="007D5E61" w:rsidP="007D5E61">
            <w:pPr>
              <w:spacing w:before="0" w:after="0"/>
              <w:jc w:val="left"/>
              <w:rPr>
                <w:rFonts w:cs="Arial"/>
                <w:b/>
                <w:bCs/>
                <w:color w:val="000000"/>
                <w:sz w:val="20"/>
                <w:szCs w:val="22"/>
                <w:lang w:eastAsia="en-AU"/>
              </w:rPr>
            </w:pPr>
            <w:r w:rsidRPr="007D5E61">
              <w:rPr>
                <w:rFonts w:cs="Arial"/>
                <w:b/>
                <w:bCs/>
                <w:color w:val="000000"/>
                <w:sz w:val="20"/>
                <w:szCs w:val="22"/>
                <w:lang w:eastAsia="en-AU"/>
              </w:rPr>
              <w:t>Total</w:t>
            </w:r>
          </w:p>
        </w:tc>
        <w:tc>
          <w:tcPr>
            <w:tcW w:w="920" w:type="pct"/>
            <w:tcBorders>
              <w:bottom w:val="single" w:sz="4" w:space="0" w:color="auto"/>
            </w:tcBorders>
            <w:noWrap/>
            <w:hideMark/>
          </w:tcPr>
          <w:p w:rsidR="007D5E61" w:rsidRPr="007D5E61" w:rsidRDefault="007D5E61" w:rsidP="00577982">
            <w:pPr>
              <w:spacing w:before="0" w:after="0"/>
              <w:jc w:val="center"/>
              <w:rPr>
                <w:rFonts w:cs="Arial"/>
                <w:b/>
                <w:bCs/>
                <w:color w:val="000000"/>
                <w:sz w:val="20"/>
                <w:szCs w:val="22"/>
                <w:lang w:eastAsia="en-AU"/>
              </w:rPr>
            </w:pPr>
            <w:r w:rsidRPr="007D5E61">
              <w:rPr>
                <w:rFonts w:cs="Arial"/>
                <w:b/>
                <w:bCs/>
                <w:color w:val="000000"/>
                <w:sz w:val="20"/>
                <w:szCs w:val="22"/>
                <w:lang w:eastAsia="en-AU"/>
              </w:rPr>
              <w:t>1,257</w:t>
            </w:r>
          </w:p>
        </w:tc>
        <w:tc>
          <w:tcPr>
            <w:tcW w:w="911" w:type="pct"/>
            <w:tcBorders>
              <w:bottom w:val="single" w:sz="4" w:space="0" w:color="auto"/>
            </w:tcBorders>
            <w:noWrap/>
            <w:hideMark/>
          </w:tcPr>
          <w:p w:rsidR="007D5E61" w:rsidRPr="007D5E61" w:rsidRDefault="007D5E61" w:rsidP="00577982">
            <w:pPr>
              <w:spacing w:before="0" w:after="0"/>
              <w:jc w:val="center"/>
              <w:rPr>
                <w:rFonts w:cs="Arial"/>
                <w:b/>
                <w:bCs/>
                <w:color w:val="000000"/>
                <w:sz w:val="20"/>
                <w:szCs w:val="22"/>
                <w:lang w:eastAsia="en-AU"/>
              </w:rPr>
            </w:pPr>
            <w:r w:rsidRPr="007D5E61">
              <w:rPr>
                <w:rFonts w:cs="Arial"/>
                <w:b/>
                <w:bCs/>
                <w:color w:val="000000"/>
                <w:sz w:val="20"/>
                <w:szCs w:val="22"/>
                <w:lang w:eastAsia="en-AU"/>
              </w:rPr>
              <w:t>615</w:t>
            </w:r>
          </w:p>
        </w:tc>
        <w:tc>
          <w:tcPr>
            <w:tcW w:w="890" w:type="pct"/>
            <w:tcBorders>
              <w:bottom w:val="single" w:sz="4" w:space="0" w:color="auto"/>
            </w:tcBorders>
            <w:noWrap/>
            <w:hideMark/>
          </w:tcPr>
          <w:p w:rsidR="007D5E61" w:rsidRPr="007D5E61" w:rsidRDefault="007D5E61" w:rsidP="00577982">
            <w:pPr>
              <w:spacing w:before="0" w:after="0"/>
              <w:jc w:val="center"/>
              <w:rPr>
                <w:rFonts w:cs="Arial"/>
                <w:b/>
                <w:bCs/>
                <w:color w:val="000000"/>
                <w:sz w:val="20"/>
                <w:szCs w:val="22"/>
                <w:lang w:eastAsia="en-AU"/>
              </w:rPr>
            </w:pPr>
            <w:r w:rsidRPr="007D5E61">
              <w:rPr>
                <w:rFonts w:cs="Arial"/>
                <w:b/>
                <w:bCs/>
                <w:color w:val="000000"/>
                <w:sz w:val="20"/>
                <w:szCs w:val="22"/>
                <w:lang w:eastAsia="en-AU"/>
              </w:rPr>
              <w:t>194</w:t>
            </w:r>
          </w:p>
        </w:tc>
        <w:tc>
          <w:tcPr>
            <w:tcW w:w="920" w:type="pct"/>
            <w:tcBorders>
              <w:bottom w:val="single" w:sz="4" w:space="0" w:color="auto"/>
              <w:right w:val="single" w:sz="4" w:space="0" w:color="auto"/>
            </w:tcBorders>
            <w:noWrap/>
            <w:hideMark/>
          </w:tcPr>
          <w:p w:rsidR="007D5E61" w:rsidRPr="007D5E61" w:rsidRDefault="007D5E61" w:rsidP="00577982">
            <w:pPr>
              <w:spacing w:before="0" w:after="0"/>
              <w:jc w:val="center"/>
              <w:rPr>
                <w:rFonts w:cs="Arial"/>
                <w:b/>
                <w:bCs/>
                <w:color w:val="000000"/>
                <w:sz w:val="20"/>
                <w:szCs w:val="22"/>
                <w:lang w:eastAsia="en-AU"/>
              </w:rPr>
            </w:pPr>
            <w:r w:rsidRPr="007D5E61">
              <w:rPr>
                <w:rFonts w:cs="Arial"/>
                <w:b/>
                <w:bCs/>
                <w:color w:val="000000"/>
                <w:sz w:val="20"/>
                <w:szCs w:val="22"/>
                <w:lang w:eastAsia="en-AU"/>
              </w:rPr>
              <w:t>2,066</w:t>
            </w:r>
          </w:p>
        </w:tc>
      </w:tr>
    </w:tbl>
    <w:p w:rsidR="00214A3A" w:rsidRPr="009D20C2" w:rsidRDefault="00214A3A" w:rsidP="00214A3A">
      <w:pPr>
        <w:spacing w:before="0"/>
        <w:jc w:val="left"/>
        <w:rPr>
          <w:i/>
          <w:color w:val="4F81BD" w:themeColor="accent1"/>
          <w:sz w:val="16"/>
        </w:rPr>
      </w:pPr>
      <w:r w:rsidRPr="009D20C2">
        <w:rPr>
          <w:i/>
          <w:color w:val="4F81BD" w:themeColor="accent1"/>
          <w:sz w:val="16"/>
        </w:rPr>
        <w:t>Source: RANZCOG practice profile</w:t>
      </w:r>
      <w:r w:rsidR="00E9573E" w:rsidRPr="009D20C2">
        <w:rPr>
          <w:i/>
          <w:color w:val="4F81BD" w:themeColor="accent1"/>
          <w:sz w:val="16"/>
        </w:rPr>
        <w:t xml:space="preserve"> survey</w:t>
      </w:r>
      <w:r w:rsidRPr="009D20C2">
        <w:rPr>
          <w:i/>
          <w:color w:val="4F81BD" w:themeColor="accent1"/>
          <w:sz w:val="16"/>
        </w:rPr>
        <w:t>, 2016</w:t>
      </w:r>
    </w:p>
    <w:p w:rsidR="00741345" w:rsidRPr="00992C70" w:rsidRDefault="00741345" w:rsidP="00544360">
      <w:pPr>
        <w:pStyle w:val="Heading2"/>
        <w:spacing w:before="0" w:after="0"/>
        <w:rPr>
          <w:lang w:eastAsia="en-AU"/>
        </w:rPr>
      </w:pPr>
      <w:bookmarkStart w:id="70" w:name="_Toc521510447"/>
      <w:r w:rsidRPr="00992C70">
        <w:t>Current trainee</w:t>
      </w:r>
      <w:r w:rsidR="00692C47">
        <w:t>s</w:t>
      </w:r>
      <w:bookmarkEnd w:id="70"/>
    </w:p>
    <w:p w:rsidR="00741345" w:rsidRPr="00577982" w:rsidRDefault="00741345" w:rsidP="00B86366">
      <w:pPr>
        <w:pStyle w:val="Heading3"/>
      </w:pPr>
      <w:r w:rsidRPr="00577982">
        <w:t>Fellowship program</w:t>
      </w:r>
    </w:p>
    <w:p w:rsidR="002B1B6E" w:rsidRDefault="002B1B6E" w:rsidP="00BA23C0">
      <w:r w:rsidRPr="002A51B3">
        <w:t xml:space="preserve">The </w:t>
      </w:r>
      <w:r w:rsidR="0044172D">
        <w:t>Royal Australian and New Zealand College of Obstetricians and Gynaecologists (</w:t>
      </w:r>
      <w:r w:rsidRPr="002A51B3">
        <w:t>RANZCOG</w:t>
      </w:r>
      <w:r w:rsidR="0044172D">
        <w:t>)</w:t>
      </w:r>
      <w:r w:rsidRPr="002A51B3">
        <w:t xml:space="preserve"> </w:t>
      </w:r>
      <w:proofErr w:type="gramStart"/>
      <w:r w:rsidRPr="002A51B3">
        <w:t>was</w:t>
      </w:r>
      <w:proofErr w:type="gramEnd"/>
      <w:r w:rsidRPr="002A51B3">
        <w:t xml:space="preserve"> formed </w:t>
      </w:r>
      <w:r w:rsidR="002A51B3" w:rsidRPr="002A51B3">
        <w:t>in</w:t>
      </w:r>
      <w:r w:rsidRPr="002A51B3">
        <w:t xml:space="preserve"> 1998 with the amalgamation of the two former Colleges, The Royal Australian College of Obstetricians and Gynaecologists (RACOG) and The Royal New Zealand College of Obstetricians and Gynaecologists (RNZCOG).</w:t>
      </w:r>
      <w:r w:rsidR="004327BA">
        <w:t xml:space="preserve"> </w:t>
      </w:r>
      <w:r w:rsidR="004327BA" w:rsidRPr="009D4173">
        <w:t>Fellowship of the RANZCOG is the only post-graduate qualification which leads to recognition as a specialist obstetrician/gynaecologist in Australia or New Zealand.</w:t>
      </w:r>
    </w:p>
    <w:p w:rsidR="00706642" w:rsidRPr="00706642" w:rsidRDefault="002B1B6E" w:rsidP="00706642">
      <w:r w:rsidRPr="00706642">
        <w:t>T</w:t>
      </w:r>
      <w:r w:rsidR="00413A3F" w:rsidRPr="00706642">
        <w:t>o be eligible to apply for specialist O&amp;G training through RANZCOG, applicants must possess an approved Australian or New Zealand primary medical degree, or have the Australian Medical Council certificate. Medical practitioners must also have general registration with the Medical Board of Australia.</w:t>
      </w:r>
      <w:r w:rsidR="00687041">
        <w:t xml:space="preserve"> Prospective subspecialty</w:t>
      </w:r>
      <w:r w:rsidR="00706642" w:rsidRPr="00706642">
        <w:t xml:space="preserve"> trainees must apply through the annual National Selection Process for eligibility to enter the individual subspecialty training program</w:t>
      </w:r>
      <w:r w:rsidR="00D31C36">
        <w:t>.</w:t>
      </w:r>
    </w:p>
    <w:p w:rsidR="002B1B6E" w:rsidRDefault="002B1B6E" w:rsidP="002B1B6E">
      <w:r w:rsidRPr="00771CA4">
        <w:t>In 2014, the College introduced a revised curriculum to guide the training and practice of obstetricians and gynaecologists. This curriculum applies to all trainees; however, trainees who commenced the program prior to 1 December 2013 are governed by a different set of regulations.</w:t>
      </w:r>
    </w:p>
    <w:p w:rsidR="00BC0AD1" w:rsidRDefault="002B1B6E" w:rsidP="00236742">
      <w:pPr>
        <w:spacing w:before="0" w:after="0"/>
      </w:pPr>
      <w:r w:rsidRPr="009D4173">
        <w:t xml:space="preserve">The </w:t>
      </w:r>
      <w:r w:rsidR="00BC0AD1" w:rsidRPr="009D4173">
        <w:t xml:space="preserve">RANZCOG </w:t>
      </w:r>
      <w:r>
        <w:t xml:space="preserve">Training Program </w:t>
      </w:r>
      <w:r w:rsidR="00BC0AD1">
        <w:t>comprises:</w:t>
      </w:r>
    </w:p>
    <w:p w:rsidR="00BC0AD1" w:rsidRPr="00BC0AD1" w:rsidRDefault="00682EE7" w:rsidP="006D55AE">
      <w:pPr>
        <w:pStyle w:val="ListParagraph"/>
        <w:numPr>
          <w:ilvl w:val="0"/>
          <w:numId w:val="24"/>
        </w:numPr>
        <w:spacing w:before="0" w:after="0"/>
        <w:ind w:left="357" w:hanging="357"/>
      </w:pPr>
      <w:r>
        <w:t>Core Training Program (four</w:t>
      </w:r>
      <w:r w:rsidR="00BC0AD1" w:rsidRPr="00BC0AD1">
        <w:t xml:space="preserve"> years/184</w:t>
      </w:r>
      <w:r w:rsidR="00B741C7">
        <w:t xml:space="preserve"> </w:t>
      </w:r>
      <w:r w:rsidR="00BC0AD1" w:rsidRPr="00BC0AD1">
        <w:t xml:space="preserve">weeks) </w:t>
      </w:r>
    </w:p>
    <w:p w:rsidR="00BC0AD1" w:rsidRDefault="00BC0AD1" w:rsidP="00D17D24">
      <w:pPr>
        <w:pStyle w:val="ListParagraph"/>
        <w:numPr>
          <w:ilvl w:val="1"/>
          <w:numId w:val="11"/>
        </w:numPr>
        <w:ind w:left="709" w:hanging="283"/>
      </w:pPr>
      <w:r w:rsidRPr="00BC0AD1">
        <w:t>Rotation through a number of different hospitals, with at least 46 weeks (12 months) in a tertiary hospital, 46 weeks (12 months) in a hospital other than the ho</w:t>
      </w:r>
      <w:r w:rsidR="00682EE7">
        <w:t>me base hospital and 23 weeks (six</w:t>
      </w:r>
      <w:r w:rsidRPr="00BC0AD1">
        <w:t xml:space="preserve"> months) in a rural hospital; </w:t>
      </w:r>
    </w:p>
    <w:p w:rsidR="00BC0AD1" w:rsidRPr="00BC0AD1" w:rsidRDefault="00BC0AD1" w:rsidP="00D17D24">
      <w:pPr>
        <w:pStyle w:val="ListParagraph"/>
        <w:numPr>
          <w:ilvl w:val="1"/>
          <w:numId w:val="11"/>
        </w:numPr>
        <w:ind w:left="709" w:hanging="283"/>
      </w:pPr>
      <w:r w:rsidRPr="00BC0AD1">
        <w:t xml:space="preserve">Experience in gynaecological oncology sufficient to gain a working knowledge of the anatomy of the pelvic sidewall, particularly in regard to the ureter and major blood vessels; </w:t>
      </w:r>
    </w:p>
    <w:p w:rsidR="00BC0AD1" w:rsidRDefault="00BC0AD1" w:rsidP="00D17D24">
      <w:pPr>
        <w:pStyle w:val="ListParagraph"/>
        <w:numPr>
          <w:ilvl w:val="1"/>
          <w:numId w:val="11"/>
        </w:numPr>
        <w:ind w:left="709" w:hanging="283"/>
      </w:pPr>
      <w:r>
        <w:t xml:space="preserve">Workshops (Basic Surgical Skills, </w:t>
      </w:r>
      <w:r w:rsidRPr="009D4173">
        <w:t>Fetal Surveillance</w:t>
      </w:r>
      <w:r>
        <w:t xml:space="preserve">, </w:t>
      </w:r>
      <w:r w:rsidRPr="009D4173">
        <w:t>Communication Skills</w:t>
      </w:r>
      <w:r w:rsidR="00216CB4">
        <w:t>);</w:t>
      </w:r>
    </w:p>
    <w:p w:rsidR="00BC0AD1" w:rsidRDefault="00BC0AD1" w:rsidP="00D17D24">
      <w:pPr>
        <w:pStyle w:val="ListParagraph"/>
        <w:numPr>
          <w:ilvl w:val="1"/>
          <w:numId w:val="11"/>
        </w:numPr>
        <w:ind w:left="709" w:hanging="283"/>
      </w:pPr>
      <w:r w:rsidRPr="009D4173">
        <w:t xml:space="preserve">Neonatal Resuscitation training; </w:t>
      </w:r>
    </w:p>
    <w:p w:rsidR="00BC0AD1" w:rsidRPr="00BC0AD1" w:rsidRDefault="00BC0AD1" w:rsidP="00D17D24">
      <w:pPr>
        <w:pStyle w:val="ListParagraph"/>
        <w:numPr>
          <w:ilvl w:val="1"/>
          <w:numId w:val="11"/>
        </w:numPr>
        <w:ind w:left="709" w:hanging="283"/>
      </w:pPr>
      <w:r w:rsidRPr="00BC0AD1">
        <w:t>Formative Appraisals, Summative Assessments, In-hospital Clinical Assessments, Procedural and Surgical Skills</w:t>
      </w:r>
      <w:r>
        <w:t xml:space="preserve"> assessment</w:t>
      </w:r>
      <w:r w:rsidR="00216CB4">
        <w:t>;</w:t>
      </w:r>
    </w:p>
    <w:p w:rsidR="00BC0AD1" w:rsidRDefault="00BC0AD1" w:rsidP="00D17D24">
      <w:pPr>
        <w:pStyle w:val="ListParagraph"/>
        <w:numPr>
          <w:ilvl w:val="1"/>
          <w:numId w:val="11"/>
        </w:numPr>
        <w:ind w:left="709" w:hanging="283"/>
      </w:pPr>
      <w:r w:rsidRPr="009D4173">
        <w:t xml:space="preserve">Research Project; </w:t>
      </w:r>
    </w:p>
    <w:p w:rsidR="00BC0AD1" w:rsidRDefault="00BC0AD1" w:rsidP="006D55AE">
      <w:pPr>
        <w:pStyle w:val="ListParagraph"/>
        <w:numPr>
          <w:ilvl w:val="1"/>
          <w:numId w:val="11"/>
        </w:numPr>
        <w:spacing w:before="0" w:after="0"/>
        <w:ind w:left="709" w:hanging="284"/>
      </w:pPr>
      <w:r w:rsidRPr="00BC0AD1">
        <w:lastRenderedPageBreak/>
        <w:t>Written Examination and Oral Examination.</w:t>
      </w:r>
    </w:p>
    <w:p w:rsidR="00BC0AD1" w:rsidRPr="00BC0AD1" w:rsidRDefault="00BC0AD1" w:rsidP="006D55AE">
      <w:pPr>
        <w:pStyle w:val="ListParagraph"/>
        <w:numPr>
          <w:ilvl w:val="2"/>
          <w:numId w:val="11"/>
        </w:numPr>
        <w:spacing w:before="0" w:after="0"/>
        <w:ind w:left="993" w:hanging="284"/>
      </w:pPr>
      <w:r>
        <w:t xml:space="preserve">Successful completion culminates in </w:t>
      </w:r>
      <w:r w:rsidR="002B1B6E" w:rsidRPr="00BC0AD1">
        <w:t>Membership of RANZCOG</w:t>
      </w:r>
      <w:r w:rsidR="00216CB4">
        <w:t>.</w:t>
      </w:r>
    </w:p>
    <w:p w:rsidR="00BC0AD1" w:rsidRDefault="002B1B6E" w:rsidP="00D17D24">
      <w:pPr>
        <w:pStyle w:val="ListParagraph"/>
        <w:numPr>
          <w:ilvl w:val="0"/>
          <w:numId w:val="25"/>
        </w:numPr>
      </w:pPr>
      <w:r w:rsidRPr="00BC0AD1">
        <w:t>Advanced Training Program (</w:t>
      </w:r>
      <w:r w:rsidR="00682EE7">
        <w:t>two</w:t>
      </w:r>
      <w:r w:rsidR="00BC0AD1">
        <w:t xml:space="preserve"> year/9</w:t>
      </w:r>
      <w:r w:rsidR="00BC0AD1" w:rsidRPr="009D4173">
        <w:t>2</w:t>
      </w:r>
      <w:r w:rsidR="00216CB4">
        <w:t xml:space="preserve"> </w:t>
      </w:r>
      <w:r w:rsidR="00BC0AD1" w:rsidRPr="009D4173">
        <w:t>week</w:t>
      </w:r>
      <w:r w:rsidR="00BC0AD1">
        <w:t>s)</w:t>
      </w:r>
    </w:p>
    <w:p w:rsidR="002B1B6E" w:rsidRPr="007135C0" w:rsidRDefault="002B1B6E" w:rsidP="00D17D24">
      <w:pPr>
        <w:pStyle w:val="ListParagraph"/>
        <w:numPr>
          <w:ilvl w:val="1"/>
          <w:numId w:val="10"/>
        </w:numPr>
        <w:ind w:left="709" w:hanging="283"/>
      </w:pPr>
      <w:r w:rsidRPr="007135C0">
        <w:t>Trainees entering Advanced training are required to submit a plan</w:t>
      </w:r>
      <w:r w:rsidR="00F33348">
        <w:t>,</w:t>
      </w:r>
      <w:r w:rsidR="00F33348" w:rsidRPr="00F33348">
        <w:t xml:space="preserve"> </w:t>
      </w:r>
      <w:r w:rsidR="00F33348" w:rsidRPr="009D4173">
        <w:t>prospectively approved by the Chair of the relevant regional Training Accreditation Committee</w:t>
      </w:r>
      <w:r w:rsidR="00F33348">
        <w:t>,</w:t>
      </w:r>
      <w:r w:rsidRPr="007135C0">
        <w:t xml:space="preserve"> for the 92</w:t>
      </w:r>
      <w:r w:rsidR="00216CB4">
        <w:t xml:space="preserve"> </w:t>
      </w:r>
      <w:r w:rsidRPr="007135C0">
        <w:t>week program which is designed to meet their own educational needs e.g.:</w:t>
      </w:r>
    </w:p>
    <w:p w:rsidR="002B1B6E" w:rsidRDefault="002B1B6E" w:rsidP="00D17D24">
      <w:pPr>
        <w:pStyle w:val="ListParagraph"/>
        <w:numPr>
          <w:ilvl w:val="1"/>
          <w:numId w:val="26"/>
        </w:numPr>
      </w:pPr>
      <w:r w:rsidRPr="009D4173">
        <w:t xml:space="preserve">Extending expertise in general obstetrics and gynaecology; </w:t>
      </w:r>
    </w:p>
    <w:p w:rsidR="002B1B6E" w:rsidRDefault="002B1B6E" w:rsidP="00D17D24">
      <w:pPr>
        <w:pStyle w:val="ListParagraph"/>
        <w:numPr>
          <w:ilvl w:val="1"/>
          <w:numId w:val="26"/>
        </w:numPr>
      </w:pPr>
      <w:r w:rsidRPr="009D4173">
        <w:t xml:space="preserve">Extending expertise in gynaecological surgery; </w:t>
      </w:r>
    </w:p>
    <w:p w:rsidR="002B1B6E" w:rsidRDefault="002B1B6E" w:rsidP="00D17D24">
      <w:pPr>
        <w:pStyle w:val="ListParagraph"/>
        <w:numPr>
          <w:ilvl w:val="1"/>
          <w:numId w:val="26"/>
        </w:numPr>
      </w:pPr>
      <w:r w:rsidRPr="009D4173">
        <w:t>Developing expertise in provincial practice</w:t>
      </w:r>
      <w:r w:rsidR="0061069A">
        <w:t xml:space="preserve"> (for the purpose of training ‘provincial’ is defined as more than 50km from the home base hospital of the integrated training program (ITP)</w:t>
      </w:r>
      <w:r w:rsidRPr="009D4173">
        <w:t xml:space="preserve">; </w:t>
      </w:r>
    </w:p>
    <w:p w:rsidR="002B1B6E" w:rsidRDefault="002B1B6E" w:rsidP="00D17D24">
      <w:pPr>
        <w:pStyle w:val="ListParagraph"/>
        <w:numPr>
          <w:ilvl w:val="1"/>
          <w:numId w:val="26"/>
        </w:numPr>
      </w:pPr>
      <w:r w:rsidRPr="009D4173">
        <w:t xml:space="preserve">Developing research expertise; </w:t>
      </w:r>
    </w:p>
    <w:p w:rsidR="002B1B6E" w:rsidRDefault="002B1B6E" w:rsidP="00D17D24">
      <w:pPr>
        <w:pStyle w:val="ListParagraph"/>
        <w:numPr>
          <w:ilvl w:val="1"/>
          <w:numId w:val="26"/>
        </w:numPr>
      </w:pPr>
      <w:r w:rsidRPr="009D4173">
        <w:t>Developing expertise in an area of special interest;</w:t>
      </w:r>
    </w:p>
    <w:p w:rsidR="002B1B6E" w:rsidRDefault="002B1B6E" w:rsidP="00D17D24">
      <w:pPr>
        <w:pStyle w:val="ListParagraph"/>
        <w:numPr>
          <w:ilvl w:val="1"/>
          <w:numId w:val="26"/>
        </w:numPr>
      </w:pPr>
      <w:r w:rsidRPr="009D4173">
        <w:t xml:space="preserve">Developing expertise in practice in developing countries; </w:t>
      </w:r>
    </w:p>
    <w:p w:rsidR="002B1B6E" w:rsidRDefault="002B1B6E" w:rsidP="00D17D24">
      <w:pPr>
        <w:pStyle w:val="ListParagraph"/>
        <w:numPr>
          <w:ilvl w:val="1"/>
          <w:numId w:val="26"/>
        </w:numPr>
      </w:pPr>
      <w:r w:rsidRPr="009D4173">
        <w:t>Commencing Subspecialty training</w:t>
      </w:r>
      <w:r w:rsidR="00216CB4">
        <w:t>;</w:t>
      </w:r>
    </w:p>
    <w:p w:rsidR="002B1B6E" w:rsidRDefault="002B1B6E" w:rsidP="00D17D24">
      <w:pPr>
        <w:pStyle w:val="ListParagraph"/>
        <w:numPr>
          <w:ilvl w:val="1"/>
          <w:numId w:val="26"/>
        </w:numPr>
      </w:pPr>
      <w:r>
        <w:t>A</w:t>
      </w:r>
      <w:r w:rsidRPr="009D4173">
        <w:t>dvanced trainees are also encouraged to complete relevant Advanced Training Modules (ATMs</w:t>
      </w:r>
      <w:r w:rsidR="00216CB4" w:rsidRPr="009D4173">
        <w:t>)</w:t>
      </w:r>
      <w:r w:rsidR="00216CB4">
        <w:t>;</w:t>
      </w:r>
    </w:p>
    <w:p w:rsidR="00F33348" w:rsidRPr="009D4173" w:rsidRDefault="00F33348" w:rsidP="00D17D24">
      <w:pPr>
        <w:pStyle w:val="ListParagraph"/>
        <w:numPr>
          <w:ilvl w:val="1"/>
          <w:numId w:val="26"/>
        </w:numPr>
      </w:pPr>
      <w:r>
        <w:t>Successful completion culminates</w:t>
      </w:r>
      <w:r w:rsidRPr="009D4173">
        <w:t xml:space="preserve"> in Fellowship of RANZCOG</w:t>
      </w:r>
      <w:r w:rsidR="00216CB4">
        <w:t>.</w:t>
      </w:r>
    </w:p>
    <w:p w:rsidR="00F33348" w:rsidRDefault="00E452F1" w:rsidP="00D17D24">
      <w:pPr>
        <w:pStyle w:val="ListParagraph"/>
        <w:numPr>
          <w:ilvl w:val="0"/>
          <w:numId w:val="27"/>
        </w:numPr>
      </w:pPr>
      <w:r>
        <w:t>Subspecial</w:t>
      </w:r>
      <w:r w:rsidR="00706642">
        <w:t>ist C</w:t>
      </w:r>
      <w:r w:rsidR="00F33348">
        <w:t>ertification</w:t>
      </w:r>
      <w:r w:rsidR="00706642">
        <w:t xml:space="preserve"> T</w:t>
      </w:r>
      <w:r w:rsidR="002B1B6E" w:rsidRPr="00F33348">
        <w:t>raining</w:t>
      </w:r>
      <w:r w:rsidR="00706642">
        <w:t xml:space="preserve"> Program</w:t>
      </w:r>
      <w:r w:rsidR="002B1B6E" w:rsidRPr="00F33348">
        <w:t xml:space="preserve"> </w:t>
      </w:r>
      <w:r w:rsidR="00F33348">
        <w:t xml:space="preserve">(3 years - </w:t>
      </w:r>
      <w:r w:rsidR="002B1B6E" w:rsidRPr="00F33348">
        <w:t xml:space="preserve">can commence after being awarded Fellowship (FRANZCOG) or during </w:t>
      </w:r>
      <w:r w:rsidR="00F33348">
        <w:t>Advanced training)</w:t>
      </w:r>
      <w:r w:rsidR="00706642">
        <w:t>:</w:t>
      </w:r>
    </w:p>
    <w:p w:rsidR="00706642" w:rsidRPr="00706642" w:rsidRDefault="00706642" w:rsidP="00D17D24">
      <w:pPr>
        <w:pStyle w:val="ListParagraph"/>
        <w:numPr>
          <w:ilvl w:val="1"/>
          <w:numId w:val="11"/>
        </w:numPr>
        <w:ind w:left="709" w:hanging="283"/>
      </w:pPr>
      <w:r w:rsidRPr="00706642">
        <w:t xml:space="preserve">formative and summative assessments; </w:t>
      </w:r>
    </w:p>
    <w:p w:rsidR="00706642" w:rsidRPr="00706642" w:rsidRDefault="00706642" w:rsidP="00D17D24">
      <w:pPr>
        <w:pStyle w:val="ListParagraph"/>
        <w:numPr>
          <w:ilvl w:val="1"/>
          <w:numId w:val="11"/>
        </w:numPr>
        <w:ind w:left="709" w:hanging="283"/>
      </w:pPr>
      <w:r w:rsidRPr="00706642">
        <w:t>completion of an approved research study</w:t>
      </w:r>
      <w:r w:rsidR="00216CB4">
        <w:t>;</w:t>
      </w:r>
    </w:p>
    <w:p w:rsidR="00706642" w:rsidRPr="00706642" w:rsidRDefault="00706642" w:rsidP="00D17D24">
      <w:pPr>
        <w:pStyle w:val="ListParagraph"/>
        <w:numPr>
          <w:ilvl w:val="1"/>
          <w:numId w:val="11"/>
        </w:numPr>
        <w:ind w:left="709" w:hanging="283"/>
      </w:pPr>
      <w:r w:rsidRPr="00706642">
        <w:t>written and oral examinations</w:t>
      </w:r>
      <w:r w:rsidR="00216CB4">
        <w:t>;</w:t>
      </w:r>
    </w:p>
    <w:p w:rsidR="00706642" w:rsidRDefault="00706642" w:rsidP="00D17D24">
      <w:pPr>
        <w:pStyle w:val="ListParagraph"/>
        <w:numPr>
          <w:ilvl w:val="1"/>
          <w:numId w:val="11"/>
        </w:numPr>
        <w:ind w:left="709" w:hanging="283"/>
      </w:pPr>
      <w:r w:rsidRPr="00706642">
        <w:t>specific assessment requirements</w:t>
      </w:r>
      <w:r w:rsidR="00216CB4">
        <w:t>;</w:t>
      </w:r>
    </w:p>
    <w:p w:rsidR="002B1B6E" w:rsidRPr="00F33348" w:rsidRDefault="002B1B6E" w:rsidP="00D17D24">
      <w:pPr>
        <w:pStyle w:val="ListParagraph"/>
        <w:numPr>
          <w:ilvl w:val="1"/>
          <w:numId w:val="10"/>
        </w:numPr>
        <w:ind w:left="709" w:hanging="283"/>
      </w:pPr>
      <w:r w:rsidRPr="00F33348">
        <w:t>The Subspecialty programs are:</w:t>
      </w:r>
    </w:p>
    <w:p w:rsidR="002B1B6E" w:rsidRPr="007135C0" w:rsidRDefault="002B1B6E" w:rsidP="00D17D24">
      <w:pPr>
        <w:pStyle w:val="ListParagraph"/>
        <w:numPr>
          <w:ilvl w:val="1"/>
          <w:numId w:val="28"/>
        </w:numPr>
      </w:pPr>
      <w:r w:rsidRPr="007135C0">
        <w:t>Certification in Gynaecological Oncology</w:t>
      </w:r>
      <w:r w:rsidR="00216CB4">
        <w:t>;</w:t>
      </w:r>
    </w:p>
    <w:p w:rsidR="002B1B6E" w:rsidRPr="007135C0" w:rsidRDefault="002B1B6E" w:rsidP="00D17D24">
      <w:pPr>
        <w:pStyle w:val="ListParagraph"/>
        <w:numPr>
          <w:ilvl w:val="1"/>
          <w:numId w:val="28"/>
        </w:numPr>
      </w:pPr>
      <w:r w:rsidRPr="007135C0">
        <w:t>Certification in Obstetrical and Gynaecological Ultra</w:t>
      </w:r>
      <w:r>
        <w:t>sound</w:t>
      </w:r>
      <w:r w:rsidR="00216CB4">
        <w:t>;</w:t>
      </w:r>
    </w:p>
    <w:p w:rsidR="002B1B6E" w:rsidRPr="007135C0" w:rsidRDefault="002B1B6E" w:rsidP="00D17D24">
      <w:pPr>
        <w:pStyle w:val="ListParagraph"/>
        <w:numPr>
          <w:ilvl w:val="1"/>
          <w:numId w:val="28"/>
        </w:numPr>
      </w:pPr>
      <w:r w:rsidRPr="007135C0">
        <w:t>Certificat</w:t>
      </w:r>
      <w:r>
        <w:t>ion in Maternal-Fetal Medicine</w:t>
      </w:r>
      <w:r w:rsidR="00216CB4">
        <w:t>;</w:t>
      </w:r>
    </w:p>
    <w:p w:rsidR="002B1B6E" w:rsidRDefault="002B1B6E" w:rsidP="00D17D24">
      <w:pPr>
        <w:pStyle w:val="ListParagraph"/>
        <w:numPr>
          <w:ilvl w:val="1"/>
          <w:numId w:val="28"/>
        </w:numPr>
      </w:pPr>
      <w:r w:rsidRPr="007135C0">
        <w:t>Certification in Reproductive</w:t>
      </w:r>
      <w:r>
        <w:t xml:space="preserve"> Endocrinology and Infertility</w:t>
      </w:r>
      <w:r w:rsidR="00216CB4">
        <w:t>;</w:t>
      </w:r>
    </w:p>
    <w:p w:rsidR="002B1B6E" w:rsidRPr="007135C0" w:rsidRDefault="002B1B6E" w:rsidP="00D17D24">
      <w:pPr>
        <w:pStyle w:val="ListParagraph"/>
        <w:numPr>
          <w:ilvl w:val="1"/>
          <w:numId w:val="28"/>
        </w:numPr>
      </w:pPr>
      <w:r w:rsidRPr="007135C0">
        <w:t xml:space="preserve">Certification in </w:t>
      </w:r>
      <w:proofErr w:type="spellStart"/>
      <w:r w:rsidRPr="007135C0">
        <w:t>Urogynaecology</w:t>
      </w:r>
      <w:proofErr w:type="spellEnd"/>
      <w:r w:rsidR="00216CB4">
        <w:t>.</w:t>
      </w:r>
    </w:p>
    <w:p w:rsidR="0090140C" w:rsidRPr="00BA23C0" w:rsidRDefault="000437F1" w:rsidP="00BA23C0">
      <w:r w:rsidRPr="000437F1">
        <w:t>SIMGs who have obtained primary and/or secondary medical qualifications outside Australia and wish to practice as specialist obstetricians and gynaecologists in Australia must apply to have their qualifications assessed for comparability to an Australian or New Zealand trained specialist in obstetrics and gynaecology by RANZCOG.</w:t>
      </w:r>
      <w:r>
        <w:t xml:space="preserve"> Depending on the outcome of the assessment, </w:t>
      </w:r>
      <w:r w:rsidR="0090140C" w:rsidRPr="00BA23C0">
        <w:t>the following training/upskilling</w:t>
      </w:r>
      <w:r>
        <w:t xml:space="preserve"> may be required</w:t>
      </w:r>
      <w:r w:rsidR="0090140C" w:rsidRPr="00BA23C0">
        <w:t xml:space="preserve">: </w:t>
      </w:r>
    </w:p>
    <w:p w:rsidR="000437F1" w:rsidRDefault="000437F1" w:rsidP="00D17D24">
      <w:pPr>
        <w:pStyle w:val="ListParagraph"/>
        <w:numPr>
          <w:ilvl w:val="0"/>
          <w:numId w:val="29"/>
        </w:numPr>
      </w:pPr>
      <w:r>
        <w:t>A period of 12 months oversight</w:t>
      </w:r>
      <w:r w:rsidR="00216CB4">
        <w:t>;</w:t>
      </w:r>
    </w:p>
    <w:p w:rsidR="000437F1" w:rsidRPr="000437F1" w:rsidRDefault="000437F1" w:rsidP="00D17D24">
      <w:pPr>
        <w:pStyle w:val="ListParagraph"/>
        <w:numPr>
          <w:ilvl w:val="0"/>
          <w:numId w:val="29"/>
        </w:numPr>
      </w:pPr>
      <w:r w:rsidRPr="000437F1">
        <w:t>A minimum period of 12 months and maximum period of 24 months of prospectively approved, supervised training</w:t>
      </w:r>
      <w:r w:rsidR="00216CB4">
        <w:t>;</w:t>
      </w:r>
    </w:p>
    <w:p w:rsidR="000437F1" w:rsidRPr="000437F1" w:rsidRDefault="000437F1" w:rsidP="00D17D24">
      <w:pPr>
        <w:pStyle w:val="ListParagraph"/>
        <w:numPr>
          <w:ilvl w:val="0"/>
          <w:numId w:val="29"/>
        </w:numPr>
      </w:pPr>
      <w:r w:rsidRPr="000437F1">
        <w:t>In-hospital Clinical Asses</w:t>
      </w:r>
      <w:r>
        <w:t>sments</w:t>
      </w:r>
      <w:r w:rsidR="00216CB4">
        <w:t>;</w:t>
      </w:r>
    </w:p>
    <w:p w:rsidR="000437F1" w:rsidRPr="000437F1" w:rsidRDefault="000437F1" w:rsidP="00D17D24">
      <w:pPr>
        <w:pStyle w:val="ListParagraph"/>
        <w:numPr>
          <w:ilvl w:val="0"/>
          <w:numId w:val="29"/>
        </w:numPr>
      </w:pPr>
      <w:r w:rsidRPr="000437F1">
        <w:t>MRANZCOG Written Examination (maximum four attempts)</w:t>
      </w:r>
      <w:r w:rsidR="00216CB4">
        <w:t>;</w:t>
      </w:r>
    </w:p>
    <w:p w:rsidR="000437F1" w:rsidRPr="000437F1" w:rsidRDefault="000437F1" w:rsidP="00D17D24">
      <w:pPr>
        <w:pStyle w:val="ListParagraph"/>
        <w:numPr>
          <w:ilvl w:val="0"/>
          <w:numId w:val="29"/>
        </w:numPr>
      </w:pPr>
      <w:r w:rsidRPr="000437F1">
        <w:t>MRANZCOG Oral Examination (maximum four attempts)</w:t>
      </w:r>
      <w:r w:rsidR="00216CB4">
        <w:t>;</w:t>
      </w:r>
    </w:p>
    <w:p w:rsidR="000437F1" w:rsidRPr="000437F1" w:rsidRDefault="000437F1" w:rsidP="00D17D24">
      <w:pPr>
        <w:pStyle w:val="ListParagraph"/>
        <w:numPr>
          <w:ilvl w:val="0"/>
          <w:numId w:val="29"/>
        </w:numPr>
      </w:pPr>
      <w:r w:rsidRPr="000437F1">
        <w:t>Communications Skills Workshop</w:t>
      </w:r>
      <w:r w:rsidR="00216CB4">
        <w:t>;</w:t>
      </w:r>
    </w:p>
    <w:p w:rsidR="00944808" w:rsidRDefault="000437F1" w:rsidP="00944808">
      <w:pPr>
        <w:pStyle w:val="ListParagraph"/>
        <w:numPr>
          <w:ilvl w:val="0"/>
          <w:numId w:val="29"/>
        </w:numPr>
      </w:pPr>
      <w:r w:rsidRPr="000437F1">
        <w:t>The speciﬁed basic and advanced surgical procedures</w:t>
      </w:r>
      <w:r w:rsidR="00216CB4">
        <w:t>; and</w:t>
      </w:r>
    </w:p>
    <w:p w:rsidR="00944808" w:rsidRDefault="00944808" w:rsidP="00944808">
      <w:pPr>
        <w:pStyle w:val="ListParagraph"/>
        <w:numPr>
          <w:ilvl w:val="0"/>
          <w:numId w:val="29"/>
        </w:numPr>
      </w:pPr>
      <w:r>
        <w:t>Future consideration for training pathways</w:t>
      </w:r>
      <w:r w:rsidR="00216CB4">
        <w:t>.</w:t>
      </w:r>
    </w:p>
    <w:p w:rsidR="00944808" w:rsidRPr="00577982" w:rsidRDefault="00944808" w:rsidP="009C727F">
      <w:pPr>
        <w:pStyle w:val="Heading4"/>
      </w:pPr>
      <w:r w:rsidRPr="00577982">
        <w:t>Provincial Integrated Training Program (PITP)</w:t>
      </w:r>
    </w:p>
    <w:p w:rsidR="00944808" w:rsidRDefault="00944808" w:rsidP="006D55AE">
      <w:pPr>
        <w:spacing w:before="0"/>
      </w:pPr>
      <w:r>
        <w:t>The RANZCOG PITP has been developed to address issues related to maldistribution and to encourage and support prospective trainees who are interested in working in rural or regional areas.</w:t>
      </w:r>
    </w:p>
    <w:p w:rsidR="00944808" w:rsidRDefault="00944808" w:rsidP="00B14EA1">
      <w:pPr>
        <w:spacing w:before="0" w:after="0"/>
      </w:pPr>
      <w:r>
        <w:t>The goals of the Provincial Integrated Training Program are to:</w:t>
      </w:r>
    </w:p>
    <w:p w:rsidR="00944808" w:rsidRPr="00034291" w:rsidRDefault="00944808" w:rsidP="0036410A">
      <w:pPr>
        <w:numPr>
          <w:ilvl w:val="0"/>
          <w:numId w:val="50"/>
        </w:numPr>
        <w:spacing w:before="0" w:after="0"/>
        <w:ind w:left="357" w:hanging="357"/>
        <w:rPr>
          <w:rFonts w:cs="Arial"/>
          <w:szCs w:val="22"/>
          <w:lang w:eastAsia="en-AU"/>
        </w:rPr>
      </w:pPr>
      <w:r w:rsidRPr="00034291">
        <w:rPr>
          <w:rFonts w:cs="Arial"/>
          <w:szCs w:val="22"/>
          <w:lang w:eastAsia="en-AU"/>
        </w:rPr>
        <w:t>produce a Fellow with the skills required to work in a provincial setting;</w:t>
      </w:r>
    </w:p>
    <w:p w:rsidR="00944808" w:rsidRPr="00034291" w:rsidRDefault="00944808" w:rsidP="00545FAB">
      <w:pPr>
        <w:numPr>
          <w:ilvl w:val="0"/>
          <w:numId w:val="50"/>
        </w:numPr>
        <w:spacing w:before="100" w:beforeAutospacing="1" w:after="100" w:afterAutospacing="1"/>
        <w:rPr>
          <w:rFonts w:cs="Arial"/>
          <w:szCs w:val="22"/>
          <w:lang w:eastAsia="en-AU"/>
        </w:rPr>
      </w:pPr>
      <w:r w:rsidRPr="00034291">
        <w:rPr>
          <w:rFonts w:cs="Arial"/>
          <w:szCs w:val="22"/>
          <w:lang w:eastAsia="en-AU"/>
        </w:rPr>
        <w:t>to enable medical practitioners who have a demonstrated commitment to rural health to undertake their specialist training and pursue a career in a regional area; and</w:t>
      </w:r>
    </w:p>
    <w:p w:rsidR="00944808" w:rsidRPr="00034291" w:rsidRDefault="00944808" w:rsidP="00545FAB">
      <w:pPr>
        <w:numPr>
          <w:ilvl w:val="0"/>
          <w:numId w:val="50"/>
        </w:numPr>
        <w:spacing w:before="100" w:beforeAutospacing="1" w:after="100" w:afterAutospacing="1"/>
        <w:rPr>
          <w:rFonts w:cs="Arial"/>
          <w:szCs w:val="22"/>
          <w:lang w:eastAsia="en-AU"/>
        </w:rPr>
      </w:pPr>
      <w:proofErr w:type="gramStart"/>
      <w:r w:rsidRPr="00034291">
        <w:rPr>
          <w:rFonts w:cs="Arial"/>
          <w:szCs w:val="22"/>
          <w:lang w:eastAsia="en-AU"/>
        </w:rPr>
        <w:lastRenderedPageBreak/>
        <w:t>to</w:t>
      </w:r>
      <w:proofErr w:type="gramEnd"/>
      <w:r w:rsidRPr="00034291">
        <w:rPr>
          <w:rFonts w:cs="Arial"/>
          <w:szCs w:val="22"/>
          <w:lang w:eastAsia="en-AU"/>
        </w:rPr>
        <w:t xml:space="preserve"> encourage growth in the rural and regional O and G workforce.</w:t>
      </w:r>
    </w:p>
    <w:p w:rsidR="00944808" w:rsidRDefault="00944808" w:rsidP="00B14EA1">
      <w:pPr>
        <w:spacing w:before="0" w:after="0"/>
      </w:pPr>
      <w:r>
        <w:t>PITP positions are selected annually via the RANZCOG National Selection Process and candidates applying for the PITP must satisfy a minimum of one of the following criteria:</w:t>
      </w:r>
    </w:p>
    <w:p w:rsidR="00944808" w:rsidRPr="00034291" w:rsidRDefault="00944808" w:rsidP="00545FAB">
      <w:pPr>
        <w:numPr>
          <w:ilvl w:val="0"/>
          <w:numId w:val="51"/>
        </w:numPr>
        <w:spacing w:before="0" w:after="100" w:afterAutospacing="1"/>
        <w:rPr>
          <w:rFonts w:cs="Arial"/>
          <w:szCs w:val="22"/>
          <w:lang w:eastAsia="en-AU"/>
        </w:rPr>
      </w:pPr>
      <w:r w:rsidRPr="00034291">
        <w:rPr>
          <w:rFonts w:cs="Arial"/>
          <w:color w:val="000000"/>
          <w:szCs w:val="22"/>
          <w:lang w:val="en" w:eastAsia="en-AU"/>
        </w:rPr>
        <w:t>Have lived at least five years in an a</w:t>
      </w:r>
      <w:r w:rsidRPr="00944808">
        <w:rPr>
          <w:rFonts w:cs="Arial"/>
          <w:color w:val="000000"/>
          <w:szCs w:val="22"/>
          <w:lang w:val="en" w:eastAsia="en-AU"/>
        </w:rPr>
        <w:t>pproved regional/rural location</w:t>
      </w:r>
      <w:r w:rsidRPr="00034291">
        <w:rPr>
          <w:rFonts w:cs="Arial"/>
          <w:color w:val="000000"/>
          <w:szCs w:val="22"/>
          <w:lang w:val="en" w:eastAsia="en-AU"/>
        </w:rPr>
        <w:t xml:space="preserve"> in Australia or New Zealand since the start of primary school education</w:t>
      </w:r>
      <w:r w:rsidR="00B4504F">
        <w:rPr>
          <w:rFonts w:cs="Arial"/>
          <w:color w:val="000000"/>
          <w:szCs w:val="22"/>
          <w:lang w:val="en" w:eastAsia="en-AU"/>
        </w:rPr>
        <w:t>;</w:t>
      </w:r>
    </w:p>
    <w:p w:rsidR="00944808" w:rsidRPr="00034291" w:rsidRDefault="00944808" w:rsidP="00545FAB">
      <w:pPr>
        <w:numPr>
          <w:ilvl w:val="0"/>
          <w:numId w:val="51"/>
        </w:numPr>
        <w:spacing w:before="0" w:after="100" w:afterAutospacing="1"/>
        <w:rPr>
          <w:rFonts w:cs="Arial"/>
          <w:szCs w:val="22"/>
          <w:lang w:eastAsia="en-AU"/>
        </w:rPr>
      </w:pPr>
      <w:r w:rsidRPr="00034291">
        <w:rPr>
          <w:rFonts w:cs="Arial"/>
          <w:color w:val="000000"/>
          <w:szCs w:val="22"/>
          <w:lang w:val="en" w:eastAsia="en-AU"/>
        </w:rPr>
        <w:t>Awarded a Medical Rural Bonded Scholarship (MRBS)</w:t>
      </w:r>
      <w:r w:rsidR="00B4504F">
        <w:rPr>
          <w:rFonts w:cs="Arial"/>
          <w:color w:val="000000"/>
          <w:szCs w:val="22"/>
          <w:lang w:val="en" w:eastAsia="en-AU"/>
        </w:rPr>
        <w:t>;</w:t>
      </w:r>
    </w:p>
    <w:p w:rsidR="00944808" w:rsidRPr="00034291" w:rsidRDefault="00944808" w:rsidP="00545FAB">
      <w:pPr>
        <w:numPr>
          <w:ilvl w:val="0"/>
          <w:numId w:val="51"/>
        </w:numPr>
        <w:spacing w:before="0" w:after="100" w:afterAutospacing="1"/>
        <w:rPr>
          <w:rFonts w:cs="Arial"/>
          <w:szCs w:val="22"/>
          <w:lang w:eastAsia="en-AU"/>
        </w:rPr>
      </w:pPr>
      <w:r w:rsidRPr="00034291">
        <w:rPr>
          <w:rFonts w:cs="Arial"/>
          <w:color w:val="000000"/>
          <w:szCs w:val="22"/>
          <w:lang w:val="en" w:eastAsia="en-AU"/>
        </w:rPr>
        <w:t>Studied at medical school through the Bonded Medical Places (BMP) Scheme</w:t>
      </w:r>
      <w:r w:rsidR="00B4504F">
        <w:rPr>
          <w:rFonts w:cs="Arial"/>
          <w:color w:val="000000"/>
          <w:szCs w:val="22"/>
          <w:lang w:val="en" w:eastAsia="en-AU"/>
        </w:rPr>
        <w:t>;</w:t>
      </w:r>
    </w:p>
    <w:p w:rsidR="00944808" w:rsidRPr="00034291" w:rsidRDefault="00944808" w:rsidP="00545FAB">
      <w:pPr>
        <w:numPr>
          <w:ilvl w:val="0"/>
          <w:numId w:val="51"/>
        </w:numPr>
        <w:spacing w:before="0" w:after="100" w:afterAutospacing="1"/>
        <w:rPr>
          <w:rFonts w:cs="Arial"/>
          <w:szCs w:val="22"/>
          <w:lang w:eastAsia="en-AU"/>
        </w:rPr>
      </w:pPr>
      <w:r w:rsidRPr="00034291">
        <w:rPr>
          <w:rFonts w:cs="Arial"/>
          <w:color w:val="000000"/>
          <w:szCs w:val="22"/>
          <w:lang w:val="en" w:eastAsia="en-AU"/>
        </w:rPr>
        <w:t>Have worked a minimum of one year as a General Practitioner (GP) in a single ap</w:t>
      </w:r>
      <w:r w:rsidRPr="00944808">
        <w:rPr>
          <w:rFonts w:cs="Arial"/>
          <w:color w:val="000000"/>
          <w:szCs w:val="22"/>
          <w:lang w:val="en" w:eastAsia="en-AU"/>
        </w:rPr>
        <w:t>proved regional/rural location</w:t>
      </w:r>
      <w:r w:rsidRPr="00034291">
        <w:rPr>
          <w:rFonts w:cs="Arial"/>
          <w:color w:val="000000"/>
          <w:szCs w:val="22"/>
          <w:lang w:val="en" w:eastAsia="en-AU"/>
        </w:rPr>
        <w:t xml:space="preserve"> in Australia or New Zealand</w:t>
      </w:r>
      <w:r w:rsidR="00B4504F">
        <w:rPr>
          <w:rFonts w:cs="Arial"/>
          <w:color w:val="000000"/>
          <w:szCs w:val="22"/>
          <w:lang w:val="en" w:eastAsia="en-AU"/>
        </w:rPr>
        <w:t>;</w:t>
      </w:r>
    </w:p>
    <w:p w:rsidR="00944808" w:rsidRPr="0061069A" w:rsidRDefault="00944808" w:rsidP="00545FAB">
      <w:pPr>
        <w:numPr>
          <w:ilvl w:val="0"/>
          <w:numId w:val="51"/>
        </w:numPr>
        <w:spacing w:before="0" w:after="100" w:afterAutospacing="1"/>
        <w:rPr>
          <w:rFonts w:cs="Arial"/>
          <w:szCs w:val="22"/>
          <w:lang w:eastAsia="en-AU"/>
        </w:rPr>
      </w:pPr>
      <w:r w:rsidRPr="00034291">
        <w:rPr>
          <w:rFonts w:cs="Arial"/>
          <w:color w:val="000000"/>
          <w:szCs w:val="22"/>
          <w:lang w:val="en" w:eastAsia="en-AU"/>
        </w:rPr>
        <w:t>Have undertaken a minimum of 12 months of clinical training in an approved regional/rural location either as a medical student, intern, resident or registrar</w:t>
      </w:r>
      <w:r w:rsidR="00B4504F">
        <w:rPr>
          <w:rFonts w:cs="Arial"/>
          <w:color w:val="000000"/>
          <w:szCs w:val="22"/>
          <w:lang w:val="en" w:eastAsia="en-AU"/>
        </w:rPr>
        <w:t>;</w:t>
      </w:r>
    </w:p>
    <w:p w:rsidR="0061069A" w:rsidRPr="0061069A" w:rsidRDefault="0061069A" w:rsidP="00545FAB">
      <w:pPr>
        <w:numPr>
          <w:ilvl w:val="0"/>
          <w:numId w:val="51"/>
        </w:numPr>
        <w:spacing w:before="0" w:after="100" w:afterAutospacing="1"/>
        <w:rPr>
          <w:rFonts w:cs="Arial"/>
          <w:szCs w:val="22"/>
          <w:lang w:eastAsia="en-AU"/>
        </w:rPr>
      </w:pPr>
      <w:r>
        <w:rPr>
          <w:rFonts w:cs="Arial"/>
          <w:color w:val="000000"/>
          <w:szCs w:val="22"/>
          <w:lang w:val="en" w:eastAsia="en-AU"/>
        </w:rPr>
        <w:t xml:space="preserve">There are currently two PITP posts at the moment; Mackay and </w:t>
      </w:r>
      <w:proofErr w:type="spellStart"/>
      <w:r>
        <w:rPr>
          <w:rFonts w:cs="Arial"/>
          <w:color w:val="000000"/>
          <w:szCs w:val="22"/>
          <w:lang w:val="en" w:eastAsia="en-AU"/>
        </w:rPr>
        <w:t>Dubbo</w:t>
      </w:r>
      <w:proofErr w:type="spellEnd"/>
      <w:r>
        <w:rPr>
          <w:rFonts w:cs="Arial"/>
          <w:color w:val="000000"/>
          <w:szCs w:val="22"/>
          <w:lang w:val="en" w:eastAsia="en-AU"/>
        </w:rPr>
        <w:t>, with the intention of a new position commencing in 2019</w:t>
      </w:r>
      <w:r w:rsidR="00B4504F">
        <w:rPr>
          <w:rFonts w:cs="Arial"/>
          <w:color w:val="000000"/>
          <w:szCs w:val="22"/>
          <w:lang w:val="en" w:eastAsia="en-AU"/>
        </w:rPr>
        <w:t>; and</w:t>
      </w:r>
    </w:p>
    <w:p w:rsidR="0061069A" w:rsidRPr="00F5099C" w:rsidRDefault="0061069A" w:rsidP="00545FAB">
      <w:pPr>
        <w:numPr>
          <w:ilvl w:val="0"/>
          <w:numId w:val="51"/>
        </w:numPr>
        <w:spacing w:before="0" w:after="100" w:afterAutospacing="1"/>
        <w:rPr>
          <w:rFonts w:cs="Arial"/>
          <w:szCs w:val="22"/>
          <w:lang w:eastAsia="en-AU"/>
        </w:rPr>
      </w:pPr>
      <w:r>
        <w:rPr>
          <w:rFonts w:cs="Arial"/>
          <w:color w:val="000000"/>
          <w:szCs w:val="22"/>
          <w:lang w:val="en" w:eastAsia="en-AU"/>
        </w:rPr>
        <w:t xml:space="preserve">These positions are all ongoing with no end-date. </w:t>
      </w:r>
    </w:p>
    <w:p w:rsidR="00122C0A" w:rsidRPr="00577982" w:rsidRDefault="00122C0A" w:rsidP="009C727F">
      <w:pPr>
        <w:pStyle w:val="Heading4"/>
      </w:pPr>
      <w:r w:rsidRPr="00577982">
        <w:t>Trainee d</w:t>
      </w:r>
      <w:r w:rsidR="0054707C" w:rsidRPr="00577982">
        <w:t>ata</w:t>
      </w:r>
    </w:p>
    <w:p w:rsidR="00D5126D" w:rsidRPr="00A83E0F" w:rsidRDefault="0054707C" w:rsidP="0054707C">
      <w:r w:rsidRPr="00A83E0F">
        <w:t>The NHWDS data is used to describe trainees (those that have identified as speciali</w:t>
      </w:r>
      <w:r w:rsidR="0098223C">
        <w:t xml:space="preserve">st-in-training (SIT) (Appendix </w:t>
      </w:r>
      <w:r w:rsidR="00206AFC">
        <w:t>5</w:t>
      </w:r>
      <w:r w:rsidRPr="00A83E0F">
        <w:t xml:space="preserve">)). For the purposes of modelling, </w:t>
      </w:r>
      <w:r w:rsidR="0094309A">
        <w:t xml:space="preserve">the Department of </w:t>
      </w:r>
      <w:r w:rsidR="00556D61" w:rsidRPr="00A83E0F">
        <w:t>Health</w:t>
      </w:r>
      <w:r w:rsidR="0094309A">
        <w:t xml:space="preserve"> (the Department) </w:t>
      </w:r>
      <w:r w:rsidRPr="00A83E0F">
        <w:t xml:space="preserve">has used a combination of data from the </w:t>
      </w:r>
      <w:r w:rsidR="00D1336F" w:rsidRPr="00A83E0F">
        <w:t>RANZCOG</w:t>
      </w:r>
      <w:r w:rsidRPr="00A83E0F">
        <w:t xml:space="preserve"> and the NHWDS: Medical Practitioner 201</w:t>
      </w:r>
      <w:r w:rsidR="00A83E0F" w:rsidRPr="00A83E0F">
        <w:t>6</w:t>
      </w:r>
      <w:r w:rsidRPr="00A83E0F">
        <w:t xml:space="preserve"> survey, noting that there are variances between these data sources. This is largely due to the self-reported nature of the medical workforce survey data. </w:t>
      </w:r>
    </w:p>
    <w:p w:rsidR="0054707C" w:rsidRDefault="0054707C" w:rsidP="0054707C">
      <w:r w:rsidRPr="00A83E0F">
        <w:t xml:space="preserve">In comparison to the </w:t>
      </w:r>
      <w:r w:rsidR="00D1336F" w:rsidRPr="00A83E0F">
        <w:t>RANZCOG</w:t>
      </w:r>
      <w:r w:rsidR="00A83E0F">
        <w:t xml:space="preserve"> data, the 2016</w:t>
      </w:r>
      <w:r w:rsidRPr="00A83E0F">
        <w:t xml:space="preserve"> </w:t>
      </w:r>
      <w:r w:rsidR="00687041" w:rsidRPr="00A83E0F">
        <w:t>NHWDS</w:t>
      </w:r>
      <w:r w:rsidRPr="00A83E0F">
        <w:t xml:space="preserve"> reported </w:t>
      </w:r>
      <w:r w:rsidR="00D31C36">
        <w:t>58</w:t>
      </w:r>
      <w:r w:rsidRPr="00A83E0F">
        <w:t xml:space="preserve"> </w:t>
      </w:r>
      <w:r w:rsidR="00D31C36">
        <w:t>more</w:t>
      </w:r>
      <w:r w:rsidRPr="00A83E0F">
        <w:t xml:space="preserve"> (</w:t>
      </w:r>
      <w:r w:rsidR="00D31C36" w:rsidRPr="00C80424">
        <w:t>1</w:t>
      </w:r>
      <w:r w:rsidR="00D31C36">
        <w:t>0</w:t>
      </w:r>
      <w:r w:rsidRPr="00A83E0F">
        <w:t xml:space="preserve"> per</w:t>
      </w:r>
      <w:r w:rsidR="00C65FC7" w:rsidRPr="00A83E0F">
        <w:t xml:space="preserve"> </w:t>
      </w:r>
      <w:r w:rsidRPr="00A83E0F">
        <w:t xml:space="preserve">cent) </w:t>
      </w:r>
      <w:r w:rsidR="00D1336F" w:rsidRPr="00A83E0F">
        <w:t>O&amp;G</w:t>
      </w:r>
      <w:r w:rsidRPr="00A83E0F">
        <w:t xml:space="preserve"> trainees. The</w:t>
      </w:r>
      <w:r w:rsidR="00C80424">
        <w:t xml:space="preserve"> main reason </w:t>
      </w:r>
      <w:r w:rsidRPr="00A83E0F">
        <w:t xml:space="preserve">for this </w:t>
      </w:r>
      <w:r w:rsidR="00C80424">
        <w:t xml:space="preserve">is the different time points of collecting the data which will result in slight variations, </w:t>
      </w:r>
      <w:r w:rsidRPr="00A83E0F">
        <w:t>affect</w:t>
      </w:r>
      <w:r w:rsidR="00C80424">
        <w:t>ing</w:t>
      </w:r>
      <w:r w:rsidRPr="00A83E0F">
        <w:t xml:space="preserve"> the number of trainees </w:t>
      </w:r>
      <w:r w:rsidR="00D5126D" w:rsidRPr="00A83E0F">
        <w:t>counted</w:t>
      </w:r>
      <w:r w:rsidRPr="00A83E0F">
        <w:t xml:space="preserve"> in a given year.</w:t>
      </w:r>
    </w:p>
    <w:p w:rsidR="0054707C" w:rsidRPr="000F4F2D" w:rsidRDefault="000F4F2D" w:rsidP="0054707C">
      <w:pPr>
        <w:rPr>
          <w:rFonts w:cs="Arial"/>
          <w:b/>
          <w:bCs/>
          <w:color w:val="548DD4" w:themeColor="text2" w:themeTint="99"/>
          <w:szCs w:val="26"/>
        </w:rPr>
      </w:pPr>
      <w:r w:rsidRPr="00380E28">
        <w:t xml:space="preserve">The number of trainees by training level is </w:t>
      </w:r>
      <w:r>
        <w:t xml:space="preserve">also </w:t>
      </w:r>
      <w:r w:rsidRPr="00380E28">
        <w:t xml:space="preserve">collected through the Medical </w:t>
      </w:r>
      <w:r>
        <w:t>Education and Training (MET)</w:t>
      </w:r>
      <w:r w:rsidRPr="00380E28">
        <w:t xml:space="preserve"> data collection each year from medical colleges</w:t>
      </w:r>
      <w:r>
        <w:t xml:space="preserve"> and reported on in data tables. There are differences in the numbers in this report and the MET as the latter </w:t>
      </w:r>
      <w:r w:rsidRPr="00380E28">
        <w:t xml:space="preserve">captures the number of trainees as </w:t>
      </w:r>
      <w:r>
        <w:t>at</w:t>
      </w:r>
      <w:r w:rsidRPr="00380E28">
        <w:t xml:space="preserve"> 30 June each year.</w:t>
      </w:r>
      <w:r>
        <w:t xml:space="preserve"> </w:t>
      </w:r>
    </w:p>
    <w:p w:rsidR="00455A0B" w:rsidRPr="00577982" w:rsidRDefault="00455A0B" w:rsidP="009C727F">
      <w:pPr>
        <w:pStyle w:val="Heading4"/>
      </w:pPr>
      <w:r w:rsidRPr="00577982">
        <w:t>FRANZGOG undertaking subspecialty training</w:t>
      </w:r>
    </w:p>
    <w:p w:rsidR="00455A0B" w:rsidRDefault="00455A0B" w:rsidP="0054707C">
      <w:r>
        <w:t>O&amp;G training allows for subspecialisation, and subspecialty training can be undertaken during the advanced years of vocational training (before fellowship) or any time after fellowship is obtained. This means that, in the NHWDS and RANZCOG data, an individual can be classified as a specialist</w:t>
      </w:r>
      <w:r w:rsidR="006B1114">
        <w:t>/fellow</w:t>
      </w:r>
      <w:r>
        <w:t xml:space="preserve"> and a trainee. This does not impact the modelling of the O&amp;G specialty as only the hours worked in each specialty or subspecialty contribute towards the supply of O&amp;G specialists. However, the headcounts presented in the specialist and trainee sections of this report will double count</w:t>
      </w:r>
      <w:r w:rsidR="006B1114">
        <w:t xml:space="preserve"> these people: once in the specialist section and once in the traine</w:t>
      </w:r>
      <w:r w:rsidR="00D5377A">
        <w:t xml:space="preserve">e section. </w:t>
      </w:r>
      <w:r w:rsidR="00D5377A" w:rsidRPr="003A3C10">
        <w:t>According to the 201</w:t>
      </w:r>
      <w:r w:rsidR="003C49EF" w:rsidRPr="003A3C10">
        <w:t>6</w:t>
      </w:r>
      <w:r w:rsidR="006B1114" w:rsidRPr="003A3C10">
        <w:t xml:space="preserve"> NHWDS, there were </w:t>
      </w:r>
      <w:r w:rsidR="00B4504F">
        <w:t>six</w:t>
      </w:r>
      <w:r w:rsidR="00B4504F" w:rsidRPr="003A3C10">
        <w:t xml:space="preserve"> </w:t>
      </w:r>
      <w:r w:rsidR="006B1114" w:rsidRPr="003A3C10">
        <w:t>O&amp;G specialists</w:t>
      </w:r>
      <w:r w:rsidR="00687041" w:rsidRPr="003A3C10">
        <w:t>/fellows</w:t>
      </w:r>
      <w:r w:rsidR="006B1114" w:rsidRPr="003A3C10">
        <w:t xml:space="preserve"> undertaking subspecialty training (</w:t>
      </w:r>
      <w:r w:rsidR="00B4504F">
        <w:t>three</w:t>
      </w:r>
      <w:r w:rsidR="00B4504F" w:rsidRPr="003A3C10">
        <w:t xml:space="preserve"> </w:t>
      </w:r>
      <w:r w:rsidR="006B1114" w:rsidRPr="003A3C10">
        <w:t xml:space="preserve">were undertaking </w:t>
      </w:r>
      <w:r w:rsidR="0067517C" w:rsidRPr="003A3C10">
        <w:t xml:space="preserve">GO, </w:t>
      </w:r>
      <w:r w:rsidR="00B4504F">
        <w:t>two</w:t>
      </w:r>
      <w:r w:rsidR="00B4504F" w:rsidRPr="003A3C10">
        <w:t xml:space="preserve"> </w:t>
      </w:r>
      <w:r w:rsidR="006B1114" w:rsidRPr="003A3C10">
        <w:t xml:space="preserve">were undertaking </w:t>
      </w:r>
      <w:r w:rsidR="0067517C" w:rsidRPr="003A3C10">
        <w:t>MFM</w:t>
      </w:r>
      <w:r w:rsidR="0021073C">
        <w:t>.</w:t>
      </w:r>
      <w:r w:rsidR="0067517C" w:rsidRPr="003A3C10">
        <w:t xml:space="preserve"> </w:t>
      </w:r>
    </w:p>
    <w:p w:rsidR="0054707C" w:rsidRPr="00577982" w:rsidRDefault="0054707C" w:rsidP="009C727F">
      <w:pPr>
        <w:pStyle w:val="Heading4"/>
      </w:pPr>
      <w:r w:rsidRPr="00577982">
        <w:t>Trainee demographics</w:t>
      </w:r>
    </w:p>
    <w:p w:rsidR="00C46A59" w:rsidRDefault="005A51AE" w:rsidP="00544360">
      <w:r w:rsidRPr="00F274C1">
        <w:fldChar w:fldCharType="begin"/>
      </w:r>
      <w:r w:rsidRPr="00F274C1">
        <w:instrText xml:space="preserve"> REF _Ref442259513 \h </w:instrText>
      </w:r>
      <w:r w:rsidR="00A92FD3" w:rsidRPr="00F274C1">
        <w:instrText xml:space="preserve"> \* MERGEFORMAT </w:instrText>
      </w:r>
      <w:r w:rsidRPr="00F274C1">
        <w:fldChar w:fldCharType="separate"/>
      </w:r>
      <w:r w:rsidR="008C7087" w:rsidRPr="00F23728">
        <w:t xml:space="preserve">Table </w:t>
      </w:r>
      <w:r w:rsidR="008C7087">
        <w:rPr>
          <w:noProof/>
        </w:rPr>
        <w:t>7</w:t>
      </w:r>
      <w:r w:rsidRPr="00F274C1">
        <w:fldChar w:fldCharType="end"/>
      </w:r>
      <w:r w:rsidR="00F0628D" w:rsidRPr="00F274C1">
        <w:t xml:space="preserve"> </w:t>
      </w:r>
      <w:r w:rsidR="002F4350" w:rsidRPr="00F274C1">
        <w:t xml:space="preserve">details the trainees by age group, gender and </w:t>
      </w:r>
      <w:r w:rsidR="00F01954" w:rsidRPr="00F274C1">
        <w:t xml:space="preserve">self-reported </w:t>
      </w:r>
      <w:r w:rsidR="002F4350" w:rsidRPr="00F274C1">
        <w:t>training year</w:t>
      </w:r>
      <w:r w:rsidR="0023198F" w:rsidRPr="00F274C1">
        <w:t xml:space="preserve"> according to the NHWDS</w:t>
      </w:r>
      <w:r w:rsidR="002F4350" w:rsidRPr="00F274C1">
        <w:t xml:space="preserve">. The main trend that can be seen is that trainees are predominantly in the </w:t>
      </w:r>
      <w:r w:rsidR="00887146">
        <w:t>30</w:t>
      </w:r>
      <w:r w:rsidR="00F274C1">
        <w:t>-39</w:t>
      </w:r>
      <w:r w:rsidR="002F4350" w:rsidRPr="00F274C1">
        <w:t xml:space="preserve"> age </w:t>
      </w:r>
      <w:r w:rsidR="00887146" w:rsidRPr="00F274C1">
        <w:t>groups</w:t>
      </w:r>
      <w:r w:rsidR="002F4350" w:rsidRPr="00F274C1">
        <w:t xml:space="preserve"> (</w:t>
      </w:r>
      <w:r w:rsidR="00B4504F">
        <w:t>70</w:t>
      </w:r>
      <w:r w:rsidR="00B4504F" w:rsidRPr="00F274C1">
        <w:t xml:space="preserve"> </w:t>
      </w:r>
      <w:r w:rsidR="00382301" w:rsidRPr="00F274C1">
        <w:t>per</w:t>
      </w:r>
      <w:r w:rsidR="00C65FC7">
        <w:t xml:space="preserve"> </w:t>
      </w:r>
      <w:r w:rsidR="00382301" w:rsidRPr="00F274C1">
        <w:t>cent</w:t>
      </w:r>
      <w:r w:rsidR="002F4350" w:rsidRPr="00F274C1">
        <w:t xml:space="preserve"> of total), and that there </w:t>
      </w:r>
      <w:r w:rsidR="002E0029">
        <w:t xml:space="preserve">are more </w:t>
      </w:r>
      <w:r w:rsidR="00F274C1">
        <w:t>female trainees (</w:t>
      </w:r>
      <w:r w:rsidR="00B33736">
        <w:t>81</w:t>
      </w:r>
      <w:r w:rsidR="002F4350" w:rsidRPr="00F274C1">
        <w:t xml:space="preserve"> </w:t>
      </w:r>
      <w:r w:rsidR="00382301" w:rsidRPr="00F274C1">
        <w:t>per</w:t>
      </w:r>
      <w:r w:rsidR="00C65FC7">
        <w:t xml:space="preserve"> </w:t>
      </w:r>
      <w:r w:rsidR="00382301" w:rsidRPr="00F274C1">
        <w:t>cent</w:t>
      </w:r>
      <w:r w:rsidR="002F4350" w:rsidRPr="00F274C1">
        <w:t xml:space="preserve"> of total).</w:t>
      </w:r>
    </w:p>
    <w:p w:rsidR="00C46A59" w:rsidRDefault="00C46A59">
      <w:pPr>
        <w:spacing w:before="0" w:after="0"/>
        <w:jc w:val="left"/>
      </w:pPr>
      <w:r>
        <w:br w:type="page"/>
      </w:r>
    </w:p>
    <w:p w:rsidR="0093768B" w:rsidRDefault="0093768B" w:rsidP="00544360">
      <w:pPr>
        <w:pStyle w:val="Caption"/>
        <w:keepNext/>
      </w:pPr>
      <w:bookmarkStart w:id="71" w:name="_Ref442259513"/>
      <w:bookmarkStart w:id="72" w:name="_Toc515887828"/>
      <w:r w:rsidRPr="00F23728">
        <w:lastRenderedPageBreak/>
        <w:t xml:space="preserve">Table </w:t>
      </w:r>
      <w:r w:rsidR="008F108A" w:rsidRPr="00F23728">
        <w:fldChar w:fldCharType="begin"/>
      </w:r>
      <w:r w:rsidR="00F90CFA" w:rsidRPr="00F23728">
        <w:instrText xml:space="preserve"> SEQ Table \* ARABIC </w:instrText>
      </w:r>
      <w:r w:rsidR="008F108A" w:rsidRPr="00F23728">
        <w:fldChar w:fldCharType="separate"/>
      </w:r>
      <w:r w:rsidR="008C7087">
        <w:rPr>
          <w:noProof/>
        </w:rPr>
        <w:t>7</w:t>
      </w:r>
      <w:r w:rsidR="008F108A" w:rsidRPr="00F23728">
        <w:rPr>
          <w:noProof/>
        </w:rPr>
        <w:fldChar w:fldCharType="end"/>
      </w:r>
      <w:bookmarkEnd w:id="71"/>
      <w:r w:rsidR="009B1FD8">
        <w:rPr>
          <w:noProof/>
        </w:rPr>
        <w:t>:</w:t>
      </w:r>
      <w:r w:rsidRPr="00F23728">
        <w:t xml:space="preserve"> Tra</w:t>
      </w:r>
      <w:r w:rsidR="00594356">
        <w:t>inees</w:t>
      </w:r>
      <w:r w:rsidR="00561A92">
        <w:t xml:space="preserve"> by age group</w:t>
      </w:r>
      <w:r w:rsidRPr="00F23728">
        <w:t xml:space="preserve">, gender and </w:t>
      </w:r>
      <w:r w:rsidR="00594356">
        <w:t xml:space="preserve">current </w:t>
      </w:r>
      <w:r w:rsidRPr="00F23728">
        <w:t>training year</w:t>
      </w:r>
      <w:bookmarkEnd w:id="72"/>
    </w:p>
    <w:tbl>
      <w:tblPr>
        <w:tblStyle w:val="LightShading-Accent1"/>
        <w:tblW w:w="4942" w:type="pct"/>
        <w:tblInd w:w="108" w:type="dxa"/>
        <w:tblLook w:val="0420" w:firstRow="1" w:lastRow="0" w:firstColumn="0" w:lastColumn="0" w:noHBand="0" w:noVBand="1"/>
        <w:tblCaption w:val="Table 7: Trainees by age group, gender and current training year"/>
        <w:tblDescription w:val="Shows the trainees by age group, gender and self-reported training year according to the NHWDS. The main trend that can be seen is that trainees are predominantly in the 30-39 age groups (70 per cent of total), and that there are more female trainees (81 per cent of total)."/>
      </w:tblPr>
      <w:tblGrid>
        <w:gridCol w:w="1218"/>
        <w:gridCol w:w="659"/>
        <w:gridCol w:w="774"/>
        <w:gridCol w:w="814"/>
        <w:gridCol w:w="744"/>
        <w:gridCol w:w="713"/>
        <w:gridCol w:w="713"/>
        <w:gridCol w:w="713"/>
        <w:gridCol w:w="713"/>
        <w:gridCol w:w="1104"/>
        <w:gridCol w:w="970"/>
      </w:tblGrid>
      <w:tr w:rsidR="00171591" w:rsidRPr="002B3EA4" w:rsidTr="0057634C">
        <w:trPr>
          <w:cnfStyle w:val="100000000000" w:firstRow="1" w:lastRow="0" w:firstColumn="0" w:lastColumn="0" w:oddVBand="0" w:evenVBand="0" w:oddHBand="0" w:evenHBand="0" w:firstRowFirstColumn="0" w:firstRowLastColumn="0" w:lastRowFirstColumn="0" w:lastRowLastColumn="0"/>
          <w:trHeight w:val="227"/>
          <w:tblHeader/>
        </w:trPr>
        <w:tc>
          <w:tcPr>
            <w:tcW w:w="667" w:type="pct"/>
            <w:tcBorders>
              <w:top w:val="single" w:sz="4" w:space="0" w:color="auto"/>
              <w:left w:val="single" w:sz="4" w:space="0" w:color="auto"/>
              <w:bottom w:val="single" w:sz="4" w:space="0" w:color="auto"/>
            </w:tcBorders>
            <w:shd w:val="clear" w:color="auto" w:fill="1F497D" w:themeFill="text2"/>
            <w:hideMark/>
          </w:tcPr>
          <w:p w:rsidR="00171591" w:rsidRPr="002B3EA4" w:rsidRDefault="00171591" w:rsidP="00171591">
            <w:pPr>
              <w:spacing w:before="0" w:after="0"/>
              <w:rPr>
                <w:color w:val="FFFFFF" w:themeColor="background1"/>
                <w:sz w:val="20"/>
                <w:szCs w:val="20"/>
                <w:lang w:eastAsia="en-AU"/>
              </w:rPr>
            </w:pPr>
            <w:r w:rsidRPr="002B3EA4">
              <w:rPr>
                <w:color w:val="FFFFFF" w:themeColor="background1"/>
                <w:sz w:val="20"/>
                <w:szCs w:val="20"/>
                <w:lang w:eastAsia="en-AU"/>
              </w:rPr>
              <w:t>Age</w:t>
            </w:r>
          </w:p>
        </w:tc>
        <w:tc>
          <w:tcPr>
            <w:tcW w:w="361"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1st</w:t>
            </w:r>
          </w:p>
        </w:tc>
        <w:tc>
          <w:tcPr>
            <w:tcW w:w="424"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2nd</w:t>
            </w:r>
          </w:p>
        </w:tc>
        <w:tc>
          <w:tcPr>
            <w:tcW w:w="446"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3rd</w:t>
            </w:r>
          </w:p>
        </w:tc>
        <w:tc>
          <w:tcPr>
            <w:tcW w:w="407"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4th</w:t>
            </w:r>
          </w:p>
        </w:tc>
        <w:tc>
          <w:tcPr>
            <w:tcW w:w="390"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5th</w:t>
            </w:r>
          </w:p>
        </w:tc>
        <w:tc>
          <w:tcPr>
            <w:tcW w:w="390"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6th</w:t>
            </w:r>
          </w:p>
        </w:tc>
        <w:tc>
          <w:tcPr>
            <w:tcW w:w="390"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7th</w:t>
            </w:r>
          </w:p>
        </w:tc>
        <w:tc>
          <w:tcPr>
            <w:tcW w:w="390"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8th</w:t>
            </w:r>
          </w:p>
        </w:tc>
        <w:tc>
          <w:tcPr>
            <w:tcW w:w="604" w:type="pct"/>
            <w:tcBorders>
              <w:top w:val="single" w:sz="4" w:space="0" w:color="auto"/>
              <w:bottom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Not Stated</w:t>
            </w:r>
          </w:p>
        </w:tc>
        <w:tc>
          <w:tcPr>
            <w:tcW w:w="531" w:type="pct"/>
            <w:tcBorders>
              <w:top w:val="single" w:sz="4" w:space="0" w:color="auto"/>
              <w:bottom w:val="single" w:sz="4" w:space="0" w:color="auto"/>
              <w:right w:val="single" w:sz="4" w:space="0" w:color="auto"/>
            </w:tcBorders>
            <w:shd w:val="clear" w:color="auto" w:fill="1F497D" w:themeFill="text2"/>
            <w:hideMark/>
          </w:tcPr>
          <w:p w:rsidR="00171591" w:rsidRPr="002B3EA4" w:rsidRDefault="00171591" w:rsidP="00171591">
            <w:pPr>
              <w:spacing w:before="0" w:after="0"/>
              <w:jc w:val="center"/>
              <w:rPr>
                <w:color w:val="FFFFFF" w:themeColor="background1"/>
                <w:sz w:val="20"/>
                <w:szCs w:val="20"/>
                <w:lang w:eastAsia="en-AU"/>
              </w:rPr>
            </w:pPr>
            <w:r w:rsidRPr="002B3EA4">
              <w:rPr>
                <w:color w:val="FFFFFF" w:themeColor="background1"/>
                <w:sz w:val="20"/>
                <w:szCs w:val="20"/>
                <w:lang w:eastAsia="en-AU"/>
              </w:rPr>
              <w:t>Total</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5000" w:type="pct"/>
            <w:gridSpan w:val="11"/>
            <w:tcBorders>
              <w:top w:val="single" w:sz="4" w:space="0" w:color="auto"/>
              <w:left w:val="single" w:sz="4" w:space="0" w:color="auto"/>
              <w:right w:val="single" w:sz="4" w:space="0" w:color="auto"/>
            </w:tcBorders>
          </w:tcPr>
          <w:p w:rsidR="00171591" w:rsidRPr="002B3EA4" w:rsidRDefault="00171591" w:rsidP="00171591">
            <w:pPr>
              <w:spacing w:before="0" w:after="0"/>
              <w:jc w:val="center"/>
              <w:rPr>
                <w:b/>
                <w:color w:val="auto"/>
                <w:sz w:val="20"/>
                <w:szCs w:val="20"/>
                <w:lang w:eastAsia="en-AU"/>
              </w:rPr>
            </w:pPr>
            <w:r w:rsidRPr="002B3EA4">
              <w:rPr>
                <w:b/>
                <w:color w:val="auto"/>
                <w:sz w:val="20"/>
                <w:szCs w:val="20"/>
                <w:lang w:eastAsia="en-AU"/>
              </w:rPr>
              <w:t>MALE</w:t>
            </w:r>
          </w:p>
        </w:tc>
      </w:tr>
      <w:tr w:rsidR="00171591" w:rsidRPr="002B3EA4" w:rsidTr="0057634C">
        <w:trPr>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25-29</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8</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5</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07"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14</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30-34</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7</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8</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8</w:t>
            </w:r>
          </w:p>
        </w:tc>
        <w:tc>
          <w:tcPr>
            <w:tcW w:w="407"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10</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F0FE9"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39</w:t>
            </w:r>
          </w:p>
        </w:tc>
      </w:tr>
      <w:tr w:rsidR="00171591" w:rsidRPr="002B3EA4" w:rsidTr="0057634C">
        <w:trPr>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35-39</w:t>
            </w:r>
          </w:p>
        </w:tc>
        <w:tc>
          <w:tcPr>
            <w:tcW w:w="361"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4</w:t>
            </w:r>
          </w:p>
        </w:tc>
        <w:tc>
          <w:tcPr>
            <w:tcW w:w="446"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407"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4</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8</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6</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604"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531" w:type="pct"/>
            <w:tcBorders>
              <w:right w:val="single" w:sz="4" w:space="0" w:color="auto"/>
            </w:tcBorders>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30</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40-44</w:t>
            </w:r>
          </w:p>
        </w:tc>
        <w:tc>
          <w:tcPr>
            <w:tcW w:w="361"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2</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07"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7</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4</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604"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531" w:type="pct"/>
            <w:tcBorders>
              <w:right w:val="single" w:sz="4" w:space="0" w:color="auto"/>
            </w:tcBorders>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19</w:t>
            </w:r>
          </w:p>
        </w:tc>
      </w:tr>
      <w:tr w:rsidR="00171591" w:rsidRPr="002B3EA4" w:rsidTr="0057634C">
        <w:trPr>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45-49</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24"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446" w:type="pct"/>
            <w:hideMark/>
          </w:tcPr>
          <w:p w:rsidR="00171591" w:rsidRPr="002B3EA4" w:rsidRDefault="00E43A9F" w:rsidP="00171591">
            <w:pPr>
              <w:spacing w:before="0" w:after="0"/>
              <w:jc w:val="right"/>
              <w:rPr>
                <w:color w:val="auto"/>
                <w:sz w:val="20"/>
                <w:szCs w:val="20"/>
                <w:lang w:eastAsia="en-AU"/>
              </w:rPr>
            </w:pPr>
            <w:r>
              <w:rPr>
                <w:color w:val="auto"/>
                <w:sz w:val="20"/>
                <w:szCs w:val="20"/>
                <w:lang w:eastAsia="en-AU"/>
              </w:rPr>
              <w:t>np</w:t>
            </w:r>
          </w:p>
        </w:tc>
        <w:tc>
          <w:tcPr>
            <w:tcW w:w="407" w:type="pct"/>
            <w:hideMark/>
          </w:tcPr>
          <w:p w:rsidR="00171591" w:rsidRPr="002B3EA4" w:rsidRDefault="003F0FE9"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7</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50-54</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07"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r>
      <w:tr w:rsidR="00171591" w:rsidRPr="002B3EA4" w:rsidTr="0057634C">
        <w:trPr>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55+</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1</w:t>
            </w:r>
          </w:p>
        </w:tc>
        <w:tc>
          <w:tcPr>
            <w:tcW w:w="407"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Total</w:t>
            </w:r>
          </w:p>
        </w:tc>
        <w:tc>
          <w:tcPr>
            <w:tcW w:w="361"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18</w:t>
            </w:r>
          </w:p>
        </w:tc>
        <w:tc>
          <w:tcPr>
            <w:tcW w:w="424"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20</w:t>
            </w:r>
          </w:p>
        </w:tc>
        <w:tc>
          <w:tcPr>
            <w:tcW w:w="446"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14</w:t>
            </w:r>
          </w:p>
        </w:tc>
        <w:tc>
          <w:tcPr>
            <w:tcW w:w="407"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18</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19</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17</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3</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3</w:t>
            </w:r>
          </w:p>
        </w:tc>
        <w:tc>
          <w:tcPr>
            <w:tcW w:w="604"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w:t>
            </w:r>
          </w:p>
        </w:tc>
        <w:tc>
          <w:tcPr>
            <w:tcW w:w="531" w:type="pct"/>
            <w:tcBorders>
              <w:right w:val="single" w:sz="4" w:space="0" w:color="auto"/>
            </w:tcBorders>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113</w:t>
            </w:r>
          </w:p>
        </w:tc>
      </w:tr>
      <w:tr w:rsidR="00171591" w:rsidRPr="002B3EA4" w:rsidTr="0057634C">
        <w:trPr>
          <w:trHeight w:val="227"/>
        </w:trPr>
        <w:tc>
          <w:tcPr>
            <w:tcW w:w="5000" w:type="pct"/>
            <w:gridSpan w:val="11"/>
            <w:tcBorders>
              <w:left w:val="single" w:sz="4" w:space="0" w:color="auto"/>
              <w:right w:val="single" w:sz="4" w:space="0" w:color="auto"/>
            </w:tcBorders>
          </w:tcPr>
          <w:p w:rsidR="00171591" w:rsidRPr="002B3EA4" w:rsidRDefault="00171591" w:rsidP="00171591">
            <w:pPr>
              <w:spacing w:before="0" w:after="0"/>
              <w:jc w:val="center"/>
              <w:rPr>
                <w:b/>
                <w:color w:val="auto"/>
                <w:sz w:val="20"/>
                <w:szCs w:val="20"/>
                <w:lang w:eastAsia="en-AU"/>
              </w:rPr>
            </w:pPr>
            <w:r w:rsidRPr="002B3EA4">
              <w:rPr>
                <w:b/>
                <w:color w:val="auto"/>
                <w:sz w:val="20"/>
                <w:szCs w:val="20"/>
                <w:lang w:eastAsia="en-AU"/>
              </w:rPr>
              <w:t>FEMALE</w:t>
            </w:r>
          </w:p>
        </w:tc>
      </w:tr>
      <w:tr w:rsidR="003A3C10"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25-29</w:t>
            </w:r>
          </w:p>
        </w:tc>
        <w:tc>
          <w:tcPr>
            <w:tcW w:w="361"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38</w:t>
            </w:r>
          </w:p>
        </w:tc>
        <w:tc>
          <w:tcPr>
            <w:tcW w:w="424"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26</w:t>
            </w:r>
          </w:p>
        </w:tc>
        <w:tc>
          <w:tcPr>
            <w:tcW w:w="446"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18</w:t>
            </w:r>
          </w:p>
        </w:tc>
        <w:tc>
          <w:tcPr>
            <w:tcW w:w="407" w:type="pct"/>
            <w:hideMark/>
          </w:tcPr>
          <w:p w:rsidR="003A3C10"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3A3C10" w:rsidRPr="002B3EA4" w:rsidRDefault="003A3C10" w:rsidP="00171591">
            <w:pPr>
              <w:spacing w:before="0" w:after="0"/>
              <w:jc w:val="right"/>
              <w:rPr>
                <w:color w:val="auto"/>
                <w:sz w:val="20"/>
                <w:szCs w:val="20"/>
                <w:lang w:eastAsia="en-AU"/>
              </w:rPr>
            </w:pPr>
            <w:r w:rsidRPr="002A106A">
              <w:rPr>
                <w:color w:val="auto"/>
                <w:sz w:val="20"/>
                <w:szCs w:val="20"/>
                <w:lang w:eastAsia="en-AU"/>
              </w:rPr>
              <w:t>np</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85</w:t>
            </w:r>
          </w:p>
        </w:tc>
      </w:tr>
      <w:tr w:rsidR="003A3C10" w:rsidRPr="002B3EA4" w:rsidTr="0057634C">
        <w:trPr>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30-34</w:t>
            </w:r>
          </w:p>
        </w:tc>
        <w:tc>
          <w:tcPr>
            <w:tcW w:w="361"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32</w:t>
            </w:r>
          </w:p>
        </w:tc>
        <w:tc>
          <w:tcPr>
            <w:tcW w:w="424"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37</w:t>
            </w:r>
          </w:p>
        </w:tc>
        <w:tc>
          <w:tcPr>
            <w:tcW w:w="446"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33</w:t>
            </w:r>
          </w:p>
        </w:tc>
        <w:tc>
          <w:tcPr>
            <w:tcW w:w="407"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55</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36</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30</w:t>
            </w:r>
          </w:p>
        </w:tc>
        <w:tc>
          <w:tcPr>
            <w:tcW w:w="390" w:type="pct"/>
            <w:hideMark/>
          </w:tcPr>
          <w:p w:rsidR="003A3C10" w:rsidRPr="002B3EA4" w:rsidRDefault="003A3C10" w:rsidP="00171591">
            <w:pPr>
              <w:spacing w:before="0" w:after="0"/>
              <w:jc w:val="right"/>
              <w:rPr>
                <w:color w:val="auto"/>
                <w:sz w:val="20"/>
                <w:szCs w:val="20"/>
                <w:lang w:eastAsia="en-AU"/>
              </w:rPr>
            </w:pPr>
            <w:r w:rsidRPr="00610425">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3A3C10" w:rsidRPr="002B3EA4" w:rsidRDefault="003A3C10" w:rsidP="00171591">
            <w:pPr>
              <w:spacing w:before="0" w:after="0"/>
              <w:jc w:val="right"/>
              <w:rPr>
                <w:color w:val="auto"/>
                <w:sz w:val="20"/>
                <w:szCs w:val="20"/>
                <w:lang w:eastAsia="en-AU"/>
              </w:rPr>
            </w:pPr>
            <w:r w:rsidRPr="002A106A">
              <w:rPr>
                <w:color w:val="auto"/>
                <w:sz w:val="20"/>
                <w:szCs w:val="20"/>
                <w:lang w:eastAsia="en-AU"/>
              </w:rPr>
              <w:t>np</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226</w:t>
            </w:r>
          </w:p>
        </w:tc>
      </w:tr>
      <w:tr w:rsidR="003A3C10"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35-39</w:t>
            </w:r>
          </w:p>
        </w:tc>
        <w:tc>
          <w:tcPr>
            <w:tcW w:w="361"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4</w:t>
            </w:r>
          </w:p>
        </w:tc>
        <w:tc>
          <w:tcPr>
            <w:tcW w:w="424"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11</w:t>
            </w:r>
          </w:p>
        </w:tc>
        <w:tc>
          <w:tcPr>
            <w:tcW w:w="446"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12</w:t>
            </w:r>
          </w:p>
        </w:tc>
        <w:tc>
          <w:tcPr>
            <w:tcW w:w="407"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21</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29</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29</w:t>
            </w:r>
          </w:p>
        </w:tc>
        <w:tc>
          <w:tcPr>
            <w:tcW w:w="390" w:type="pct"/>
            <w:hideMark/>
          </w:tcPr>
          <w:p w:rsidR="003A3C10" w:rsidRPr="002B3EA4" w:rsidRDefault="003A3C10" w:rsidP="00171591">
            <w:pPr>
              <w:spacing w:before="0" w:after="0"/>
              <w:jc w:val="right"/>
              <w:rPr>
                <w:color w:val="auto"/>
                <w:sz w:val="20"/>
                <w:szCs w:val="20"/>
                <w:lang w:eastAsia="en-AU"/>
              </w:rPr>
            </w:pPr>
            <w:r w:rsidRPr="00610425">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3</w:t>
            </w:r>
          </w:p>
        </w:tc>
        <w:tc>
          <w:tcPr>
            <w:tcW w:w="604"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111</w:t>
            </w:r>
          </w:p>
        </w:tc>
      </w:tr>
      <w:tr w:rsidR="003A3C10" w:rsidRPr="002B3EA4" w:rsidTr="0057634C">
        <w:trPr>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40-44</w:t>
            </w:r>
          </w:p>
        </w:tc>
        <w:tc>
          <w:tcPr>
            <w:tcW w:w="361"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424"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0</w:t>
            </w:r>
          </w:p>
        </w:tc>
        <w:tc>
          <w:tcPr>
            <w:tcW w:w="446"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4</w:t>
            </w:r>
          </w:p>
        </w:tc>
        <w:tc>
          <w:tcPr>
            <w:tcW w:w="407"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4</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7</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7</w:t>
            </w:r>
          </w:p>
        </w:tc>
        <w:tc>
          <w:tcPr>
            <w:tcW w:w="390" w:type="pct"/>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4</w:t>
            </w:r>
          </w:p>
        </w:tc>
        <w:tc>
          <w:tcPr>
            <w:tcW w:w="390" w:type="pct"/>
            <w:hideMark/>
          </w:tcPr>
          <w:p w:rsidR="003A3C10" w:rsidRPr="002B3EA4" w:rsidRDefault="003A3C10" w:rsidP="00171591">
            <w:pPr>
              <w:spacing w:before="0" w:after="0"/>
              <w:jc w:val="right"/>
              <w:rPr>
                <w:color w:val="auto"/>
                <w:sz w:val="20"/>
                <w:szCs w:val="20"/>
                <w:lang w:eastAsia="en-AU"/>
              </w:rPr>
            </w:pPr>
            <w:r w:rsidRPr="00D513B7">
              <w:rPr>
                <w:color w:val="auto"/>
                <w:sz w:val="20"/>
                <w:szCs w:val="20"/>
                <w:lang w:eastAsia="en-AU"/>
              </w:rPr>
              <w:t>np</w:t>
            </w:r>
          </w:p>
        </w:tc>
        <w:tc>
          <w:tcPr>
            <w:tcW w:w="604" w:type="pct"/>
            <w:hideMark/>
          </w:tcPr>
          <w:p w:rsidR="003A3C10" w:rsidRPr="002B3EA4" w:rsidRDefault="003A3C10" w:rsidP="00171591">
            <w:pPr>
              <w:spacing w:before="0" w:after="0"/>
              <w:jc w:val="right"/>
              <w:rPr>
                <w:color w:val="auto"/>
                <w:sz w:val="20"/>
                <w:szCs w:val="20"/>
                <w:lang w:eastAsia="en-AU"/>
              </w:rPr>
            </w:pPr>
            <w:r w:rsidRPr="00D513B7">
              <w:rPr>
                <w:color w:val="auto"/>
                <w:sz w:val="20"/>
                <w:szCs w:val="20"/>
                <w:lang w:eastAsia="en-AU"/>
              </w:rPr>
              <w:t>np</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28</w:t>
            </w:r>
          </w:p>
        </w:tc>
      </w:tr>
      <w:tr w:rsidR="003A3C10"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45-49</w:t>
            </w:r>
          </w:p>
        </w:tc>
        <w:tc>
          <w:tcPr>
            <w:tcW w:w="361" w:type="pct"/>
            <w:hideMark/>
          </w:tcPr>
          <w:p w:rsidR="003A3C10" w:rsidRPr="002B3EA4" w:rsidRDefault="003A3C10" w:rsidP="00171591">
            <w:pPr>
              <w:spacing w:before="0" w:after="0"/>
              <w:jc w:val="right"/>
              <w:rPr>
                <w:color w:val="auto"/>
                <w:sz w:val="20"/>
                <w:szCs w:val="20"/>
                <w:lang w:eastAsia="en-AU"/>
              </w:rPr>
            </w:pPr>
            <w:r w:rsidRPr="000A1983">
              <w:rPr>
                <w:color w:val="auto"/>
                <w:sz w:val="20"/>
                <w:szCs w:val="20"/>
                <w:lang w:eastAsia="en-AU"/>
              </w:rPr>
              <w:t>np</w:t>
            </w:r>
          </w:p>
        </w:tc>
        <w:tc>
          <w:tcPr>
            <w:tcW w:w="424" w:type="pct"/>
            <w:hideMark/>
          </w:tcPr>
          <w:p w:rsidR="003A3C10" w:rsidRPr="002B3EA4" w:rsidRDefault="003A3C10" w:rsidP="00171591">
            <w:pPr>
              <w:spacing w:before="0" w:after="0"/>
              <w:jc w:val="right"/>
              <w:rPr>
                <w:color w:val="auto"/>
                <w:sz w:val="20"/>
                <w:szCs w:val="20"/>
                <w:lang w:eastAsia="en-AU"/>
              </w:rPr>
            </w:pPr>
            <w:r w:rsidRPr="00293467">
              <w:rPr>
                <w:color w:val="auto"/>
                <w:sz w:val="20"/>
                <w:szCs w:val="20"/>
                <w:lang w:eastAsia="en-AU"/>
              </w:rPr>
              <w:t>np</w:t>
            </w:r>
          </w:p>
        </w:tc>
        <w:tc>
          <w:tcPr>
            <w:tcW w:w="446" w:type="pct"/>
            <w:hideMark/>
          </w:tcPr>
          <w:p w:rsidR="003A3C10" w:rsidRPr="002B3EA4" w:rsidRDefault="003A3C10" w:rsidP="00171591">
            <w:pPr>
              <w:spacing w:before="0" w:after="0"/>
              <w:jc w:val="right"/>
              <w:rPr>
                <w:color w:val="auto"/>
                <w:sz w:val="20"/>
                <w:szCs w:val="20"/>
                <w:lang w:eastAsia="en-AU"/>
              </w:rPr>
            </w:pPr>
            <w:r w:rsidRPr="006560D4">
              <w:rPr>
                <w:color w:val="auto"/>
                <w:sz w:val="20"/>
                <w:szCs w:val="20"/>
                <w:lang w:eastAsia="en-AU"/>
              </w:rPr>
              <w:t>np</w:t>
            </w:r>
          </w:p>
        </w:tc>
        <w:tc>
          <w:tcPr>
            <w:tcW w:w="407" w:type="pct"/>
            <w:hideMark/>
          </w:tcPr>
          <w:p w:rsidR="003A3C10" w:rsidRPr="002B3EA4" w:rsidRDefault="003A3C10" w:rsidP="00171591">
            <w:pPr>
              <w:spacing w:before="0" w:after="0"/>
              <w:jc w:val="right"/>
              <w:rPr>
                <w:color w:val="auto"/>
                <w:sz w:val="20"/>
                <w:szCs w:val="20"/>
                <w:lang w:eastAsia="en-AU"/>
              </w:rPr>
            </w:pPr>
            <w:r w:rsidRPr="004A6D1B">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B51320">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604"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10</w:t>
            </w:r>
          </w:p>
        </w:tc>
      </w:tr>
      <w:tr w:rsidR="003A3C10" w:rsidRPr="002B3EA4" w:rsidTr="0057634C">
        <w:trPr>
          <w:trHeight w:val="227"/>
        </w:trPr>
        <w:tc>
          <w:tcPr>
            <w:tcW w:w="667" w:type="pct"/>
            <w:tcBorders>
              <w:left w:val="single" w:sz="4" w:space="0" w:color="auto"/>
            </w:tcBorders>
            <w:hideMark/>
          </w:tcPr>
          <w:p w:rsidR="003A3C10" w:rsidRPr="002B3EA4" w:rsidRDefault="003A3C10" w:rsidP="00171591">
            <w:pPr>
              <w:spacing w:before="0" w:after="0"/>
              <w:rPr>
                <w:bCs/>
                <w:color w:val="auto"/>
                <w:sz w:val="20"/>
                <w:szCs w:val="20"/>
                <w:lang w:eastAsia="en-AU"/>
              </w:rPr>
            </w:pPr>
            <w:r w:rsidRPr="002B3EA4">
              <w:rPr>
                <w:bCs/>
                <w:color w:val="auto"/>
                <w:sz w:val="20"/>
                <w:szCs w:val="20"/>
                <w:lang w:eastAsia="en-AU"/>
              </w:rPr>
              <w:t>50-54</w:t>
            </w:r>
          </w:p>
        </w:tc>
        <w:tc>
          <w:tcPr>
            <w:tcW w:w="361" w:type="pct"/>
            <w:hideMark/>
          </w:tcPr>
          <w:p w:rsidR="003A3C10" w:rsidRPr="002B3EA4" w:rsidRDefault="003A3C10" w:rsidP="00171591">
            <w:pPr>
              <w:spacing w:before="0" w:after="0"/>
              <w:jc w:val="right"/>
              <w:rPr>
                <w:color w:val="auto"/>
                <w:sz w:val="20"/>
                <w:szCs w:val="20"/>
                <w:lang w:eastAsia="en-AU"/>
              </w:rPr>
            </w:pPr>
            <w:r w:rsidRPr="000A1983">
              <w:rPr>
                <w:color w:val="auto"/>
                <w:sz w:val="20"/>
                <w:szCs w:val="20"/>
                <w:lang w:eastAsia="en-AU"/>
              </w:rPr>
              <w:t>np</w:t>
            </w:r>
          </w:p>
        </w:tc>
        <w:tc>
          <w:tcPr>
            <w:tcW w:w="424" w:type="pct"/>
            <w:hideMark/>
          </w:tcPr>
          <w:p w:rsidR="003A3C10" w:rsidRPr="002B3EA4" w:rsidRDefault="003A3C10" w:rsidP="00171591">
            <w:pPr>
              <w:spacing w:before="0" w:after="0"/>
              <w:jc w:val="right"/>
              <w:rPr>
                <w:color w:val="auto"/>
                <w:sz w:val="20"/>
                <w:szCs w:val="20"/>
                <w:lang w:eastAsia="en-AU"/>
              </w:rPr>
            </w:pPr>
            <w:r w:rsidRPr="00293467">
              <w:rPr>
                <w:color w:val="auto"/>
                <w:sz w:val="20"/>
                <w:szCs w:val="20"/>
                <w:lang w:eastAsia="en-AU"/>
              </w:rPr>
              <w:t>np</w:t>
            </w:r>
          </w:p>
        </w:tc>
        <w:tc>
          <w:tcPr>
            <w:tcW w:w="446" w:type="pct"/>
            <w:hideMark/>
          </w:tcPr>
          <w:p w:rsidR="003A3C10" w:rsidRPr="002B3EA4" w:rsidRDefault="003A3C10" w:rsidP="00171591">
            <w:pPr>
              <w:spacing w:before="0" w:after="0"/>
              <w:jc w:val="right"/>
              <w:rPr>
                <w:color w:val="auto"/>
                <w:sz w:val="20"/>
                <w:szCs w:val="20"/>
                <w:lang w:eastAsia="en-AU"/>
              </w:rPr>
            </w:pPr>
            <w:r w:rsidRPr="006560D4">
              <w:rPr>
                <w:color w:val="auto"/>
                <w:sz w:val="20"/>
                <w:szCs w:val="20"/>
                <w:lang w:eastAsia="en-AU"/>
              </w:rPr>
              <w:t>np</w:t>
            </w:r>
          </w:p>
        </w:tc>
        <w:tc>
          <w:tcPr>
            <w:tcW w:w="407" w:type="pct"/>
            <w:hideMark/>
          </w:tcPr>
          <w:p w:rsidR="003A3C10" w:rsidRPr="002B3EA4" w:rsidRDefault="003A3C10" w:rsidP="00171591">
            <w:pPr>
              <w:spacing w:before="0" w:after="0"/>
              <w:jc w:val="right"/>
              <w:rPr>
                <w:color w:val="auto"/>
                <w:sz w:val="20"/>
                <w:szCs w:val="20"/>
                <w:lang w:eastAsia="en-AU"/>
              </w:rPr>
            </w:pPr>
            <w:r w:rsidRPr="004A6D1B">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B51320">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390"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604" w:type="pct"/>
            <w:hideMark/>
          </w:tcPr>
          <w:p w:rsidR="003A3C10" w:rsidRPr="002B3EA4" w:rsidRDefault="003A3C10" w:rsidP="00171591">
            <w:pPr>
              <w:spacing w:before="0" w:after="0"/>
              <w:jc w:val="right"/>
              <w:rPr>
                <w:color w:val="auto"/>
                <w:sz w:val="20"/>
                <w:szCs w:val="20"/>
                <w:lang w:eastAsia="en-AU"/>
              </w:rPr>
            </w:pPr>
            <w:r w:rsidRPr="009109BC">
              <w:rPr>
                <w:color w:val="auto"/>
                <w:sz w:val="20"/>
                <w:szCs w:val="20"/>
                <w:lang w:eastAsia="en-AU"/>
              </w:rPr>
              <w:t>np</w:t>
            </w:r>
          </w:p>
        </w:tc>
        <w:tc>
          <w:tcPr>
            <w:tcW w:w="531" w:type="pct"/>
            <w:tcBorders>
              <w:right w:val="single" w:sz="4" w:space="0" w:color="auto"/>
            </w:tcBorders>
            <w:hideMark/>
          </w:tcPr>
          <w:p w:rsidR="003A3C10" w:rsidRPr="002B3EA4" w:rsidRDefault="003A3C10" w:rsidP="00171591">
            <w:pPr>
              <w:spacing w:before="0" w:after="0"/>
              <w:jc w:val="right"/>
              <w:rPr>
                <w:color w:val="auto"/>
                <w:sz w:val="20"/>
                <w:szCs w:val="20"/>
                <w:lang w:eastAsia="en-AU"/>
              </w:rPr>
            </w:pPr>
            <w:r w:rsidRPr="002B3EA4">
              <w:rPr>
                <w:color w:val="auto"/>
                <w:sz w:val="20"/>
                <w:szCs w:val="20"/>
                <w:lang w:eastAsia="en-AU"/>
              </w:rPr>
              <w:t>6</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tcBorders>
            <w:hideMark/>
          </w:tcPr>
          <w:p w:rsidR="00171591" w:rsidRPr="002B3EA4" w:rsidRDefault="00171591" w:rsidP="00171591">
            <w:pPr>
              <w:spacing w:before="0" w:after="0"/>
              <w:rPr>
                <w:bCs/>
                <w:color w:val="auto"/>
                <w:sz w:val="20"/>
                <w:szCs w:val="20"/>
                <w:lang w:eastAsia="en-AU"/>
              </w:rPr>
            </w:pPr>
            <w:r w:rsidRPr="002B3EA4">
              <w:rPr>
                <w:bCs/>
                <w:color w:val="auto"/>
                <w:sz w:val="20"/>
                <w:szCs w:val="20"/>
                <w:lang w:eastAsia="en-AU"/>
              </w:rPr>
              <w:t>55+</w:t>
            </w:r>
          </w:p>
        </w:tc>
        <w:tc>
          <w:tcPr>
            <w:tcW w:w="361"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2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46"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407"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390"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604" w:type="pct"/>
            <w:hideMark/>
          </w:tcPr>
          <w:p w:rsidR="00171591" w:rsidRPr="002B3EA4" w:rsidRDefault="00171591" w:rsidP="00171591">
            <w:pPr>
              <w:spacing w:before="0" w:after="0"/>
              <w:jc w:val="right"/>
              <w:rPr>
                <w:color w:val="auto"/>
                <w:sz w:val="20"/>
                <w:szCs w:val="20"/>
                <w:lang w:eastAsia="en-AU"/>
              </w:rPr>
            </w:pPr>
            <w:r w:rsidRPr="002B3EA4">
              <w:rPr>
                <w:color w:val="auto"/>
                <w:sz w:val="20"/>
                <w:szCs w:val="20"/>
                <w:lang w:eastAsia="en-AU"/>
              </w:rPr>
              <w:t>0</w:t>
            </w:r>
          </w:p>
        </w:tc>
        <w:tc>
          <w:tcPr>
            <w:tcW w:w="531" w:type="pct"/>
            <w:tcBorders>
              <w:right w:val="single" w:sz="4" w:space="0" w:color="auto"/>
            </w:tcBorders>
            <w:hideMark/>
          </w:tcPr>
          <w:p w:rsidR="00171591" w:rsidRPr="002B3EA4" w:rsidRDefault="003A3C10" w:rsidP="00171591">
            <w:pPr>
              <w:spacing w:before="0" w:after="0"/>
              <w:jc w:val="right"/>
              <w:rPr>
                <w:color w:val="auto"/>
                <w:sz w:val="20"/>
                <w:szCs w:val="20"/>
                <w:lang w:eastAsia="en-AU"/>
              </w:rPr>
            </w:pPr>
            <w:r>
              <w:rPr>
                <w:color w:val="auto"/>
                <w:sz w:val="20"/>
                <w:szCs w:val="20"/>
                <w:lang w:eastAsia="en-AU"/>
              </w:rPr>
              <w:t>np</w:t>
            </w:r>
          </w:p>
        </w:tc>
      </w:tr>
      <w:tr w:rsidR="00171591" w:rsidRPr="002B3EA4" w:rsidTr="0057634C">
        <w:trPr>
          <w:trHeight w:val="227"/>
        </w:trPr>
        <w:tc>
          <w:tcPr>
            <w:tcW w:w="667" w:type="pct"/>
            <w:tcBorders>
              <w:left w:val="single" w:sz="4" w:space="0" w:color="auto"/>
            </w:tcBorders>
            <w:hideMark/>
          </w:tcPr>
          <w:p w:rsidR="00171591" w:rsidRPr="002B3EA4" w:rsidRDefault="00171591" w:rsidP="00171591">
            <w:pPr>
              <w:spacing w:before="0" w:after="0"/>
              <w:rPr>
                <w:b/>
                <w:bCs/>
                <w:color w:val="auto"/>
                <w:sz w:val="20"/>
                <w:szCs w:val="20"/>
                <w:lang w:eastAsia="en-AU"/>
              </w:rPr>
            </w:pPr>
            <w:r w:rsidRPr="002B3EA4">
              <w:rPr>
                <w:b/>
                <w:bCs/>
                <w:color w:val="auto"/>
                <w:sz w:val="20"/>
                <w:szCs w:val="20"/>
                <w:lang w:eastAsia="en-AU"/>
              </w:rPr>
              <w:t>Total</w:t>
            </w:r>
          </w:p>
        </w:tc>
        <w:tc>
          <w:tcPr>
            <w:tcW w:w="361"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75</w:t>
            </w:r>
          </w:p>
        </w:tc>
        <w:tc>
          <w:tcPr>
            <w:tcW w:w="424"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76</w:t>
            </w:r>
          </w:p>
        </w:tc>
        <w:tc>
          <w:tcPr>
            <w:tcW w:w="446"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69</w:t>
            </w:r>
          </w:p>
        </w:tc>
        <w:tc>
          <w:tcPr>
            <w:tcW w:w="407"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83</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77</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69</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8</w:t>
            </w:r>
          </w:p>
        </w:tc>
        <w:tc>
          <w:tcPr>
            <w:tcW w:w="390"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5</w:t>
            </w:r>
          </w:p>
        </w:tc>
        <w:tc>
          <w:tcPr>
            <w:tcW w:w="604" w:type="pct"/>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5</w:t>
            </w:r>
          </w:p>
        </w:tc>
        <w:tc>
          <w:tcPr>
            <w:tcW w:w="531" w:type="pct"/>
            <w:tcBorders>
              <w:right w:val="single" w:sz="4" w:space="0" w:color="auto"/>
            </w:tcBorders>
            <w:hideMark/>
          </w:tcPr>
          <w:p w:rsidR="00171591" w:rsidRPr="002B3EA4" w:rsidRDefault="00171591" w:rsidP="00171591">
            <w:pPr>
              <w:spacing w:before="0" w:after="0"/>
              <w:jc w:val="right"/>
              <w:rPr>
                <w:b/>
                <w:color w:val="auto"/>
                <w:sz w:val="20"/>
                <w:szCs w:val="20"/>
                <w:lang w:eastAsia="en-AU"/>
              </w:rPr>
            </w:pPr>
            <w:r w:rsidRPr="002B3EA4">
              <w:rPr>
                <w:b/>
                <w:color w:val="auto"/>
                <w:sz w:val="20"/>
                <w:szCs w:val="20"/>
                <w:lang w:eastAsia="en-AU"/>
              </w:rPr>
              <w:t>467</w:t>
            </w:r>
          </w:p>
        </w:tc>
      </w:tr>
      <w:tr w:rsidR="00171591" w:rsidRPr="002B3EA4" w:rsidTr="0057634C">
        <w:trPr>
          <w:cnfStyle w:val="000000100000" w:firstRow="0" w:lastRow="0" w:firstColumn="0" w:lastColumn="0" w:oddVBand="0" w:evenVBand="0" w:oddHBand="1" w:evenHBand="0" w:firstRowFirstColumn="0" w:firstRowLastColumn="0" w:lastRowFirstColumn="0" w:lastRowLastColumn="0"/>
          <w:trHeight w:val="227"/>
        </w:trPr>
        <w:tc>
          <w:tcPr>
            <w:tcW w:w="667" w:type="pct"/>
            <w:tcBorders>
              <w:left w:val="single" w:sz="4" w:space="0" w:color="auto"/>
              <w:bottom w:val="single" w:sz="4" w:space="0" w:color="auto"/>
            </w:tcBorders>
            <w:hideMark/>
          </w:tcPr>
          <w:p w:rsidR="00171591" w:rsidRPr="002B3EA4" w:rsidRDefault="00171591" w:rsidP="00171591">
            <w:pPr>
              <w:spacing w:before="0" w:after="0"/>
              <w:rPr>
                <w:b/>
                <w:bCs/>
                <w:color w:val="auto"/>
                <w:sz w:val="20"/>
                <w:szCs w:val="20"/>
                <w:lang w:eastAsia="en-AU"/>
              </w:rPr>
            </w:pPr>
            <w:r w:rsidRPr="0057634C">
              <w:rPr>
                <w:b/>
                <w:bCs/>
                <w:color w:val="auto"/>
                <w:sz w:val="16"/>
                <w:szCs w:val="20"/>
                <w:lang w:eastAsia="en-AU"/>
              </w:rPr>
              <w:t>Grand Total</w:t>
            </w:r>
          </w:p>
        </w:tc>
        <w:tc>
          <w:tcPr>
            <w:tcW w:w="361"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93</w:t>
            </w:r>
          </w:p>
        </w:tc>
        <w:tc>
          <w:tcPr>
            <w:tcW w:w="424"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96</w:t>
            </w:r>
          </w:p>
        </w:tc>
        <w:tc>
          <w:tcPr>
            <w:tcW w:w="446"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83</w:t>
            </w:r>
          </w:p>
        </w:tc>
        <w:tc>
          <w:tcPr>
            <w:tcW w:w="407"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101</w:t>
            </w:r>
          </w:p>
        </w:tc>
        <w:tc>
          <w:tcPr>
            <w:tcW w:w="390"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96</w:t>
            </w:r>
          </w:p>
        </w:tc>
        <w:tc>
          <w:tcPr>
            <w:tcW w:w="390"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86</w:t>
            </w:r>
          </w:p>
        </w:tc>
        <w:tc>
          <w:tcPr>
            <w:tcW w:w="390"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11</w:t>
            </w:r>
          </w:p>
        </w:tc>
        <w:tc>
          <w:tcPr>
            <w:tcW w:w="390"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8</w:t>
            </w:r>
          </w:p>
        </w:tc>
        <w:tc>
          <w:tcPr>
            <w:tcW w:w="604" w:type="pct"/>
            <w:tcBorders>
              <w:bottom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6</w:t>
            </w:r>
          </w:p>
        </w:tc>
        <w:tc>
          <w:tcPr>
            <w:tcW w:w="531" w:type="pct"/>
            <w:tcBorders>
              <w:bottom w:val="single" w:sz="4" w:space="0" w:color="auto"/>
              <w:right w:val="single" w:sz="4" w:space="0" w:color="auto"/>
            </w:tcBorders>
            <w:noWrap/>
            <w:hideMark/>
          </w:tcPr>
          <w:p w:rsidR="00171591" w:rsidRPr="002B3EA4" w:rsidRDefault="00171591" w:rsidP="00171591">
            <w:pPr>
              <w:spacing w:before="0" w:after="0"/>
              <w:jc w:val="right"/>
              <w:rPr>
                <w:b/>
                <w:bCs/>
                <w:color w:val="auto"/>
                <w:sz w:val="20"/>
                <w:szCs w:val="20"/>
                <w:lang w:eastAsia="en-AU"/>
              </w:rPr>
            </w:pPr>
            <w:r w:rsidRPr="002B3EA4">
              <w:rPr>
                <w:b/>
                <w:bCs/>
                <w:color w:val="auto"/>
                <w:sz w:val="20"/>
                <w:szCs w:val="20"/>
                <w:lang w:eastAsia="en-AU"/>
              </w:rPr>
              <w:t>580</w:t>
            </w:r>
          </w:p>
        </w:tc>
      </w:tr>
    </w:tbl>
    <w:p w:rsidR="00B604C4" w:rsidRPr="00634696" w:rsidRDefault="00F943B3" w:rsidP="00012887">
      <w:pPr>
        <w:rPr>
          <w:i/>
          <w:color w:val="4F81BD"/>
          <w:sz w:val="16"/>
          <w:szCs w:val="16"/>
        </w:rPr>
      </w:pPr>
      <w:r w:rsidRPr="00634696">
        <w:rPr>
          <w:i/>
          <w:color w:val="4F81BD"/>
          <w:sz w:val="16"/>
          <w:szCs w:val="16"/>
        </w:rPr>
        <w:t xml:space="preserve">Source: </w:t>
      </w:r>
      <w:r w:rsidR="00171591" w:rsidRPr="00634696">
        <w:rPr>
          <w:i/>
          <w:color w:val="4F81BD"/>
          <w:sz w:val="16"/>
          <w:szCs w:val="16"/>
        </w:rPr>
        <w:t>NHWDS, Medical Practitioner 2016</w:t>
      </w:r>
    </w:p>
    <w:p w:rsidR="002F4350" w:rsidRDefault="00EC28F0" w:rsidP="00544360">
      <w:r w:rsidRPr="00380E28">
        <w:t>According to the 201</w:t>
      </w:r>
      <w:r w:rsidR="00B33736">
        <w:t>6</w:t>
      </w:r>
      <w:r w:rsidRPr="00380E28">
        <w:t xml:space="preserve"> </w:t>
      </w:r>
      <w:r w:rsidR="001E6BAA">
        <w:t>NHWDS</w:t>
      </w:r>
      <w:r w:rsidRPr="00380E28">
        <w:t xml:space="preserve">, there were </w:t>
      </w:r>
      <w:r w:rsidR="001362FD">
        <w:t>580</w:t>
      </w:r>
      <w:r w:rsidR="00E439C5">
        <w:t xml:space="preserve"> </w:t>
      </w:r>
      <w:r w:rsidR="000F6A1A">
        <w:t>O&amp;G</w:t>
      </w:r>
      <w:r w:rsidRPr="00380E28">
        <w:t xml:space="preserve"> trainees in Australia, with the following</w:t>
      </w:r>
      <w:r w:rsidR="002F4350" w:rsidRPr="00380E28">
        <w:t xml:space="preserve"> </w:t>
      </w:r>
      <w:r w:rsidRPr="00380E28">
        <w:t>characteristics</w:t>
      </w:r>
      <w:r w:rsidR="002F4350" w:rsidRPr="00AE71AD">
        <w:t>:</w:t>
      </w:r>
    </w:p>
    <w:p w:rsidR="004D29A3" w:rsidRDefault="004D29A3" w:rsidP="00544360">
      <w:pPr>
        <w:pStyle w:val="Caption"/>
        <w:keepNext/>
      </w:pPr>
      <w:bookmarkStart w:id="73" w:name="_Toc442268279"/>
      <w:bookmarkStart w:id="74" w:name="_Toc515888817"/>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13</w:t>
      </w:r>
      <w:r w:rsidR="00556A17">
        <w:rPr>
          <w:noProof/>
        </w:rPr>
        <w:fldChar w:fldCharType="end"/>
      </w:r>
      <w:r w:rsidR="009B1FD8">
        <w:t>:</w:t>
      </w:r>
      <w:r w:rsidRPr="00F23728">
        <w:t xml:space="preserve"> </w:t>
      </w:r>
      <w:r w:rsidR="00EC28F0" w:rsidRPr="00F23728">
        <w:t>Demographics</w:t>
      </w:r>
      <w:r w:rsidRPr="00F23728">
        <w:t xml:space="preserve"> of </w:t>
      </w:r>
      <w:r w:rsidR="00887146">
        <w:t>O&amp;G</w:t>
      </w:r>
      <w:r w:rsidR="002F22A5" w:rsidRPr="00F23728">
        <w:t xml:space="preserve"> trainees</w:t>
      </w:r>
      <w:bookmarkEnd w:id="73"/>
      <w:bookmarkEnd w:id="74"/>
    </w:p>
    <w:p w:rsidR="000F6A1A" w:rsidRPr="00191F07" w:rsidRDefault="006C0FB7" w:rsidP="00191F07">
      <w:pPr>
        <w:spacing w:before="0" w:after="0"/>
        <w:rPr>
          <w:i/>
          <w:color w:val="4F81BD" w:themeColor="accent1"/>
          <w:sz w:val="16"/>
        </w:rPr>
      </w:pPr>
      <w:r>
        <w:rPr>
          <w:i/>
          <w:noProof/>
          <w:color w:val="4F81BD" w:themeColor="accent1"/>
          <w:sz w:val="16"/>
          <w:lang w:eastAsia="en-AU"/>
        </w:rPr>
        <w:drawing>
          <wp:inline distT="0" distB="0" distL="0" distR="0" wp14:anchorId="43D8F95A" wp14:editId="75E2BCD8">
            <wp:extent cx="5925820" cy="1195070"/>
            <wp:effectExtent l="0" t="0" r="0" b="5080"/>
            <wp:docPr id="1" name="Picture 1" descr="63% of trainees were aged between 25-34 years.&#10;81% of trainees were female.&#10;81% of trainees were located in NSW, VIC and QLD. &#10;85% of trainees were located in Modified Monash Model Area 1.&#10;89% of trainees were located in the public sector." title="Figure 13: Demographics of obstetrics and gynaecology 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820" cy="1195070"/>
                    </a:xfrm>
                    <a:prstGeom prst="rect">
                      <a:avLst/>
                    </a:prstGeom>
                    <a:noFill/>
                  </pic:spPr>
                </pic:pic>
              </a:graphicData>
            </a:graphic>
          </wp:inline>
        </w:drawing>
      </w:r>
      <w:r w:rsidR="00F943B3" w:rsidRPr="00191F07">
        <w:rPr>
          <w:i/>
          <w:color w:val="4F81BD" w:themeColor="accent1"/>
          <w:sz w:val="16"/>
        </w:rPr>
        <w:t xml:space="preserve">Source: </w:t>
      </w:r>
      <w:r w:rsidR="00B531E6" w:rsidRPr="00191F07">
        <w:rPr>
          <w:i/>
          <w:color w:val="4F81BD" w:themeColor="accent1"/>
          <w:sz w:val="16"/>
        </w:rPr>
        <w:t>NHWDS, Medical Practitioner 201</w:t>
      </w:r>
      <w:r w:rsidR="00F7694E" w:rsidRPr="00191F07">
        <w:rPr>
          <w:i/>
          <w:color w:val="4F81BD" w:themeColor="accent1"/>
          <w:sz w:val="16"/>
        </w:rPr>
        <w:t>6</w:t>
      </w:r>
    </w:p>
    <w:p w:rsidR="0057634C" w:rsidRDefault="0057634C" w:rsidP="0057634C">
      <w:pPr>
        <w:rPr>
          <w:b/>
          <w:color w:val="FFFFFF" w:themeColor="background1"/>
          <w:szCs w:val="22"/>
        </w:rPr>
      </w:pPr>
      <w:r w:rsidRPr="00F274C1">
        <w:fldChar w:fldCharType="begin"/>
      </w:r>
      <w:r w:rsidRPr="00F274C1">
        <w:instrText xml:space="preserve"> REF _Ref442259860 \h  \* MERGEFORMAT </w:instrText>
      </w:r>
      <w:r w:rsidRPr="00F274C1">
        <w:fldChar w:fldCharType="separate"/>
      </w:r>
      <w:r w:rsidR="008C7087" w:rsidRPr="00F23728">
        <w:t xml:space="preserve">Figure </w:t>
      </w:r>
      <w:r w:rsidR="008C7087">
        <w:t>14</w:t>
      </w:r>
      <w:r w:rsidRPr="00F274C1">
        <w:fldChar w:fldCharType="end"/>
      </w:r>
      <w:r w:rsidRPr="00F274C1">
        <w:t xml:space="preserve"> outlines the distribution of trainees and shows that </w:t>
      </w:r>
      <w:r>
        <w:t>the majority of</w:t>
      </w:r>
      <w:r w:rsidRPr="00F274C1">
        <w:t xml:space="preserve"> </w:t>
      </w:r>
      <w:r>
        <w:t xml:space="preserve">O&amp;G </w:t>
      </w:r>
      <w:r w:rsidRPr="00F274C1">
        <w:t>trainees (</w:t>
      </w:r>
      <w:r>
        <w:t>86</w:t>
      </w:r>
      <w:r w:rsidRPr="00F274C1">
        <w:t xml:space="preserve"> per</w:t>
      </w:r>
      <w:r>
        <w:t xml:space="preserve"> </w:t>
      </w:r>
      <w:r w:rsidRPr="00F274C1">
        <w:t>cent) are located in major cities (MM</w:t>
      </w:r>
      <w:r>
        <w:t>M</w:t>
      </w:r>
      <w:r w:rsidRPr="00F274C1">
        <w:t xml:space="preserve">1).  </w:t>
      </w:r>
      <w:r>
        <w:t>Nine per cent of trainees were in MMM2, five per cent in MMM3 and 0.3 per cent in MMM4.</w:t>
      </w:r>
      <w:r w:rsidRPr="00F274C1">
        <w:t xml:space="preserve"> </w:t>
      </w:r>
    </w:p>
    <w:p w:rsidR="0057634C" w:rsidRDefault="0057634C" w:rsidP="0057634C">
      <w:pPr>
        <w:pStyle w:val="Caption"/>
        <w:keepNext/>
      </w:pPr>
      <w:bookmarkStart w:id="75" w:name="_Ref442259860"/>
      <w:bookmarkStart w:id="76" w:name="_Toc442268280"/>
      <w:bookmarkStart w:id="77" w:name="_Toc515888818"/>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14</w:t>
      </w:r>
      <w:r w:rsidR="00556A17">
        <w:rPr>
          <w:noProof/>
        </w:rPr>
        <w:fldChar w:fldCharType="end"/>
      </w:r>
      <w:bookmarkEnd w:id="75"/>
      <w:r>
        <w:t>:</w:t>
      </w:r>
      <w:r w:rsidRPr="00F23728">
        <w:t xml:space="preserve"> Trainees by state and territory and M</w:t>
      </w:r>
      <w:bookmarkEnd w:id="76"/>
      <w:r>
        <w:t>MM</w:t>
      </w:r>
      <w:bookmarkEnd w:id="77"/>
    </w:p>
    <w:p w:rsidR="00573E4D" w:rsidRPr="00573E4D" w:rsidRDefault="00573E4D" w:rsidP="00573E4D">
      <w:r>
        <w:rPr>
          <w:noProof/>
          <w:lang w:eastAsia="en-AU"/>
        </w:rPr>
        <w:drawing>
          <wp:inline distT="0" distB="0" distL="0" distR="0" wp14:anchorId="1673B1CB" wp14:editId="6F786DDE">
            <wp:extent cx="5547995" cy="2249805"/>
            <wp:effectExtent l="0" t="0" r="0" b="0"/>
            <wp:docPr id="17" name="Picture 17" descr="Outlines the distribution of trainees and shows that the majority of obstetrics and gynaecology trainees (86 per cent) are located in major cities (Modified Monash Model 1).  Nine per cent of trainees were in Modified Monash Model 2, five per cent in Modified Monash Model 3 and 0.3 per cent in Modified Monash Model 4." title="Figure 14: Trainees by state and territory and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995" cy="2249805"/>
                    </a:xfrm>
                    <a:prstGeom prst="rect">
                      <a:avLst/>
                    </a:prstGeom>
                    <a:noFill/>
                  </pic:spPr>
                </pic:pic>
              </a:graphicData>
            </a:graphic>
          </wp:inline>
        </w:drawing>
      </w:r>
    </w:p>
    <w:p w:rsidR="0057634C" w:rsidRPr="00012887" w:rsidRDefault="0057634C" w:rsidP="00012887">
      <w:pPr>
        <w:rPr>
          <w:i/>
          <w:color w:val="4F81BD"/>
          <w:sz w:val="16"/>
          <w:szCs w:val="16"/>
        </w:rPr>
      </w:pPr>
      <w:r w:rsidRPr="00012887">
        <w:rPr>
          <w:i/>
          <w:color w:val="4F81BD"/>
          <w:sz w:val="16"/>
          <w:szCs w:val="16"/>
        </w:rPr>
        <w:t>Source: NHWDS, Medical Practitioner 2016</w:t>
      </w:r>
    </w:p>
    <w:p w:rsidR="000F6A1A" w:rsidRPr="002E41FB" w:rsidRDefault="000F6A1A" w:rsidP="000F6A1A">
      <w:r w:rsidRPr="002E41FB">
        <w:lastRenderedPageBreak/>
        <w:t>The following map (</w:t>
      </w:r>
      <w:r w:rsidRPr="002E41FB">
        <w:fldChar w:fldCharType="begin"/>
      </w:r>
      <w:r w:rsidRPr="002E41FB">
        <w:instrText xml:space="preserve"> REF _Ref442259547 \h  \* MERGEFORMAT </w:instrText>
      </w:r>
      <w:r w:rsidRPr="002E41FB">
        <w:fldChar w:fldCharType="separate"/>
      </w:r>
      <w:r w:rsidR="008C7087" w:rsidRPr="002E41FB">
        <w:t xml:space="preserve">Figure </w:t>
      </w:r>
      <w:r w:rsidR="008C7087">
        <w:t>15</w:t>
      </w:r>
      <w:r w:rsidRPr="002E41FB">
        <w:fldChar w:fldCharType="end"/>
      </w:r>
      <w:r w:rsidRPr="002E41FB">
        <w:t xml:space="preserve">) gives a visual overview of the location of </w:t>
      </w:r>
      <w:r>
        <w:t xml:space="preserve">O&amp;G trainees </w:t>
      </w:r>
      <w:r w:rsidRPr="002E41FB">
        <w:t xml:space="preserve">at </w:t>
      </w:r>
      <w:r w:rsidR="00B33736">
        <w:t>the point in time of the survey collect point.</w:t>
      </w:r>
      <w:r w:rsidRPr="002E41FB">
        <w:t xml:space="preserve"> </w:t>
      </w:r>
    </w:p>
    <w:p w:rsidR="000F6A1A" w:rsidRPr="002E41FB" w:rsidRDefault="000F6A1A" w:rsidP="000F6A1A">
      <w:pPr>
        <w:pStyle w:val="Caption"/>
        <w:keepNext/>
      </w:pPr>
      <w:bookmarkStart w:id="78" w:name="_Ref442259547"/>
      <w:bookmarkStart w:id="79" w:name="_Ref442259533"/>
      <w:bookmarkStart w:id="80" w:name="_Toc442268278"/>
      <w:bookmarkStart w:id="81" w:name="_Toc515888819"/>
      <w:r w:rsidRPr="002E41FB">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15</w:t>
      </w:r>
      <w:r w:rsidR="00556A17">
        <w:rPr>
          <w:noProof/>
        </w:rPr>
        <w:fldChar w:fldCharType="end"/>
      </w:r>
      <w:bookmarkEnd w:id="78"/>
      <w:r w:rsidR="00656418">
        <w:t>:</w:t>
      </w:r>
      <w:r w:rsidRPr="002E41FB">
        <w:t xml:space="preserve"> Distribution of </w:t>
      </w:r>
      <w:r>
        <w:t>O&amp;G</w:t>
      </w:r>
      <w:r w:rsidRPr="002E41FB">
        <w:t xml:space="preserve"> trainees</w:t>
      </w:r>
      <w:bookmarkEnd w:id="79"/>
      <w:bookmarkEnd w:id="80"/>
      <w:bookmarkEnd w:id="81"/>
    </w:p>
    <w:p w:rsidR="00DA259F" w:rsidRDefault="00463A0C" w:rsidP="00594356">
      <w:pPr>
        <w:spacing w:before="0" w:after="0"/>
        <w:rPr>
          <w:i/>
          <w:color w:val="4F81BD" w:themeColor="accent1"/>
          <w:sz w:val="16"/>
        </w:rPr>
      </w:pPr>
      <w:r>
        <w:rPr>
          <w:noProof/>
          <w:lang w:eastAsia="en-AU"/>
        </w:rPr>
        <w:drawing>
          <wp:inline distT="0" distB="0" distL="0" distR="0" wp14:anchorId="7A1BD588" wp14:editId="18DBB43A">
            <wp:extent cx="4522926" cy="3244813"/>
            <wp:effectExtent l="0" t="0" r="0" b="0"/>
            <wp:docPr id="732" name="Picture 732" descr="This map gives a visual overview of the location of obstetrics and gynaecology trainees at the point in time of the survey collect point. " title="Figure 15: Distribution of obstetrics and gynaecology 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28053" cy="3248491"/>
                    </a:xfrm>
                    <a:prstGeom prst="rect">
                      <a:avLst/>
                    </a:prstGeom>
                  </pic:spPr>
                </pic:pic>
              </a:graphicData>
            </a:graphic>
          </wp:inline>
        </w:drawing>
      </w:r>
    </w:p>
    <w:p w:rsidR="000E6AD7" w:rsidRPr="008D597C" w:rsidRDefault="000E6AD7" w:rsidP="00594356">
      <w:pPr>
        <w:spacing w:before="0" w:after="0"/>
        <w:rPr>
          <w:i/>
          <w:color w:val="4F81BD" w:themeColor="accent1"/>
          <w:sz w:val="16"/>
        </w:rPr>
      </w:pPr>
      <w:r w:rsidRPr="008D597C">
        <w:rPr>
          <w:i/>
          <w:color w:val="4F81BD" w:themeColor="accent1"/>
          <w:sz w:val="16"/>
        </w:rPr>
        <w:t>Source: NHWDS, Medical Practitioner 2016</w:t>
      </w:r>
    </w:p>
    <w:p w:rsidR="00EE050B" w:rsidRDefault="00D32625" w:rsidP="00544360">
      <w:r w:rsidRPr="00F274C1">
        <w:fldChar w:fldCharType="begin"/>
      </w:r>
      <w:r w:rsidRPr="00F274C1">
        <w:instrText xml:space="preserve"> REF _Ref442259902 \h  \* MERGEFORMAT </w:instrText>
      </w:r>
      <w:r w:rsidRPr="00F274C1">
        <w:fldChar w:fldCharType="separate"/>
      </w:r>
      <w:r w:rsidR="008C7087" w:rsidRPr="00F23728">
        <w:t xml:space="preserve">Table </w:t>
      </w:r>
      <w:r w:rsidR="008C7087">
        <w:t>8</w:t>
      </w:r>
      <w:r w:rsidRPr="00F274C1">
        <w:fldChar w:fldCharType="end"/>
      </w:r>
      <w:r w:rsidRPr="00F274C1">
        <w:t xml:space="preserve"> details the t</w:t>
      </w:r>
      <w:r w:rsidR="004972E4" w:rsidRPr="00F274C1">
        <w:t xml:space="preserve">rainees </w:t>
      </w:r>
      <w:r w:rsidRPr="00F274C1">
        <w:t xml:space="preserve">(FTE) </w:t>
      </w:r>
      <w:r w:rsidR="004972E4" w:rsidRPr="00F274C1">
        <w:t>by location, current year of training and sector</w:t>
      </w:r>
      <w:r w:rsidRPr="00F274C1">
        <w:t>. N</w:t>
      </w:r>
      <w:r w:rsidR="004972E4" w:rsidRPr="00F274C1">
        <w:t xml:space="preserve">ationwide </w:t>
      </w:r>
      <w:r w:rsidR="00A92CCA">
        <w:t xml:space="preserve">the </w:t>
      </w:r>
      <w:r w:rsidR="004972E4" w:rsidRPr="00F274C1">
        <w:t xml:space="preserve">public sector </w:t>
      </w:r>
      <w:r w:rsidR="00BB6315">
        <w:t>is</w:t>
      </w:r>
      <w:r w:rsidR="00C76590">
        <w:t xml:space="preserve"> still dominant </w:t>
      </w:r>
      <w:r w:rsidR="00BB6315">
        <w:t xml:space="preserve">with </w:t>
      </w:r>
      <w:r w:rsidR="00B019CB">
        <w:t>8</w:t>
      </w:r>
      <w:r w:rsidR="00516224">
        <w:t>7</w:t>
      </w:r>
      <w:r w:rsidR="004972E4" w:rsidRPr="00F274C1">
        <w:t xml:space="preserve"> </w:t>
      </w:r>
      <w:r w:rsidR="00382301" w:rsidRPr="00F274C1">
        <w:t>per</w:t>
      </w:r>
      <w:r w:rsidR="00C65FC7">
        <w:t xml:space="preserve"> </w:t>
      </w:r>
      <w:r w:rsidR="00382301" w:rsidRPr="00F274C1">
        <w:t>cent</w:t>
      </w:r>
      <w:r w:rsidR="00BB6315">
        <w:t xml:space="preserve"> of training FTE spent in the sector.</w:t>
      </w:r>
      <w:r w:rsidR="00572525">
        <w:t xml:space="preserve"> </w:t>
      </w:r>
    </w:p>
    <w:p w:rsidR="003304E1" w:rsidRDefault="003304E1" w:rsidP="00544360">
      <w:pPr>
        <w:pStyle w:val="Caption"/>
        <w:keepNext/>
      </w:pPr>
      <w:bookmarkStart w:id="82" w:name="_Ref442259902"/>
      <w:bookmarkStart w:id="83" w:name="_Toc515887829"/>
      <w:r w:rsidRPr="00F23728">
        <w:t xml:space="preserve">Table </w:t>
      </w:r>
      <w:r w:rsidR="008F108A" w:rsidRPr="00F23728">
        <w:fldChar w:fldCharType="begin"/>
      </w:r>
      <w:r w:rsidR="00F90CFA" w:rsidRPr="00F23728">
        <w:instrText xml:space="preserve"> SEQ Table \* ARABIC </w:instrText>
      </w:r>
      <w:r w:rsidR="008F108A" w:rsidRPr="00F23728">
        <w:fldChar w:fldCharType="separate"/>
      </w:r>
      <w:r w:rsidR="008C7087">
        <w:rPr>
          <w:noProof/>
        </w:rPr>
        <w:t>8</w:t>
      </w:r>
      <w:r w:rsidR="008F108A" w:rsidRPr="00F23728">
        <w:rPr>
          <w:noProof/>
        </w:rPr>
        <w:fldChar w:fldCharType="end"/>
      </w:r>
      <w:bookmarkEnd w:id="82"/>
      <w:r w:rsidR="00656418">
        <w:rPr>
          <w:noProof/>
        </w:rPr>
        <w:t>:</w:t>
      </w:r>
      <w:r w:rsidRPr="00F23728">
        <w:t xml:space="preserve"> </w:t>
      </w:r>
      <w:r w:rsidR="00E003CE">
        <w:t>T</w:t>
      </w:r>
      <w:r w:rsidR="00BF18B3">
        <w:t>rainee</w:t>
      </w:r>
      <w:r w:rsidRPr="00F23728">
        <w:t xml:space="preserve"> </w:t>
      </w:r>
      <w:r w:rsidR="00E003CE">
        <w:t xml:space="preserve">FTE (total hours) </w:t>
      </w:r>
      <w:r w:rsidRPr="00F23728">
        <w:t xml:space="preserve">by </w:t>
      </w:r>
      <w:r w:rsidR="00BF18B3">
        <w:t>training year</w:t>
      </w:r>
      <w:r w:rsidRPr="00F23728">
        <w:t xml:space="preserve"> and sector</w:t>
      </w:r>
      <w:bookmarkEnd w:id="83"/>
    </w:p>
    <w:tbl>
      <w:tblPr>
        <w:tblStyle w:val="LightShading-Accent1"/>
        <w:tblW w:w="4879" w:type="pct"/>
        <w:tblInd w:w="108" w:type="dxa"/>
        <w:tblLook w:val="0420" w:firstRow="1" w:lastRow="0" w:firstColumn="0" w:lastColumn="0" w:noHBand="0" w:noVBand="1"/>
        <w:tblDescription w:val="Shows the trainees (full time equivalent) by location, current year of training and sector. Nationwide the public sector is dominant with 87 per cent of training full time equivalent spent in the sector."/>
      </w:tblPr>
      <w:tblGrid>
        <w:gridCol w:w="1669"/>
        <w:gridCol w:w="884"/>
        <w:gridCol w:w="660"/>
        <w:gridCol w:w="815"/>
        <w:gridCol w:w="611"/>
        <w:gridCol w:w="631"/>
        <w:gridCol w:w="606"/>
        <w:gridCol w:w="606"/>
        <w:gridCol w:w="606"/>
        <w:gridCol w:w="606"/>
        <w:gridCol w:w="606"/>
        <w:gridCol w:w="718"/>
      </w:tblGrid>
      <w:tr w:rsidR="007A47F9" w:rsidRPr="009D20C2" w:rsidTr="00E161CE">
        <w:trPr>
          <w:cnfStyle w:val="100000000000" w:firstRow="1" w:lastRow="0" w:firstColumn="0" w:lastColumn="0" w:oddVBand="0" w:evenVBand="0" w:oddHBand="0" w:evenHBand="0" w:firstRowFirstColumn="0" w:firstRowLastColumn="0" w:lastRowFirstColumn="0" w:lastRowLastColumn="0"/>
          <w:trHeight w:val="227"/>
          <w:tblHeader/>
        </w:trPr>
        <w:tc>
          <w:tcPr>
            <w:tcW w:w="925" w:type="pct"/>
            <w:tcBorders>
              <w:top w:val="single" w:sz="4" w:space="0" w:color="auto"/>
              <w:left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State</w:t>
            </w:r>
          </w:p>
        </w:tc>
        <w:tc>
          <w:tcPr>
            <w:tcW w:w="490"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Sector</w:t>
            </w:r>
          </w:p>
        </w:tc>
        <w:tc>
          <w:tcPr>
            <w:tcW w:w="36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1st</w:t>
            </w:r>
          </w:p>
        </w:tc>
        <w:tc>
          <w:tcPr>
            <w:tcW w:w="452"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2nd</w:t>
            </w:r>
          </w:p>
        </w:tc>
        <w:tc>
          <w:tcPr>
            <w:tcW w:w="339"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3rd</w:t>
            </w:r>
          </w:p>
        </w:tc>
        <w:tc>
          <w:tcPr>
            <w:tcW w:w="350"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4th</w:t>
            </w:r>
          </w:p>
        </w:tc>
        <w:tc>
          <w:tcPr>
            <w:tcW w:w="33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5th</w:t>
            </w:r>
          </w:p>
        </w:tc>
        <w:tc>
          <w:tcPr>
            <w:tcW w:w="33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6th</w:t>
            </w:r>
          </w:p>
        </w:tc>
        <w:tc>
          <w:tcPr>
            <w:tcW w:w="33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7th</w:t>
            </w:r>
          </w:p>
        </w:tc>
        <w:tc>
          <w:tcPr>
            <w:tcW w:w="33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8th</w:t>
            </w:r>
          </w:p>
        </w:tc>
        <w:tc>
          <w:tcPr>
            <w:tcW w:w="336" w:type="pct"/>
            <w:tcBorders>
              <w:top w:val="single" w:sz="4" w:space="0" w:color="auto"/>
              <w:bottom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w:t>
            </w:r>
          </w:p>
        </w:tc>
        <w:tc>
          <w:tcPr>
            <w:tcW w:w="398" w:type="pct"/>
            <w:tcBorders>
              <w:top w:val="single" w:sz="4" w:space="0" w:color="auto"/>
              <w:bottom w:val="single" w:sz="4" w:space="0" w:color="auto"/>
              <w:right w:val="single" w:sz="4" w:space="0" w:color="auto"/>
            </w:tcBorders>
            <w:shd w:val="clear" w:color="auto" w:fill="1F497D" w:themeFill="text2"/>
            <w:hideMark/>
          </w:tcPr>
          <w:p w:rsidR="00D74411" w:rsidRPr="009D20C2" w:rsidRDefault="00D74411" w:rsidP="00E161CE">
            <w:pPr>
              <w:spacing w:before="0" w:after="0"/>
              <w:jc w:val="center"/>
              <w:rPr>
                <w:bCs w:val="0"/>
                <w:color w:val="FFFFFF" w:themeColor="background1"/>
                <w:sz w:val="20"/>
                <w:szCs w:val="20"/>
                <w:lang w:eastAsia="en-AU"/>
              </w:rPr>
            </w:pPr>
            <w:r w:rsidRPr="009D20C2">
              <w:rPr>
                <w:bCs w:val="0"/>
                <w:color w:val="FFFFFF" w:themeColor="background1"/>
                <w:sz w:val="20"/>
                <w:szCs w:val="20"/>
                <w:lang w:eastAsia="en-AU"/>
              </w:rPr>
              <w:t>Total</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single" w:sz="4" w:space="0" w:color="auto"/>
              <w:left w:val="single" w:sz="4" w:space="0" w:color="auto"/>
              <w:bottom w:val="nil"/>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NSW</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Public  </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42.2</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38.6</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35.3</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47.9</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28.5</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16.7</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5.1</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2.4</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217.9</w:t>
            </w:r>
          </w:p>
        </w:tc>
      </w:tr>
      <w:tr w:rsidR="007A47F9" w:rsidRPr="009D20C2" w:rsidTr="00E161CE">
        <w:trPr>
          <w:trHeight w:val="227"/>
        </w:trPr>
        <w:tc>
          <w:tcPr>
            <w:tcW w:w="925" w:type="pct"/>
            <w:tcBorders>
              <w:top w:val="nil"/>
              <w:left w:val="single" w:sz="4" w:space="0" w:color="auto"/>
              <w:bottom w:val="nil"/>
            </w:tcBorders>
            <w:shd w:val="clear" w:color="auto" w:fill="D3DFEE" w:themeFill="accent1" w:themeFillTint="3F"/>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Private  </w:t>
            </w:r>
          </w:p>
        </w:tc>
        <w:tc>
          <w:tcPr>
            <w:tcW w:w="36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5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1.4</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1.4</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nil"/>
              <w:left w:val="single" w:sz="4" w:space="0" w:color="auto"/>
              <w:bottom w:val="single" w:sz="4" w:space="0" w:color="auto"/>
            </w:tcBorders>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Both  </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7.4</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3.1</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5.5</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8.3</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9.9</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36.2</w:t>
            </w:r>
          </w:p>
        </w:tc>
      </w:tr>
      <w:tr w:rsidR="007A47F9" w:rsidRPr="009D20C2" w:rsidTr="00E161CE">
        <w:trPr>
          <w:trHeight w:val="227"/>
        </w:trPr>
        <w:tc>
          <w:tcPr>
            <w:tcW w:w="925" w:type="pct"/>
            <w:tcBorders>
              <w:top w:val="single" w:sz="4" w:space="0" w:color="auto"/>
              <w:left w:val="single" w:sz="4" w:space="0" w:color="auto"/>
              <w:bottom w:val="nil"/>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VIC</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Public  </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33</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38.6</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27.5</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21.6</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22.3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33.2</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2.4</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183</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nil"/>
              <w:left w:val="single" w:sz="4" w:space="0" w:color="auto"/>
              <w:bottom w:val="nil"/>
            </w:tcBorders>
            <w:shd w:val="clear" w:color="auto" w:fill="FFFFFF" w:themeFill="background1"/>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Private  </w:t>
            </w:r>
          </w:p>
        </w:tc>
        <w:tc>
          <w:tcPr>
            <w:tcW w:w="36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0.9</w:t>
            </w:r>
          </w:p>
        </w:tc>
        <w:tc>
          <w:tcPr>
            <w:tcW w:w="452"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5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w:t>
            </w:r>
          </w:p>
        </w:tc>
      </w:tr>
      <w:tr w:rsidR="007A47F9" w:rsidRPr="009D20C2" w:rsidTr="00E161CE">
        <w:trPr>
          <w:trHeight w:val="227"/>
        </w:trPr>
        <w:tc>
          <w:tcPr>
            <w:tcW w:w="925" w:type="pct"/>
            <w:tcBorders>
              <w:top w:val="nil"/>
              <w:left w:val="single" w:sz="4" w:space="0" w:color="auto"/>
              <w:bottom w:val="single" w:sz="4" w:space="0" w:color="auto"/>
            </w:tcBorders>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Both  </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2.8</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2.5</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4.7</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2.9</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6.9</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6.1</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26.8</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single" w:sz="4" w:space="0" w:color="auto"/>
              <w:left w:val="single" w:sz="4" w:space="0" w:color="auto"/>
              <w:bottom w:val="nil"/>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QLD</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Public  </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26.6</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16.4</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24.9</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23.3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24.2</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2.6</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135.4</w:t>
            </w:r>
          </w:p>
        </w:tc>
      </w:tr>
      <w:tr w:rsidR="007A47F9" w:rsidRPr="009D20C2" w:rsidTr="00E161CE">
        <w:trPr>
          <w:trHeight w:val="227"/>
        </w:trPr>
        <w:tc>
          <w:tcPr>
            <w:tcW w:w="925" w:type="pct"/>
            <w:tcBorders>
              <w:top w:val="nil"/>
              <w:left w:val="single" w:sz="4" w:space="0" w:color="auto"/>
              <w:bottom w:val="nil"/>
            </w:tcBorders>
            <w:shd w:val="clear" w:color="auto" w:fill="D3DFEE" w:themeFill="accent1" w:themeFillTint="3F"/>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Private  </w:t>
            </w:r>
          </w:p>
        </w:tc>
        <w:tc>
          <w:tcPr>
            <w:tcW w:w="36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0.1</w:t>
            </w:r>
          </w:p>
        </w:tc>
        <w:tc>
          <w:tcPr>
            <w:tcW w:w="350"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nil"/>
              <w:left w:val="single" w:sz="4" w:space="0" w:color="auto"/>
              <w:bottom w:val="single" w:sz="4" w:space="0" w:color="auto"/>
            </w:tcBorders>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 xml:space="preserve">Both  </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4.7</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1.8</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1.7</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9.2</w:t>
            </w:r>
          </w:p>
        </w:tc>
      </w:tr>
      <w:tr w:rsidR="007A47F9" w:rsidRPr="009D20C2" w:rsidTr="00E161CE">
        <w:trPr>
          <w:trHeight w:val="227"/>
        </w:trPr>
        <w:tc>
          <w:tcPr>
            <w:tcW w:w="925" w:type="pct"/>
            <w:tcBorders>
              <w:top w:val="single" w:sz="4" w:space="0" w:color="auto"/>
              <w:left w:val="single" w:sz="4" w:space="0" w:color="auto"/>
              <w:bottom w:val="nil"/>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SA</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Public</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5.9</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8.2</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3.7</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10.7</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5.4</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9.3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1.6</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44.8</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nil"/>
              <w:left w:val="single" w:sz="4" w:space="0" w:color="auto"/>
              <w:bottom w:val="single" w:sz="4" w:space="0" w:color="auto"/>
            </w:tcBorders>
            <w:shd w:val="clear" w:color="auto" w:fill="FFFFFF" w:themeFill="background1"/>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Both</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2.6</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4.6</w:t>
            </w:r>
          </w:p>
        </w:tc>
      </w:tr>
      <w:tr w:rsidR="007A47F9" w:rsidRPr="009D20C2" w:rsidTr="00E161CE">
        <w:trPr>
          <w:trHeight w:val="227"/>
        </w:trPr>
        <w:tc>
          <w:tcPr>
            <w:tcW w:w="925" w:type="pct"/>
            <w:tcBorders>
              <w:top w:val="single" w:sz="4" w:space="0" w:color="auto"/>
              <w:left w:val="single" w:sz="4" w:space="0" w:color="auto"/>
              <w:bottom w:val="nil"/>
            </w:tcBorders>
            <w:shd w:val="clear" w:color="auto" w:fill="D3DFEE"/>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WA</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Public</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8.3</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8.4</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5</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10.8</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3.9</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47.7</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nil"/>
              <w:left w:val="single" w:sz="4" w:space="0" w:color="auto"/>
              <w:bottom w:val="single" w:sz="4" w:space="0" w:color="auto"/>
            </w:tcBorders>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Both</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1.3</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2.7</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8.9</w:t>
            </w:r>
          </w:p>
        </w:tc>
      </w:tr>
      <w:tr w:rsidR="007A47F9" w:rsidRPr="009D20C2" w:rsidTr="00E161CE">
        <w:trPr>
          <w:trHeight w:val="227"/>
        </w:trPr>
        <w:tc>
          <w:tcPr>
            <w:tcW w:w="925" w:type="pct"/>
            <w:tcBorders>
              <w:top w:val="single" w:sz="4" w:space="0" w:color="auto"/>
              <w:left w:val="single" w:sz="4" w:space="0" w:color="auto"/>
              <w:bottom w:val="single" w:sz="4" w:space="0" w:color="auto"/>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NT</w:t>
            </w:r>
          </w:p>
        </w:tc>
        <w:tc>
          <w:tcPr>
            <w:tcW w:w="490"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Private</w:t>
            </w:r>
          </w:p>
        </w:tc>
        <w:tc>
          <w:tcPr>
            <w:tcW w:w="36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2.8</w:t>
            </w:r>
          </w:p>
        </w:tc>
        <w:tc>
          <w:tcPr>
            <w:tcW w:w="339"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50"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1.1</w:t>
            </w:r>
          </w:p>
        </w:tc>
        <w:tc>
          <w:tcPr>
            <w:tcW w:w="33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3.7</w:t>
            </w:r>
          </w:p>
        </w:tc>
        <w:tc>
          <w:tcPr>
            <w:tcW w:w="33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single" w:sz="4" w:space="0" w:color="auto"/>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7.6</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single" w:sz="4" w:space="0" w:color="auto"/>
              <w:left w:val="single" w:sz="4" w:space="0" w:color="auto"/>
              <w:bottom w:val="nil"/>
            </w:tcBorders>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ACT</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Public</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3.8</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2.5</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3.7</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1.7</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13.7</w:t>
            </w:r>
          </w:p>
        </w:tc>
      </w:tr>
      <w:tr w:rsidR="007A47F9" w:rsidRPr="009D20C2" w:rsidTr="00E161CE">
        <w:trPr>
          <w:trHeight w:val="227"/>
        </w:trPr>
        <w:tc>
          <w:tcPr>
            <w:tcW w:w="925" w:type="pct"/>
            <w:tcBorders>
              <w:top w:val="nil"/>
              <w:left w:val="single" w:sz="4" w:space="0" w:color="auto"/>
              <w:bottom w:val="single" w:sz="4" w:space="0" w:color="auto"/>
            </w:tcBorders>
            <w:shd w:val="clear" w:color="auto" w:fill="D3DFEE" w:themeFill="accent1" w:themeFillTint="3F"/>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Both</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single" w:sz="4" w:space="0" w:color="auto"/>
              <w:left w:val="single" w:sz="4" w:space="0" w:color="auto"/>
              <w:bottom w:val="nil"/>
            </w:tcBorders>
            <w:shd w:val="clear" w:color="auto" w:fill="FFFFFF" w:themeFill="background1"/>
            <w:vAlign w:val="center"/>
            <w:hideMark/>
          </w:tcPr>
          <w:p w:rsidR="00D74411" w:rsidRPr="009D20C2" w:rsidRDefault="00D74411" w:rsidP="00DC6434">
            <w:pPr>
              <w:spacing w:before="0" w:after="0"/>
              <w:jc w:val="center"/>
              <w:rPr>
                <w:b/>
                <w:bCs/>
                <w:color w:val="auto"/>
                <w:sz w:val="20"/>
                <w:szCs w:val="20"/>
                <w:lang w:eastAsia="en-AU"/>
              </w:rPr>
            </w:pPr>
            <w:r w:rsidRPr="009D20C2">
              <w:rPr>
                <w:b/>
                <w:bCs/>
                <w:color w:val="auto"/>
                <w:sz w:val="20"/>
                <w:szCs w:val="20"/>
                <w:lang w:eastAsia="en-AU"/>
              </w:rPr>
              <w:t>TAS</w:t>
            </w:r>
          </w:p>
        </w:tc>
        <w:tc>
          <w:tcPr>
            <w:tcW w:w="49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Public</w:t>
            </w:r>
          </w:p>
        </w:tc>
        <w:tc>
          <w:tcPr>
            <w:tcW w:w="36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2.4</w:t>
            </w:r>
          </w:p>
        </w:tc>
        <w:tc>
          <w:tcPr>
            <w:tcW w:w="452"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2</w:t>
            </w:r>
          </w:p>
        </w:tc>
        <w:tc>
          <w:tcPr>
            <w:tcW w:w="339"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3.8</w:t>
            </w:r>
          </w:p>
        </w:tc>
        <w:tc>
          <w:tcPr>
            <w:tcW w:w="350"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3.4</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1.3</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single" w:sz="4" w:space="0" w:color="auto"/>
              <w:bottom w:val="nil"/>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single" w:sz="4" w:space="0" w:color="auto"/>
              <w:bottom w:val="nil"/>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12.8</w:t>
            </w:r>
          </w:p>
        </w:tc>
      </w:tr>
      <w:tr w:rsidR="007A47F9" w:rsidRPr="009D20C2" w:rsidTr="00E161CE">
        <w:trPr>
          <w:trHeight w:val="227"/>
        </w:trPr>
        <w:tc>
          <w:tcPr>
            <w:tcW w:w="925" w:type="pct"/>
            <w:tcBorders>
              <w:top w:val="nil"/>
              <w:left w:val="single" w:sz="4" w:space="0" w:color="auto"/>
              <w:bottom w:val="single" w:sz="4" w:space="0" w:color="auto"/>
            </w:tcBorders>
            <w:shd w:val="clear" w:color="auto" w:fill="FFFFFF" w:themeFill="background1"/>
            <w:vAlign w:val="center"/>
            <w:hideMark/>
          </w:tcPr>
          <w:p w:rsidR="00D74411" w:rsidRPr="009D20C2" w:rsidRDefault="00D74411" w:rsidP="00DC6434">
            <w:pPr>
              <w:spacing w:before="0" w:after="0"/>
              <w:jc w:val="center"/>
              <w:rPr>
                <w:b/>
                <w:bCs/>
                <w:color w:val="auto"/>
                <w:sz w:val="20"/>
                <w:szCs w:val="20"/>
                <w:lang w:eastAsia="en-AU"/>
              </w:rPr>
            </w:pPr>
          </w:p>
        </w:tc>
        <w:tc>
          <w:tcPr>
            <w:tcW w:w="49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Both</w:t>
            </w:r>
          </w:p>
        </w:tc>
        <w:tc>
          <w:tcPr>
            <w:tcW w:w="36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452"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1.5</w:t>
            </w:r>
          </w:p>
        </w:tc>
        <w:tc>
          <w:tcPr>
            <w:tcW w:w="339"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50"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1.6</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1</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36" w:type="pct"/>
            <w:tcBorders>
              <w:top w:val="nil"/>
              <w:bottom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0</w:t>
            </w:r>
          </w:p>
        </w:tc>
        <w:tc>
          <w:tcPr>
            <w:tcW w:w="398" w:type="pct"/>
            <w:tcBorders>
              <w:top w:val="nil"/>
              <w:bottom w:val="single" w:sz="4" w:space="0" w:color="auto"/>
              <w:right w:val="single" w:sz="4" w:space="0" w:color="auto"/>
            </w:tcBorders>
            <w:hideMark/>
          </w:tcPr>
          <w:p w:rsidR="00D74411" w:rsidRPr="009D20C2" w:rsidRDefault="00D74411" w:rsidP="00DC6434">
            <w:pPr>
              <w:spacing w:before="0" w:after="0"/>
              <w:jc w:val="right"/>
              <w:rPr>
                <w:color w:val="auto"/>
                <w:sz w:val="20"/>
                <w:szCs w:val="20"/>
                <w:lang w:eastAsia="en-AU"/>
              </w:rPr>
            </w:pPr>
            <w:r w:rsidRPr="009D20C2">
              <w:rPr>
                <w:color w:val="auto"/>
                <w:sz w:val="20"/>
                <w:szCs w:val="20"/>
                <w:lang w:eastAsia="en-AU"/>
              </w:rPr>
              <w:t>4.1</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top w:val="single" w:sz="4" w:space="0" w:color="auto"/>
              <w:left w:val="single" w:sz="4" w:space="0" w:color="auto"/>
            </w:tcBorders>
            <w:vAlign w:val="center"/>
            <w:hideMark/>
          </w:tcPr>
          <w:p w:rsidR="007A47F9" w:rsidRPr="009D20C2" w:rsidRDefault="007A47F9" w:rsidP="00DC6434">
            <w:pPr>
              <w:spacing w:before="0" w:after="0"/>
              <w:jc w:val="center"/>
              <w:rPr>
                <w:b/>
                <w:bCs/>
                <w:color w:val="auto"/>
                <w:sz w:val="20"/>
                <w:szCs w:val="20"/>
                <w:lang w:eastAsia="en-AU"/>
              </w:rPr>
            </w:pPr>
            <w:r w:rsidRPr="009D20C2">
              <w:rPr>
                <w:b/>
                <w:bCs/>
                <w:color w:val="auto"/>
                <w:sz w:val="20"/>
                <w:szCs w:val="20"/>
                <w:lang w:eastAsia="en-AU"/>
              </w:rPr>
              <w:t>Australia (%)</w:t>
            </w:r>
          </w:p>
        </w:tc>
        <w:tc>
          <w:tcPr>
            <w:tcW w:w="490"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Public</w:t>
            </w:r>
          </w:p>
        </w:tc>
        <w:tc>
          <w:tcPr>
            <w:tcW w:w="36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16</w:t>
            </w:r>
          </w:p>
        </w:tc>
        <w:tc>
          <w:tcPr>
            <w:tcW w:w="452"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15.2</w:t>
            </w:r>
          </w:p>
        </w:tc>
        <w:tc>
          <w:tcPr>
            <w:tcW w:w="339"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12.5</w:t>
            </w:r>
          </w:p>
        </w:tc>
        <w:tc>
          <w:tcPr>
            <w:tcW w:w="350"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15.8</w:t>
            </w:r>
          </w:p>
        </w:tc>
        <w:tc>
          <w:tcPr>
            <w:tcW w:w="33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12.5</w:t>
            </w:r>
          </w:p>
        </w:tc>
        <w:tc>
          <w:tcPr>
            <w:tcW w:w="33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11.6</w:t>
            </w:r>
          </w:p>
        </w:tc>
        <w:tc>
          <w:tcPr>
            <w:tcW w:w="33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1.5</w:t>
            </w:r>
          </w:p>
        </w:tc>
        <w:tc>
          <w:tcPr>
            <w:tcW w:w="33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0.9</w:t>
            </w:r>
          </w:p>
        </w:tc>
        <w:tc>
          <w:tcPr>
            <w:tcW w:w="336" w:type="pct"/>
            <w:tcBorders>
              <w:top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0.8</w:t>
            </w:r>
          </w:p>
        </w:tc>
        <w:tc>
          <w:tcPr>
            <w:tcW w:w="398" w:type="pct"/>
            <w:tcBorders>
              <w:top w:val="single" w:sz="4" w:space="0" w:color="auto"/>
              <w:right w:val="single" w:sz="4" w:space="0" w:color="auto"/>
            </w:tcBorders>
            <w:hideMark/>
          </w:tcPr>
          <w:p w:rsidR="007A47F9" w:rsidRPr="009D20C2" w:rsidRDefault="007A47F9" w:rsidP="00DC6434">
            <w:pPr>
              <w:spacing w:before="0" w:after="0"/>
              <w:jc w:val="right"/>
              <w:rPr>
                <w:b/>
                <w:color w:val="auto"/>
                <w:sz w:val="20"/>
                <w:szCs w:val="20"/>
                <w:lang w:eastAsia="en-AU"/>
              </w:rPr>
            </w:pPr>
            <w:r w:rsidRPr="009D20C2">
              <w:rPr>
                <w:b/>
                <w:color w:val="auto"/>
                <w:sz w:val="20"/>
                <w:szCs w:val="20"/>
                <w:lang w:eastAsia="en-AU"/>
              </w:rPr>
              <w:t>86.8</w:t>
            </w:r>
          </w:p>
        </w:tc>
      </w:tr>
      <w:tr w:rsidR="007A47F9" w:rsidRPr="009D20C2" w:rsidTr="00E161CE">
        <w:trPr>
          <w:trHeight w:val="227"/>
        </w:trPr>
        <w:tc>
          <w:tcPr>
            <w:tcW w:w="925" w:type="pct"/>
            <w:tcBorders>
              <w:left w:val="single" w:sz="4" w:space="0" w:color="auto"/>
            </w:tcBorders>
            <w:shd w:val="clear" w:color="auto" w:fill="D3DFEE" w:themeFill="accent1" w:themeFillTint="3F"/>
            <w:hideMark/>
          </w:tcPr>
          <w:p w:rsidR="00D74411" w:rsidRPr="009D20C2" w:rsidRDefault="00D74411" w:rsidP="00DC6434">
            <w:pPr>
              <w:spacing w:before="0" w:after="0"/>
              <w:jc w:val="left"/>
              <w:rPr>
                <w:b/>
                <w:bCs/>
                <w:color w:val="auto"/>
                <w:sz w:val="20"/>
                <w:szCs w:val="20"/>
                <w:lang w:eastAsia="en-AU"/>
              </w:rPr>
            </w:pPr>
          </w:p>
        </w:tc>
        <w:tc>
          <w:tcPr>
            <w:tcW w:w="490" w:type="pct"/>
            <w:hideMark/>
          </w:tcPr>
          <w:p w:rsidR="00D74411" w:rsidRPr="009D20C2" w:rsidRDefault="00D74411" w:rsidP="00DC6434">
            <w:pPr>
              <w:spacing w:before="0" w:after="0"/>
              <w:jc w:val="right"/>
              <w:rPr>
                <w:b/>
                <w:color w:val="auto"/>
                <w:sz w:val="20"/>
                <w:szCs w:val="20"/>
                <w:lang w:eastAsia="en-AU"/>
              </w:rPr>
            </w:pPr>
            <w:r w:rsidRPr="009D20C2">
              <w:rPr>
                <w:b/>
                <w:color w:val="auto"/>
                <w:sz w:val="20"/>
                <w:szCs w:val="20"/>
                <w:lang w:eastAsia="en-AU"/>
              </w:rPr>
              <w:t>Private</w:t>
            </w:r>
          </w:p>
        </w:tc>
        <w:tc>
          <w:tcPr>
            <w:tcW w:w="36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.11</w:t>
            </w:r>
          </w:p>
        </w:tc>
        <w:tc>
          <w:tcPr>
            <w:tcW w:w="452"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w:t>
            </w:r>
          </w:p>
        </w:tc>
        <w:tc>
          <w:tcPr>
            <w:tcW w:w="339"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0.01</w:t>
            </w:r>
          </w:p>
        </w:tc>
        <w:tc>
          <w:tcPr>
            <w:tcW w:w="350"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0.14</w:t>
            </w:r>
          </w:p>
        </w:tc>
        <w:tc>
          <w:tcPr>
            <w:tcW w:w="33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0.27</w:t>
            </w:r>
          </w:p>
        </w:tc>
        <w:tc>
          <w:tcPr>
            <w:tcW w:w="33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0.14</w:t>
            </w:r>
          </w:p>
        </w:tc>
        <w:tc>
          <w:tcPr>
            <w:tcW w:w="33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w:t>
            </w:r>
          </w:p>
        </w:tc>
        <w:tc>
          <w:tcPr>
            <w:tcW w:w="33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0.18</w:t>
            </w:r>
          </w:p>
        </w:tc>
        <w:tc>
          <w:tcPr>
            <w:tcW w:w="336" w:type="pct"/>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w:t>
            </w:r>
          </w:p>
        </w:tc>
        <w:tc>
          <w:tcPr>
            <w:tcW w:w="398" w:type="pct"/>
            <w:tcBorders>
              <w:right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0.85</w:t>
            </w:r>
          </w:p>
        </w:tc>
      </w:tr>
      <w:tr w:rsidR="007A47F9" w:rsidRPr="009D20C2" w:rsidTr="00E161CE">
        <w:trPr>
          <w:cnfStyle w:val="000000100000" w:firstRow="0" w:lastRow="0" w:firstColumn="0" w:lastColumn="0" w:oddVBand="0" w:evenVBand="0" w:oddHBand="1" w:evenHBand="0" w:firstRowFirstColumn="0" w:firstRowLastColumn="0" w:lastRowFirstColumn="0" w:lastRowLastColumn="0"/>
          <w:trHeight w:val="227"/>
        </w:trPr>
        <w:tc>
          <w:tcPr>
            <w:tcW w:w="925" w:type="pct"/>
            <w:tcBorders>
              <w:left w:val="single" w:sz="4" w:space="0" w:color="auto"/>
              <w:bottom w:val="single" w:sz="4" w:space="0" w:color="auto"/>
            </w:tcBorders>
            <w:hideMark/>
          </w:tcPr>
          <w:p w:rsidR="00D74411" w:rsidRPr="009D20C2" w:rsidRDefault="00D74411" w:rsidP="00DC6434">
            <w:pPr>
              <w:spacing w:before="0" w:after="0"/>
              <w:jc w:val="left"/>
              <w:rPr>
                <w:b/>
                <w:bCs/>
                <w:color w:val="auto"/>
                <w:sz w:val="20"/>
                <w:szCs w:val="20"/>
                <w:lang w:eastAsia="en-AU"/>
              </w:rPr>
            </w:pPr>
          </w:p>
        </w:tc>
        <w:tc>
          <w:tcPr>
            <w:tcW w:w="490" w:type="pct"/>
            <w:tcBorders>
              <w:bottom w:val="single" w:sz="4" w:space="0" w:color="auto"/>
            </w:tcBorders>
            <w:hideMark/>
          </w:tcPr>
          <w:p w:rsidR="00D74411" w:rsidRPr="009D20C2" w:rsidRDefault="00D74411" w:rsidP="00DC6434">
            <w:pPr>
              <w:spacing w:before="0" w:after="0"/>
              <w:jc w:val="right"/>
              <w:rPr>
                <w:b/>
                <w:color w:val="auto"/>
                <w:sz w:val="20"/>
                <w:szCs w:val="20"/>
                <w:lang w:eastAsia="en-AU"/>
              </w:rPr>
            </w:pPr>
            <w:r w:rsidRPr="009D20C2">
              <w:rPr>
                <w:b/>
                <w:color w:val="auto"/>
                <w:sz w:val="20"/>
                <w:szCs w:val="20"/>
                <w:lang w:eastAsia="en-AU"/>
              </w:rPr>
              <w:t>Both</w:t>
            </w:r>
          </w:p>
        </w:tc>
        <w:tc>
          <w:tcPr>
            <w:tcW w:w="36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0.37</w:t>
            </w:r>
          </w:p>
        </w:tc>
        <w:tc>
          <w:tcPr>
            <w:tcW w:w="452"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1.49</w:t>
            </w:r>
          </w:p>
        </w:tc>
        <w:tc>
          <w:tcPr>
            <w:tcW w:w="339"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2.17</w:t>
            </w:r>
          </w:p>
        </w:tc>
        <w:tc>
          <w:tcPr>
            <w:tcW w:w="350"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1.46</w:t>
            </w:r>
          </w:p>
        </w:tc>
        <w:tc>
          <w:tcPr>
            <w:tcW w:w="33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2.91</w:t>
            </w:r>
          </w:p>
        </w:tc>
        <w:tc>
          <w:tcPr>
            <w:tcW w:w="33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2.68</w:t>
            </w:r>
          </w:p>
        </w:tc>
        <w:tc>
          <w:tcPr>
            <w:tcW w:w="33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0.26</w:t>
            </w:r>
          </w:p>
        </w:tc>
        <w:tc>
          <w:tcPr>
            <w:tcW w:w="33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0.48</w:t>
            </w:r>
          </w:p>
        </w:tc>
        <w:tc>
          <w:tcPr>
            <w:tcW w:w="336" w:type="pct"/>
            <w:tcBorders>
              <w:bottom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0.13</w:t>
            </w:r>
          </w:p>
        </w:tc>
        <w:tc>
          <w:tcPr>
            <w:tcW w:w="398" w:type="pct"/>
            <w:tcBorders>
              <w:bottom w:val="single" w:sz="4" w:space="0" w:color="auto"/>
              <w:right w:val="single" w:sz="4" w:space="0" w:color="auto"/>
            </w:tcBorders>
          </w:tcPr>
          <w:p w:rsidR="00D74411" w:rsidRPr="009D20C2" w:rsidRDefault="007A47F9" w:rsidP="00DC6434">
            <w:pPr>
              <w:spacing w:before="0" w:after="0"/>
              <w:jc w:val="right"/>
              <w:rPr>
                <w:b/>
                <w:color w:val="auto"/>
                <w:sz w:val="20"/>
                <w:szCs w:val="20"/>
                <w:lang w:eastAsia="en-AU"/>
              </w:rPr>
            </w:pPr>
            <w:r>
              <w:rPr>
                <w:b/>
                <w:color w:val="auto"/>
                <w:sz w:val="20"/>
                <w:szCs w:val="20"/>
                <w:lang w:eastAsia="en-AU"/>
              </w:rPr>
              <w:t>11.95</w:t>
            </w:r>
          </w:p>
        </w:tc>
      </w:tr>
    </w:tbl>
    <w:p w:rsidR="00472CCA" w:rsidRPr="00012887" w:rsidRDefault="00472CCA" w:rsidP="00012887">
      <w:pPr>
        <w:rPr>
          <w:i/>
          <w:color w:val="4F81BD"/>
          <w:sz w:val="16"/>
          <w:szCs w:val="16"/>
        </w:rPr>
      </w:pPr>
      <w:r w:rsidRPr="00012887">
        <w:rPr>
          <w:i/>
          <w:color w:val="4F81BD"/>
          <w:sz w:val="16"/>
          <w:szCs w:val="16"/>
        </w:rPr>
        <w:t>Source: NHWDS, Medical Practitioner 20</w:t>
      </w:r>
      <w:r w:rsidR="00516224" w:rsidRPr="00012887">
        <w:rPr>
          <w:i/>
          <w:color w:val="4F81BD"/>
          <w:sz w:val="16"/>
          <w:szCs w:val="16"/>
        </w:rPr>
        <w:t>16</w:t>
      </w:r>
    </w:p>
    <w:p w:rsidR="00EE050B" w:rsidRDefault="004972E4" w:rsidP="00544360">
      <w:r w:rsidRPr="00380E28">
        <w:t xml:space="preserve">The proportion of trainees by </w:t>
      </w:r>
      <w:r w:rsidR="00C313AB">
        <w:t>M</w:t>
      </w:r>
      <w:r w:rsidR="00DA259F">
        <w:t>M</w:t>
      </w:r>
      <w:r w:rsidR="00656418">
        <w:t>M</w:t>
      </w:r>
      <w:r w:rsidR="00544360">
        <w:t xml:space="preserve"> (</w:t>
      </w:r>
      <w:r w:rsidR="00544360">
        <w:fldChar w:fldCharType="begin"/>
      </w:r>
      <w:r w:rsidR="00544360">
        <w:instrText xml:space="preserve"> REF _Ref442259885 \h </w:instrText>
      </w:r>
      <w:r w:rsidR="00A92FD3">
        <w:instrText xml:space="preserve"> \* MERGEFORMAT </w:instrText>
      </w:r>
      <w:r w:rsidR="00544360">
        <w:fldChar w:fldCharType="separate"/>
      </w:r>
      <w:r w:rsidR="008C7087" w:rsidRPr="00F23728">
        <w:t xml:space="preserve">Figure </w:t>
      </w:r>
      <w:r w:rsidR="008C7087">
        <w:t>16</w:t>
      </w:r>
      <w:r w:rsidR="00544360">
        <w:fldChar w:fldCharType="end"/>
      </w:r>
      <w:r w:rsidR="00544360">
        <w:t>)</w:t>
      </w:r>
      <w:r w:rsidRPr="00380E28">
        <w:t xml:space="preserve"> also adds to the view that public sector based train</w:t>
      </w:r>
      <w:r w:rsidR="00C76590">
        <w:t>ing</w:t>
      </w:r>
      <w:r w:rsidRPr="00380E28">
        <w:t xml:space="preserve">s is </w:t>
      </w:r>
      <w:r w:rsidR="00C76590" w:rsidRPr="00380E28">
        <w:t>dominant</w:t>
      </w:r>
      <w:r w:rsidR="00C76590">
        <w:t xml:space="preserve"> </w:t>
      </w:r>
      <w:r w:rsidR="00C76590" w:rsidRPr="00380E28">
        <w:t>in</w:t>
      </w:r>
      <w:r w:rsidRPr="00380E28">
        <w:t xml:space="preserve"> </w:t>
      </w:r>
      <w:r w:rsidR="00516224">
        <w:t>a number of the</w:t>
      </w:r>
      <w:r w:rsidRPr="00380E28">
        <w:t xml:space="preserve"> M</w:t>
      </w:r>
      <w:r w:rsidR="00DA259F">
        <w:t>M</w:t>
      </w:r>
      <w:r w:rsidRPr="00380E28">
        <w:t>M categories</w:t>
      </w:r>
      <w:r w:rsidR="00C76590">
        <w:t xml:space="preserve">. </w:t>
      </w:r>
      <w:r w:rsidR="00516224">
        <w:t>Of the small proportion</w:t>
      </w:r>
      <w:r w:rsidR="00236742">
        <w:t xml:space="preserve"> (0.85 per cent)</w:t>
      </w:r>
      <w:r w:rsidR="00516224">
        <w:t xml:space="preserve"> that train in the private sector, this only occurs in M</w:t>
      </w:r>
      <w:r w:rsidR="00DA259F">
        <w:t>M</w:t>
      </w:r>
      <w:r w:rsidR="00516224">
        <w:t>M1.</w:t>
      </w:r>
    </w:p>
    <w:p w:rsidR="003304E1" w:rsidRPr="00F23728" w:rsidRDefault="003304E1" w:rsidP="00544360">
      <w:pPr>
        <w:pStyle w:val="Caption"/>
        <w:keepNext/>
      </w:pPr>
      <w:bookmarkStart w:id="84" w:name="_Ref442259885"/>
      <w:bookmarkStart w:id="85" w:name="_Toc442268281"/>
      <w:bookmarkStart w:id="86" w:name="_Toc515888820"/>
      <w:r w:rsidRPr="00F23728">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16</w:t>
      </w:r>
      <w:r w:rsidR="00556A17">
        <w:rPr>
          <w:noProof/>
        </w:rPr>
        <w:fldChar w:fldCharType="end"/>
      </w:r>
      <w:bookmarkEnd w:id="84"/>
      <w:r w:rsidR="00656418">
        <w:t>:</w:t>
      </w:r>
      <w:r w:rsidR="00D32625">
        <w:t xml:space="preserve"> Proportion of</w:t>
      </w:r>
      <w:r w:rsidR="00CA050B">
        <w:t xml:space="preserve"> </w:t>
      </w:r>
      <w:r w:rsidR="00D32625">
        <w:t>trainee FTE</w:t>
      </w:r>
      <w:r w:rsidRPr="00F23728">
        <w:t xml:space="preserve"> by geographic distribution (</w:t>
      </w:r>
      <w:r w:rsidR="00B52A16">
        <w:t>M</w:t>
      </w:r>
      <w:r w:rsidR="00DA259F">
        <w:t>M</w:t>
      </w:r>
      <w:r w:rsidR="00B52A16">
        <w:t>M</w:t>
      </w:r>
      <w:r w:rsidRPr="00F23728">
        <w:t>) and sector</w:t>
      </w:r>
      <w:bookmarkEnd w:id="85"/>
      <w:bookmarkEnd w:id="86"/>
    </w:p>
    <w:p w:rsidR="00573E4D" w:rsidRDefault="00573E4D" w:rsidP="00DA259F">
      <w:pPr>
        <w:spacing w:before="0" w:after="0"/>
        <w:rPr>
          <w:b/>
          <w:sz w:val="20"/>
          <w:szCs w:val="20"/>
        </w:rPr>
      </w:pPr>
      <w:r>
        <w:rPr>
          <w:b/>
          <w:noProof/>
          <w:sz w:val="20"/>
          <w:szCs w:val="20"/>
          <w:lang w:eastAsia="en-AU"/>
        </w:rPr>
        <w:drawing>
          <wp:inline distT="0" distB="0" distL="0" distR="0" wp14:anchorId="789E369A" wp14:editId="68A1AF26">
            <wp:extent cx="5547995" cy="1926590"/>
            <wp:effectExtent l="0" t="0" r="0" b="0"/>
            <wp:docPr id="10" name="Picture 10" descr="The proportion of trainees by Modified Monash Model shows public sector based trainings is dominant in a number of the Modified Monash Model categories. Of the small proportion (0.85 per cent) that train in the private sector, this only occurs in Modified Monash Model 1." title="Figure 16: Proportion of trainee full time equivalent by geographic distribution (Modified Monash Model) 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7995" cy="1926590"/>
                    </a:xfrm>
                    <a:prstGeom prst="rect">
                      <a:avLst/>
                    </a:prstGeom>
                    <a:noFill/>
                  </pic:spPr>
                </pic:pic>
              </a:graphicData>
            </a:graphic>
          </wp:inline>
        </w:drawing>
      </w:r>
    </w:p>
    <w:p w:rsidR="00B7680B" w:rsidRPr="00012887" w:rsidRDefault="009206E5" w:rsidP="00012887">
      <w:pPr>
        <w:rPr>
          <w:i/>
          <w:color w:val="4F81BD"/>
          <w:sz w:val="16"/>
          <w:szCs w:val="16"/>
        </w:rPr>
      </w:pPr>
      <w:r w:rsidRPr="00012887">
        <w:rPr>
          <w:i/>
          <w:color w:val="4F81BD"/>
          <w:sz w:val="16"/>
          <w:szCs w:val="16"/>
        </w:rPr>
        <w:t xml:space="preserve">Source: </w:t>
      </w:r>
      <w:r w:rsidR="00DB6410" w:rsidRPr="00012887">
        <w:rPr>
          <w:i/>
          <w:color w:val="4F81BD"/>
          <w:sz w:val="16"/>
          <w:szCs w:val="16"/>
        </w:rPr>
        <w:t>NHWDS,</w:t>
      </w:r>
      <w:r w:rsidR="00516224" w:rsidRPr="00012887">
        <w:rPr>
          <w:i/>
          <w:color w:val="4F81BD"/>
          <w:sz w:val="16"/>
          <w:szCs w:val="16"/>
        </w:rPr>
        <w:t xml:space="preserve"> Medical Practitioner 2016</w:t>
      </w:r>
    </w:p>
    <w:p w:rsidR="00741345" w:rsidRDefault="00741345" w:rsidP="002209C4">
      <w:pPr>
        <w:pStyle w:val="Heading2"/>
      </w:pPr>
      <w:bookmarkStart w:id="87" w:name="_Toc521510448"/>
      <w:r w:rsidRPr="00380E28">
        <w:t>Prevocational intentions</w:t>
      </w:r>
      <w:bookmarkEnd w:id="87"/>
    </w:p>
    <w:p w:rsidR="006E22F3" w:rsidRDefault="00544360" w:rsidP="00544360">
      <w:r>
        <w:t>In 2</w:t>
      </w:r>
      <w:r w:rsidR="0049607D">
        <w:t>0</w:t>
      </w:r>
      <w:r w:rsidR="00C76590">
        <w:t>1</w:t>
      </w:r>
      <w:r w:rsidR="00236742">
        <w:t>3</w:t>
      </w:r>
      <w:r w:rsidR="00C76590">
        <w:t>,</w:t>
      </w:r>
      <w:r w:rsidR="00741345" w:rsidRPr="00380E28">
        <w:t xml:space="preserve"> new question</w:t>
      </w:r>
      <w:r w:rsidR="00C76590">
        <w:t>s were</w:t>
      </w:r>
      <w:r w:rsidR="00741345" w:rsidRPr="00380E28">
        <w:t xml:space="preserve"> included in the </w:t>
      </w:r>
      <w:r w:rsidR="00236742">
        <w:t xml:space="preserve">NHWDS Medical </w:t>
      </w:r>
      <w:r w:rsidR="004C13B9">
        <w:t>Practitioner</w:t>
      </w:r>
      <w:r w:rsidR="004C13B9" w:rsidRPr="00380E28">
        <w:t xml:space="preserve"> </w:t>
      </w:r>
      <w:r w:rsidR="004C13B9">
        <w:t>S</w:t>
      </w:r>
      <w:r w:rsidR="004C13B9" w:rsidRPr="00380E28">
        <w:t xml:space="preserve">urvey </w:t>
      </w:r>
      <w:r w:rsidR="00741345" w:rsidRPr="00380E28">
        <w:t>which identifie</w:t>
      </w:r>
      <w:r w:rsidR="00B019CB">
        <w:t>d</w:t>
      </w:r>
      <w:r w:rsidR="00741345" w:rsidRPr="00380E28">
        <w:t xml:space="preserve"> those who intend to undertake </w:t>
      </w:r>
      <w:r w:rsidR="001E6BAA">
        <w:t xml:space="preserve">vocational </w:t>
      </w:r>
      <w:r w:rsidR="00741345" w:rsidRPr="00380E28">
        <w:t xml:space="preserve">training. </w:t>
      </w:r>
      <w:r w:rsidR="00D32625">
        <w:t>The informati</w:t>
      </w:r>
      <w:r w:rsidR="00C76590">
        <w:t>on collected from these questions</w:t>
      </w:r>
      <w:r w:rsidR="00D32625">
        <w:t xml:space="preserve"> </w:t>
      </w:r>
      <w:r w:rsidR="00741345" w:rsidRPr="00380E28">
        <w:t xml:space="preserve">form part of the future planning process </w:t>
      </w:r>
      <w:r w:rsidR="004366C4">
        <w:t>providing</w:t>
      </w:r>
      <w:r w:rsidR="00741345" w:rsidRPr="00380E28">
        <w:t xml:space="preserve"> an indicative number of </w:t>
      </w:r>
      <w:r w:rsidR="004972E4" w:rsidRPr="00380E28">
        <w:t>the future intentions of trainees</w:t>
      </w:r>
      <w:r w:rsidR="00D32625">
        <w:t xml:space="preserve"> (Appendix </w:t>
      </w:r>
      <w:r w:rsidR="00206AFC">
        <w:t>5</w:t>
      </w:r>
      <w:r w:rsidR="00D32625">
        <w:t>)</w:t>
      </w:r>
      <w:r w:rsidR="004972E4" w:rsidRPr="00380E28">
        <w:t xml:space="preserve">. </w:t>
      </w:r>
    </w:p>
    <w:p w:rsidR="006E22F3" w:rsidRPr="00AE71AD" w:rsidRDefault="00544360" w:rsidP="00544360">
      <w:r>
        <w:fldChar w:fldCharType="begin"/>
      </w:r>
      <w:r>
        <w:instrText xml:space="preserve"> REF _Ref442260015 \h </w:instrText>
      </w:r>
      <w:r w:rsidR="00A92FD3">
        <w:instrText xml:space="preserve"> \* MERGEFORMAT </w:instrText>
      </w:r>
      <w:r>
        <w:fldChar w:fldCharType="separate"/>
      </w:r>
      <w:r w:rsidR="008C7087" w:rsidRPr="00544360">
        <w:t xml:space="preserve">Figure </w:t>
      </w:r>
      <w:r w:rsidR="008C7087">
        <w:t>17</w:t>
      </w:r>
      <w:r>
        <w:fldChar w:fldCharType="end"/>
      </w:r>
      <w:r>
        <w:t xml:space="preserve"> </w:t>
      </w:r>
      <w:r w:rsidR="004972E4" w:rsidRPr="00380E28">
        <w:t xml:space="preserve">details the characteristics of </w:t>
      </w:r>
      <w:r w:rsidR="006E22F3">
        <w:t xml:space="preserve">the </w:t>
      </w:r>
      <w:r w:rsidR="00236742">
        <w:t>325</w:t>
      </w:r>
      <w:r w:rsidR="006E22F3">
        <w:t xml:space="preserve"> </w:t>
      </w:r>
      <w:r w:rsidR="004972E4" w:rsidRPr="00380E28">
        <w:t xml:space="preserve">hospital non-specialists </w:t>
      </w:r>
      <w:r w:rsidR="00EF3FA5">
        <w:t xml:space="preserve">(HNS) </w:t>
      </w:r>
      <w:r w:rsidR="004972E4" w:rsidRPr="00380E28">
        <w:t xml:space="preserve">who </w:t>
      </w:r>
      <w:r w:rsidR="00D97CAE">
        <w:t>indicated their intentions</w:t>
      </w:r>
      <w:r w:rsidR="00D32625">
        <w:t xml:space="preserve"> to undertake </w:t>
      </w:r>
      <w:r w:rsidR="000F7109">
        <w:t>O&amp;G</w:t>
      </w:r>
      <w:r w:rsidR="00D32625">
        <w:t xml:space="preserve"> </w:t>
      </w:r>
      <w:r w:rsidR="004972E4" w:rsidRPr="00380E28">
        <w:t>training</w:t>
      </w:r>
      <w:r w:rsidR="006E22F3">
        <w:t>, a</w:t>
      </w:r>
      <w:r w:rsidR="006E22F3" w:rsidRPr="00380E28">
        <w:t>ccording to the 201</w:t>
      </w:r>
      <w:r w:rsidR="00236742">
        <w:t>6</w:t>
      </w:r>
      <w:r w:rsidR="006E22F3" w:rsidRPr="00380E28">
        <w:t xml:space="preserve"> </w:t>
      </w:r>
      <w:r w:rsidR="001E6BAA">
        <w:t>NHWDS</w:t>
      </w:r>
      <w:r w:rsidR="006E22F3">
        <w:t>:</w:t>
      </w:r>
    </w:p>
    <w:p w:rsidR="002E2922" w:rsidRDefault="002E2922" w:rsidP="00544360">
      <w:pPr>
        <w:pStyle w:val="Caption"/>
        <w:keepNext/>
      </w:pPr>
      <w:bookmarkStart w:id="88" w:name="_Ref442260015"/>
      <w:bookmarkStart w:id="89" w:name="_Toc442268282"/>
      <w:bookmarkStart w:id="90" w:name="_Toc515888821"/>
      <w:r w:rsidRPr="00544360">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17</w:t>
      </w:r>
      <w:r w:rsidR="00556A17">
        <w:rPr>
          <w:noProof/>
        </w:rPr>
        <w:fldChar w:fldCharType="end"/>
      </w:r>
      <w:bookmarkEnd w:id="88"/>
      <w:r w:rsidR="000F109F">
        <w:t>:</w:t>
      </w:r>
      <w:r w:rsidRPr="00544360">
        <w:t xml:space="preserve"> Characteristics of HNS who intend to undertake </w:t>
      </w:r>
      <w:r w:rsidR="00373963">
        <w:t>O&amp;G</w:t>
      </w:r>
      <w:r w:rsidRPr="00544360">
        <w:t xml:space="preserve"> training</w:t>
      </w:r>
      <w:bookmarkEnd w:id="89"/>
      <w:bookmarkEnd w:id="90"/>
    </w:p>
    <w:p w:rsidR="00344E57" w:rsidRPr="00344E57" w:rsidRDefault="00344E57" w:rsidP="00344E57">
      <w:r>
        <w:rPr>
          <w:noProof/>
          <w:lang w:eastAsia="en-AU"/>
        </w:rPr>
        <w:drawing>
          <wp:inline distT="0" distB="0" distL="0" distR="0" wp14:anchorId="1DC932BA" wp14:editId="4AABCEF4">
            <wp:extent cx="5688330" cy="1073150"/>
            <wp:effectExtent l="0" t="0" r="0" b="0"/>
            <wp:docPr id="8" name="Picture 8" descr="87% of trainees were aged between 25-34 years.&#10;78% of trainees were female.&#10;55% of trainees were located in NSW and VIC. &#10;50% of trainees were Resident Medical Officers." title="Figure 17: Characteristics of hospital non-specialists who intend to undertake obstetrics and gynaecolog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1073150"/>
                    </a:xfrm>
                    <a:prstGeom prst="rect">
                      <a:avLst/>
                    </a:prstGeom>
                    <a:noFill/>
                  </pic:spPr>
                </pic:pic>
              </a:graphicData>
            </a:graphic>
          </wp:inline>
        </w:drawing>
      </w:r>
    </w:p>
    <w:p w:rsidR="00A75A6D" w:rsidRPr="00012887" w:rsidRDefault="00A75A6D" w:rsidP="00012887">
      <w:pPr>
        <w:rPr>
          <w:i/>
          <w:color w:val="4F81BD"/>
          <w:sz w:val="16"/>
          <w:szCs w:val="16"/>
        </w:rPr>
      </w:pPr>
      <w:r w:rsidRPr="00012887">
        <w:rPr>
          <w:i/>
          <w:color w:val="4F81BD"/>
          <w:sz w:val="16"/>
          <w:szCs w:val="16"/>
        </w:rPr>
        <w:t xml:space="preserve">Source: </w:t>
      </w:r>
      <w:r w:rsidR="00294F07" w:rsidRPr="00012887">
        <w:rPr>
          <w:i/>
          <w:color w:val="4F81BD"/>
          <w:sz w:val="16"/>
          <w:szCs w:val="16"/>
        </w:rPr>
        <w:t>NHWDS, Medical Practitioner 2016</w:t>
      </w:r>
    </w:p>
    <w:p w:rsidR="00373963" w:rsidRDefault="00373963" w:rsidP="00544360">
      <w:r>
        <w:t>O</w:t>
      </w:r>
      <w:r w:rsidRPr="00380E28">
        <w:t xml:space="preserve">f </w:t>
      </w:r>
      <w:r>
        <w:t xml:space="preserve">the </w:t>
      </w:r>
      <w:r w:rsidR="00294F07">
        <w:t>325</w:t>
      </w:r>
      <w:r>
        <w:t xml:space="preserve"> </w:t>
      </w:r>
      <w:r w:rsidRPr="00380E28">
        <w:t xml:space="preserve">hospital non-specialists </w:t>
      </w:r>
      <w:r>
        <w:t xml:space="preserve">(HNS) </w:t>
      </w:r>
      <w:r w:rsidRPr="00380E28">
        <w:t xml:space="preserve">who </w:t>
      </w:r>
      <w:r>
        <w:t xml:space="preserve">indicated their intentions to undertake O&amp;G </w:t>
      </w:r>
      <w:r w:rsidRPr="00380E28">
        <w:t>training</w:t>
      </w:r>
      <w:r>
        <w:t xml:space="preserve">, some specified their intentions to train in subspecialties: </w:t>
      </w:r>
      <w:r w:rsidR="006066B8">
        <w:t>4</w:t>
      </w:r>
      <w:r w:rsidR="0040433D">
        <w:t xml:space="preserve"> in </w:t>
      </w:r>
      <w:proofErr w:type="spellStart"/>
      <w:r w:rsidR="00E2224B">
        <w:t>u</w:t>
      </w:r>
      <w:r w:rsidR="00E2224B" w:rsidRPr="00E2224B">
        <w:t>rogynaecology</w:t>
      </w:r>
      <w:proofErr w:type="spellEnd"/>
      <w:r w:rsidR="00E2224B">
        <w:t>,</w:t>
      </w:r>
      <w:r w:rsidR="00E2224B" w:rsidRPr="00E2224B">
        <w:t xml:space="preserve"> </w:t>
      </w:r>
      <w:r w:rsidR="006066B8">
        <w:t>15</w:t>
      </w:r>
      <w:r w:rsidR="0040433D">
        <w:t xml:space="preserve"> in </w:t>
      </w:r>
      <w:r w:rsidR="00E2224B">
        <w:t>r</w:t>
      </w:r>
      <w:r w:rsidR="00E2224B" w:rsidRPr="00E2224B">
        <w:t>eproductive endocrinology and infertility</w:t>
      </w:r>
      <w:r w:rsidR="0040433D">
        <w:t xml:space="preserve">, </w:t>
      </w:r>
      <w:r w:rsidR="006066B8">
        <w:t>12</w:t>
      </w:r>
      <w:r w:rsidR="0040433D">
        <w:t xml:space="preserve"> in </w:t>
      </w:r>
      <w:r w:rsidR="00E2224B">
        <w:t>o</w:t>
      </w:r>
      <w:r w:rsidR="00E2224B" w:rsidRPr="00E2224B">
        <w:t>bstetrics and gynaecological ultrasound</w:t>
      </w:r>
      <w:r w:rsidR="0040433D">
        <w:t xml:space="preserve">, </w:t>
      </w:r>
      <w:r w:rsidR="006066B8">
        <w:t>2</w:t>
      </w:r>
      <w:r w:rsidR="00B019CB">
        <w:t>5</w:t>
      </w:r>
      <w:r w:rsidR="0040433D">
        <w:t xml:space="preserve"> in</w:t>
      </w:r>
      <w:r w:rsidR="00E2224B">
        <w:t xml:space="preserve"> m</w:t>
      </w:r>
      <w:r w:rsidR="00E2224B" w:rsidRPr="00E2224B">
        <w:t>aternal-fetal medicine</w:t>
      </w:r>
      <w:r w:rsidR="0040433D">
        <w:t xml:space="preserve"> and </w:t>
      </w:r>
      <w:r w:rsidR="006066B8">
        <w:t>11</w:t>
      </w:r>
      <w:r w:rsidR="0040433D">
        <w:t xml:space="preserve"> in </w:t>
      </w:r>
      <w:r w:rsidR="00E2224B">
        <w:t>g</w:t>
      </w:r>
      <w:r w:rsidR="00E2224B" w:rsidRPr="00E2224B">
        <w:t>ynaecological oncology</w:t>
      </w:r>
      <w:r w:rsidR="0040433D">
        <w:t>.</w:t>
      </w:r>
    </w:p>
    <w:p w:rsidR="004972E4" w:rsidRDefault="004972E4" w:rsidP="00544360">
      <w:r w:rsidRPr="00380E28">
        <w:t xml:space="preserve">The primary group of </w:t>
      </w:r>
      <w:r w:rsidR="00EF3FA5">
        <w:t>HNS</w:t>
      </w:r>
      <w:r w:rsidRPr="00380E28">
        <w:t xml:space="preserve"> wh</w:t>
      </w:r>
      <w:r w:rsidR="00D32625">
        <w:t xml:space="preserve">o </w:t>
      </w:r>
      <w:r w:rsidR="00B54C73">
        <w:t>i</w:t>
      </w:r>
      <w:r w:rsidR="00C76590">
        <w:t>ntend</w:t>
      </w:r>
      <w:r w:rsidR="00D32625">
        <w:t xml:space="preserve"> to undertake </w:t>
      </w:r>
      <w:r w:rsidR="00373963">
        <w:t>O&amp;G</w:t>
      </w:r>
      <w:r w:rsidRPr="00380E28">
        <w:t xml:space="preserve"> training </w:t>
      </w:r>
      <w:r w:rsidR="0040433D">
        <w:t>are</w:t>
      </w:r>
      <w:r w:rsidRPr="00380E28">
        <w:t xml:space="preserve"> Resident Medical Officers</w:t>
      </w:r>
      <w:r w:rsidR="006066B8">
        <w:t xml:space="preserve"> (RMOs)</w:t>
      </w:r>
      <w:r w:rsidRPr="00380E28">
        <w:t xml:space="preserve">, </w:t>
      </w:r>
      <w:r w:rsidR="00D32625">
        <w:t>followed by</w:t>
      </w:r>
      <w:r w:rsidRPr="00380E28">
        <w:t xml:space="preserve"> Registrars</w:t>
      </w:r>
      <w:r w:rsidR="0040433D">
        <w:t xml:space="preserve">, </w:t>
      </w:r>
      <w:r w:rsidR="00D97CAE" w:rsidRPr="00380E28">
        <w:t>Hospital Medical Officers</w:t>
      </w:r>
      <w:r w:rsidR="006066B8">
        <w:t xml:space="preserve"> (HMOs)</w:t>
      </w:r>
      <w:r w:rsidR="0040433D">
        <w:t xml:space="preserve"> and </w:t>
      </w:r>
      <w:r w:rsidR="007B46C2">
        <w:t>Principal</w:t>
      </w:r>
      <w:r w:rsidR="0040433D">
        <w:t xml:space="preserve"> House Officers</w:t>
      </w:r>
      <w:r w:rsidR="006066B8">
        <w:t xml:space="preserve"> (PHOs)</w:t>
      </w:r>
      <w:r w:rsidR="00D97CAE" w:rsidRPr="00380E28">
        <w:t xml:space="preserve"> </w:t>
      </w:r>
      <w:r w:rsidR="00FC47E6">
        <w:t>(</w:t>
      </w:r>
      <w:r w:rsidR="00FC47E6">
        <w:fldChar w:fldCharType="begin"/>
      </w:r>
      <w:r w:rsidR="00FC47E6">
        <w:instrText xml:space="preserve"> REF _Ref442260042 \h </w:instrText>
      </w:r>
      <w:r w:rsidR="00A92FD3">
        <w:instrText xml:space="preserve"> \* MERGEFORMAT </w:instrText>
      </w:r>
      <w:r w:rsidR="00FC47E6">
        <w:fldChar w:fldCharType="separate"/>
      </w:r>
      <w:r w:rsidR="008C7087" w:rsidRPr="00F23728">
        <w:t xml:space="preserve">Figure </w:t>
      </w:r>
      <w:r w:rsidR="008C7087">
        <w:t>18</w:t>
      </w:r>
      <w:r w:rsidR="00FC47E6">
        <w:fldChar w:fldCharType="end"/>
      </w:r>
      <w:r w:rsidR="00B113B1">
        <w:t>)</w:t>
      </w:r>
      <w:r w:rsidRPr="00AE71AD">
        <w:t xml:space="preserve">. </w:t>
      </w:r>
    </w:p>
    <w:p w:rsidR="003304E1" w:rsidRPr="00F23728" w:rsidRDefault="003304E1" w:rsidP="00544360">
      <w:pPr>
        <w:pStyle w:val="Caption"/>
        <w:keepNext/>
      </w:pPr>
      <w:bookmarkStart w:id="91" w:name="_Ref442260042"/>
      <w:bookmarkStart w:id="92" w:name="_Toc442268283"/>
      <w:bookmarkStart w:id="93" w:name="_Toc515888822"/>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18</w:t>
      </w:r>
      <w:r w:rsidR="00556A17">
        <w:rPr>
          <w:noProof/>
        </w:rPr>
        <w:fldChar w:fldCharType="end"/>
      </w:r>
      <w:bookmarkEnd w:id="91"/>
      <w:r w:rsidR="000F109F">
        <w:t>:</w:t>
      </w:r>
      <w:r w:rsidRPr="00F23728">
        <w:t xml:space="preserve"> HNS who</w:t>
      </w:r>
      <w:r w:rsidR="004366C4">
        <w:t xml:space="preserve"> intend to undertake </w:t>
      </w:r>
      <w:r w:rsidR="0040433D">
        <w:t>O&amp;G</w:t>
      </w:r>
      <w:r w:rsidR="006066B8">
        <w:t xml:space="preserve"> </w:t>
      </w:r>
      <w:r w:rsidR="00251035">
        <w:t>specialist</w:t>
      </w:r>
      <w:r w:rsidR="004366C4">
        <w:t xml:space="preserve"> </w:t>
      </w:r>
      <w:r w:rsidRPr="00F23728">
        <w:t xml:space="preserve">training by </w:t>
      </w:r>
      <w:bookmarkEnd w:id="92"/>
      <w:r w:rsidR="006066B8">
        <w:t xml:space="preserve">hospital </w:t>
      </w:r>
      <w:r w:rsidR="004366C4">
        <w:t>position</w:t>
      </w:r>
      <w:bookmarkEnd w:id="93"/>
    </w:p>
    <w:p w:rsidR="00FA3D25" w:rsidRDefault="00FA3D25" w:rsidP="008D597C">
      <w:pPr>
        <w:spacing w:before="0" w:after="0"/>
      </w:pPr>
      <w:r>
        <w:rPr>
          <w:noProof/>
          <w:lang w:eastAsia="en-AU"/>
        </w:rPr>
        <w:drawing>
          <wp:inline distT="0" distB="0" distL="0" distR="0" wp14:anchorId="3C2F481F" wp14:editId="7CEEB329">
            <wp:extent cx="5292090" cy="1743710"/>
            <wp:effectExtent l="0" t="0" r="3810" b="8890"/>
            <wp:docPr id="11" name="Picture 11" descr="The primary group of hospital non-specialists who intend to undertake obstetrics and gynaecology training are Resident Medical Officers, followed by Registrars, Hospital Medical Officers and Principal House Officers." title="Figure 18: Hospital non-specialists who intend to undertake obstetrics and gynaecology specialist training by hospit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2090" cy="1743710"/>
                    </a:xfrm>
                    <a:prstGeom prst="rect">
                      <a:avLst/>
                    </a:prstGeom>
                    <a:noFill/>
                  </pic:spPr>
                </pic:pic>
              </a:graphicData>
            </a:graphic>
          </wp:inline>
        </w:drawing>
      </w:r>
    </w:p>
    <w:p w:rsidR="00A75A6D" w:rsidRPr="00012887" w:rsidRDefault="00A75A6D" w:rsidP="00012887">
      <w:pPr>
        <w:rPr>
          <w:i/>
          <w:color w:val="4F81BD"/>
          <w:sz w:val="16"/>
          <w:szCs w:val="16"/>
        </w:rPr>
      </w:pPr>
      <w:r w:rsidRPr="00012887">
        <w:rPr>
          <w:i/>
          <w:color w:val="4F81BD"/>
          <w:sz w:val="16"/>
          <w:szCs w:val="16"/>
        </w:rPr>
        <w:t xml:space="preserve">Source: </w:t>
      </w:r>
      <w:r w:rsidR="00294F07" w:rsidRPr="00012887">
        <w:rPr>
          <w:i/>
          <w:color w:val="4F81BD"/>
          <w:sz w:val="16"/>
          <w:szCs w:val="16"/>
        </w:rPr>
        <w:t>NHWDS, Medical Practitioner 2016</w:t>
      </w:r>
    </w:p>
    <w:p w:rsidR="004972E4" w:rsidRDefault="003D23F6" w:rsidP="00544360">
      <w:r w:rsidRPr="00C76590">
        <w:lastRenderedPageBreak/>
        <w:t>S</w:t>
      </w:r>
      <w:r w:rsidR="00642CB3" w:rsidRPr="00C76590">
        <w:t xml:space="preserve">imilar to </w:t>
      </w:r>
      <w:r w:rsidR="00824D43" w:rsidRPr="00C76590">
        <w:t xml:space="preserve">the </w:t>
      </w:r>
      <w:r w:rsidR="00642CB3" w:rsidRPr="00C76590">
        <w:t xml:space="preserve">location of </w:t>
      </w:r>
      <w:r w:rsidR="00824D43" w:rsidRPr="00C76590">
        <w:t>trainees</w:t>
      </w:r>
      <w:r w:rsidR="00642CB3" w:rsidRPr="00C76590">
        <w:t xml:space="preserve"> in</w:t>
      </w:r>
      <w:r w:rsidR="00FC47E6" w:rsidRPr="00C76590">
        <w:t xml:space="preserve"> </w:t>
      </w:r>
      <w:r w:rsidR="00FC47E6" w:rsidRPr="00C76590">
        <w:fldChar w:fldCharType="begin"/>
      </w:r>
      <w:r w:rsidR="00FC47E6" w:rsidRPr="00C76590">
        <w:instrText xml:space="preserve"> REF _Ref442259860 \h </w:instrText>
      </w:r>
      <w:r w:rsidR="00A92FD3" w:rsidRPr="00C76590">
        <w:instrText xml:space="preserve"> \* MERGEFORMAT </w:instrText>
      </w:r>
      <w:r w:rsidR="00FC47E6" w:rsidRPr="00C76590">
        <w:fldChar w:fldCharType="separate"/>
      </w:r>
      <w:r w:rsidR="008C7087" w:rsidRPr="00F23728">
        <w:t xml:space="preserve">Figure </w:t>
      </w:r>
      <w:r w:rsidR="008C7087">
        <w:t>14</w:t>
      </w:r>
      <w:r w:rsidR="00FC47E6" w:rsidRPr="00C76590">
        <w:fldChar w:fldCharType="end"/>
      </w:r>
      <w:r w:rsidR="00BA3AFB">
        <w:t xml:space="preserve"> and </w:t>
      </w:r>
      <w:r w:rsidR="00BA3AFB" w:rsidRPr="00C76590">
        <w:fldChar w:fldCharType="begin"/>
      </w:r>
      <w:r w:rsidR="00BA3AFB" w:rsidRPr="00C76590">
        <w:instrText xml:space="preserve"> REF _Ref442259547 \h  \* MERGEFORMAT </w:instrText>
      </w:r>
      <w:r w:rsidR="00BA3AFB" w:rsidRPr="00C76590">
        <w:fldChar w:fldCharType="separate"/>
      </w:r>
      <w:r w:rsidR="008C7087" w:rsidRPr="002E41FB">
        <w:t xml:space="preserve">Figure </w:t>
      </w:r>
      <w:r w:rsidR="008C7087">
        <w:t>15</w:t>
      </w:r>
      <w:r w:rsidR="00BA3AFB" w:rsidRPr="00C76590">
        <w:fldChar w:fldCharType="end"/>
      </w:r>
      <w:r w:rsidR="00642CB3" w:rsidRPr="00C76590">
        <w:t xml:space="preserve">, HNS </w:t>
      </w:r>
      <w:r w:rsidR="00AA7D6D">
        <w:t xml:space="preserve">with intentions of training in </w:t>
      </w:r>
      <w:r w:rsidR="0040433D">
        <w:t>O&amp;G</w:t>
      </w:r>
      <w:r w:rsidR="00AA7D6D">
        <w:t xml:space="preserve"> </w:t>
      </w:r>
      <w:r w:rsidR="00642CB3" w:rsidRPr="00C76590">
        <w:t>are</w:t>
      </w:r>
      <w:r w:rsidR="00E249F1">
        <w:t xml:space="preserve"> mostly</w:t>
      </w:r>
      <w:r w:rsidR="00642CB3" w:rsidRPr="00C76590">
        <w:t xml:space="preserve"> </w:t>
      </w:r>
      <w:r w:rsidR="00AA7D6D">
        <w:t xml:space="preserve">located </w:t>
      </w:r>
      <w:r w:rsidR="00642CB3" w:rsidRPr="00C76590">
        <w:t>in</w:t>
      </w:r>
      <w:r w:rsidR="00AA7D6D">
        <w:t xml:space="preserve"> areas similar to current trainees - primarily major cities</w:t>
      </w:r>
      <w:r w:rsidR="006066B8">
        <w:t xml:space="preserve"> in NSW, </w:t>
      </w:r>
      <w:r w:rsidR="00E2224B">
        <w:t xml:space="preserve">VIC </w:t>
      </w:r>
      <w:r w:rsidR="006066B8">
        <w:t xml:space="preserve">and </w:t>
      </w:r>
      <w:r w:rsidR="00E2224B">
        <w:t xml:space="preserve">QLD </w:t>
      </w:r>
      <w:r w:rsidR="00AA7D6D">
        <w:t>(</w:t>
      </w:r>
      <w:r w:rsidR="00FC47E6" w:rsidRPr="00C76590">
        <w:fldChar w:fldCharType="begin"/>
      </w:r>
      <w:r w:rsidR="00FC47E6" w:rsidRPr="00C76590">
        <w:instrText xml:space="preserve"> REF _Ref442260182 \h </w:instrText>
      </w:r>
      <w:r w:rsidR="00A92FD3" w:rsidRPr="00C76590">
        <w:instrText xml:space="preserve"> \* MERGEFORMAT </w:instrText>
      </w:r>
      <w:r w:rsidR="00FC47E6" w:rsidRPr="00C76590">
        <w:fldChar w:fldCharType="separate"/>
      </w:r>
      <w:r w:rsidR="008C7087" w:rsidRPr="00F23728">
        <w:t xml:space="preserve">Figure </w:t>
      </w:r>
      <w:r w:rsidR="008C7087">
        <w:t>19</w:t>
      </w:r>
      <w:r w:rsidR="00FC47E6" w:rsidRPr="00C76590">
        <w:fldChar w:fldCharType="end"/>
      </w:r>
      <w:r w:rsidR="00AA7D6D">
        <w:t>)</w:t>
      </w:r>
      <w:r w:rsidR="00824D43" w:rsidRPr="00C76590">
        <w:t>.</w:t>
      </w:r>
      <w:r w:rsidR="001F7A6D" w:rsidRPr="00C76590">
        <w:t xml:space="preserve"> </w:t>
      </w:r>
      <w:r w:rsidR="0040433D">
        <w:t xml:space="preserve">Relative to the number of current trainees, there </w:t>
      </w:r>
      <w:r w:rsidR="00E249F1">
        <w:t xml:space="preserve">are a </w:t>
      </w:r>
      <w:r w:rsidR="0040433D">
        <w:t>large number of HNS with intentions to train in O&amp;G</w:t>
      </w:r>
      <w:r w:rsidR="002B4435">
        <w:t xml:space="preserve"> in WA</w:t>
      </w:r>
      <w:r w:rsidR="0040433D">
        <w:t>.</w:t>
      </w:r>
    </w:p>
    <w:p w:rsidR="00A6731D" w:rsidRPr="00F23728" w:rsidRDefault="00A6731D" w:rsidP="00544360">
      <w:pPr>
        <w:pStyle w:val="Caption"/>
        <w:keepNext/>
      </w:pPr>
      <w:bookmarkStart w:id="94" w:name="_Ref442260182"/>
      <w:bookmarkStart w:id="95" w:name="_Toc442268284"/>
      <w:bookmarkStart w:id="96" w:name="_Toc515888823"/>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19</w:t>
      </w:r>
      <w:r w:rsidR="00556A17">
        <w:rPr>
          <w:noProof/>
        </w:rPr>
        <w:fldChar w:fldCharType="end"/>
      </w:r>
      <w:bookmarkEnd w:id="94"/>
      <w:r w:rsidR="000F109F">
        <w:t>:</w:t>
      </w:r>
      <w:r w:rsidRPr="00F23728">
        <w:t xml:space="preserve"> Proportion of </w:t>
      </w:r>
      <w:r w:rsidR="00D97CAE">
        <w:t xml:space="preserve">HNS intentions and </w:t>
      </w:r>
      <w:r w:rsidRPr="00F23728">
        <w:t>trainees by geographic distribution</w:t>
      </w:r>
      <w:bookmarkEnd w:id="95"/>
      <w:bookmarkEnd w:id="96"/>
    </w:p>
    <w:p w:rsidR="00550DAD" w:rsidRDefault="00550DAD" w:rsidP="00B80222">
      <w:pPr>
        <w:spacing w:before="0" w:after="0"/>
      </w:pPr>
      <w:r>
        <w:rPr>
          <w:noProof/>
          <w:lang w:eastAsia="en-AU"/>
        </w:rPr>
        <w:drawing>
          <wp:inline distT="0" distB="0" distL="0" distR="0" wp14:anchorId="6C5C2D4B" wp14:editId="27428AC3">
            <wp:extent cx="5547995" cy="2066925"/>
            <wp:effectExtent l="0" t="0" r="0" b="9525"/>
            <wp:docPr id="12" name="Picture 12" descr="Shows the hospital non-specialist intentions and trainees by location with most primarily in major cities." title="Figure 19: Proportion of hospital non-specialist intentions and trainees by geographic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7995" cy="2066925"/>
                    </a:xfrm>
                    <a:prstGeom prst="rect">
                      <a:avLst/>
                    </a:prstGeom>
                    <a:noFill/>
                  </pic:spPr>
                </pic:pic>
              </a:graphicData>
            </a:graphic>
          </wp:inline>
        </w:drawing>
      </w:r>
    </w:p>
    <w:p w:rsidR="00584884" w:rsidRPr="00012887" w:rsidRDefault="00584884" w:rsidP="00012887">
      <w:pPr>
        <w:rPr>
          <w:i/>
          <w:color w:val="4F81BD"/>
          <w:sz w:val="16"/>
          <w:szCs w:val="16"/>
        </w:rPr>
      </w:pPr>
      <w:r w:rsidRPr="00012887">
        <w:rPr>
          <w:i/>
          <w:color w:val="4F81BD"/>
          <w:sz w:val="16"/>
          <w:szCs w:val="16"/>
        </w:rPr>
        <w:t xml:space="preserve">Source: </w:t>
      </w:r>
      <w:r w:rsidR="00294F07" w:rsidRPr="00012887">
        <w:rPr>
          <w:i/>
          <w:color w:val="4F81BD"/>
          <w:sz w:val="16"/>
          <w:szCs w:val="16"/>
        </w:rPr>
        <w:t>NHWDS, Medical Practitioner 2016</w:t>
      </w:r>
    </w:p>
    <w:p w:rsidR="00EA10F2" w:rsidRPr="00F23728" w:rsidRDefault="00F23728" w:rsidP="002209C4">
      <w:pPr>
        <w:pStyle w:val="Heading2"/>
      </w:pPr>
      <w:bookmarkStart w:id="97" w:name="_Toc521510449"/>
      <w:r w:rsidRPr="00F23728">
        <w:t>Summary of total workforce by remoteness classification</w:t>
      </w:r>
      <w:bookmarkEnd w:id="97"/>
    </w:p>
    <w:p w:rsidR="00EC56A8" w:rsidRDefault="00FC47E6" w:rsidP="00F0628D">
      <w:r>
        <w:fldChar w:fldCharType="begin"/>
      </w:r>
      <w:r>
        <w:instrText xml:space="preserve"> REF _Ref442260359 \h </w:instrText>
      </w:r>
      <w:r w:rsidR="00A92FD3">
        <w:instrText xml:space="preserve"> \* MERGEFORMAT </w:instrText>
      </w:r>
      <w:r>
        <w:fldChar w:fldCharType="separate"/>
      </w:r>
      <w:r w:rsidR="008C7087" w:rsidRPr="00F23728">
        <w:t xml:space="preserve">Table </w:t>
      </w:r>
      <w:r w:rsidR="008C7087">
        <w:t>9</w:t>
      </w:r>
      <w:r>
        <w:fldChar w:fldCharType="end"/>
      </w:r>
      <w:r>
        <w:t xml:space="preserve"> </w:t>
      </w:r>
      <w:r w:rsidR="00200FC0" w:rsidRPr="00380E28">
        <w:t xml:space="preserve">is a broad summary of the population and remoteness characteristics of the </w:t>
      </w:r>
      <w:r w:rsidR="0040433D">
        <w:t>O&amp;G</w:t>
      </w:r>
      <w:r w:rsidR="00200FC0" w:rsidRPr="00380E28">
        <w:t xml:space="preserve"> workforce.</w:t>
      </w:r>
      <w:r w:rsidR="007A0526" w:rsidRPr="00380E28">
        <w:t xml:space="preserve"> </w:t>
      </w:r>
      <w:r w:rsidR="00B72A04">
        <w:t xml:space="preserve">The </w:t>
      </w:r>
      <w:r w:rsidR="007A0526" w:rsidRPr="00380E28">
        <w:t xml:space="preserve">number of </w:t>
      </w:r>
      <w:r w:rsidR="00345910">
        <w:t xml:space="preserve">O&amp;G </w:t>
      </w:r>
      <w:r w:rsidR="00BE0CB3">
        <w:t>specialists</w:t>
      </w:r>
      <w:r w:rsidR="00F4443B">
        <w:t xml:space="preserve"> </w:t>
      </w:r>
      <w:r>
        <w:t xml:space="preserve">and trainees </w:t>
      </w:r>
      <w:r w:rsidR="007A0526" w:rsidRPr="00380E28">
        <w:t xml:space="preserve">per 100,000 </w:t>
      </w:r>
      <w:r w:rsidR="00C313AB">
        <w:t xml:space="preserve">female </w:t>
      </w:r>
      <w:proofErr w:type="gramStart"/>
      <w:r w:rsidR="00C313AB" w:rsidRPr="00380E28">
        <w:t>population</w:t>
      </w:r>
      <w:proofErr w:type="gramEnd"/>
      <w:r w:rsidR="00C313AB">
        <w:t xml:space="preserve"> </w:t>
      </w:r>
      <w:r w:rsidR="00C313AB" w:rsidRPr="00380E28">
        <w:t>is</w:t>
      </w:r>
      <w:r w:rsidR="007A0526" w:rsidRPr="00380E28">
        <w:t xml:space="preserve"> </w:t>
      </w:r>
      <w:r w:rsidR="002B3EA4">
        <w:t>21.6</w:t>
      </w:r>
      <w:r>
        <w:t xml:space="preserve"> in M</w:t>
      </w:r>
      <w:r w:rsidR="00B72A04">
        <w:t>M</w:t>
      </w:r>
      <w:r>
        <w:t xml:space="preserve">M1 areas, </w:t>
      </w:r>
      <w:r w:rsidR="002B3EA4">
        <w:t>18.5</w:t>
      </w:r>
      <w:r w:rsidR="00C313AB">
        <w:t xml:space="preserve"> </w:t>
      </w:r>
      <w:r w:rsidR="00C313AB" w:rsidRPr="00380E28">
        <w:t>in</w:t>
      </w:r>
      <w:r w:rsidR="004F5A6C">
        <w:t xml:space="preserve"> </w:t>
      </w:r>
      <w:r w:rsidR="007F61ED">
        <w:t>M</w:t>
      </w:r>
      <w:r w:rsidR="00B72A04">
        <w:t>M</w:t>
      </w:r>
      <w:r w:rsidR="007A0526" w:rsidRPr="00380E28">
        <w:t>M2 areas</w:t>
      </w:r>
      <w:r w:rsidR="00C313AB">
        <w:t xml:space="preserve"> and</w:t>
      </w:r>
      <w:r>
        <w:t xml:space="preserve"> </w:t>
      </w:r>
      <w:r w:rsidR="002B3EA4">
        <w:t>17.3</w:t>
      </w:r>
      <w:r w:rsidRPr="00380E28">
        <w:t xml:space="preserve"> in M</w:t>
      </w:r>
      <w:r w:rsidR="00B72A04">
        <w:t>M</w:t>
      </w:r>
      <w:r w:rsidRPr="00380E28">
        <w:t>M</w:t>
      </w:r>
      <w:r w:rsidR="00BC257E">
        <w:t>3</w:t>
      </w:r>
      <w:r w:rsidRPr="00380E28">
        <w:t xml:space="preserve"> areas</w:t>
      </w:r>
      <w:r w:rsidR="007A0526" w:rsidRPr="00380E28">
        <w:t>.</w:t>
      </w:r>
      <w:r w:rsidR="004B3539">
        <w:t xml:space="preserve"> </w:t>
      </w:r>
      <w:r w:rsidR="00BC257E">
        <w:t xml:space="preserve">There </w:t>
      </w:r>
      <w:r w:rsidR="00C313AB">
        <w:t xml:space="preserve">are </w:t>
      </w:r>
      <w:r w:rsidR="002B3EA4">
        <w:t>10</w:t>
      </w:r>
      <w:r w:rsidR="00C313AB">
        <w:t xml:space="preserve"> or fewer </w:t>
      </w:r>
      <w:r w:rsidR="007613D7">
        <w:t>O&amp;G</w:t>
      </w:r>
      <w:r w:rsidR="00BC257E">
        <w:t xml:space="preserve"> specialist</w:t>
      </w:r>
      <w:r w:rsidR="00C313AB">
        <w:t xml:space="preserve">s/trainees </w:t>
      </w:r>
      <w:r w:rsidR="00C313AB" w:rsidRPr="00380E28">
        <w:t xml:space="preserve">per 100,000 </w:t>
      </w:r>
      <w:r w:rsidR="00C313AB">
        <w:t xml:space="preserve">female </w:t>
      </w:r>
      <w:proofErr w:type="gramStart"/>
      <w:r w:rsidR="00C313AB" w:rsidRPr="00380E28">
        <w:t>population</w:t>
      </w:r>
      <w:proofErr w:type="gramEnd"/>
      <w:r w:rsidR="007F61ED">
        <w:t xml:space="preserve"> </w:t>
      </w:r>
      <w:r w:rsidR="00C313AB">
        <w:t>in M</w:t>
      </w:r>
      <w:r w:rsidR="00B72A04">
        <w:t>M</w:t>
      </w:r>
      <w:r w:rsidR="00C313AB">
        <w:t>M</w:t>
      </w:r>
      <w:r w:rsidR="002B3EA4">
        <w:t>4</w:t>
      </w:r>
      <w:r w:rsidR="00C313AB">
        <w:t xml:space="preserve"> and</w:t>
      </w:r>
      <w:r w:rsidR="004F5A6C">
        <w:t xml:space="preserve"> </w:t>
      </w:r>
      <w:r w:rsidR="007F61ED">
        <w:t>M</w:t>
      </w:r>
      <w:r w:rsidR="00B72A04">
        <w:t>M</w:t>
      </w:r>
      <w:r w:rsidR="00BC257E">
        <w:t>M7.</w:t>
      </w:r>
      <w:r w:rsidR="007A0526" w:rsidRPr="00380E28">
        <w:t xml:space="preserve"> </w:t>
      </w:r>
    </w:p>
    <w:p w:rsidR="00A6731D" w:rsidRDefault="00A6731D" w:rsidP="005B2760">
      <w:pPr>
        <w:pStyle w:val="Caption"/>
        <w:keepNext/>
      </w:pPr>
      <w:bookmarkStart w:id="98" w:name="_Ref442260359"/>
      <w:bookmarkStart w:id="99" w:name="_Toc515887830"/>
      <w:r w:rsidRPr="00F23728">
        <w:t xml:space="preserve">Table </w:t>
      </w:r>
      <w:r w:rsidR="008F108A" w:rsidRPr="00F23728">
        <w:fldChar w:fldCharType="begin"/>
      </w:r>
      <w:r w:rsidR="00F90CFA" w:rsidRPr="00F23728">
        <w:instrText xml:space="preserve"> SEQ Table \* ARABIC </w:instrText>
      </w:r>
      <w:r w:rsidR="008F108A" w:rsidRPr="00F23728">
        <w:fldChar w:fldCharType="separate"/>
      </w:r>
      <w:r w:rsidR="008C7087">
        <w:rPr>
          <w:noProof/>
        </w:rPr>
        <w:t>9</w:t>
      </w:r>
      <w:r w:rsidR="008F108A" w:rsidRPr="00F23728">
        <w:rPr>
          <w:noProof/>
        </w:rPr>
        <w:fldChar w:fldCharType="end"/>
      </w:r>
      <w:bookmarkEnd w:id="98"/>
      <w:r w:rsidR="007F61ED">
        <w:rPr>
          <w:noProof/>
        </w:rPr>
        <w:t>:</w:t>
      </w:r>
      <w:r w:rsidRPr="00F23728">
        <w:t xml:space="preserve"> Summary of </w:t>
      </w:r>
      <w:r w:rsidR="007B46C2">
        <w:t>O&amp;G</w:t>
      </w:r>
      <w:r w:rsidRPr="00F23728">
        <w:t xml:space="preserve"> workforce </w:t>
      </w:r>
      <w:r w:rsidR="00B52A16">
        <w:t xml:space="preserve">(Headcount and FTE) </w:t>
      </w:r>
      <w:r w:rsidRPr="00F23728">
        <w:t xml:space="preserve">by </w:t>
      </w:r>
      <w:r w:rsidR="00B52A16">
        <w:t>MM</w:t>
      </w:r>
      <w:r w:rsidR="00DA259F">
        <w:t>M</w:t>
      </w:r>
      <w:bookmarkEnd w:id="99"/>
    </w:p>
    <w:tbl>
      <w:tblPr>
        <w:tblStyle w:val="TableGrid"/>
        <w:tblW w:w="0" w:type="auto"/>
        <w:tblBorders>
          <w:insideH w:val="none" w:sz="0" w:space="0" w:color="auto"/>
          <w:insideV w:val="none" w:sz="0" w:space="0" w:color="auto"/>
        </w:tblBorders>
        <w:tblLook w:val="04A0" w:firstRow="1" w:lastRow="0" w:firstColumn="1" w:lastColumn="0" w:noHBand="0" w:noVBand="1"/>
        <w:tblCaption w:val="Table 9: Summary of obstetrics and gynaecology workforce (Headcount and full time equivalent) by Modified Monash Model"/>
        <w:tblDescription w:val="A broad summary of the population and remoteness characteristics of the obstetrics and gynaecology workforce. The number of obstetrics and gynaecology specialists and trainees per 100,000 female population is 21.6 in Modified Monash Model 1 areas, 18.5 in Modified Monash Model 2 areas and 17.3 in Modified Monash Model 3 areas. There are 10 or fewer obstetrics and gynaecology specialists/trainees per 100,000 female population in Modified Monash Model 4 and Modified Monash Model 7. "/>
      </w:tblPr>
      <w:tblGrid>
        <w:gridCol w:w="1540"/>
        <w:gridCol w:w="1540"/>
        <w:gridCol w:w="1540"/>
        <w:gridCol w:w="1540"/>
        <w:gridCol w:w="1541"/>
        <w:gridCol w:w="1541"/>
      </w:tblGrid>
      <w:tr w:rsidR="00032B52" w:rsidRPr="00032B52" w:rsidTr="000D5961">
        <w:trPr>
          <w:tblHeader/>
        </w:trPr>
        <w:tc>
          <w:tcPr>
            <w:tcW w:w="1540"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Modified Monash Category</w:t>
            </w:r>
          </w:p>
        </w:tc>
        <w:tc>
          <w:tcPr>
            <w:tcW w:w="1540"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2015 female population</w:t>
            </w:r>
          </w:p>
        </w:tc>
        <w:tc>
          <w:tcPr>
            <w:tcW w:w="1540"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Specialists and trainees (headcount)</w:t>
            </w:r>
          </w:p>
        </w:tc>
        <w:tc>
          <w:tcPr>
            <w:tcW w:w="1540"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Headcount per 100,000 population</w:t>
            </w:r>
          </w:p>
        </w:tc>
        <w:tc>
          <w:tcPr>
            <w:tcW w:w="1541"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Specialists and trainees (FTE)</w:t>
            </w:r>
          </w:p>
        </w:tc>
        <w:tc>
          <w:tcPr>
            <w:tcW w:w="1541" w:type="dxa"/>
            <w:tcBorders>
              <w:top w:val="single" w:sz="4" w:space="0" w:color="auto"/>
              <w:bottom w:val="nil"/>
            </w:tcBorders>
            <w:shd w:val="clear" w:color="auto" w:fill="1F497D"/>
            <w:vAlign w:val="center"/>
          </w:tcPr>
          <w:p w:rsidR="00032B52" w:rsidRPr="00032B52" w:rsidRDefault="00032B52" w:rsidP="00032B52">
            <w:pPr>
              <w:spacing w:before="0" w:after="0"/>
              <w:jc w:val="center"/>
              <w:rPr>
                <w:b/>
                <w:bCs/>
                <w:color w:val="FFFFFF" w:themeColor="background1"/>
                <w:sz w:val="18"/>
                <w:szCs w:val="18"/>
                <w:lang w:eastAsia="en-AU"/>
              </w:rPr>
            </w:pPr>
            <w:r w:rsidRPr="00032B52">
              <w:rPr>
                <w:b/>
                <w:bCs/>
                <w:color w:val="FFFFFF" w:themeColor="background1"/>
                <w:sz w:val="18"/>
                <w:szCs w:val="18"/>
                <w:lang w:eastAsia="en-AU"/>
              </w:rPr>
              <w:t>FTE per 100,000 population</w:t>
            </w:r>
          </w:p>
        </w:tc>
      </w:tr>
      <w:tr w:rsidR="00032B52" w:rsidTr="00C46A59">
        <w:trPr>
          <w:trHeight w:val="227"/>
        </w:trPr>
        <w:tc>
          <w:tcPr>
            <w:tcW w:w="1540" w:type="dxa"/>
            <w:tcBorders>
              <w:top w:val="nil"/>
              <w:bottom w:val="nil"/>
            </w:tcBorders>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MMM1</w:t>
            </w:r>
          </w:p>
        </w:tc>
        <w:tc>
          <w:tcPr>
            <w:tcW w:w="1540" w:type="dxa"/>
            <w:tcBorders>
              <w:top w:val="nil"/>
              <w:bottom w:val="nil"/>
            </w:tcBorders>
            <w:vAlign w:val="center"/>
          </w:tcPr>
          <w:p w:rsidR="00032B52" w:rsidRPr="00294F07" w:rsidRDefault="00032B52" w:rsidP="009A38EA">
            <w:pPr>
              <w:spacing w:before="0" w:after="0"/>
              <w:jc w:val="right"/>
              <w:rPr>
                <w:sz w:val="18"/>
                <w:szCs w:val="18"/>
                <w:lang w:eastAsia="en-AU"/>
              </w:rPr>
            </w:pPr>
            <w:r>
              <w:rPr>
                <w:sz w:val="18"/>
                <w:szCs w:val="18"/>
              </w:rPr>
              <w:t>8,518,707</w:t>
            </w:r>
          </w:p>
        </w:tc>
        <w:tc>
          <w:tcPr>
            <w:tcW w:w="1540" w:type="dxa"/>
            <w:tcBorders>
              <w:top w:val="nil"/>
              <w:bottom w:val="nil"/>
            </w:tcBorders>
            <w:vAlign w:val="center"/>
          </w:tcPr>
          <w:p w:rsidR="00032B52" w:rsidRPr="00294F07" w:rsidRDefault="00032B52" w:rsidP="009A38EA">
            <w:pPr>
              <w:spacing w:before="0" w:after="0"/>
              <w:jc w:val="right"/>
              <w:rPr>
                <w:sz w:val="18"/>
                <w:szCs w:val="18"/>
                <w:lang w:eastAsia="en-AU"/>
              </w:rPr>
            </w:pPr>
            <w:r>
              <w:rPr>
                <w:sz w:val="18"/>
                <w:szCs w:val="18"/>
              </w:rPr>
              <w:t>1,841</w:t>
            </w:r>
          </w:p>
        </w:tc>
        <w:tc>
          <w:tcPr>
            <w:tcW w:w="1540" w:type="dxa"/>
            <w:tcBorders>
              <w:top w:val="nil"/>
              <w:bottom w:val="nil"/>
            </w:tcBorders>
            <w:vAlign w:val="center"/>
          </w:tcPr>
          <w:p w:rsidR="00032B52" w:rsidRPr="00294F07" w:rsidRDefault="00032B52" w:rsidP="009A38EA">
            <w:pPr>
              <w:spacing w:before="0" w:after="0"/>
              <w:jc w:val="right"/>
              <w:rPr>
                <w:sz w:val="18"/>
                <w:szCs w:val="18"/>
                <w:lang w:eastAsia="en-AU"/>
              </w:rPr>
            </w:pPr>
            <w:r>
              <w:rPr>
                <w:sz w:val="18"/>
                <w:szCs w:val="18"/>
              </w:rPr>
              <w:t>21.6</w:t>
            </w:r>
          </w:p>
        </w:tc>
        <w:tc>
          <w:tcPr>
            <w:tcW w:w="1541" w:type="dxa"/>
            <w:tcBorders>
              <w:top w:val="nil"/>
              <w:bottom w:val="nil"/>
            </w:tcBorders>
            <w:vAlign w:val="center"/>
          </w:tcPr>
          <w:p w:rsidR="00032B52" w:rsidRPr="00294F07" w:rsidRDefault="00032B52" w:rsidP="009A38EA">
            <w:pPr>
              <w:spacing w:before="0" w:after="0"/>
              <w:jc w:val="right"/>
              <w:rPr>
                <w:sz w:val="18"/>
                <w:szCs w:val="18"/>
                <w:lang w:eastAsia="en-AU"/>
              </w:rPr>
            </w:pPr>
            <w:r>
              <w:rPr>
                <w:sz w:val="18"/>
                <w:szCs w:val="18"/>
              </w:rPr>
              <w:t>2,151</w:t>
            </w:r>
          </w:p>
        </w:tc>
        <w:tc>
          <w:tcPr>
            <w:tcW w:w="1541" w:type="dxa"/>
            <w:tcBorders>
              <w:top w:val="nil"/>
              <w:bottom w:val="nil"/>
            </w:tcBorders>
            <w:vAlign w:val="center"/>
          </w:tcPr>
          <w:p w:rsidR="00032B52" w:rsidRPr="00294F07" w:rsidRDefault="00032B52" w:rsidP="009A38EA">
            <w:pPr>
              <w:spacing w:before="0" w:after="0"/>
              <w:jc w:val="right"/>
              <w:rPr>
                <w:sz w:val="18"/>
                <w:szCs w:val="18"/>
                <w:lang w:eastAsia="en-AU"/>
              </w:rPr>
            </w:pPr>
            <w:r>
              <w:rPr>
                <w:sz w:val="18"/>
                <w:szCs w:val="18"/>
              </w:rPr>
              <w:t>25.3</w:t>
            </w:r>
          </w:p>
        </w:tc>
      </w:tr>
      <w:tr w:rsidR="00032B52" w:rsidTr="00C46A59">
        <w:trPr>
          <w:trHeight w:val="227"/>
        </w:trPr>
        <w:tc>
          <w:tcPr>
            <w:tcW w:w="1540" w:type="dxa"/>
            <w:tcBorders>
              <w:top w:val="nil"/>
              <w:bottom w:val="single" w:sz="4" w:space="0" w:color="auto"/>
            </w:tcBorders>
            <w:shd w:val="clear" w:color="auto" w:fill="D3DFEE"/>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MMM2</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1,101,906</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204</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18.5</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251</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22.8</w:t>
            </w:r>
          </w:p>
        </w:tc>
      </w:tr>
      <w:tr w:rsidR="00032B52" w:rsidTr="00C46A59">
        <w:trPr>
          <w:trHeight w:val="227"/>
        </w:trPr>
        <w:tc>
          <w:tcPr>
            <w:tcW w:w="1540" w:type="dxa"/>
            <w:tcBorders>
              <w:top w:val="single" w:sz="4" w:space="0" w:color="auto"/>
              <w:bottom w:val="nil"/>
            </w:tcBorders>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MMM3</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782,212</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135</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17.3</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166</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21.2</w:t>
            </w:r>
          </w:p>
        </w:tc>
      </w:tr>
      <w:tr w:rsidR="00032B52" w:rsidTr="00C46A59">
        <w:trPr>
          <w:trHeight w:val="227"/>
        </w:trPr>
        <w:tc>
          <w:tcPr>
            <w:tcW w:w="1540" w:type="dxa"/>
            <w:tcBorders>
              <w:top w:val="nil"/>
              <w:bottom w:val="single" w:sz="4" w:space="0" w:color="auto"/>
            </w:tcBorders>
            <w:shd w:val="clear" w:color="auto" w:fill="D3DFEE"/>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MMM4</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438,711</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16</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3.6</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23</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5.2</w:t>
            </w:r>
          </w:p>
        </w:tc>
      </w:tr>
      <w:tr w:rsidR="00032B52" w:rsidTr="00C46A59">
        <w:trPr>
          <w:trHeight w:val="227"/>
        </w:trPr>
        <w:tc>
          <w:tcPr>
            <w:tcW w:w="1540" w:type="dxa"/>
            <w:tcBorders>
              <w:top w:val="single" w:sz="4" w:space="0" w:color="auto"/>
              <w:bottom w:val="nil"/>
            </w:tcBorders>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MMM5</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871,058</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6</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0.7</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7</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0.8</w:t>
            </w:r>
          </w:p>
        </w:tc>
      </w:tr>
      <w:tr w:rsidR="00032B52" w:rsidTr="00C46A59">
        <w:trPr>
          <w:trHeight w:val="227"/>
        </w:trPr>
        <w:tc>
          <w:tcPr>
            <w:tcW w:w="1540" w:type="dxa"/>
            <w:tcBorders>
              <w:top w:val="nil"/>
              <w:bottom w:val="single" w:sz="4" w:space="0" w:color="auto"/>
            </w:tcBorders>
            <w:shd w:val="clear" w:color="auto" w:fill="D3DFEE"/>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MMM6</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143,126</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14</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9.8</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18</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sz w:val="18"/>
                <w:szCs w:val="18"/>
                <w:lang w:eastAsia="en-AU"/>
              </w:rPr>
            </w:pPr>
            <w:r>
              <w:rPr>
                <w:sz w:val="18"/>
                <w:szCs w:val="18"/>
              </w:rPr>
              <w:t>12.4</w:t>
            </w:r>
          </w:p>
        </w:tc>
      </w:tr>
      <w:tr w:rsidR="00032B52" w:rsidTr="00C46A59">
        <w:trPr>
          <w:trHeight w:val="227"/>
        </w:trPr>
        <w:tc>
          <w:tcPr>
            <w:tcW w:w="1540" w:type="dxa"/>
            <w:tcBorders>
              <w:top w:val="single" w:sz="4" w:space="0" w:color="auto"/>
              <w:bottom w:val="nil"/>
            </w:tcBorders>
            <w:vAlign w:val="center"/>
          </w:tcPr>
          <w:p w:rsidR="00032B52" w:rsidRPr="00AD71BA" w:rsidRDefault="00032B52" w:rsidP="009A38EA">
            <w:pPr>
              <w:spacing w:before="0" w:after="0"/>
              <w:jc w:val="left"/>
              <w:rPr>
                <w:bCs/>
                <w:sz w:val="18"/>
                <w:szCs w:val="18"/>
                <w:lang w:eastAsia="en-AU"/>
              </w:rPr>
            </w:pPr>
            <w:r w:rsidRPr="00AD71BA">
              <w:rPr>
                <w:bCs/>
                <w:sz w:val="18"/>
                <w:szCs w:val="18"/>
                <w:lang w:eastAsia="en-AU"/>
              </w:rPr>
              <w:t>MMM7</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95,130</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w:t>
            </w:r>
          </w:p>
        </w:tc>
        <w:tc>
          <w:tcPr>
            <w:tcW w:w="1540"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0.0</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w:t>
            </w:r>
          </w:p>
        </w:tc>
        <w:tc>
          <w:tcPr>
            <w:tcW w:w="1541" w:type="dxa"/>
            <w:tcBorders>
              <w:top w:val="single" w:sz="4" w:space="0" w:color="auto"/>
              <w:bottom w:val="nil"/>
            </w:tcBorders>
            <w:vAlign w:val="center"/>
          </w:tcPr>
          <w:p w:rsidR="00032B52" w:rsidRPr="00294F07" w:rsidRDefault="00032B52" w:rsidP="009A38EA">
            <w:pPr>
              <w:spacing w:before="0" w:after="0"/>
              <w:jc w:val="right"/>
              <w:rPr>
                <w:sz w:val="18"/>
                <w:szCs w:val="18"/>
                <w:lang w:eastAsia="en-AU"/>
              </w:rPr>
            </w:pPr>
            <w:r>
              <w:rPr>
                <w:sz w:val="18"/>
                <w:szCs w:val="18"/>
              </w:rPr>
              <w:t>0.0</w:t>
            </w:r>
          </w:p>
        </w:tc>
      </w:tr>
      <w:tr w:rsidR="00032B52" w:rsidTr="00C46A59">
        <w:trPr>
          <w:trHeight w:val="227"/>
        </w:trPr>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left"/>
              <w:rPr>
                <w:b/>
                <w:bCs/>
                <w:sz w:val="18"/>
                <w:szCs w:val="18"/>
                <w:lang w:eastAsia="en-AU"/>
              </w:rPr>
            </w:pPr>
            <w:r w:rsidRPr="00294F07">
              <w:rPr>
                <w:b/>
                <w:bCs/>
                <w:sz w:val="18"/>
                <w:szCs w:val="18"/>
                <w:lang w:eastAsia="en-AU"/>
              </w:rPr>
              <w:t>Grand Total</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b/>
                <w:bCs/>
                <w:sz w:val="18"/>
                <w:szCs w:val="18"/>
                <w:lang w:eastAsia="en-AU"/>
              </w:rPr>
            </w:pPr>
            <w:r>
              <w:rPr>
                <w:b/>
                <w:bCs/>
                <w:sz w:val="18"/>
                <w:szCs w:val="18"/>
              </w:rPr>
              <w:t>11,950,850</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b/>
                <w:bCs/>
                <w:sz w:val="18"/>
                <w:szCs w:val="18"/>
                <w:lang w:eastAsia="en-AU"/>
              </w:rPr>
            </w:pPr>
            <w:r>
              <w:rPr>
                <w:b/>
                <w:bCs/>
                <w:sz w:val="18"/>
                <w:szCs w:val="18"/>
              </w:rPr>
              <w:t>2,216</w:t>
            </w:r>
          </w:p>
        </w:tc>
        <w:tc>
          <w:tcPr>
            <w:tcW w:w="1540" w:type="dxa"/>
            <w:tcBorders>
              <w:top w:val="nil"/>
              <w:bottom w:val="single" w:sz="4" w:space="0" w:color="auto"/>
            </w:tcBorders>
            <w:shd w:val="clear" w:color="auto" w:fill="D3DFEE"/>
            <w:vAlign w:val="center"/>
          </w:tcPr>
          <w:p w:rsidR="00032B52" w:rsidRPr="00294F07" w:rsidRDefault="00032B52" w:rsidP="009A38EA">
            <w:pPr>
              <w:spacing w:before="0" w:after="0"/>
              <w:jc w:val="right"/>
              <w:rPr>
                <w:b/>
                <w:bCs/>
                <w:sz w:val="18"/>
                <w:szCs w:val="18"/>
                <w:lang w:eastAsia="en-AU"/>
              </w:rPr>
            </w:pPr>
            <w:r>
              <w:rPr>
                <w:b/>
                <w:bCs/>
                <w:sz w:val="18"/>
                <w:szCs w:val="18"/>
              </w:rPr>
              <w:t>18.5</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b/>
                <w:bCs/>
                <w:sz w:val="18"/>
                <w:szCs w:val="18"/>
                <w:lang w:eastAsia="en-AU"/>
              </w:rPr>
            </w:pPr>
            <w:r>
              <w:rPr>
                <w:b/>
                <w:bCs/>
                <w:sz w:val="18"/>
                <w:szCs w:val="18"/>
              </w:rPr>
              <w:t>2,615</w:t>
            </w:r>
          </w:p>
        </w:tc>
        <w:tc>
          <w:tcPr>
            <w:tcW w:w="1541" w:type="dxa"/>
            <w:tcBorders>
              <w:top w:val="nil"/>
              <w:bottom w:val="single" w:sz="4" w:space="0" w:color="auto"/>
            </w:tcBorders>
            <w:shd w:val="clear" w:color="auto" w:fill="D3DFEE"/>
            <w:vAlign w:val="center"/>
          </w:tcPr>
          <w:p w:rsidR="00032B52" w:rsidRPr="00294F07" w:rsidRDefault="00032B52" w:rsidP="009A38EA">
            <w:pPr>
              <w:spacing w:before="0" w:after="0"/>
              <w:jc w:val="right"/>
              <w:rPr>
                <w:b/>
                <w:bCs/>
                <w:sz w:val="18"/>
                <w:szCs w:val="18"/>
                <w:lang w:eastAsia="en-AU"/>
              </w:rPr>
            </w:pPr>
            <w:r>
              <w:rPr>
                <w:b/>
                <w:bCs/>
                <w:sz w:val="18"/>
                <w:szCs w:val="18"/>
              </w:rPr>
              <w:t>21.9</w:t>
            </w:r>
          </w:p>
        </w:tc>
      </w:tr>
    </w:tbl>
    <w:p w:rsidR="00457755" w:rsidRPr="00C90AA2" w:rsidRDefault="00FD2C13" w:rsidP="00932B16">
      <w:pPr>
        <w:rPr>
          <w:sz w:val="16"/>
          <w:szCs w:val="16"/>
        </w:rPr>
      </w:pPr>
      <w:r w:rsidRPr="00C90AA2">
        <w:rPr>
          <w:sz w:val="16"/>
          <w:szCs w:val="16"/>
        </w:rPr>
        <w:t>Note – Trainee FTE is based on clinical hours and specialist FTE is based on</w:t>
      </w:r>
      <w:r w:rsidR="00534752" w:rsidRPr="00C90AA2">
        <w:rPr>
          <w:sz w:val="16"/>
          <w:szCs w:val="16"/>
        </w:rPr>
        <w:t xml:space="preserve"> total</w:t>
      </w:r>
      <w:r w:rsidRPr="00C90AA2">
        <w:rPr>
          <w:sz w:val="16"/>
          <w:szCs w:val="16"/>
        </w:rPr>
        <w:t xml:space="preserve"> specialist hours.</w:t>
      </w:r>
    </w:p>
    <w:p w:rsidR="006A27DD" w:rsidRPr="00634696" w:rsidRDefault="006A27DD" w:rsidP="00012887">
      <w:pPr>
        <w:rPr>
          <w:i/>
          <w:color w:val="4F81BD"/>
          <w:sz w:val="16"/>
          <w:szCs w:val="16"/>
        </w:rPr>
      </w:pPr>
      <w:r w:rsidRPr="00634696">
        <w:rPr>
          <w:i/>
          <w:color w:val="4F81BD"/>
          <w:sz w:val="16"/>
          <w:szCs w:val="16"/>
        </w:rPr>
        <w:t>Source: NHWDS, M</w:t>
      </w:r>
      <w:r w:rsidR="00294F07" w:rsidRPr="00634696">
        <w:rPr>
          <w:i/>
          <w:color w:val="4F81BD"/>
          <w:sz w:val="16"/>
          <w:szCs w:val="16"/>
        </w:rPr>
        <w:t>edical Practitioner 2016</w:t>
      </w:r>
    </w:p>
    <w:p w:rsidR="00B47607" w:rsidRDefault="00B47607" w:rsidP="005B2760">
      <w:r w:rsidRPr="00345910">
        <w:fldChar w:fldCharType="begin"/>
      </w:r>
      <w:r w:rsidRPr="00345910">
        <w:instrText xml:space="preserve"> REF _Ref455399271 \h </w:instrText>
      </w:r>
      <w:r w:rsidR="00345910">
        <w:instrText xml:space="preserve"> \* MERGEFORMAT </w:instrText>
      </w:r>
      <w:r w:rsidRPr="00345910">
        <w:fldChar w:fldCharType="separate"/>
      </w:r>
      <w:r w:rsidR="008C7087" w:rsidRPr="008C7087">
        <w:t>Table 10</w:t>
      </w:r>
      <w:r w:rsidRPr="00345910">
        <w:fldChar w:fldCharType="end"/>
      </w:r>
      <w:r w:rsidRPr="00345910">
        <w:t xml:space="preserve"> details the </w:t>
      </w:r>
      <w:r w:rsidR="00345910">
        <w:t xml:space="preserve">O&amp;G </w:t>
      </w:r>
      <w:r w:rsidRPr="00345910">
        <w:t xml:space="preserve">subspecialist workforce. As </w:t>
      </w:r>
      <w:r w:rsidR="00345910" w:rsidRPr="00345910">
        <w:t>subspecialty training m</w:t>
      </w:r>
      <w:r w:rsidR="00345910">
        <w:t>a</w:t>
      </w:r>
      <w:r w:rsidR="00345910" w:rsidRPr="00345910">
        <w:t>y be undertaken in the advanced years</w:t>
      </w:r>
      <w:r w:rsidR="00345910">
        <w:t xml:space="preserve"> of training</w:t>
      </w:r>
      <w:r w:rsidR="00345910" w:rsidRPr="00345910">
        <w:t xml:space="preserve"> or after fellowship</w:t>
      </w:r>
      <w:r w:rsidR="00345910">
        <w:t>,</w:t>
      </w:r>
      <w:r w:rsidR="00345910" w:rsidRPr="00345910">
        <w:t xml:space="preserve"> some subspecialist trainees may also be</w:t>
      </w:r>
      <w:r w:rsidR="00345910">
        <w:t xml:space="preserve"> working as </w:t>
      </w:r>
      <w:r w:rsidR="00345910" w:rsidRPr="00345910">
        <w:t>O&amp;G specialists</w:t>
      </w:r>
      <w:r w:rsidR="00BE0CB3">
        <w:t xml:space="preserve"> (fellows)</w:t>
      </w:r>
      <w:r w:rsidR="00345910">
        <w:t>. To avoid double counting, the subspecialty FTE i</w:t>
      </w:r>
      <w:r w:rsidR="007F61ED">
        <w:t>s presented in the table below.</w:t>
      </w:r>
    </w:p>
    <w:p w:rsidR="00AD71BA" w:rsidRDefault="00AD71BA" w:rsidP="00AD71BA">
      <w:pPr>
        <w:pStyle w:val="Caption"/>
      </w:pPr>
      <w:bookmarkStart w:id="100" w:name="_Ref455399271"/>
      <w:bookmarkStart w:id="101" w:name="_Toc515887831"/>
      <w:r w:rsidRPr="00A5438F">
        <w:rPr>
          <w:szCs w:val="22"/>
        </w:rPr>
        <w:t xml:space="preserve">Table </w:t>
      </w:r>
      <w:r w:rsidRPr="00A5438F">
        <w:rPr>
          <w:szCs w:val="22"/>
        </w:rPr>
        <w:fldChar w:fldCharType="begin"/>
      </w:r>
      <w:r w:rsidRPr="00A5438F">
        <w:rPr>
          <w:szCs w:val="22"/>
        </w:rPr>
        <w:instrText xml:space="preserve"> SEQ Table \* ARABIC </w:instrText>
      </w:r>
      <w:r w:rsidRPr="00A5438F">
        <w:rPr>
          <w:szCs w:val="22"/>
        </w:rPr>
        <w:fldChar w:fldCharType="separate"/>
      </w:r>
      <w:r w:rsidR="008C7087">
        <w:rPr>
          <w:noProof/>
          <w:szCs w:val="22"/>
        </w:rPr>
        <w:t>10</w:t>
      </w:r>
      <w:r w:rsidRPr="00A5438F">
        <w:rPr>
          <w:szCs w:val="22"/>
        </w:rPr>
        <w:fldChar w:fldCharType="end"/>
      </w:r>
      <w:bookmarkEnd w:id="100"/>
      <w:r w:rsidRPr="00A5438F">
        <w:rPr>
          <w:noProof/>
          <w:szCs w:val="22"/>
        </w:rPr>
        <w:t>:</w:t>
      </w:r>
      <w:r w:rsidRPr="00A5438F">
        <w:rPr>
          <w:szCs w:val="22"/>
        </w:rPr>
        <w:t xml:space="preserve"> Summary</w:t>
      </w:r>
      <w:r w:rsidRPr="00A5438F">
        <w:t xml:space="preserve"> of O&amp;G subspecialty workforce (FTE) by MM</w:t>
      </w:r>
      <w:r>
        <w:t>M</w:t>
      </w:r>
      <w:bookmarkEnd w:id="101"/>
    </w:p>
    <w:tbl>
      <w:tblPr>
        <w:tblStyle w:val="TableGrid"/>
        <w:tblW w:w="0" w:type="auto"/>
        <w:tblBorders>
          <w:insideH w:val="none" w:sz="0" w:space="0" w:color="auto"/>
          <w:insideV w:val="none" w:sz="0" w:space="0" w:color="auto"/>
        </w:tblBorders>
        <w:tblLook w:val="04A0" w:firstRow="1" w:lastRow="0" w:firstColumn="1" w:lastColumn="0" w:noHBand="0" w:noVBand="1"/>
        <w:tblCaption w:val="Table 10: Summary of O&amp;G subspecialty workforce (full time equivalent) by Modified Monash Model"/>
        <w:tblDescription w:val="Provides a summary of the obstetrics and gynecology subspecialist workforce with most primarily in major cities."/>
      </w:tblPr>
      <w:tblGrid>
        <w:gridCol w:w="1101"/>
        <w:gridCol w:w="1275"/>
        <w:gridCol w:w="851"/>
        <w:gridCol w:w="992"/>
        <w:gridCol w:w="992"/>
        <w:gridCol w:w="851"/>
        <w:gridCol w:w="709"/>
        <w:gridCol w:w="567"/>
        <w:gridCol w:w="649"/>
        <w:gridCol w:w="626"/>
        <w:gridCol w:w="629"/>
      </w:tblGrid>
      <w:tr w:rsidR="000D5961" w:rsidTr="000468B8">
        <w:trPr>
          <w:tblHeader/>
        </w:trPr>
        <w:tc>
          <w:tcPr>
            <w:tcW w:w="1101" w:type="dxa"/>
            <w:tcBorders>
              <w:top w:val="single" w:sz="4" w:space="0" w:color="auto"/>
              <w:bottom w:val="nil"/>
            </w:tcBorders>
            <w:shd w:val="clear" w:color="auto" w:fill="1F497D"/>
          </w:tcPr>
          <w:p w:rsidR="000D5961"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MMM Category</w:t>
            </w:r>
          </w:p>
        </w:tc>
        <w:tc>
          <w:tcPr>
            <w:tcW w:w="4961" w:type="dxa"/>
            <w:gridSpan w:val="5"/>
            <w:tcBorders>
              <w:top w:val="single" w:sz="4" w:space="0" w:color="auto"/>
              <w:bottom w:val="nil"/>
            </w:tcBorders>
            <w:shd w:val="clear" w:color="auto" w:fill="1F497D"/>
          </w:tcPr>
          <w:p w:rsidR="000D5961"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Subspecialist and trainee FTE</w:t>
            </w:r>
          </w:p>
        </w:tc>
        <w:tc>
          <w:tcPr>
            <w:tcW w:w="3180" w:type="dxa"/>
            <w:gridSpan w:val="5"/>
            <w:tcBorders>
              <w:top w:val="single" w:sz="4" w:space="0" w:color="auto"/>
              <w:bottom w:val="nil"/>
            </w:tcBorders>
            <w:shd w:val="clear" w:color="auto" w:fill="1F497D"/>
          </w:tcPr>
          <w:p w:rsidR="000D5961"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Subspecialist and trainee FTE per 100,000 female population</w:t>
            </w:r>
          </w:p>
        </w:tc>
      </w:tr>
      <w:tr w:rsidR="00553A9D" w:rsidTr="000468B8">
        <w:trPr>
          <w:trHeight w:val="339"/>
          <w:tblHeader/>
        </w:trPr>
        <w:tc>
          <w:tcPr>
            <w:tcW w:w="1101"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p>
        </w:tc>
        <w:tc>
          <w:tcPr>
            <w:tcW w:w="1275"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UG</w:t>
            </w:r>
          </w:p>
        </w:tc>
        <w:tc>
          <w:tcPr>
            <w:tcW w:w="851"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REI</w:t>
            </w:r>
          </w:p>
        </w:tc>
        <w:tc>
          <w:tcPr>
            <w:tcW w:w="992"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OGU</w:t>
            </w:r>
          </w:p>
        </w:tc>
        <w:tc>
          <w:tcPr>
            <w:tcW w:w="992"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MFM</w:t>
            </w:r>
          </w:p>
        </w:tc>
        <w:tc>
          <w:tcPr>
            <w:tcW w:w="851"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GO</w:t>
            </w:r>
          </w:p>
        </w:tc>
        <w:tc>
          <w:tcPr>
            <w:tcW w:w="709"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UG</w:t>
            </w:r>
          </w:p>
        </w:tc>
        <w:tc>
          <w:tcPr>
            <w:tcW w:w="567"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REI</w:t>
            </w:r>
          </w:p>
        </w:tc>
        <w:tc>
          <w:tcPr>
            <w:tcW w:w="649"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OGU</w:t>
            </w:r>
          </w:p>
        </w:tc>
        <w:tc>
          <w:tcPr>
            <w:tcW w:w="626"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MFM</w:t>
            </w:r>
          </w:p>
        </w:tc>
        <w:tc>
          <w:tcPr>
            <w:tcW w:w="629" w:type="dxa"/>
            <w:tcBorders>
              <w:top w:val="nil"/>
              <w:bottom w:val="nil"/>
            </w:tcBorders>
            <w:shd w:val="clear" w:color="auto" w:fill="1F497D"/>
            <w:vAlign w:val="center"/>
          </w:tcPr>
          <w:p w:rsidR="00553A9D" w:rsidRPr="000468B8" w:rsidRDefault="00553A9D" w:rsidP="000468B8">
            <w:pPr>
              <w:spacing w:before="0" w:after="0"/>
              <w:jc w:val="center"/>
              <w:rPr>
                <w:b/>
                <w:color w:val="FFFFFF" w:themeColor="background1"/>
                <w:sz w:val="18"/>
                <w:szCs w:val="18"/>
              </w:rPr>
            </w:pPr>
            <w:r w:rsidRPr="000468B8">
              <w:rPr>
                <w:b/>
                <w:color w:val="FFFFFF" w:themeColor="background1"/>
                <w:sz w:val="18"/>
                <w:szCs w:val="18"/>
              </w:rPr>
              <w:t>GO</w:t>
            </w:r>
          </w:p>
        </w:tc>
      </w:tr>
      <w:tr w:rsidR="000468B8" w:rsidTr="00C46A59">
        <w:trPr>
          <w:trHeight w:val="227"/>
        </w:trPr>
        <w:tc>
          <w:tcPr>
            <w:tcW w:w="1101" w:type="dxa"/>
            <w:tcBorders>
              <w:top w:val="nil"/>
              <w:bottom w:val="nil"/>
            </w:tcBorders>
            <w:vAlign w:val="center"/>
          </w:tcPr>
          <w:p w:rsidR="00553A9D" w:rsidRPr="008F250A" w:rsidRDefault="00553A9D" w:rsidP="009F0A92">
            <w:pPr>
              <w:spacing w:before="0" w:after="0"/>
              <w:jc w:val="center"/>
              <w:rPr>
                <w:color w:val="000000"/>
                <w:sz w:val="18"/>
                <w:szCs w:val="20"/>
                <w:lang w:eastAsia="en-AU"/>
              </w:rPr>
            </w:pPr>
            <w:r>
              <w:rPr>
                <w:color w:val="000000"/>
                <w:sz w:val="18"/>
                <w:szCs w:val="20"/>
                <w:lang w:eastAsia="en-AU"/>
              </w:rPr>
              <w:t>MMM</w:t>
            </w:r>
            <w:r w:rsidRPr="008F250A">
              <w:rPr>
                <w:color w:val="000000"/>
                <w:sz w:val="18"/>
                <w:szCs w:val="20"/>
                <w:lang w:eastAsia="en-AU"/>
              </w:rPr>
              <w:t>1</w:t>
            </w:r>
          </w:p>
        </w:tc>
        <w:tc>
          <w:tcPr>
            <w:tcW w:w="1275"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39.6</w:t>
            </w:r>
          </w:p>
        </w:tc>
        <w:tc>
          <w:tcPr>
            <w:tcW w:w="851"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Pr>
                <w:color w:val="000000"/>
                <w:sz w:val="18"/>
                <w:szCs w:val="20"/>
                <w:lang w:eastAsia="en-AU"/>
              </w:rPr>
              <w:t>58.9</w:t>
            </w:r>
          </w:p>
        </w:tc>
        <w:tc>
          <w:tcPr>
            <w:tcW w:w="992"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76.</w:t>
            </w:r>
            <w:r>
              <w:rPr>
                <w:color w:val="000000"/>
                <w:sz w:val="18"/>
                <w:szCs w:val="20"/>
                <w:lang w:eastAsia="en-AU"/>
              </w:rPr>
              <w:t>1</w:t>
            </w:r>
          </w:p>
        </w:tc>
        <w:tc>
          <w:tcPr>
            <w:tcW w:w="992"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Pr>
                <w:color w:val="000000"/>
                <w:sz w:val="18"/>
                <w:szCs w:val="20"/>
                <w:lang w:eastAsia="en-AU"/>
              </w:rPr>
              <w:t>58.0</w:t>
            </w:r>
          </w:p>
        </w:tc>
        <w:tc>
          <w:tcPr>
            <w:tcW w:w="851"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Pr>
                <w:color w:val="000000"/>
                <w:sz w:val="18"/>
                <w:szCs w:val="20"/>
                <w:lang w:eastAsia="en-AU"/>
              </w:rPr>
              <w:t>58.5</w:t>
            </w:r>
          </w:p>
        </w:tc>
        <w:tc>
          <w:tcPr>
            <w:tcW w:w="70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0.5</w:t>
            </w:r>
          </w:p>
        </w:tc>
        <w:tc>
          <w:tcPr>
            <w:tcW w:w="567"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0.7</w:t>
            </w:r>
          </w:p>
        </w:tc>
        <w:tc>
          <w:tcPr>
            <w:tcW w:w="64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0.9</w:t>
            </w:r>
          </w:p>
        </w:tc>
        <w:tc>
          <w:tcPr>
            <w:tcW w:w="626"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0.7</w:t>
            </w:r>
          </w:p>
        </w:tc>
        <w:tc>
          <w:tcPr>
            <w:tcW w:w="62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0.7</w:t>
            </w:r>
          </w:p>
        </w:tc>
      </w:tr>
      <w:tr w:rsidR="00553A9D" w:rsidTr="00C46A59">
        <w:trPr>
          <w:trHeight w:val="227"/>
        </w:trPr>
        <w:tc>
          <w:tcPr>
            <w:tcW w:w="1101" w:type="dxa"/>
            <w:tcBorders>
              <w:top w:val="nil"/>
              <w:bottom w:val="nil"/>
            </w:tcBorders>
            <w:shd w:val="clear" w:color="auto" w:fill="D3DFEE"/>
            <w:vAlign w:val="center"/>
          </w:tcPr>
          <w:p w:rsidR="00553A9D" w:rsidRPr="008F250A" w:rsidRDefault="00553A9D" w:rsidP="009F0A92">
            <w:pPr>
              <w:spacing w:before="0" w:after="0"/>
              <w:jc w:val="center"/>
              <w:rPr>
                <w:color w:val="000000"/>
                <w:sz w:val="18"/>
                <w:szCs w:val="20"/>
                <w:lang w:eastAsia="en-AU"/>
              </w:rPr>
            </w:pPr>
            <w:r>
              <w:rPr>
                <w:color w:val="000000"/>
                <w:sz w:val="18"/>
                <w:szCs w:val="20"/>
                <w:lang w:eastAsia="en-AU"/>
              </w:rPr>
              <w:t>MMM</w:t>
            </w:r>
            <w:r w:rsidRPr="008F250A">
              <w:rPr>
                <w:color w:val="000000"/>
                <w:sz w:val="18"/>
                <w:szCs w:val="20"/>
                <w:lang w:eastAsia="en-AU"/>
              </w:rPr>
              <w:t>2</w:t>
            </w:r>
          </w:p>
        </w:tc>
        <w:tc>
          <w:tcPr>
            <w:tcW w:w="1275"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3</w:t>
            </w:r>
            <w:r>
              <w:rPr>
                <w:color w:val="000000"/>
                <w:sz w:val="18"/>
                <w:szCs w:val="20"/>
                <w:lang w:eastAsia="en-AU"/>
              </w:rPr>
              <w:t>.0</w:t>
            </w:r>
          </w:p>
        </w:tc>
        <w:tc>
          <w:tcPr>
            <w:tcW w:w="851"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2.8</w:t>
            </w:r>
          </w:p>
        </w:tc>
        <w:tc>
          <w:tcPr>
            <w:tcW w:w="992"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3.</w:t>
            </w:r>
            <w:r>
              <w:rPr>
                <w:color w:val="000000"/>
                <w:sz w:val="18"/>
                <w:szCs w:val="20"/>
                <w:lang w:eastAsia="en-AU"/>
              </w:rPr>
              <w:t>6</w:t>
            </w:r>
          </w:p>
        </w:tc>
        <w:tc>
          <w:tcPr>
            <w:tcW w:w="992"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3.5</w:t>
            </w:r>
          </w:p>
        </w:tc>
        <w:tc>
          <w:tcPr>
            <w:tcW w:w="851"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2.1</w:t>
            </w:r>
          </w:p>
        </w:tc>
        <w:tc>
          <w:tcPr>
            <w:tcW w:w="70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0.3</w:t>
            </w:r>
          </w:p>
        </w:tc>
        <w:tc>
          <w:tcPr>
            <w:tcW w:w="567"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0.3</w:t>
            </w:r>
          </w:p>
        </w:tc>
        <w:tc>
          <w:tcPr>
            <w:tcW w:w="64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0.3</w:t>
            </w:r>
          </w:p>
        </w:tc>
        <w:tc>
          <w:tcPr>
            <w:tcW w:w="626"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0.3</w:t>
            </w:r>
          </w:p>
        </w:tc>
        <w:tc>
          <w:tcPr>
            <w:tcW w:w="62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0.2</w:t>
            </w:r>
          </w:p>
        </w:tc>
      </w:tr>
      <w:tr w:rsidR="000468B8" w:rsidTr="00C46A59">
        <w:trPr>
          <w:trHeight w:val="227"/>
        </w:trPr>
        <w:tc>
          <w:tcPr>
            <w:tcW w:w="1101" w:type="dxa"/>
            <w:tcBorders>
              <w:top w:val="nil"/>
              <w:bottom w:val="nil"/>
            </w:tcBorders>
            <w:vAlign w:val="center"/>
          </w:tcPr>
          <w:p w:rsidR="00553A9D" w:rsidRPr="008F250A" w:rsidRDefault="00553A9D" w:rsidP="009F0A92">
            <w:pPr>
              <w:spacing w:before="0" w:after="0"/>
              <w:jc w:val="center"/>
              <w:rPr>
                <w:color w:val="000000"/>
                <w:sz w:val="18"/>
                <w:szCs w:val="20"/>
                <w:lang w:eastAsia="en-AU"/>
              </w:rPr>
            </w:pPr>
            <w:r>
              <w:rPr>
                <w:color w:val="000000"/>
                <w:sz w:val="18"/>
                <w:szCs w:val="20"/>
                <w:lang w:eastAsia="en-AU"/>
              </w:rPr>
              <w:t>MMM</w:t>
            </w:r>
            <w:r w:rsidRPr="008F250A">
              <w:rPr>
                <w:color w:val="000000"/>
                <w:sz w:val="18"/>
                <w:szCs w:val="20"/>
                <w:lang w:eastAsia="en-AU"/>
              </w:rPr>
              <w:t>3</w:t>
            </w:r>
          </w:p>
        </w:tc>
        <w:tc>
          <w:tcPr>
            <w:tcW w:w="1275"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851"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1.5</w:t>
            </w:r>
          </w:p>
        </w:tc>
        <w:tc>
          <w:tcPr>
            <w:tcW w:w="992"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992"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851"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1</w:t>
            </w:r>
            <w:r>
              <w:rPr>
                <w:color w:val="000000"/>
                <w:sz w:val="18"/>
                <w:szCs w:val="20"/>
                <w:lang w:eastAsia="en-AU"/>
              </w:rPr>
              <w:t>.0</w:t>
            </w:r>
          </w:p>
        </w:tc>
        <w:tc>
          <w:tcPr>
            <w:tcW w:w="70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567"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0.2</w:t>
            </w:r>
          </w:p>
        </w:tc>
        <w:tc>
          <w:tcPr>
            <w:tcW w:w="64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626"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629" w:type="dxa"/>
            <w:tcBorders>
              <w:top w:val="nil"/>
              <w:bottom w:val="nil"/>
            </w:tcBorders>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0.1</w:t>
            </w:r>
          </w:p>
        </w:tc>
      </w:tr>
      <w:tr w:rsidR="00553A9D" w:rsidTr="00C46A59">
        <w:trPr>
          <w:trHeight w:val="227"/>
        </w:trPr>
        <w:tc>
          <w:tcPr>
            <w:tcW w:w="1101" w:type="dxa"/>
            <w:tcBorders>
              <w:top w:val="nil"/>
              <w:bottom w:val="nil"/>
            </w:tcBorders>
            <w:shd w:val="clear" w:color="auto" w:fill="D3DFEE"/>
            <w:vAlign w:val="center"/>
          </w:tcPr>
          <w:p w:rsidR="00553A9D" w:rsidRPr="008F250A" w:rsidRDefault="00553A9D" w:rsidP="009F0A92">
            <w:pPr>
              <w:spacing w:before="0" w:after="0"/>
              <w:jc w:val="center"/>
              <w:rPr>
                <w:color w:val="000000"/>
                <w:sz w:val="18"/>
                <w:szCs w:val="20"/>
                <w:lang w:eastAsia="en-AU"/>
              </w:rPr>
            </w:pPr>
            <w:r>
              <w:rPr>
                <w:color w:val="000000"/>
                <w:sz w:val="18"/>
                <w:szCs w:val="20"/>
                <w:lang w:eastAsia="en-AU"/>
              </w:rPr>
              <w:t>MMM</w:t>
            </w:r>
            <w:r w:rsidRPr="008F250A">
              <w:rPr>
                <w:color w:val="000000"/>
                <w:sz w:val="18"/>
                <w:szCs w:val="20"/>
                <w:lang w:eastAsia="en-AU"/>
              </w:rPr>
              <w:t>4</w:t>
            </w:r>
          </w:p>
        </w:tc>
        <w:tc>
          <w:tcPr>
            <w:tcW w:w="1275"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851"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992"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3.6</w:t>
            </w:r>
          </w:p>
        </w:tc>
        <w:tc>
          <w:tcPr>
            <w:tcW w:w="992"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851"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w:t>
            </w:r>
            <w:r>
              <w:rPr>
                <w:color w:val="000000"/>
                <w:sz w:val="18"/>
                <w:szCs w:val="20"/>
                <w:lang w:eastAsia="en-AU"/>
              </w:rPr>
              <w:t>.0</w:t>
            </w:r>
          </w:p>
        </w:tc>
        <w:tc>
          <w:tcPr>
            <w:tcW w:w="70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567"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64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0.8</w:t>
            </w:r>
          </w:p>
        </w:tc>
        <w:tc>
          <w:tcPr>
            <w:tcW w:w="626"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c>
          <w:tcPr>
            <w:tcW w:w="629" w:type="dxa"/>
            <w:tcBorders>
              <w:top w:val="nil"/>
              <w:bottom w:val="nil"/>
            </w:tcBorders>
            <w:shd w:val="clear" w:color="auto" w:fill="D3DFEE"/>
            <w:vAlign w:val="center"/>
          </w:tcPr>
          <w:p w:rsidR="00553A9D" w:rsidRPr="008F250A" w:rsidRDefault="00553A9D" w:rsidP="009F0A92">
            <w:pPr>
              <w:spacing w:before="0" w:after="0"/>
              <w:jc w:val="right"/>
              <w:rPr>
                <w:color w:val="000000"/>
                <w:sz w:val="18"/>
                <w:szCs w:val="20"/>
                <w:lang w:eastAsia="en-AU"/>
              </w:rPr>
            </w:pPr>
            <w:r w:rsidRPr="008F250A">
              <w:rPr>
                <w:color w:val="000000"/>
                <w:sz w:val="18"/>
                <w:szCs w:val="20"/>
                <w:lang w:eastAsia="en-AU"/>
              </w:rPr>
              <w:t>0.0</w:t>
            </w:r>
          </w:p>
        </w:tc>
      </w:tr>
      <w:tr w:rsidR="000468B8" w:rsidTr="00C46A59">
        <w:trPr>
          <w:trHeight w:val="227"/>
        </w:trPr>
        <w:tc>
          <w:tcPr>
            <w:tcW w:w="1101" w:type="dxa"/>
            <w:tcBorders>
              <w:top w:val="nil"/>
            </w:tcBorders>
            <w:vAlign w:val="center"/>
          </w:tcPr>
          <w:p w:rsidR="00553A9D" w:rsidRPr="008F250A" w:rsidRDefault="00553A9D" w:rsidP="009F0A92">
            <w:pPr>
              <w:spacing w:before="0" w:after="0"/>
              <w:jc w:val="center"/>
              <w:rPr>
                <w:b/>
                <w:bCs/>
                <w:color w:val="000000"/>
                <w:sz w:val="18"/>
                <w:szCs w:val="20"/>
                <w:lang w:eastAsia="en-AU"/>
              </w:rPr>
            </w:pPr>
            <w:r w:rsidRPr="008F250A">
              <w:rPr>
                <w:b/>
                <w:bCs/>
                <w:color w:val="000000"/>
                <w:sz w:val="18"/>
                <w:szCs w:val="20"/>
                <w:lang w:eastAsia="en-AU"/>
              </w:rPr>
              <w:t>Grand Total</w:t>
            </w:r>
          </w:p>
        </w:tc>
        <w:tc>
          <w:tcPr>
            <w:tcW w:w="1275"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42.6</w:t>
            </w:r>
          </w:p>
        </w:tc>
        <w:tc>
          <w:tcPr>
            <w:tcW w:w="851"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63.2</w:t>
            </w:r>
          </w:p>
        </w:tc>
        <w:tc>
          <w:tcPr>
            <w:tcW w:w="992"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83.</w:t>
            </w:r>
            <w:r>
              <w:rPr>
                <w:b/>
                <w:bCs/>
                <w:color w:val="000000"/>
                <w:sz w:val="18"/>
                <w:szCs w:val="20"/>
                <w:lang w:eastAsia="en-AU"/>
              </w:rPr>
              <w:t>3</w:t>
            </w:r>
          </w:p>
        </w:tc>
        <w:tc>
          <w:tcPr>
            <w:tcW w:w="992"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61.</w:t>
            </w:r>
            <w:r>
              <w:rPr>
                <w:b/>
                <w:bCs/>
                <w:color w:val="000000"/>
                <w:sz w:val="18"/>
                <w:szCs w:val="20"/>
                <w:lang w:eastAsia="en-AU"/>
              </w:rPr>
              <w:t>5</w:t>
            </w:r>
          </w:p>
        </w:tc>
        <w:tc>
          <w:tcPr>
            <w:tcW w:w="851"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61.6</w:t>
            </w:r>
          </w:p>
        </w:tc>
        <w:tc>
          <w:tcPr>
            <w:tcW w:w="709"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0.4</w:t>
            </w:r>
          </w:p>
        </w:tc>
        <w:tc>
          <w:tcPr>
            <w:tcW w:w="567"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0.5</w:t>
            </w:r>
          </w:p>
        </w:tc>
        <w:tc>
          <w:tcPr>
            <w:tcW w:w="649"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0.7</w:t>
            </w:r>
          </w:p>
        </w:tc>
        <w:tc>
          <w:tcPr>
            <w:tcW w:w="626"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0.5</w:t>
            </w:r>
          </w:p>
        </w:tc>
        <w:tc>
          <w:tcPr>
            <w:tcW w:w="629" w:type="dxa"/>
            <w:tcBorders>
              <w:top w:val="nil"/>
            </w:tcBorders>
            <w:vAlign w:val="center"/>
          </w:tcPr>
          <w:p w:rsidR="00553A9D" w:rsidRPr="008F250A" w:rsidRDefault="00553A9D" w:rsidP="009F0A92">
            <w:pPr>
              <w:spacing w:before="0" w:after="0"/>
              <w:jc w:val="right"/>
              <w:rPr>
                <w:b/>
                <w:bCs/>
                <w:color w:val="000000"/>
                <w:sz w:val="18"/>
                <w:szCs w:val="20"/>
                <w:lang w:eastAsia="en-AU"/>
              </w:rPr>
            </w:pPr>
            <w:r w:rsidRPr="008F250A">
              <w:rPr>
                <w:b/>
                <w:bCs/>
                <w:color w:val="000000"/>
                <w:sz w:val="18"/>
                <w:szCs w:val="20"/>
                <w:lang w:eastAsia="en-AU"/>
              </w:rPr>
              <w:t>0.5</w:t>
            </w:r>
          </w:p>
        </w:tc>
      </w:tr>
    </w:tbl>
    <w:p w:rsidR="00AD71BA" w:rsidRPr="00B76C31" w:rsidRDefault="00AD71BA" w:rsidP="00B76C31">
      <w:pPr>
        <w:spacing w:before="0" w:after="0"/>
        <w:rPr>
          <w:i/>
          <w:color w:val="4F81BD" w:themeColor="accent1"/>
          <w:sz w:val="16"/>
        </w:rPr>
      </w:pPr>
      <w:r w:rsidRPr="00B76C31">
        <w:rPr>
          <w:i/>
          <w:color w:val="4F81BD" w:themeColor="accent1"/>
          <w:sz w:val="16"/>
        </w:rPr>
        <w:t>Note – Trainee FTE is based on clinical hours and subspecialist FTE is based on total specialist hours.</w:t>
      </w:r>
    </w:p>
    <w:p w:rsidR="00AD71BA" w:rsidRPr="00B76C31" w:rsidRDefault="00AD71BA" w:rsidP="00B76C31">
      <w:pPr>
        <w:spacing w:before="0" w:after="0"/>
        <w:rPr>
          <w:i/>
          <w:color w:val="4F81BD" w:themeColor="accent1"/>
          <w:sz w:val="16"/>
          <w:szCs w:val="16"/>
        </w:rPr>
      </w:pPr>
      <w:r w:rsidRPr="00B76C31">
        <w:rPr>
          <w:i/>
          <w:color w:val="4F81BD" w:themeColor="accent1"/>
          <w:sz w:val="16"/>
          <w:szCs w:val="16"/>
        </w:rPr>
        <w:lastRenderedPageBreak/>
        <w:t>Source: NHWDS, Medical Practitioner 2016</w:t>
      </w:r>
    </w:p>
    <w:p w:rsidR="00810827" w:rsidRDefault="00810827" w:rsidP="00426E94">
      <w:pPr>
        <w:pStyle w:val="Heading1"/>
      </w:pPr>
      <w:bookmarkStart w:id="102" w:name="_Toc447276322"/>
      <w:bookmarkStart w:id="103" w:name="_Toc521510450"/>
      <w:r w:rsidRPr="00B80222">
        <w:t>General Practitioners providing obstetric services</w:t>
      </w:r>
      <w:bookmarkEnd w:id="102"/>
      <w:bookmarkEnd w:id="103"/>
    </w:p>
    <w:p w:rsidR="00810827" w:rsidRDefault="00810827" w:rsidP="00810827">
      <w:pPr>
        <w:pStyle w:val="Heading2"/>
      </w:pPr>
      <w:bookmarkStart w:id="104" w:name="_Toc447276323"/>
      <w:bookmarkStart w:id="105" w:name="_Toc521510451"/>
      <w:r>
        <w:t>Background</w:t>
      </w:r>
      <w:bookmarkEnd w:id="104"/>
      <w:bookmarkEnd w:id="105"/>
    </w:p>
    <w:p w:rsidR="00810827" w:rsidRDefault="00810827" w:rsidP="007B46C2">
      <w:r w:rsidRPr="00810827">
        <w:t xml:space="preserve">There are three qualifications the RANZCOG offers in Women’s Health for </w:t>
      </w:r>
      <w:r w:rsidR="0007411C">
        <w:t>medical</w:t>
      </w:r>
      <w:r w:rsidRPr="00810827">
        <w:t xml:space="preserve"> practitioners</w:t>
      </w:r>
      <w:r w:rsidR="0007411C">
        <w:t xml:space="preserve">. In general, prospective trainees </w:t>
      </w:r>
      <w:r w:rsidR="0007411C" w:rsidRPr="0007411C">
        <w:t>must hold a primary</w:t>
      </w:r>
      <w:r w:rsidR="0007411C">
        <w:t xml:space="preserve"> degree in Medicine and Surgery, </w:t>
      </w:r>
      <w:r w:rsidR="0007411C" w:rsidRPr="0007411C">
        <w:t xml:space="preserve">be registered with </w:t>
      </w:r>
      <w:r w:rsidR="0007411C">
        <w:t xml:space="preserve">the Medical Board of Australia </w:t>
      </w:r>
      <w:r w:rsidR="0007411C" w:rsidRPr="0007411C">
        <w:t>and be in their second or subsequent postgraduate year</w:t>
      </w:r>
      <w:r>
        <w:rPr>
          <w:rStyle w:val="FootnoteReference"/>
        </w:rPr>
        <w:footnoteReference w:id="3"/>
      </w:r>
      <w:r w:rsidR="0007411C">
        <w:t>.</w:t>
      </w:r>
    </w:p>
    <w:p w:rsidR="00810827" w:rsidRPr="00810827" w:rsidRDefault="00810827" w:rsidP="002A3F1C">
      <w:pPr>
        <w:pStyle w:val="Heading3"/>
      </w:pPr>
      <w:r w:rsidRPr="00810827">
        <w:t>Certificate of Women’s Health (CWH)</w:t>
      </w:r>
    </w:p>
    <w:p w:rsidR="00810827" w:rsidRPr="00810827" w:rsidRDefault="00810827" w:rsidP="00810827">
      <w:pPr>
        <w:pStyle w:val="NormalWeb"/>
        <w:shd w:val="clear" w:color="auto" w:fill="FFFFFF"/>
        <w:spacing w:before="84" w:beforeAutospacing="0" w:after="192" w:afterAutospacing="0" w:line="270" w:lineRule="atLeast"/>
        <w:rPr>
          <w:lang w:eastAsia="en-US"/>
        </w:rPr>
      </w:pPr>
      <w:r w:rsidRPr="00810827">
        <w:rPr>
          <w:lang w:eastAsia="en-US"/>
        </w:rPr>
        <w:t>The CWH is centred primarily on office-based obstetrics and gynaecology and generally involves 3 months of either practice or hospital-based training</w:t>
      </w:r>
      <w:r w:rsidR="00C40A9B">
        <w:rPr>
          <w:lang w:eastAsia="en-US"/>
        </w:rPr>
        <w:t>.</w:t>
      </w:r>
    </w:p>
    <w:p w:rsidR="00810827" w:rsidRPr="00810827" w:rsidRDefault="00810827" w:rsidP="002A3F1C">
      <w:pPr>
        <w:pStyle w:val="Heading3"/>
      </w:pPr>
      <w:r w:rsidRPr="00810827">
        <w:t>Diploma (DRANZCOG)</w:t>
      </w:r>
    </w:p>
    <w:p w:rsidR="00810827" w:rsidRPr="00810827" w:rsidRDefault="00810827" w:rsidP="00810827">
      <w:pPr>
        <w:pStyle w:val="NormalWeb"/>
        <w:shd w:val="clear" w:color="auto" w:fill="FFFFFF"/>
        <w:spacing w:before="84" w:beforeAutospacing="0" w:after="192" w:afterAutospacing="0" w:line="270" w:lineRule="atLeast"/>
        <w:rPr>
          <w:lang w:eastAsia="en-US"/>
        </w:rPr>
      </w:pPr>
      <w:r w:rsidRPr="00810827">
        <w:rPr>
          <w:lang w:eastAsia="en-US"/>
        </w:rPr>
        <w:t>The DRANZCOG training program builds on the skills developed through the CWH training program. It is intended for general practitioners/residents who wish to gain skills in obstetrics and gynaecology that will enable them to safely undertake non-complex deliveries and basic gynaecological procedures. </w:t>
      </w:r>
    </w:p>
    <w:p w:rsidR="00810827" w:rsidRPr="00810827" w:rsidRDefault="00810827" w:rsidP="002A3F1C">
      <w:pPr>
        <w:pStyle w:val="Heading3"/>
      </w:pPr>
      <w:r w:rsidRPr="00810827">
        <w:t>Advanced GP Diploma (DRANZCOG Advanced)</w:t>
      </w:r>
    </w:p>
    <w:p w:rsidR="001B0C30" w:rsidRDefault="00810827" w:rsidP="00810827">
      <w:pPr>
        <w:pStyle w:val="NormalWeb"/>
        <w:shd w:val="clear" w:color="auto" w:fill="FFFFFF"/>
        <w:spacing w:before="84" w:beforeAutospacing="0" w:after="192" w:afterAutospacing="0" w:line="270" w:lineRule="atLeast"/>
        <w:rPr>
          <w:lang w:eastAsia="en-US"/>
        </w:rPr>
      </w:pPr>
      <w:r w:rsidRPr="00810827">
        <w:rPr>
          <w:lang w:eastAsia="en-US"/>
        </w:rPr>
        <w:t>The DRANZCOG Advanced is designed for medical practitioners who have gained skills in obstetrics and gynaecology through the basic DRANZCOG and who wish to further develop them to a level that would enable them to safely undertake complex deliveries, advanced gynaecological procedures and perform basic early and late pregnancy ultrasound scanning.</w:t>
      </w:r>
      <w:r w:rsidR="001B0C30">
        <w:rPr>
          <w:lang w:eastAsia="en-US"/>
        </w:rPr>
        <w:t xml:space="preserve"> The DRANZCOG Advanced consists of the following three curriculum areas:</w:t>
      </w:r>
    </w:p>
    <w:p w:rsidR="001B0C30" w:rsidRDefault="001B0C30" w:rsidP="00545FAB">
      <w:pPr>
        <w:pStyle w:val="NormalWeb"/>
        <w:numPr>
          <w:ilvl w:val="0"/>
          <w:numId w:val="52"/>
        </w:numPr>
        <w:shd w:val="clear" w:color="auto" w:fill="FFFFFF"/>
        <w:spacing w:before="84" w:beforeAutospacing="0" w:after="192" w:afterAutospacing="0" w:line="270" w:lineRule="atLeast"/>
        <w:rPr>
          <w:lang w:eastAsia="en-US"/>
        </w:rPr>
      </w:pPr>
      <w:r>
        <w:rPr>
          <w:lang w:eastAsia="en-US"/>
        </w:rPr>
        <w:t>DRAV1 Advanced obstetrics: caesarean delivery, perform instrumental delivery (vacuum and forceps), repair of perineal tears.</w:t>
      </w:r>
    </w:p>
    <w:p w:rsidR="001B0C30" w:rsidRDefault="001B0C30" w:rsidP="00545FAB">
      <w:pPr>
        <w:pStyle w:val="NormalWeb"/>
        <w:numPr>
          <w:ilvl w:val="0"/>
          <w:numId w:val="52"/>
        </w:numPr>
        <w:shd w:val="clear" w:color="auto" w:fill="FFFFFF"/>
        <w:spacing w:before="84" w:beforeAutospacing="0" w:after="192" w:afterAutospacing="0" w:line="270" w:lineRule="atLeast"/>
        <w:rPr>
          <w:lang w:eastAsia="en-US"/>
        </w:rPr>
      </w:pPr>
      <w:r>
        <w:rPr>
          <w:lang w:eastAsia="en-US"/>
        </w:rPr>
        <w:t>DRAV2 Advanced gynaecology: basic pelvic laparotomy, hysterectomy, miscarriage, termination.</w:t>
      </w:r>
    </w:p>
    <w:p w:rsidR="001B0C30" w:rsidRDefault="001B0C30" w:rsidP="00545FAB">
      <w:pPr>
        <w:pStyle w:val="NormalWeb"/>
        <w:numPr>
          <w:ilvl w:val="0"/>
          <w:numId w:val="52"/>
        </w:numPr>
        <w:shd w:val="clear" w:color="auto" w:fill="FFFFFF"/>
        <w:spacing w:before="84" w:beforeAutospacing="0" w:after="192" w:afterAutospacing="0" w:line="270" w:lineRule="atLeast"/>
        <w:rPr>
          <w:lang w:eastAsia="en-US"/>
        </w:rPr>
      </w:pPr>
      <w:r>
        <w:rPr>
          <w:lang w:eastAsia="en-US"/>
        </w:rPr>
        <w:t xml:space="preserve">DRAV3 Ultrasound: transvaginal and transabdominal first trimester scanning, late pregnancy scanning.  </w:t>
      </w:r>
    </w:p>
    <w:p w:rsidR="0056433E" w:rsidRDefault="0056433E" w:rsidP="0007411C">
      <w:pPr>
        <w:pStyle w:val="Heading2"/>
      </w:pPr>
      <w:bookmarkStart w:id="106" w:name="_Toc521510452"/>
      <w:bookmarkStart w:id="107" w:name="_Toc447276324"/>
      <w:r>
        <w:t>Rural Health Workforce</w:t>
      </w:r>
      <w:bookmarkEnd w:id="106"/>
    </w:p>
    <w:p w:rsidR="00121428" w:rsidRDefault="0056433E" w:rsidP="00121428">
      <w:r>
        <w:t xml:space="preserve">The </w:t>
      </w:r>
      <w:r w:rsidR="004C13B9">
        <w:t xml:space="preserve">medical </w:t>
      </w:r>
      <w:r w:rsidR="00C35EDF">
        <w:t xml:space="preserve">practice in rural and remote </w:t>
      </w:r>
      <w:r w:rsidR="00121428">
        <w:t xml:space="preserve">Australia, National </w:t>
      </w:r>
      <w:r w:rsidR="00C058B4">
        <w:t xml:space="preserve">Minimum Data Set </w:t>
      </w:r>
      <w:r w:rsidR="00121428">
        <w:t xml:space="preserve">(MDS) Report at 30 November 2016 seeks to quantify the number of rural and remote </w:t>
      </w:r>
      <w:proofErr w:type="spellStart"/>
      <w:r w:rsidR="00121428">
        <w:t>proceduralists</w:t>
      </w:r>
      <w:proofErr w:type="spellEnd"/>
      <w:r w:rsidR="00121428">
        <w:t xml:space="preserve">. </w:t>
      </w:r>
      <w:r w:rsidR="00CC5EDD">
        <w:t>This data set uses the ASGC-RA geographical classification system</w:t>
      </w:r>
      <w:r w:rsidR="008670FB">
        <w:t>.</w:t>
      </w:r>
      <w:r w:rsidR="00CC5EDD">
        <w:t xml:space="preserve"> </w:t>
      </w:r>
      <w:r w:rsidR="00121428">
        <w:t>The survey responses showed that there were 910 GPs practising within RA2-RA5 in at least on</w:t>
      </w:r>
      <w:r w:rsidR="008670FB">
        <w:t>e</w:t>
      </w:r>
      <w:r w:rsidR="00121428">
        <w:t xml:space="preserve"> procedural field (anaesthetics, obstetrics or surgery)</w:t>
      </w:r>
      <w:r w:rsidR="00A40B29">
        <w:rPr>
          <w:rStyle w:val="FootnoteReference"/>
        </w:rPr>
        <w:footnoteReference w:id="4"/>
      </w:r>
      <w:r w:rsidR="00121428">
        <w:t xml:space="preserve">. There were at least 448 undertaking obstetrics normal delivery. This number is significantly higher than the numbers that are shown to be claiming </w:t>
      </w:r>
      <w:r w:rsidR="00121428" w:rsidRPr="00AE71AD">
        <w:t>M</w:t>
      </w:r>
      <w:r w:rsidR="008670FB">
        <w:t>edicare Benefits Schedule (MBS) items</w:t>
      </w:r>
      <w:r w:rsidR="00121428">
        <w:t xml:space="preserve"> in the following section.</w:t>
      </w:r>
    </w:p>
    <w:p w:rsidR="0007411C" w:rsidRPr="00F269C6" w:rsidRDefault="0007411C" w:rsidP="00121428">
      <w:pPr>
        <w:pStyle w:val="Heading2"/>
      </w:pPr>
      <w:bookmarkStart w:id="108" w:name="_Toc521510453"/>
      <w:r>
        <w:lastRenderedPageBreak/>
        <w:t xml:space="preserve">Current </w:t>
      </w:r>
      <w:bookmarkEnd w:id="107"/>
      <w:r>
        <w:t>MBS services</w:t>
      </w:r>
      <w:bookmarkEnd w:id="108"/>
      <w:r>
        <w:t xml:space="preserve"> </w:t>
      </w:r>
    </w:p>
    <w:p w:rsidR="0007411C" w:rsidRDefault="0007411C" w:rsidP="0007411C">
      <w:r>
        <w:t xml:space="preserve">The </w:t>
      </w:r>
      <w:r w:rsidRPr="00AE71AD">
        <w:t>MBS data</w:t>
      </w:r>
      <w:r>
        <w:t xml:space="preserve"> is able to provide a partial picture of the GP obstetric workforce. This only includes GPs who have a Medicare provider number and bill Medicare for the obstetric services. This does not include services provided in a public hospital. </w:t>
      </w:r>
      <w:r w:rsidR="003844E5">
        <w:t>A different methodology would be needed to accurately determine the obstetric hours worked by GPs.</w:t>
      </w:r>
    </w:p>
    <w:p w:rsidR="00D55532" w:rsidRDefault="00D55532" w:rsidP="00D55532">
      <w:r w:rsidRPr="008C033D">
        <w:t xml:space="preserve">The definition of a GP </w:t>
      </w:r>
      <w:r>
        <w:t>obstetrician</w:t>
      </w:r>
      <w:r w:rsidR="003844E5">
        <w:t xml:space="preserve"> used in this report</w:t>
      </w:r>
      <w:r w:rsidRPr="008C033D">
        <w:t xml:space="preserve"> is based on the Medical Benefits Division Derived Medical Specialty (DMS)</w:t>
      </w:r>
      <w:r>
        <w:t>,</w:t>
      </w:r>
      <w:r w:rsidRPr="008C033D">
        <w:t xml:space="preserve"> </w:t>
      </w:r>
      <w:r>
        <w:t>whereby each medical practitioner</w:t>
      </w:r>
      <w:r w:rsidR="003844E5">
        <w:t>’</w:t>
      </w:r>
      <w:r>
        <w:t>s</w:t>
      </w:r>
      <w:r w:rsidRPr="008C033D">
        <w:t xml:space="preserve"> derived major specialty is determined taking into consideration both their medical qualifications and their service pattern</w:t>
      </w:r>
      <w:r>
        <w:t>,</w:t>
      </w:r>
      <w:r w:rsidRPr="008C033D">
        <w:t xml:space="preserve"> and is based on the provider</w:t>
      </w:r>
      <w:r>
        <w:t>’</w:t>
      </w:r>
      <w:r w:rsidRPr="008C033D">
        <w:t>s main area of practice each quarter</w:t>
      </w:r>
      <w:r>
        <w:t xml:space="preserve">. </w:t>
      </w:r>
    </w:p>
    <w:p w:rsidR="004938CD" w:rsidRDefault="00B76E55" w:rsidP="00900F80">
      <w:r>
        <w:t>In 2017</w:t>
      </w:r>
      <w:r w:rsidR="00C058B4">
        <w:t>,</w:t>
      </w:r>
      <w:r>
        <w:t xml:space="preserve"> there were 55 GP </w:t>
      </w:r>
      <w:r w:rsidR="00C058B4">
        <w:t xml:space="preserve">obstetricians </w:t>
      </w:r>
      <w:r w:rsidR="00BE2013">
        <w:t>(who had a Medicare provider number and bill Medicare for the obstetric services)</w:t>
      </w:r>
      <w:r>
        <w:t xml:space="preserve"> delivering 98,417 services in 2016.</w:t>
      </w:r>
      <w:r w:rsidR="00FE63E6">
        <w:t xml:space="preserve"> This </w:t>
      </w:r>
      <w:r w:rsidR="00A71BDA">
        <w:t>is</w:t>
      </w:r>
      <w:r w:rsidR="00FE63E6">
        <w:t xml:space="preserve"> around 3</w:t>
      </w:r>
      <w:r w:rsidR="00BE2013">
        <w:t xml:space="preserve"> per cent</w:t>
      </w:r>
      <w:r w:rsidR="00FE63E6">
        <w:t xml:space="preserve"> of the</w:t>
      </w:r>
      <w:r w:rsidR="00A71BDA">
        <w:t xml:space="preserve"> size of the</w:t>
      </w:r>
      <w:r w:rsidR="00FE63E6">
        <w:t xml:space="preserve"> overall </w:t>
      </w:r>
      <w:r w:rsidR="00C058B4">
        <w:t xml:space="preserve">obstetrics </w:t>
      </w:r>
      <w:r w:rsidR="00FE63E6">
        <w:t xml:space="preserve">and </w:t>
      </w:r>
      <w:r w:rsidR="00C058B4">
        <w:t xml:space="preserve">gynaecology </w:t>
      </w:r>
      <w:r w:rsidR="00A71BDA">
        <w:t xml:space="preserve">specialist </w:t>
      </w:r>
      <w:r w:rsidR="00FE63E6">
        <w:t>workforce</w:t>
      </w:r>
      <w:r w:rsidR="00A71BDA">
        <w:t xml:space="preserve"> which in 2016, consisted of 1</w:t>
      </w:r>
      <w:r w:rsidR="00BE2013">
        <w:t>,</w:t>
      </w:r>
      <w:r w:rsidR="00A71BDA">
        <w:t>640 specialists</w:t>
      </w:r>
      <w:r w:rsidR="00FE63E6">
        <w:t>.</w:t>
      </w:r>
    </w:p>
    <w:p w:rsidR="005C4BF8" w:rsidRDefault="005C4BF8" w:rsidP="005C4BF8">
      <w:pPr>
        <w:pStyle w:val="Caption"/>
        <w:keepNext/>
      </w:pPr>
      <w:bookmarkStart w:id="109" w:name="_Toc515887832"/>
      <w:r>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11</w:t>
      </w:r>
      <w:r w:rsidR="00556A17">
        <w:rPr>
          <w:noProof/>
        </w:rPr>
        <w:fldChar w:fldCharType="end"/>
      </w:r>
      <w:r>
        <w:t>: Proportion of services by</w:t>
      </w:r>
      <w:r w:rsidR="0037263A">
        <w:t xml:space="preserve"> GP obstetricians</w:t>
      </w:r>
      <w:bookmarkEnd w:id="109"/>
      <w:r w:rsidR="0037263A">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Caption w:val="Table 11: Proportion of services by GP obstetricians "/>
        <w:tblDescription w:val="Shows the location of procedural GP obstetrician services by Modified Monash Model 1 to 7. Just under half of all services provided by GP obstetricians were provided in MMM2-MMM7 and 12 per cent of services were provided in MMM5 or greater. Given that only roughly 18 per cent of specialist obstetricians are primarily working outside of MMM1, this clearly shows that GP obstetricians are meeting a community need by providing a higher level of service in areas outside MMM1."/>
      </w:tblPr>
      <w:tblGrid>
        <w:gridCol w:w="3080"/>
        <w:gridCol w:w="3081"/>
        <w:gridCol w:w="3081"/>
      </w:tblGrid>
      <w:tr w:rsidR="00553A9D" w:rsidTr="004A2BB5">
        <w:trPr>
          <w:tblHeader/>
        </w:trPr>
        <w:tc>
          <w:tcPr>
            <w:tcW w:w="3080" w:type="dxa"/>
            <w:shd w:val="clear" w:color="auto" w:fill="1F497D"/>
            <w:vAlign w:val="center"/>
          </w:tcPr>
          <w:p w:rsidR="00553A9D" w:rsidRPr="00B76E55" w:rsidRDefault="00553A9D" w:rsidP="009A38EA">
            <w:pPr>
              <w:spacing w:before="0" w:after="0"/>
              <w:jc w:val="center"/>
              <w:rPr>
                <w:b/>
                <w:bCs/>
                <w:color w:val="FFFFFF"/>
                <w:sz w:val="20"/>
                <w:szCs w:val="20"/>
                <w:lang w:eastAsia="en-AU"/>
              </w:rPr>
            </w:pPr>
            <w:r>
              <w:rPr>
                <w:b/>
                <w:bCs/>
                <w:color w:val="FFFFFF"/>
                <w:sz w:val="20"/>
                <w:szCs w:val="20"/>
                <w:lang w:eastAsia="en-AU"/>
              </w:rPr>
              <w:t>MMM (Monash Modified Model)</w:t>
            </w:r>
          </w:p>
        </w:tc>
        <w:tc>
          <w:tcPr>
            <w:tcW w:w="3081" w:type="dxa"/>
            <w:shd w:val="clear" w:color="auto" w:fill="1F497D"/>
            <w:vAlign w:val="center"/>
          </w:tcPr>
          <w:p w:rsidR="00553A9D" w:rsidRPr="00B76E55" w:rsidRDefault="00553A9D" w:rsidP="009A38EA">
            <w:pPr>
              <w:spacing w:before="0" w:after="0"/>
              <w:jc w:val="center"/>
              <w:rPr>
                <w:b/>
                <w:bCs/>
                <w:color w:val="FFFFFF"/>
                <w:sz w:val="20"/>
                <w:szCs w:val="20"/>
                <w:lang w:eastAsia="en-AU"/>
              </w:rPr>
            </w:pPr>
            <w:r>
              <w:rPr>
                <w:b/>
                <w:bCs/>
                <w:color w:val="FFFFFF" w:themeColor="background1"/>
                <w:sz w:val="20"/>
                <w:szCs w:val="20"/>
                <w:lang w:eastAsia="en-AU"/>
              </w:rPr>
              <w:t>Providers</w:t>
            </w:r>
          </w:p>
        </w:tc>
        <w:tc>
          <w:tcPr>
            <w:tcW w:w="3081" w:type="dxa"/>
            <w:shd w:val="clear" w:color="auto" w:fill="1F497D"/>
            <w:vAlign w:val="center"/>
          </w:tcPr>
          <w:p w:rsidR="00553A9D" w:rsidRPr="00B76E55" w:rsidRDefault="00553A9D" w:rsidP="009A38EA">
            <w:pPr>
              <w:spacing w:before="0" w:after="0"/>
              <w:jc w:val="center"/>
              <w:rPr>
                <w:b/>
                <w:bCs/>
                <w:color w:val="FFFFFF"/>
                <w:sz w:val="20"/>
                <w:szCs w:val="20"/>
                <w:lang w:eastAsia="en-AU"/>
              </w:rPr>
            </w:pPr>
            <w:r>
              <w:rPr>
                <w:b/>
                <w:bCs/>
                <w:color w:val="FFFFFF" w:themeColor="background1"/>
                <w:sz w:val="20"/>
                <w:szCs w:val="20"/>
                <w:lang w:eastAsia="en-AU"/>
              </w:rPr>
              <w:t>Number of Services</w:t>
            </w:r>
          </w:p>
        </w:tc>
      </w:tr>
      <w:tr w:rsidR="00553A9D" w:rsidTr="00553A9D">
        <w:tc>
          <w:tcPr>
            <w:tcW w:w="3080" w:type="dxa"/>
            <w:tcBorders>
              <w:bottom w:val="nil"/>
            </w:tcBorders>
            <w:vAlign w:val="center"/>
          </w:tcPr>
          <w:p w:rsidR="00553A9D" w:rsidRPr="00B76E55" w:rsidRDefault="00553A9D" w:rsidP="009A38EA">
            <w:pPr>
              <w:spacing w:before="0" w:after="0"/>
              <w:jc w:val="center"/>
              <w:rPr>
                <w:color w:val="000000"/>
                <w:sz w:val="20"/>
                <w:szCs w:val="20"/>
                <w:lang w:eastAsia="en-AU"/>
              </w:rPr>
            </w:pPr>
            <w:r w:rsidRPr="00B76E55">
              <w:rPr>
                <w:bCs/>
                <w:color w:val="000000"/>
                <w:sz w:val="20"/>
                <w:szCs w:val="20"/>
                <w:lang w:eastAsia="en-AU"/>
              </w:rPr>
              <w:t>1</w:t>
            </w:r>
          </w:p>
        </w:tc>
        <w:tc>
          <w:tcPr>
            <w:tcW w:w="3081" w:type="dxa"/>
            <w:tcBorders>
              <w:bottom w:val="nil"/>
            </w:tcBorders>
            <w:vAlign w:val="center"/>
          </w:tcPr>
          <w:p w:rsidR="00553A9D" w:rsidRPr="00B76E55" w:rsidRDefault="00553A9D" w:rsidP="009A38EA">
            <w:pPr>
              <w:spacing w:before="0" w:after="0"/>
              <w:jc w:val="center"/>
              <w:rPr>
                <w:color w:val="000000"/>
                <w:sz w:val="20"/>
                <w:szCs w:val="20"/>
                <w:lang w:eastAsia="en-AU"/>
              </w:rPr>
            </w:pPr>
            <w:r w:rsidRPr="00B76E55">
              <w:rPr>
                <w:color w:val="000000"/>
                <w:sz w:val="20"/>
                <w:szCs w:val="20"/>
                <w:lang w:eastAsia="en-AU"/>
              </w:rPr>
              <w:t>54%</w:t>
            </w:r>
          </w:p>
        </w:tc>
        <w:tc>
          <w:tcPr>
            <w:tcW w:w="3081" w:type="dxa"/>
            <w:tcBorders>
              <w:bottom w:val="nil"/>
            </w:tcBorders>
            <w:vAlign w:val="center"/>
          </w:tcPr>
          <w:p w:rsidR="00553A9D" w:rsidRPr="00B76E55" w:rsidRDefault="00553A9D" w:rsidP="009A38EA">
            <w:pPr>
              <w:spacing w:before="0" w:after="0"/>
              <w:jc w:val="center"/>
              <w:rPr>
                <w:color w:val="000000"/>
                <w:sz w:val="20"/>
                <w:szCs w:val="20"/>
                <w:lang w:eastAsia="en-AU"/>
              </w:rPr>
            </w:pPr>
            <w:r w:rsidRPr="00B76E55">
              <w:rPr>
                <w:color w:val="000000" w:themeColor="text1"/>
                <w:sz w:val="20"/>
                <w:szCs w:val="20"/>
                <w:lang w:eastAsia="en-AU"/>
              </w:rPr>
              <w:t>82%</w:t>
            </w:r>
          </w:p>
        </w:tc>
      </w:tr>
      <w:tr w:rsidR="00553A9D" w:rsidTr="00553A9D">
        <w:tc>
          <w:tcPr>
            <w:tcW w:w="3080"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bCs/>
                <w:color w:val="000000"/>
                <w:sz w:val="20"/>
                <w:szCs w:val="20"/>
                <w:lang w:eastAsia="en-AU"/>
              </w:rPr>
              <w:t>2</w:t>
            </w:r>
          </w:p>
        </w:tc>
        <w:tc>
          <w:tcPr>
            <w:tcW w:w="3081"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color w:val="000000"/>
                <w:sz w:val="20"/>
                <w:szCs w:val="20"/>
                <w:lang w:eastAsia="en-AU"/>
              </w:rPr>
              <w:t>5%</w:t>
            </w:r>
          </w:p>
        </w:tc>
        <w:tc>
          <w:tcPr>
            <w:tcW w:w="3081"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color w:val="000000" w:themeColor="text1"/>
                <w:sz w:val="20"/>
                <w:szCs w:val="20"/>
                <w:lang w:eastAsia="en-AU"/>
              </w:rPr>
              <w:t>9%</w:t>
            </w:r>
          </w:p>
        </w:tc>
      </w:tr>
      <w:tr w:rsidR="00553A9D" w:rsidTr="00553A9D">
        <w:tc>
          <w:tcPr>
            <w:tcW w:w="3080" w:type="dxa"/>
            <w:tcBorders>
              <w:top w:val="nil"/>
              <w:bottom w:val="nil"/>
            </w:tcBorders>
            <w:vAlign w:val="center"/>
          </w:tcPr>
          <w:p w:rsidR="00553A9D" w:rsidRPr="00B76E55" w:rsidRDefault="00553A9D" w:rsidP="009A38EA">
            <w:pPr>
              <w:spacing w:before="0" w:after="0"/>
              <w:jc w:val="center"/>
              <w:rPr>
                <w:color w:val="000000"/>
                <w:sz w:val="20"/>
                <w:szCs w:val="20"/>
                <w:lang w:eastAsia="en-AU"/>
              </w:rPr>
            </w:pPr>
            <w:r w:rsidRPr="00B76E55">
              <w:rPr>
                <w:bCs/>
                <w:color w:val="000000"/>
                <w:sz w:val="20"/>
                <w:szCs w:val="20"/>
                <w:lang w:eastAsia="en-AU"/>
              </w:rPr>
              <w:t>3</w:t>
            </w:r>
          </w:p>
        </w:tc>
        <w:tc>
          <w:tcPr>
            <w:tcW w:w="3081" w:type="dxa"/>
            <w:tcBorders>
              <w:top w:val="nil"/>
              <w:bottom w:val="nil"/>
            </w:tcBorders>
            <w:vAlign w:val="center"/>
          </w:tcPr>
          <w:p w:rsidR="00553A9D" w:rsidRPr="00B76E55" w:rsidRDefault="00553A9D" w:rsidP="009A38EA">
            <w:pPr>
              <w:spacing w:before="0" w:after="0"/>
              <w:jc w:val="center"/>
              <w:rPr>
                <w:color w:val="000000"/>
                <w:sz w:val="20"/>
                <w:szCs w:val="20"/>
                <w:lang w:eastAsia="en-AU"/>
              </w:rPr>
            </w:pPr>
            <w:r w:rsidRPr="00B76E55">
              <w:rPr>
                <w:color w:val="000000"/>
                <w:sz w:val="20"/>
                <w:szCs w:val="20"/>
                <w:lang w:eastAsia="en-AU"/>
              </w:rPr>
              <w:t>23%</w:t>
            </w:r>
          </w:p>
        </w:tc>
        <w:tc>
          <w:tcPr>
            <w:tcW w:w="3081" w:type="dxa"/>
            <w:tcBorders>
              <w:top w:val="nil"/>
              <w:bottom w:val="nil"/>
            </w:tcBorders>
            <w:vAlign w:val="center"/>
          </w:tcPr>
          <w:p w:rsidR="00553A9D" w:rsidRPr="00B76E55" w:rsidRDefault="00553A9D" w:rsidP="009A38EA">
            <w:pPr>
              <w:spacing w:before="0" w:after="0"/>
              <w:jc w:val="center"/>
              <w:rPr>
                <w:color w:val="000000"/>
                <w:sz w:val="20"/>
                <w:szCs w:val="20"/>
                <w:lang w:eastAsia="en-AU"/>
              </w:rPr>
            </w:pPr>
            <w:r w:rsidRPr="00B76E55">
              <w:rPr>
                <w:color w:val="000000" w:themeColor="text1"/>
                <w:sz w:val="20"/>
                <w:szCs w:val="20"/>
                <w:lang w:eastAsia="en-AU"/>
              </w:rPr>
              <w:t>7%</w:t>
            </w:r>
          </w:p>
        </w:tc>
      </w:tr>
      <w:tr w:rsidR="00553A9D" w:rsidTr="00553A9D">
        <w:tc>
          <w:tcPr>
            <w:tcW w:w="3080"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bCs/>
                <w:color w:val="000000"/>
                <w:sz w:val="20"/>
                <w:szCs w:val="20"/>
                <w:lang w:eastAsia="en-AU"/>
              </w:rPr>
              <w:t>4</w:t>
            </w:r>
          </w:p>
        </w:tc>
        <w:tc>
          <w:tcPr>
            <w:tcW w:w="3081"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color w:val="000000"/>
                <w:sz w:val="20"/>
                <w:szCs w:val="20"/>
                <w:lang w:eastAsia="en-AU"/>
              </w:rPr>
              <w:t>9%</w:t>
            </w:r>
          </w:p>
        </w:tc>
        <w:tc>
          <w:tcPr>
            <w:tcW w:w="3081" w:type="dxa"/>
            <w:tcBorders>
              <w:top w:val="nil"/>
              <w:bottom w:val="nil"/>
            </w:tcBorders>
            <w:shd w:val="clear" w:color="auto" w:fill="D3DFEE"/>
            <w:vAlign w:val="center"/>
          </w:tcPr>
          <w:p w:rsidR="00553A9D" w:rsidRPr="00B76E55" w:rsidRDefault="00553A9D" w:rsidP="009A38EA">
            <w:pPr>
              <w:spacing w:before="0" w:after="0"/>
              <w:jc w:val="center"/>
              <w:rPr>
                <w:color w:val="000000"/>
                <w:sz w:val="20"/>
                <w:szCs w:val="20"/>
                <w:lang w:eastAsia="en-AU"/>
              </w:rPr>
            </w:pPr>
            <w:r w:rsidRPr="00B76E55">
              <w:rPr>
                <w:color w:val="000000" w:themeColor="text1"/>
                <w:sz w:val="20"/>
                <w:szCs w:val="20"/>
                <w:lang w:eastAsia="en-AU"/>
              </w:rPr>
              <w:t>1</w:t>
            </w:r>
            <w:r>
              <w:rPr>
                <w:color w:val="000000" w:themeColor="text1"/>
                <w:sz w:val="20"/>
                <w:szCs w:val="20"/>
                <w:lang w:eastAsia="en-AU"/>
              </w:rPr>
              <w:t>.5</w:t>
            </w:r>
            <w:r w:rsidRPr="00B76E55">
              <w:rPr>
                <w:color w:val="000000" w:themeColor="text1"/>
                <w:sz w:val="20"/>
                <w:szCs w:val="20"/>
                <w:lang w:eastAsia="en-AU"/>
              </w:rPr>
              <w:t>%</w:t>
            </w:r>
          </w:p>
        </w:tc>
      </w:tr>
      <w:tr w:rsidR="00553A9D" w:rsidTr="00553A9D">
        <w:tc>
          <w:tcPr>
            <w:tcW w:w="3080" w:type="dxa"/>
            <w:tcBorders>
              <w:top w:val="nil"/>
            </w:tcBorders>
            <w:vAlign w:val="center"/>
          </w:tcPr>
          <w:p w:rsidR="00553A9D" w:rsidRPr="00B76E55" w:rsidRDefault="00553A9D" w:rsidP="009A38EA">
            <w:pPr>
              <w:spacing w:before="0" w:after="0"/>
              <w:jc w:val="center"/>
              <w:rPr>
                <w:color w:val="000000"/>
                <w:sz w:val="20"/>
                <w:szCs w:val="20"/>
                <w:lang w:eastAsia="en-AU"/>
              </w:rPr>
            </w:pPr>
            <w:r w:rsidRPr="00B76E55">
              <w:rPr>
                <w:bCs/>
                <w:color w:val="000000"/>
                <w:sz w:val="20"/>
                <w:szCs w:val="20"/>
                <w:lang w:eastAsia="en-AU"/>
              </w:rPr>
              <w:t>5+</w:t>
            </w:r>
          </w:p>
        </w:tc>
        <w:tc>
          <w:tcPr>
            <w:tcW w:w="3081" w:type="dxa"/>
            <w:tcBorders>
              <w:top w:val="nil"/>
            </w:tcBorders>
            <w:vAlign w:val="center"/>
          </w:tcPr>
          <w:p w:rsidR="00553A9D" w:rsidRPr="00B76E55" w:rsidRDefault="00553A9D" w:rsidP="009A38EA">
            <w:pPr>
              <w:spacing w:before="0" w:after="0"/>
              <w:jc w:val="center"/>
              <w:rPr>
                <w:color w:val="000000"/>
                <w:sz w:val="20"/>
                <w:szCs w:val="20"/>
                <w:lang w:eastAsia="en-AU"/>
              </w:rPr>
            </w:pPr>
            <w:r>
              <w:rPr>
                <w:color w:val="000000"/>
                <w:sz w:val="20"/>
                <w:szCs w:val="20"/>
                <w:lang w:eastAsia="en-AU"/>
              </w:rPr>
              <w:t>9</w:t>
            </w:r>
            <w:r w:rsidRPr="00B76E55">
              <w:rPr>
                <w:color w:val="000000"/>
                <w:sz w:val="20"/>
                <w:szCs w:val="20"/>
                <w:lang w:eastAsia="en-AU"/>
              </w:rPr>
              <w:t>%</w:t>
            </w:r>
          </w:p>
        </w:tc>
        <w:tc>
          <w:tcPr>
            <w:tcW w:w="3081" w:type="dxa"/>
            <w:tcBorders>
              <w:top w:val="nil"/>
            </w:tcBorders>
            <w:vAlign w:val="center"/>
          </w:tcPr>
          <w:p w:rsidR="00553A9D" w:rsidRPr="00B76E55" w:rsidRDefault="00553A9D" w:rsidP="009A38EA">
            <w:pPr>
              <w:spacing w:before="0" w:after="0"/>
              <w:jc w:val="center"/>
              <w:rPr>
                <w:color w:val="000000"/>
                <w:sz w:val="20"/>
                <w:szCs w:val="20"/>
                <w:lang w:eastAsia="en-AU"/>
              </w:rPr>
            </w:pPr>
            <w:r>
              <w:rPr>
                <w:color w:val="000000" w:themeColor="text1"/>
                <w:sz w:val="20"/>
                <w:szCs w:val="20"/>
                <w:lang w:eastAsia="en-AU"/>
              </w:rPr>
              <w:t>1.5</w:t>
            </w:r>
            <w:r w:rsidRPr="00B76E55">
              <w:rPr>
                <w:color w:val="000000" w:themeColor="text1"/>
                <w:sz w:val="20"/>
                <w:szCs w:val="20"/>
                <w:lang w:eastAsia="en-AU"/>
              </w:rPr>
              <w:t>%</w:t>
            </w:r>
          </w:p>
        </w:tc>
      </w:tr>
    </w:tbl>
    <w:p w:rsidR="00147023" w:rsidRPr="00B76E55" w:rsidRDefault="005B748B" w:rsidP="00B76E55">
      <w:r>
        <w:t>The above table shows</w:t>
      </w:r>
      <w:r w:rsidR="00504672">
        <w:t xml:space="preserve"> the location of procedural GP </w:t>
      </w:r>
      <w:r w:rsidR="00C058B4">
        <w:t xml:space="preserve">obstetrician </w:t>
      </w:r>
      <w:r w:rsidR="00504672">
        <w:t>services by M</w:t>
      </w:r>
      <w:r w:rsidR="00623A10">
        <w:t>M</w:t>
      </w:r>
      <w:r w:rsidR="00504672">
        <w:t>M1 to M</w:t>
      </w:r>
      <w:r w:rsidR="00623A10">
        <w:t>M</w:t>
      </w:r>
      <w:r w:rsidR="00504672">
        <w:t>M7. Just under half of all services provided by GP obstetricians were provided in M</w:t>
      </w:r>
      <w:r w:rsidR="00623A10">
        <w:t>M</w:t>
      </w:r>
      <w:r w:rsidR="00504672">
        <w:t>M2-M</w:t>
      </w:r>
      <w:r w:rsidR="00623A10">
        <w:t>M</w:t>
      </w:r>
      <w:r w:rsidR="00504672">
        <w:t>M7 and 12 per cent of services were provided in M</w:t>
      </w:r>
      <w:r w:rsidR="00623A10">
        <w:t>M</w:t>
      </w:r>
      <w:r w:rsidR="00504672">
        <w:t>M5 or greater. Given that only roughly 18 per cent of specialist obstetricians are primarily working outside of M</w:t>
      </w:r>
      <w:r w:rsidR="00623A10">
        <w:t>M</w:t>
      </w:r>
      <w:r w:rsidR="00504672">
        <w:t>M1, this clearly shows that GP obstetricians are meeting a community need by providing a higher level of service in areas outside M</w:t>
      </w:r>
      <w:r w:rsidR="00623A10">
        <w:t>M</w:t>
      </w:r>
      <w:r w:rsidR="00504672">
        <w:t>M1.</w:t>
      </w:r>
    </w:p>
    <w:p w:rsidR="0052408D" w:rsidRDefault="0052408D" w:rsidP="0052408D">
      <w:pPr>
        <w:pStyle w:val="Caption"/>
      </w:pPr>
      <w:bookmarkStart w:id="110" w:name="_Toc515888824"/>
      <w:r w:rsidRPr="00EE67CD">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20</w:t>
      </w:r>
      <w:r w:rsidR="00556A17">
        <w:rPr>
          <w:noProof/>
        </w:rPr>
        <w:fldChar w:fldCharType="end"/>
      </w:r>
      <w:r w:rsidRPr="00EE67CD">
        <w:t xml:space="preserve">: Map of </w:t>
      </w:r>
      <w:r w:rsidR="00EE67CD">
        <w:t xml:space="preserve">Procedural </w:t>
      </w:r>
      <w:r w:rsidRPr="00EE67CD">
        <w:t>GP obstetrics</w:t>
      </w:r>
      <w:r w:rsidR="00EE67CD">
        <w:t xml:space="preserve"> and gynaecology</w:t>
      </w:r>
      <w:r w:rsidRPr="00EE67CD">
        <w:t xml:space="preserve"> services 2016</w:t>
      </w:r>
      <w:r w:rsidR="00EE67CD">
        <w:t xml:space="preserve"> by MMM</w:t>
      </w:r>
      <w:bookmarkEnd w:id="110"/>
    </w:p>
    <w:p w:rsidR="0052408D" w:rsidRDefault="00EE67CD" w:rsidP="0052408D">
      <w:r>
        <w:rPr>
          <w:noProof/>
          <w:lang w:eastAsia="en-AU"/>
        </w:rPr>
        <w:drawing>
          <wp:inline distT="0" distB="0" distL="0" distR="0" wp14:anchorId="12703737" wp14:editId="7602EB1B">
            <wp:extent cx="4629150" cy="3478381"/>
            <wp:effectExtent l="0" t="0" r="0" b="8255"/>
            <wp:docPr id="3" name="Picture 3" descr="Shows the distribution of GP obstetrics providers by MMM1-MMM7. Note that there are a significant proportion of providers outside of MMM1. This map shows the location of Medicare providers with the Derived Medical Specialty of GP obstetrics in 2016 who delivered at least one service. " title="Figure 20: Map of Procedural GP obstetrics and gynaecology services 2016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6585" cy="3476453"/>
                    </a:xfrm>
                    <a:prstGeom prst="rect">
                      <a:avLst/>
                    </a:prstGeom>
                    <a:noFill/>
                    <a:ln>
                      <a:noFill/>
                    </a:ln>
                  </pic:spPr>
                </pic:pic>
              </a:graphicData>
            </a:graphic>
          </wp:inline>
        </w:drawing>
      </w:r>
    </w:p>
    <w:p w:rsidR="00532393" w:rsidRDefault="0052408D" w:rsidP="0052408D">
      <w:r>
        <w:t xml:space="preserve">The above map shows the distribution </w:t>
      </w:r>
      <w:r w:rsidR="005B748B">
        <w:t xml:space="preserve">of GP </w:t>
      </w:r>
      <w:r w:rsidR="004C13B9">
        <w:t xml:space="preserve">obstetrics </w:t>
      </w:r>
      <w:r w:rsidR="005B748B">
        <w:t>providers by M</w:t>
      </w:r>
      <w:r w:rsidR="00B72A04">
        <w:t>M</w:t>
      </w:r>
      <w:r>
        <w:t>M1-M</w:t>
      </w:r>
      <w:r w:rsidR="00B72A04">
        <w:t>M</w:t>
      </w:r>
      <w:r>
        <w:t>M7. Note that there are a significant proportion of providers outside of MMM1.</w:t>
      </w:r>
      <w:r w:rsidR="0085625D">
        <w:t xml:space="preserve"> This map shows the </w:t>
      </w:r>
      <w:r w:rsidR="0085625D">
        <w:lastRenderedPageBreak/>
        <w:t xml:space="preserve">location of Medicare providers with the DMS of GP </w:t>
      </w:r>
      <w:r w:rsidR="004C13B9">
        <w:t xml:space="preserve">obstetrics </w:t>
      </w:r>
      <w:r w:rsidR="0085625D">
        <w:t xml:space="preserve">in 2016 who delivered at least one service. </w:t>
      </w:r>
    </w:p>
    <w:p w:rsidR="00FC6BFF" w:rsidRDefault="00FC6BFF" w:rsidP="00FC6BFF">
      <w:pPr>
        <w:pStyle w:val="Caption"/>
      </w:pPr>
      <w:bookmarkStart w:id="111" w:name="_Toc515887833"/>
      <w:r>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12</w:t>
      </w:r>
      <w:r w:rsidR="00556A17">
        <w:rPr>
          <w:noProof/>
        </w:rPr>
        <w:fldChar w:fldCharType="end"/>
      </w:r>
      <w:r w:rsidR="0037263A">
        <w:t>: T</w:t>
      </w:r>
      <w:r w:rsidR="00504672">
        <w:t xml:space="preserve">op 10 MBS items claimed by GP </w:t>
      </w:r>
      <w:bookmarkEnd w:id="111"/>
      <w:r w:rsidR="004C13B9">
        <w:t xml:space="preserve">obstetricians </w:t>
      </w:r>
    </w:p>
    <w:tbl>
      <w:tblPr>
        <w:tblStyle w:val="LightShading-Accent1"/>
        <w:tblW w:w="8979" w:type="dxa"/>
        <w:tblInd w:w="108" w:type="dxa"/>
        <w:tblLook w:val="04A0" w:firstRow="1" w:lastRow="0" w:firstColumn="1" w:lastColumn="0" w:noHBand="0" w:noVBand="1"/>
        <w:tblCaption w:val="Table 12: Top 10 MBS items claimed by GP obstetricians "/>
        <w:tblDescription w:val="An overview of the top 10 MBS items claimed by GP obstetricians."/>
      </w:tblPr>
      <w:tblGrid>
        <w:gridCol w:w="851"/>
        <w:gridCol w:w="6711"/>
        <w:gridCol w:w="1417"/>
      </w:tblGrid>
      <w:tr w:rsidR="005B748B" w:rsidRPr="005B748B" w:rsidTr="001566A3">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tcBorders>
            <w:shd w:val="clear" w:color="auto" w:fill="1F497D" w:themeFill="text2"/>
            <w:hideMark/>
          </w:tcPr>
          <w:p w:rsidR="00504672" w:rsidRPr="005B748B" w:rsidRDefault="00504672" w:rsidP="005B748B">
            <w:pPr>
              <w:spacing w:before="0" w:after="0"/>
              <w:jc w:val="left"/>
              <w:rPr>
                <w:rFonts w:cs="Arial"/>
                <w:bCs w:val="0"/>
                <w:color w:val="FFFFFF" w:themeColor="background1"/>
                <w:sz w:val="20"/>
                <w:szCs w:val="20"/>
                <w:lang w:eastAsia="en-AU"/>
              </w:rPr>
            </w:pPr>
            <w:r w:rsidRPr="005B748B">
              <w:rPr>
                <w:rFonts w:cs="Arial"/>
                <w:bCs w:val="0"/>
                <w:color w:val="FFFFFF" w:themeColor="background1"/>
                <w:sz w:val="20"/>
                <w:szCs w:val="20"/>
                <w:lang w:eastAsia="en-AU"/>
              </w:rPr>
              <w:t>Item</w:t>
            </w:r>
          </w:p>
        </w:tc>
        <w:tc>
          <w:tcPr>
            <w:tcW w:w="6711" w:type="dxa"/>
            <w:tcBorders>
              <w:top w:val="single" w:sz="4" w:space="0" w:color="auto"/>
              <w:bottom w:val="single" w:sz="4" w:space="0" w:color="auto"/>
            </w:tcBorders>
            <w:shd w:val="clear" w:color="auto" w:fill="1F497D" w:themeFill="text2"/>
            <w:hideMark/>
          </w:tcPr>
          <w:p w:rsidR="00504672" w:rsidRPr="005B748B" w:rsidRDefault="00504672" w:rsidP="005B748B">
            <w:pPr>
              <w:spacing w:before="0" w:after="0"/>
              <w:jc w:val="left"/>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lang w:eastAsia="en-AU"/>
              </w:rPr>
            </w:pPr>
            <w:r w:rsidRPr="005B748B">
              <w:rPr>
                <w:rFonts w:cs="Arial"/>
                <w:bCs w:val="0"/>
                <w:color w:val="FFFFFF" w:themeColor="background1"/>
                <w:sz w:val="20"/>
                <w:szCs w:val="20"/>
                <w:lang w:eastAsia="en-AU"/>
              </w:rPr>
              <w:t>Description</w:t>
            </w:r>
          </w:p>
        </w:tc>
        <w:tc>
          <w:tcPr>
            <w:tcW w:w="1417" w:type="dxa"/>
            <w:tcBorders>
              <w:top w:val="single" w:sz="4" w:space="0" w:color="auto"/>
              <w:bottom w:val="single" w:sz="4" w:space="0" w:color="auto"/>
              <w:right w:val="single" w:sz="4" w:space="0" w:color="auto"/>
            </w:tcBorders>
            <w:shd w:val="clear" w:color="auto" w:fill="1F497D" w:themeFill="text2"/>
            <w:hideMark/>
          </w:tcPr>
          <w:p w:rsidR="00504672" w:rsidRPr="005B748B" w:rsidRDefault="00504672" w:rsidP="00504672">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lang w:eastAsia="en-AU"/>
              </w:rPr>
            </w:pPr>
            <w:r w:rsidRPr="005B748B">
              <w:rPr>
                <w:rFonts w:cs="Arial"/>
                <w:bCs w:val="0"/>
                <w:color w:val="FFFFFF" w:themeColor="background1"/>
                <w:sz w:val="20"/>
                <w:szCs w:val="20"/>
                <w:lang w:eastAsia="en-AU"/>
              </w:rPr>
              <w:t>Number of Services</w:t>
            </w:r>
          </w:p>
        </w:tc>
      </w:tr>
      <w:tr w:rsidR="00504672" w:rsidRPr="005B748B" w:rsidTr="005B748B">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tcBorders>
            <w:hideMark/>
          </w:tcPr>
          <w:p w:rsidR="00504672" w:rsidRPr="005B748B" w:rsidRDefault="00504672" w:rsidP="005B748B">
            <w:pPr>
              <w:spacing w:before="0" w:after="0"/>
              <w:jc w:val="left"/>
              <w:rPr>
                <w:rFonts w:cs="Arial"/>
                <w:b w:val="0"/>
                <w:bCs w:val="0"/>
                <w:color w:val="000000"/>
                <w:sz w:val="20"/>
                <w:szCs w:val="20"/>
                <w:lang w:eastAsia="en-AU"/>
              </w:rPr>
            </w:pPr>
            <w:r w:rsidRPr="005B748B">
              <w:rPr>
                <w:rFonts w:cs="Arial"/>
                <w:b w:val="0"/>
                <w:bCs w:val="0"/>
                <w:color w:val="000000"/>
                <w:sz w:val="20"/>
                <w:szCs w:val="20"/>
                <w:lang w:eastAsia="en-AU"/>
              </w:rPr>
              <w:t>00023</w:t>
            </w:r>
          </w:p>
        </w:tc>
        <w:tc>
          <w:tcPr>
            <w:tcW w:w="6711" w:type="dxa"/>
            <w:tcBorders>
              <w:top w:val="single" w:sz="4" w:space="0" w:color="auto"/>
            </w:tcBorders>
            <w:hideMark/>
          </w:tcPr>
          <w:p w:rsidR="00504672" w:rsidRPr="005B748B" w:rsidRDefault="00504672" w:rsidP="0050467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LEVEL 'B' Professional attendance involving taking a selective history, examination of the patient with implementation of a management plan in relation to one or more problems, OR a professional attendance of less than 20 minutes duration involving components of an attendance of the type otherwise covered by Item 36, 37, 38, 40, 43, 44, 47, 48, 50 or 51 SURGERY CONSULTATION (Professional attendance at consulting rooms)</w:t>
            </w:r>
          </w:p>
        </w:tc>
        <w:tc>
          <w:tcPr>
            <w:tcW w:w="1417" w:type="dxa"/>
            <w:tcBorders>
              <w:top w:val="single" w:sz="4" w:space="0" w:color="auto"/>
              <w:right w:val="single" w:sz="4" w:space="0" w:color="auto"/>
            </w:tcBorders>
            <w:hideMark/>
          </w:tcPr>
          <w:p w:rsidR="00504672" w:rsidRPr="005B748B" w:rsidRDefault="00504672" w:rsidP="0050467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16,273 </w:t>
            </w:r>
          </w:p>
        </w:tc>
      </w:tr>
      <w:tr w:rsidR="00504672" w:rsidRPr="005B748B" w:rsidTr="005B748B">
        <w:trPr>
          <w:trHeight w:val="690"/>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B748B">
            <w:pPr>
              <w:spacing w:before="0" w:after="0"/>
              <w:jc w:val="left"/>
              <w:rPr>
                <w:rFonts w:cs="Arial"/>
                <w:b w:val="0"/>
                <w:bCs w:val="0"/>
                <w:color w:val="000000"/>
                <w:sz w:val="20"/>
                <w:szCs w:val="20"/>
                <w:lang w:eastAsia="en-AU"/>
              </w:rPr>
            </w:pPr>
            <w:r w:rsidRPr="005B748B">
              <w:rPr>
                <w:rFonts w:cs="Arial"/>
                <w:b w:val="0"/>
                <w:bCs w:val="0"/>
                <w:color w:val="000000"/>
                <w:sz w:val="20"/>
                <w:szCs w:val="20"/>
                <w:lang w:eastAsia="en-AU"/>
              </w:rPr>
              <w:t>16500</w:t>
            </w:r>
          </w:p>
        </w:tc>
        <w:tc>
          <w:tcPr>
            <w:tcW w:w="6711" w:type="dxa"/>
            <w:hideMark/>
          </w:tcPr>
          <w:p w:rsidR="00504672" w:rsidRPr="005B748B" w:rsidRDefault="00504672" w:rsidP="0050467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Antenatal care (not including any service or services to which item 16516 or 16517 applies) where the attendances do not exceed 10  each attendance</w:t>
            </w:r>
          </w:p>
        </w:tc>
        <w:tc>
          <w:tcPr>
            <w:tcW w:w="1417" w:type="dxa"/>
            <w:tcBorders>
              <w:right w:val="single" w:sz="4" w:space="0" w:color="auto"/>
            </w:tcBorders>
            <w:noWrap/>
            <w:hideMark/>
          </w:tcPr>
          <w:p w:rsidR="00504672" w:rsidRPr="005B748B" w:rsidRDefault="00504672" w:rsidP="0050467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14,016 </w:t>
            </w:r>
          </w:p>
        </w:tc>
      </w:tr>
      <w:tr w:rsidR="00504672" w:rsidRPr="005B748B" w:rsidTr="005B748B">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B748B">
            <w:pPr>
              <w:spacing w:before="0" w:after="0"/>
              <w:jc w:val="left"/>
              <w:rPr>
                <w:rFonts w:cs="Arial"/>
                <w:b w:val="0"/>
                <w:bCs w:val="0"/>
                <w:color w:val="000000"/>
                <w:sz w:val="20"/>
                <w:szCs w:val="20"/>
                <w:lang w:eastAsia="en-AU"/>
              </w:rPr>
            </w:pPr>
            <w:r w:rsidRPr="005B748B">
              <w:rPr>
                <w:rFonts w:cs="Arial"/>
                <w:b w:val="0"/>
                <w:bCs w:val="0"/>
                <w:color w:val="000000"/>
                <w:sz w:val="20"/>
                <w:szCs w:val="20"/>
                <w:lang w:eastAsia="en-AU"/>
              </w:rPr>
              <w:t>00036</w:t>
            </w:r>
          </w:p>
        </w:tc>
        <w:tc>
          <w:tcPr>
            <w:tcW w:w="6711" w:type="dxa"/>
            <w:hideMark/>
          </w:tcPr>
          <w:p w:rsidR="00504672" w:rsidRPr="005B748B" w:rsidRDefault="00504672" w:rsidP="0050467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LEVEL 'C' Professional attendance involving taking a detailed history, an examination of multiple systems, arranging any necessary investigations and implementing a management plan in relation to one or more problems, and lasting at least 20 minutes, OR a professional attendance of less than 40 minutes duration involving components of an attendance of the type otherwise covered by Items 44, 47, 48, 50 or 51 SURGERY CONSULTATION (Professional attendance at consulting rooms)</w:t>
            </w:r>
          </w:p>
        </w:tc>
        <w:tc>
          <w:tcPr>
            <w:tcW w:w="1417" w:type="dxa"/>
            <w:tcBorders>
              <w:right w:val="single" w:sz="4" w:space="0" w:color="auto"/>
            </w:tcBorders>
            <w:hideMark/>
          </w:tcPr>
          <w:p w:rsidR="00504672" w:rsidRPr="005B748B" w:rsidRDefault="00504672" w:rsidP="0050467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5,701 </w:t>
            </w:r>
          </w:p>
        </w:tc>
      </w:tr>
      <w:tr w:rsidR="00504672" w:rsidRPr="005B748B" w:rsidTr="005B748B">
        <w:trPr>
          <w:trHeight w:val="1815"/>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16400</w:t>
            </w:r>
          </w:p>
        </w:tc>
        <w:tc>
          <w:tcPr>
            <w:tcW w:w="6711" w:type="dxa"/>
            <w:hideMark/>
          </w:tcPr>
          <w:p w:rsidR="00504672" w:rsidRPr="005B748B" w:rsidRDefault="00504672" w:rsidP="0050467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 xml:space="preserve">Antenatal service provided by a midwife, nurse or a registered Aboriginal Health Worker if:  (a) the service is provided on behalf of, and under the supervision of, a medical practitioner;  (b) the service is provided at, or from, a practice location in a regional, rural or remote area </w:t>
            </w:r>
            <w:proofErr w:type="spellStart"/>
            <w:r w:rsidRPr="005B748B">
              <w:rPr>
                <w:rFonts w:cs="Arial"/>
                <w:color w:val="000000"/>
                <w:sz w:val="20"/>
                <w:szCs w:val="20"/>
                <w:lang w:eastAsia="en-AU"/>
              </w:rPr>
              <w:t>rrma</w:t>
            </w:r>
            <w:proofErr w:type="spellEnd"/>
            <w:r w:rsidRPr="005B748B">
              <w:rPr>
                <w:rFonts w:cs="Arial"/>
                <w:color w:val="000000"/>
                <w:sz w:val="20"/>
                <w:szCs w:val="20"/>
                <w:lang w:eastAsia="en-AU"/>
              </w:rPr>
              <w:t xml:space="preserve"> 3-7;  (c) the service is not performed in conjunction with another antenatal attendance item (same patient, same practitioner on the same day);  (d) the service is not provided for an admitted patient of a hospital; and to a maximum of 10 service per pregnancy</w:t>
            </w:r>
          </w:p>
        </w:tc>
        <w:tc>
          <w:tcPr>
            <w:tcW w:w="1417" w:type="dxa"/>
            <w:tcBorders>
              <w:right w:val="single" w:sz="4" w:space="0" w:color="auto"/>
            </w:tcBorders>
            <w:noWrap/>
            <w:hideMark/>
          </w:tcPr>
          <w:p w:rsidR="00504672" w:rsidRPr="005B748B" w:rsidRDefault="00504672" w:rsidP="0050467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2,605 </w:t>
            </w:r>
          </w:p>
        </w:tc>
      </w:tr>
      <w:tr w:rsidR="00504672" w:rsidRPr="005B748B" w:rsidTr="005B748B">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00003</w:t>
            </w:r>
          </w:p>
        </w:tc>
        <w:tc>
          <w:tcPr>
            <w:tcW w:w="6711" w:type="dxa"/>
            <w:hideMark/>
          </w:tcPr>
          <w:p w:rsidR="00504672" w:rsidRPr="005B748B" w:rsidRDefault="00504672" w:rsidP="0050467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Professional attendance at consulting rooms (not being a service to which any other item applies) by a vocationally registered general practitioner for an obvious problem characterised by the straightforward nature of the task that requires a short patient history and, if required, limited examination and management  each attendance</w:t>
            </w:r>
          </w:p>
        </w:tc>
        <w:tc>
          <w:tcPr>
            <w:tcW w:w="1417" w:type="dxa"/>
            <w:tcBorders>
              <w:right w:val="single" w:sz="4" w:space="0" w:color="auto"/>
            </w:tcBorders>
            <w:hideMark/>
          </w:tcPr>
          <w:p w:rsidR="00504672" w:rsidRPr="005B748B" w:rsidRDefault="00504672" w:rsidP="0050467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2,498 </w:t>
            </w:r>
          </w:p>
        </w:tc>
      </w:tr>
      <w:tr w:rsidR="00504672" w:rsidRPr="005B748B" w:rsidTr="005B748B">
        <w:trPr>
          <w:trHeight w:val="930"/>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16590</w:t>
            </w:r>
          </w:p>
        </w:tc>
        <w:tc>
          <w:tcPr>
            <w:tcW w:w="6711" w:type="dxa"/>
            <w:hideMark/>
          </w:tcPr>
          <w:p w:rsidR="00504672" w:rsidRPr="005B748B" w:rsidRDefault="00504672" w:rsidP="0050467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Planning and management of a pregnancy that has progressed beyond 20 weeks provided the fee does not include any amount for the management of the labour and/or delivery - payable once only for any pregnancy that has progressed beyond 20 weeks</w:t>
            </w:r>
          </w:p>
        </w:tc>
        <w:tc>
          <w:tcPr>
            <w:tcW w:w="1417" w:type="dxa"/>
            <w:tcBorders>
              <w:right w:val="single" w:sz="4" w:space="0" w:color="auto"/>
            </w:tcBorders>
            <w:noWrap/>
            <w:hideMark/>
          </w:tcPr>
          <w:p w:rsidR="00504672" w:rsidRPr="005B748B" w:rsidRDefault="00504672" w:rsidP="0050467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1,753 </w:t>
            </w:r>
          </w:p>
        </w:tc>
      </w:tr>
      <w:tr w:rsidR="00504672" w:rsidRPr="005B748B" w:rsidTr="005B748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16514</w:t>
            </w:r>
          </w:p>
        </w:tc>
        <w:tc>
          <w:tcPr>
            <w:tcW w:w="6711" w:type="dxa"/>
            <w:hideMark/>
          </w:tcPr>
          <w:p w:rsidR="00504672" w:rsidRPr="005B748B" w:rsidRDefault="00504672" w:rsidP="0050467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 xml:space="preserve">Antenatal </w:t>
            </w:r>
            <w:proofErr w:type="spellStart"/>
            <w:r w:rsidRPr="005B748B">
              <w:rPr>
                <w:rFonts w:cs="Arial"/>
                <w:color w:val="000000"/>
                <w:sz w:val="20"/>
                <w:szCs w:val="20"/>
                <w:lang w:eastAsia="en-AU"/>
              </w:rPr>
              <w:t>cardiotocography</w:t>
            </w:r>
            <w:proofErr w:type="spellEnd"/>
            <w:r w:rsidRPr="005B748B">
              <w:rPr>
                <w:rFonts w:cs="Arial"/>
                <w:color w:val="000000"/>
                <w:sz w:val="20"/>
                <w:szCs w:val="20"/>
                <w:lang w:eastAsia="en-AU"/>
              </w:rPr>
              <w:t xml:space="preserve"> in the management of high risk pregnancy (not during the course of the confinement)</w:t>
            </w:r>
          </w:p>
        </w:tc>
        <w:tc>
          <w:tcPr>
            <w:tcW w:w="1417" w:type="dxa"/>
            <w:tcBorders>
              <w:right w:val="single" w:sz="4" w:space="0" w:color="auto"/>
            </w:tcBorders>
            <w:hideMark/>
          </w:tcPr>
          <w:p w:rsidR="00504672" w:rsidRPr="005B748B" w:rsidRDefault="00504672" w:rsidP="0050467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1,190 </w:t>
            </w:r>
          </w:p>
        </w:tc>
      </w:tr>
      <w:tr w:rsidR="00504672" w:rsidRPr="005B748B" w:rsidTr="0028419F">
        <w:trPr>
          <w:trHeight w:val="731"/>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55703</w:t>
            </w:r>
          </w:p>
        </w:tc>
        <w:tc>
          <w:tcPr>
            <w:tcW w:w="6711" w:type="dxa"/>
            <w:hideMark/>
          </w:tcPr>
          <w:p w:rsidR="00504672" w:rsidRPr="005B748B" w:rsidRDefault="00504672" w:rsidP="0050467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Pelvis or abdomen, pregnancy-related or pregnancy complication, ultrasound scan of, by any or all approaches,</w:t>
            </w:r>
            <w:r w:rsidR="00B72A04">
              <w:rPr>
                <w:rFonts w:cs="Arial"/>
                <w:color w:val="000000"/>
                <w:sz w:val="20"/>
                <w:szCs w:val="20"/>
                <w:lang w:eastAsia="en-AU"/>
              </w:rPr>
              <w:t xml:space="preserve"> </w:t>
            </w:r>
            <w:r w:rsidRPr="005B748B">
              <w:rPr>
                <w:rFonts w:cs="Arial"/>
                <w:color w:val="000000"/>
                <w:sz w:val="20"/>
                <w:szCs w:val="20"/>
                <w:lang w:eastAsia="en-AU"/>
              </w:rPr>
              <w:t>where: (a) the patient is not referred by a medical practitioner;</w:t>
            </w:r>
            <w:r w:rsidR="00B72A04">
              <w:rPr>
                <w:rFonts w:cs="Arial"/>
                <w:color w:val="000000"/>
                <w:sz w:val="20"/>
                <w:szCs w:val="20"/>
                <w:lang w:eastAsia="en-AU"/>
              </w:rPr>
              <w:t xml:space="preserve"> </w:t>
            </w:r>
            <w:r w:rsidRPr="005B748B">
              <w:rPr>
                <w:rFonts w:cs="Arial"/>
                <w:color w:val="000000"/>
                <w:sz w:val="20"/>
                <w:szCs w:val="20"/>
                <w:lang w:eastAsia="en-AU"/>
              </w:rPr>
              <w:t>and (b) the dating of the pregnancy (as confirmed by ultrasound) is less than 12 weeks of gestation; and (c) the service is not associated with a service to which an item in Subgroup 2 or 3 applies; and (d) one or more of the following conditions are present: (</w:t>
            </w:r>
            <w:proofErr w:type="spellStart"/>
            <w:r w:rsidRPr="005B748B">
              <w:rPr>
                <w:rFonts w:cs="Arial"/>
                <w:color w:val="000000"/>
                <w:sz w:val="20"/>
                <w:szCs w:val="20"/>
                <w:lang w:eastAsia="en-AU"/>
              </w:rPr>
              <w:t>i</w:t>
            </w:r>
            <w:proofErr w:type="spellEnd"/>
            <w:r w:rsidRPr="005B748B">
              <w:rPr>
                <w:rFonts w:cs="Arial"/>
                <w:color w:val="000000"/>
                <w:sz w:val="20"/>
                <w:szCs w:val="20"/>
                <w:lang w:eastAsia="en-AU"/>
              </w:rPr>
              <w:t xml:space="preserve">) hyperemesis </w:t>
            </w:r>
            <w:proofErr w:type="spellStart"/>
            <w:r w:rsidRPr="005B748B">
              <w:rPr>
                <w:rFonts w:cs="Arial"/>
                <w:color w:val="000000"/>
                <w:sz w:val="20"/>
                <w:szCs w:val="20"/>
                <w:lang w:eastAsia="en-AU"/>
              </w:rPr>
              <w:t>gravidarum</w:t>
            </w:r>
            <w:proofErr w:type="spellEnd"/>
            <w:r w:rsidRPr="005B748B">
              <w:rPr>
                <w:rFonts w:cs="Arial"/>
                <w:color w:val="000000"/>
                <w:sz w:val="20"/>
                <w:szCs w:val="20"/>
                <w:lang w:eastAsia="en-AU"/>
              </w:rPr>
              <w:t xml:space="preserve">; (ii) diabetes mellitus; (iii) hypertension; (iv) toxaemia of pregnancy; (v) liver or renal disease; (vi) autoimmune disease; (vii) cardiac disease; (viii) </w:t>
            </w:r>
            <w:proofErr w:type="spellStart"/>
            <w:r w:rsidRPr="005B748B">
              <w:rPr>
                <w:rFonts w:cs="Arial"/>
                <w:color w:val="000000"/>
                <w:sz w:val="20"/>
                <w:szCs w:val="20"/>
                <w:lang w:eastAsia="en-AU"/>
              </w:rPr>
              <w:t>alloimmunisation</w:t>
            </w:r>
            <w:proofErr w:type="spellEnd"/>
            <w:r w:rsidRPr="005B748B">
              <w:rPr>
                <w:rFonts w:cs="Arial"/>
                <w:color w:val="000000"/>
                <w:sz w:val="20"/>
                <w:szCs w:val="20"/>
                <w:lang w:eastAsia="en-AU"/>
              </w:rPr>
              <w:t xml:space="preserve">; (ix) maternal infection; (x) inflammatory bowel disease; (xi) bowel stoma; (xii) abdominal wall scarring; (xiii) previous spinal or pelvic trauma or disease; (xiv) drug dependency; (xv) thrombophilia; (xvi) significant maternal obesity; (xvii) advanced maternal age; (xviii) abdominal pain or mass; (xix) uncertain dates; (xx) high risk pregnancy; (xxi) previous </w:t>
            </w:r>
            <w:r w:rsidR="00B72A04" w:rsidRPr="005B748B">
              <w:rPr>
                <w:rFonts w:cs="Arial"/>
                <w:color w:val="000000"/>
                <w:sz w:val="20"/>
                <w:szCs w:val="20"/>
                <w:lang w:eastAsia="en-AU"/>
              </w:rPr>
              <w:t>postdates</w:t>
            </w:r>
            <w:r w:rsidRPr="005B748B">
              <w:rPr>
                <w:rFonts w:cs="Arial"/>
                <w:color w:val="000000"/>
                <w:sz w:val="20"/>
                <w:szCs w:val="20"/>
                <w:lang w:eastAsia="en-AU"/>
              </w:rPr>
              <w:t xml:space="preserve"> delivery; (xxii) previous caesarean section; (xxiii) poor obstetric history; (xxiv) suspicion of ectopic pregnancy; (xxv) risk of miscarriage; (xxvi) diminished symptoms of pregnancy; (xxvii) suspected or known cervical incompetence; (xxviii) suspected or known uterine abnormality; (xxix) </w:t>
            </w:r>
            <w:r w:rsidRPr="005B748B">
              <w:rPr>
                <w:rFonts w:cs="Arial"/>
                <w:color w:val="000000"/>
                <w:sz w:val="20"/>
                <w:szCs w:val="20"/>
                <w:lang w:eastAsia="en-AU"/>
              </w:rPr>
              <w:lastRenderedPageBreak/>
              <w:t>pregnancy after assisted reproduction; (xxx) risk of fetal abnormality (NR)</w:t>
            </w:r>
          </w:p>
        </w:tc>
        <w:tc>
          <w:tcPr>
            <w:tcW w:w="1417" w:type="dxa"/>
            <w:tcBorders>
              <w:right w:val="single" w:sz="4" w:space="0" w:color="auto"/>
            </w:tcBorders>
            <w:noWrap/>
            <w:hideMark/>
          </w:tcPr>
          <w:p w:rsidR="00504672" w:rsidRPr="005B748B" w:rsidRDefault="00504672" w:rsidP="0050467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lastRenderedPageBreak/>
              <w:t xml:space="preserve">1,180 </w:t>
            </w:r>
          </w:p>
        </w:tc>
      </w:tr>
      <w:tr w:rsidR="00504672" w:rsidRPr="005B748B" w:rsidTr="005B748B">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lastRenderedPageBreak/>
              <w:t>16591</w:t>
            </w:r>
          </w:p>
        </w:tc>
        <w:tc>
          <w:tcPr>
            <w:tcW w:w="6711" w:type="dxa"/>
            <w:hideMark/>
          </w:tcPr>
          <w:p w:rsidR="00504672" w:rsidRPr="005B748B" w:rsidRDefault="00504672" w:rsidP="0050467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Planning and management of a pregnancy that has progressed beyond 20 weeks provided the fee does not include any amount for the management of the labour and delivery if the care of the patient will be transferred to another medical practitioner, payable once only for any pregnancy that has progressed beyond 20 weeks, not being a service to which item 16590 applies.</w:t>
            </w:r>
          </w:p>
        </w:tc>
        <w:tc>
          <w:tcPr>
            <w:tcW w:w="1417" w:type="dxa"/>
            <w:tcBorders>
              <w:right w:val="single" w:sz="4" w:space="0" w:color="auto"/>
            </w:tcBorders>
            <w:hideMark/>
          </w:tcPr>
          <w:p w:rsidR="00504672" w:rsidRPr="005B748B" w:rsidRDefault="00504672" w:rsidP="0050467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840 </w:t>
            </w:r>
          </w:p>
        </w:tc>
      </w:tr>
      <w:tr w:rsidR="00504672" w:rsidRPr="005B748B" w:rsidTr="005B748B">
        <w:trPr>
          <w:trHeight w:val="930"/>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auto"/>
              <w:bottom w:val="single" w:sz="4" w:space="0" w:color="auto"/>
            </w:tcBorders>
            <w:hideMark/>
          </w:tcPr>
          <w:p w:rsidR="00504672" w:rsidRPr="005B748B" w:rsidRDefault="00504672" w:rsidP="00504672">
            <w:pPr>
              <w:spacing w:before="0" w:after="0"/>
              <w:jc w:val="center"/>
              <w:rPr>
                <w:rFonts w:cs="Arial"/>
                <w:b w:val="0"/>
                <w:bCs w:val="0"/>
                <w:color w:val="000000"/>
                <w:sz w:val="20"/>
                <w:szCs w:val="20"/>
                <w:lang w:eastAsia="en-AU"/>
              </w:rPr>
            </w:pPr>
            <w:r w:rsidRPr="005B748B">
              <w:rPr>
                <w:rFonts w:cs="Arial"/>
                <w:b w:val="0"/>
                <w:bCs w:val="0"/>
                <w:color w:val="000000"/>
                <w:sz w:val="20"/>
                <w:szCs w:val="20"/>
                <w:lang w:eastAsia="en-AU"/>
              </w:rPr>
              <w:t>16406</w:t>
            </w:r>
          </w:p>
        </w:tc>
        <w:tc>
          <w:tcPr>
            <w:tcW w:w="6711" w:type="dxa"/>
            <w:tcBorders>
              <w:bottom w:val="single" w:sz="4" w:space="0" w:color="auto"/>
            </w:tcBorders>
            <w:hideMark/>
          </w:tcPr>
          <w:p w:rsidR="00504672" w:rsidRPr="005B748B" w:rsidRDefault="00504672" w:rsidP="0050467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5B748B">
              <w:rPr>
                <w:rFonts w:cs="Arial"/>
                <w:color w:val="000000"/>
                <w:sz w:val="20"/>
                <w:szCs w:val="20"/>
                <w:lang w:eastAsia="en-AU"/>
              </w:rPr>
              <w:t>32-36 week obstetric visit</w:t>
            </w:r>
            <w:r w:rsidR="00B72A04">
              <w:rPr>
                <w:rFonts w:cs="Arial"/>
                <w:color w:val="000000"/>
                <w:sz w:val="20"/>
                <w:szCs w:val="20"/>
                <w:lang w:eastAsia="en-AU"/>
              </w:rPr>
              <w:t xml:space="preserve"> </w:t>
            </w:r>
            <w:r w:rsidRPr="005B748B">
              <w:rPr>
                <w:rFonts w:cs="Arial"/>
                <w:color w:val="000000"/>
                <w:sz w:val="20"/>
                <w:szCs w:val="20"/>
                <w:lang w:eastAsia="en-AU"/>
              </w:rPr>
              <w:t xml:space="preserve">antenatal professional attendance, as part of a single course of treatment, at 32-36 weeks of the patient's pregnancy when the patient is referred by a participating midwife.  </w:t>
            </w:r>
            <w:proofErr w:type="gramStart"/>
            <w:r w:rsidRPr="005B748B">
              <w:rPr>
                <w:rFonts w:cs="Arial"/>
                <w:color w:val="000000"/>
                <w:sz w:val="20"/>
                <w:szCs w:val="20"/>
                <w:lang w:eastAsia="en-AU"/>
              </w:rPr>
              <w:t>payable</w:t>
            </w:r>
            <w:proofErr w:type="gramEnd"/>
            <w:r w:rsidRPr="005B748B">
              <w:rPr>
                <w:rFonts w:cs="Arial"/>
                <w:color w:val="000000"/>
                <w:sz w:val="20"/>
                <w:szCs w:val="20"/>
                <w:lang w:eastAsia="en-AU"/>
              </w:rPr>
              <w:t xml:space="preserve"> only once for a pregnancy.</w:t>
            </w:r>
          </w:p>
        </w:tc>
        <w:tc>
          <w:tcPr>
            <w:tcW w:w="1417" w:type="dxa"/>
            <w:tcBorders>
              <w:bottom w:val="single" w:sz="4" w:space="0" w:color="auto"/>
              <w:right w:val="single" w:sz="4" w:space="0" w:color="auto"/>
            </w:tcBorders>
            <w:noWrap/>
            <w:hideMark/>
          </w:tcPr>
          <w:p w:rsidR="00504672" w:rsidRPr="005B748B" w:rsidRDefault="00504672" w:rsidP="0050467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en-AU"/>
              </w:rPr>
            </w:pPr>
            <w:r w:rsidRPr="005B748B">
              <w:rPr>
                <w:rFonts w:cs="Arial"/>
                <w:b/>
                <w:bCs/>
                <w:color w:val="000000"/>
                <w:sz w:val="20"/>
                <w:szCs w:val="20"/>
                <w:lang w:eastAsia="en-AU"/>
              </w:rPr>
              <w:t xml:space="preserve">790 </w:t>
            </w:r>
          </w:p>
        </w:tc>
      </w:tr>
    </w:tbl>
    <w:p w:rsidR="004F6268" w:rsidRDefault="003A3C10" w:rsidP="00426E94">
      <w:pPr>
        <w:pStyle w:val="Heading1"/>
      </w:pPr>
      <w:bookmarkStart w:id="112" w:name="_Toc521510454"/>
      <w:r>
        <w:t>Assisted Reproductive T</w:t>
      </w:r>
      <w:r w:rsidR="004F6268" w:rsidRPr="003A3C10">
        <w:t>echnology</w:t>
      </w:r>
      <w:bookmarkEnd w:id="112"/>
    </w:p>
    <w:p w:rsidR="00D55AB0" w:rsidRDefault="00D55AB0" w:rsidP="00426E94">
      <w:pPr>
        <w:spacing w:before="0" w:after="0"/>
      </w:pPr>
      <w:r>
        <w:t>Assisted Reproductive Technology (ART) services include a range of treatments to achieve pregnancy, involving lab</w:t>
      </w:r>
      <w:r w:rsidR="00C83410">
        <w:t xml:space="preserve">oratory or clinical techniques. ART is a group of procedures that </w:t>
      </w:r>
      <w:r w:rsidR="00C83410">
        <w:rPr>
          <w:szCs w:val="22"/>
        </w:rPr>
        <w:t xml:space="preserve">involve the in vitro (outside of body) handling of human oocytes (eggs) and sperm or embryos for the purposes of establishing a pregnancy. The anecdote seems to be that there is huge growth in this space, but the MBS data below shows that these services have plateaued </w:t>
      </w:r>
      <w:r w:rsidR="000B6168">
        <w:rPr>
          <w:szCs w:val="22"/>
        </w:rPr>
        <w:t xml:space="preserve">from 2012, while the number of subspecialists is small; </w:t>
      </w:r>
      <w:r w:rsidR="00C058B4">
        <w:rPr>
          <w:szCs w:val="22"/>
        </w:rPr>
        <w:t xml:space="preserve">they </w:t>
      </w:r>
      <w:r w:rsidR="000B6168">
        <w:rPr>
          <w:szCs w:val="22"/>
        </w:rPr>
        <w:t>have grown at a greater rate. For more information on the number of initiated ART treatment cycles, progre</w:t>
      </w:r>
      <w:r w:rsidR="00206AFC">
        <w:rPr>
          <w:szCs w:val="22"/>
        </w:rPr>
        <w:t xml:space="preserve">ssion and </w:t>
      </w:r>
      <w:proofErr w:type="gramStart"/>
      <w:r w:rsidR="00206AFC">
        <w:rPr>
          <w:szCs w:val="22"/>
        </w:rPr>
        <w:t>outcomes,</w:t>
      </w:r>
      <w:proofErr w:type="gramEnd"/>
      <w:r w:rsidR="00206AFC">
        <w:rPr>
          <w:szCs w:val="22"/>
        </w:rPr>
        <w:t xml:space="preserve"> please see A</w:t>
      </w:r>
      <w:r w:rsidR="000B6168">
        <w:rPr>
          <w:szCs w:val="22"/>
        </w:rPr>
        <w:t xml:space="preserve">ppendix </w:t>
      </w:r>
      <w:r w:rsidR="00206AFC">
        <w:rPr>
          <w:szCs w:val="22"/>
        </w:rPr>
        <w:t>6</w:t>
      </w:r>
      <w:r w:rsidR="000B6168">
        <w:rPr>
          <w:szCs w:val="22"/>
        </w:rPr>
        <w:t xml:space="preserve">. </w:t>
      </w:r>
    </w:p>
    <w:p w:rsidR="009E3CC2" w:rsidRDefault="009E3CC2" w:rsidP="00426E94">
      <w:pPr>
        <w:pStyle w:val="Heading2"/>
        <w:spacing w:before="120"/>
      </w:pPr>
      <w:bookmarkStart w:id="113" w:name="_Toc521510455"/>
      <w:r>
        <w:t>MBS analysis of ART</w:t>
      </w:r>
      <w:bookmarkEnd w:id="113"/>
    </w:p>
    <w:p w:rsidR="00EF3CE7" w:rsidRPr="00571BF5" w:rsidRDefault="00EF3CE7" w:rsidP="00EF3CE7">
      <w:r w:rsidRPr="00571BF5">
        <w:t xml:space="preserve">There are a number of MBS items for ART treatments with six of these items known as ‘global items’ as they cover all related services during an ART treatment cycle. Other ART treatment services are covered under separate MBS items. </w:t>
      </w:r>
    </w:p>
    <w:p w:rsidR="00EF3CE7" w:rsidRDefault="00EF3CE7" w:rsidP="00EF3CE7">
      <w:r w:rsidRPr="00571BF5">
        <w:t>Under the MBS only one global item can be billed for each treatment cycle. Medicare does not set a limit on the number of treatment cycles a patient can receive. However, Medicare rebates are only available for clinically relevant services, being services that meet peer-approved standards.</w:t>
      </w:r>
      <w:r>
        <w:t xml:space="preserve"> </w:t>
      </w:r>
      <w:r w:rsidRPr="00571BF5">
        <w:t>Legislation prevents Medicare benefits being paid for surrogacy arrangements.</w:t>
      </w:r>
    </w:p>
    <w:p w:rsidR="00F65375" w:rsidRDefault="00EF3CE7" w:rsidP="00F65375">
      <w:r>
        <w:t>The following graph shows all MBS items grouped together that are associated with ART, Figure 2</w:t>
      </w:r>
      <w:r w:rsidR="00147023">
        <w:t>1</w:t>
      </w:r>
      <w:r>
        <w:t xml:space="preserve"> show</w:t>
      </w:r>
      <w:r w:rsidR="00C058B4">
        <w:t>s</w:t>
      </w:r>
      <w:r>
        <w:t xml:space="preserve"> the changes over the last nine years, which show a very small growth of 0.77 per cent over the period (2007-2016) for these combined items. </w:t>
      </w:r>
    </w:p>
    <w:p w:rsidR="00EF3CE7" w:rsidRDefault="00EF3CE7" w:rsidP="00EF3CE7">
      <w:pPr>
        <w:pStyle w:val="Caption"/>
        <w:keepNext/>
      </w:pPr>
      <w:bookmarkStart w:id="114" w:name="_Toc515888825"/>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21</w:t>
      </w:r>
      <w:r w:rsidR="00556A17">
        <w:rPr>
          <w:noProof/>
        </w:rPr>
        <w:fldChar w:fldCharType="end"/>
      </w:r>
      <w:r>
        <w:t>: MBS ART grouped items (2007-2016)</w:t>
      </w:r>
      <w:bookmarkEnd w:id="114"/>
    </w:p>
    <w:p w:rsidR="00704C05" w:rsidRDefault="00704C05" w:rsidP="002348F6">
      <w:pPr>
        <w:spacing w:after="0"/>
        <w:rPr>
          <w:i/>
          <w:color w:val="4F81BD" w:themeColor="accent1"/>
          <w:sz w:val="16"/>
        </w:rPr>
      </w:pPr>
      <w:r>
        <w:rPr>
          <w:i/>
          <w:noProof/>
          <w:color w:val="4F81BD" w:themeColor="accent1"/>
          <w:sz w:val="16"/>
          <w:lang w:eastAsia="en-AU"/>
        </w:rPr>
        <w:drawing>
          <wp:inline distT="0" distB="0" distL="0" distR="0" wp14:anchorId="59617901" wp14:editId="0B6BF162">
            <wp:extent cx="5547995" cy="2152015"/>
            <wp:effectExtent l="0" t="0" r="0" b="635"/>
            <wp:docPr id="678" name="Picture 678" descr="Shows all Medicare Benefits Schedule items grouped together that are associated with Assisted Reproductive Technology.  Over the last nine years, there has been a very small growth of 0.77 per cent over the period (2007-2016) for these combined items. " title="Figure 21: Medicare Benefits Schedule Assisted Reproductive Technology grouped items (20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7995" cy="2152015"/>
                    </a:xfrm>
                    <a:prstGeom prst="rect">
                      <a:avLst/>
                    </a:prstGeom>
                    <a:noFill/>
                  </pic:spPr>
                </pic:pic>
              </a:graphicData>
            </a:graphic>
          </wp:inline>
        </w:drawing>
      </w:r>
    </w:p>
    <w:p w:rsidR="00EF3CE7" w:rsidRPr="002348F6" w:rsidRDefault="00EF3CE7" w:rsidP="00426E94">
      <w:pPr>
        <w:spacing w:before="0" w:after="0"/>
        <w:rPr>
          <w:color w:val="4F81BD" w:themeColor="accent1"/>
          <w:sz w:val="16"/>
          <w:szCs w:val="22"/>
        </w:rPr>
      </w:pPr>
      <w:r w:rsidRPr="002348F6">
        <w:rPr>
          <w:i/>
          <w:color w:val="4F81BD" w:themeColor="accent1"/>
          <w:sz w:val="16"/>
        </w:rPr>
        <w:t>Source: MBS 2007-2016</w:t>
      </w:r>
    </w:p>
    <w:p w:rsidR="004F6268" w:rsidRDefault="00D9345F" w:rsidP="00426E94">
      <w:pPr>
        <w:pStyle w:val="Heading1"/>
      </w:pPr>
      <w:bookmarkStart w:id="115" w:name="_Toc521510456"/>
      <w:r w:rsidRPr="002A7E38">
        <w:lastRenderedPageBreak/>
        <w:t>Private health</w:t>
      </w:r>
      <w:r w:rsidR="00F65375" w:rsidRPr="002A7E38">
        <w:t>care</w:t>
      </w:r>
      <w:bookmarkEnd w:id="115"/>
      <w:r w:rsidR="004F6268">
        <w:t xml:space="preserve"> </w:t>
      </w:r>
    </w:p>
    <w:p w:rsidR="004F6268" w:rsidRDefault="004F6268" w:rsidP="004F6268">
      <w:pPr>
        <w:pStyle w:val="Heading2"/>
      </w:pPr>
      <w:bookmarkStart w:id="116" w:name="_Toc521510457"/>
      <w:r>
        <w:t>Background</w:t>
      </w:r>
      <w:bookmarkEnd w:id="116"/>
    </w:p>
    <w:p w:rsidR="00D30F05" w:rsidRPr="00191F07" w:rsidRDefault="003844E5" w:rsidP="00740C8F">
      <w:pPr>
        <w:rPr>
          <w:rFonts w:cs="Arial"/>
          <w:szCs w:val="22"/>
          <w:vertAlign w:val="superscript"/>
        </w:rPr>
      </w:pPr>
      <w:r w:rsidRPr="00191F07">
        <w:rPr>
          <w:rFonts w:cs="Arial"/>
          <w:szCs w:val="22"/>
          <w:lang w:eastAsia="en-AU"/>
        </w:rPr>
        <w:t xml:space="preserve">About 55 per cent of the total population hold some form of </w:t>
      </w:r>
      <w:r w:rsidR="00A42345">
        <w:rPr>
          <w:rFonts w:cs="Arial"/>
          <w:szCs w:val="22"/>
          <w:lang w:eastAsia="en-AU"/>
        </w:rPr>
        <w:t>p</w:t>
      </w:r>
      <w:r w:rsidRPr="00191F07">
        <w:rPr>
          <w:rFonts w:cs="Arial"/>
          <w:szCs w:val="22"/>
          <w:lang w:eastAsia="en-AU"/>
        </w:rPr>
        <w:t>rivate health insurance and insurers pay $20 billion per year in benefits for treatments</w:t>
      </w:r>
      <w:r w:rsidRPr="00191F07">
        <w:rPr>
          <w:rStyle w:val="FootnoteReference"/>
          <w:rFonts w:cs="Arial"/>
          <w:szCs w:val="22"/>
          <w:lang w:eastAsia="en-AU"/>
        </w:rPr>
        <w:footnoteReference w:id="5"/>
      </w:r>
      <w:r w:rsidRPr="00191F07">
        <w:rPr>
          <w:rFonts w:cs="Arial"/>
          <w:szCs w:val="22"/>
          <w:lang w:eastAsia="en-AU"/>
        </w:rPr>
        <w:t>.</w:t>
      </w:r>
      <w:r>
        <w:rPr>
          <w:rFonts w:cs="Arial"/>
          <w:szCs w:val="22"/>
          <w:lang w:eastAsia="en-AU"/>
        </w:rPr>
        <w:t xml:space="preserve"> </w:t>
      </w:r>
      <w:r w:rsidR="009C5980">
        <w:rPr>
          <w:rFonts w:cs="Arial"/>
          <w:szCs w:val="22"/>
          <w:lang w:eastAsia="en-AU"/>
        </w:rPr>
        <w:t xml:space="preserve"> The ACCC report on private health insurance 2015-2016, submitted to the Senate in 2017 said that </w:t>
      </w:r>
      <w:r w:rsidR="00A574E3" w:rsidRPr="00191F07">
        <w:rPr>
          <w:rFonts w:cs="Arial"/>
          <w:szCs w:val="22"/>
        </w:rPr>
        <w:t xml:space="preserve">the cost of premiums is the main reason why many people decide not to take out private health insurance </w:t>
      </w:r>
      <w:r w:rsidR="009C5980">
        <w:rPr>
          <w:rFonts w:cs="Arial"/>
          <w:szCs w:val="22"/>
        </w:rPr>
        <w:t>or drop or downgrade</w:t>
      </w:r>
      <w:r w:rsidR="00A574E3" w:rsidRPr="00191F07">
        <w:rPr>
          <w:rFonts w:cs="Arial"/>
          <w:szCs w:val="22"/>
        </w:rPr>
        <w:t xml:space="preserve"> from existing levels of cover</w:t>
      </w:r>
      <w:r w:rsidR="00F46364" w:rsidRPr="00191F07">
        <w:rPr>
          <w:rFonts w:cs="Arial"/>
          <w:szCs w:val="22"/>
        </w:rPr>
        <w:t>.</w:t>
      </w:r>
      <w:r w:rsidR="00740C8F" w:rsidRPr="00191F07">
        <w:rPr>
          <w:rFonts w:cs="Arial"/>
          <w:szCs w:val="22"/>
        </w:rPr>
        <w:t xml:space="preserve"> </w:t>
      </w:r>
    </w:p>
    <w:p w:rsidR="009C5980" w:rsidRDefault="005B2B40" w:rsidP="004F6268">
      <w:pPr>
        <w:rPr>
          <w:rFonts w:cs="Arial"/>
          <w:szCs w:val="22"/>
          <w:shd w:val="clear" w:color="auto" w:fill="FFFFFF"/>
        </w:rPr>
      </w:pPr>
      <w:r w:rsidRPr="00191F07">
        <w:rPr>
          <w:rFonts w:cs="Arial"/>
          <w:szCs w:val="22"/>
          <w:shd w:val="clear" w:color="auto" w:fill="FFFFFF"/>
        </w:rPr>
        <w:t>About a quarter of people with private health insurance choose to</w:t>
      </w:r>
      <w:r w:rsidRPr="00191F07">
        <w:rPr>
          <w:rStyle w:val="apple-converted-space"/>
          <w:rFonts w:cs="Arial"/>
          <w:szCs w:val="22"/>
          <w:shd w:val="clear" w:color="auto" w:fill="FFFFFF"/>
        </w:rPr>
        <w:t> </w:t>
      </w:r>
      <w:r w:rsidRPr="00191F07">
        <w:rPr>
          <w:rFonts w:cs="Arial"/>
          <w:szCs w:val="22"/>
          <w:shd w:val="clear" w:color="auto" w:fill="FFFFFF"/>
        </w:rPr>
        <w:t>use the public system</w:t>
      </w:r>
      <w:r w:rsidR="000C2745" w:rsidRPr="00191F07">
        <w:rPr>
          <w:rStyle w:val="FootnoteReference"/>
          <w:rFonts w:cs="Arial"/>
          <w:szCs w:val="22"/>
          <w:shd w:val="clear" w:color="auto" w:fill="FFFFFF"/>
        </w:rPr>
        <w:footnoteReference w:id="6"/>
      </w:r>
      <w:r w:rsidR="009C5980" w:rsidRPr="00191F07">
        <w:rPr>
          <w:rStyle w:val="FootnoteReference"/>
          <w:rFonts w:cs="Arial"/>
          <w:szCs w:val="22"/>
          <w:shd w:val="clear" w:color="auto" w:fill="FFFFFF"/>
        </w:rPr>
        <w:footnoteReference w:id="7"/>
      </w:r>
      <w:r w:rsidR="00A42345">
        <w:rPr>
          <w:rFonts w:cs="Arial"/>
          <w:szCs w:val="22"/>
          <w:shd w:val="clear" w:color="auto" w:fill="FFFFFF"/>
        </w:rPr>
        <w:t xml:space="preserve"> when they require hospital care</w:t>
      </w:r>
      <w:r w:rsidRPr="00191F07">
        <w:rPr>
          <w:rFonts w:cs="Arial"/>
          <w:szCs w:val="22"/>
          <w:shd w:val="clear" w:color="auto" w:fill="FFFFFF"/>
        </w:rPr>
        <w:t>.</w:t>
      </w:r>
      <w:r w:rsidR="00BA0182" w:rsidRPr="00191F07">
        <w:rPr>
          <w:rFonts w:cs="Arial"/>
          <w:szCs w:val="22"/>
          <w:shd w:val="clear" w:color="auto" w:fill="FFFFFF"/>
        </w:rPr>
        <w:t xml:space="preserve"> </w:t>
      </w:r>
    </w:p>
    <w:p w:rsidR="00E80FC7" w:rsidRPr="002A7E38" w:rsidRDefault="00E80FC7" w:rsidP="00E80FC7">
      <w:pPr>
        <w:pStyle w:val="Heading2"/>
        <w:rPr>
          <w:sz w:val="20"/>
          <w:szCs w:val="22"/>
          <w:shd w:val="clear" w:color="auto" w:fill="FFFFFF"/>
        </w:rPr>
      </w:pPr>
      <w:bookmarkStart w:id="117" w:name="_Toc521510458"/>
      <w:r>
        <w:rPr>
          <w:lang w:eastAsia="en-AU"/>
        </w:rPr>
        <w:t>Private health insurance products</w:t>
      </w:r>
      <w:bookmarkEnd w:id="117"/>
    </w:p>
    <w:p w:rsidR="00E80FC7" w:rsidRDefault="00A9291A" w:rsidP="00A9291A">
      <w:pPr>
        <w:rPr>
          <w:rFonts w:cs="Arial"/>
          <w:szCs w:val="22"/>
          <w:shd w:val="clear" w:color="auto" w:fill="FBFBFB"/>
        </w:rPr>
      </w:pPr>
      <w:r w:rsidRPr="0016673E">
        <w:rPr>
          <w:rFonts w:cs="Arial"/>
          <w:szCs w:val="22"/>
          <w:shd w:val="clear" w:color="auto" w:fill="FBFBFB"/>
        </w:rPr>
        <w:t xml:space="preserve">Private health insurance product design has been identified as an area of concern that RANZCOG </w:t>
      </w:r>
      <w:r w:rsidR="00E80FC7" w:rsidRPr="0016673E">
        <w:rPr>
          <w:rFonts w:cs="Arial"/>
          <w:szCs w:val="22"/>
          <w:shd w:val="clear" w:color="auto" w:fill="FBFBFB"/>
        </w:rPr>
        <w:t xml:space="preserve">addressed </w:t>
      </w:r>
      <w:r w:rsidR="007E2BFC" w:rsidRPr="0016673E">
        <w:rPr>
          <w:rFonts w:cs="Arial"/>
          <w:szCs w:val="22"/>
          <w:shd w:val="clear" w:color="auto" w:fill="FBFBFB"/>
        </w:rPr>
        <w:t>in their submission to the inquiry into value and affordability of private health insurance and out-of-pocket medical costs, July 2017.</w:t>
      </w:r>
      <w:r w:rsidR="007E2BFC">
        <w:rPr>
          <w:rFonts w:cs="Arial"/>
          <w:szCs w:val="22"/>
          <w:shd w:val="clear" w:color="auto" w:fill="FBFBFB"/>
        </w:rPr>
        <w:t xml:space="preserve"> </w:t>
      </w:r>
    </w:p>
    <w:p w:rsidR="000B6168" w:rsidRDefault="00E80FC7" w:rsidP="00A9291A">
      <w:pPr>
        <w:rPr>
          <w:rFonts w:cs="Arial"/>
          <w:szCs w:val="22"/>
          <w:shd w:val="clear" w:color="auto" w:fill="FBFBFB"/>
        </w:rPr>
      </w:pPr>
      <w:r>
        <w:rPr>
          <w:rFonts w:cs="Arial"/>
          <w:szCs w:val="22"/>
          <w:shd w:val="clear" w:color="auto" w:fill="FBFBFB"/>
        </w:rPr>
        <w:t xml:space="preserve">RANZCOG </w:t>
      </w:r>
      <w:r w:rsidR="009C5980">
        <w:rPr>
          <w:rFonts w:cs="Arial"/>
          <w:szCs w:val="22"/>
          <w:shd w:val="clear" w:color="auto" w:fill="FBFBFB"/>
        </w:rPr>
        <w:t xml:space="preserve">highlighted </w:t>
      </w:r>
      <w:r w:rsidR="00BB63D2">
        <w:rPr>
          <w:rFonts w:cs="Arial"/>
          <w:szCs w:val="22"/>
          <w:shd w:val="clear" w:color="auto" w:fill="FBFBFB"/>
        </w:rPr>
        <w:t xml:space="preserve">the growth of </w:t>
      </w:r>
      <w:r w:rsidR="009C5980">
        <w:rPr>
          <w:rFonts w:cs="Arial"/>
          <w:szCs w:val="22"/>
          <w:shd w:val="clear" w:color="auto" w:fill="FBFBFB"/>
        </w:rPr>
        <w:t xml:space="preserve">low-cost </w:t>
      </w:r>
      <w:r w:rsidR="000B6168">
        <w:rPr>
          <w:rFonts w:cs="Arial"/>
          <w:szCs w:val="22"/>
          <w:shd w:val="clear" w:color="auto" w:fill="FBFBFB"/>
        </w:rPr>
        <w:t>policies</w:t>
      </w:r>
      <w:r w:rsidR="00A40B29">
        <w:rPr>
          <w:rFonts w:cs="Arial"/>
          <w:szCs w:val="22"/>
          <w:shd w:val="clear" w:color="auto" w:fill="FBFBFB"/>
        </w:rPr>
        <w:t xml:space="preserve"> which</w:t>
      </w:r>
      <w:r w:rsidR="009C5980">
        <w:rPr>
          <w:rFonts w:cs="Arial"/>
          <w:szCs w:val="22"/>
          <w:shd w:val="clear" w:color="auto" w:fill="FBFBFB"/>
        </w:rPr>
        <w:t xml:space="preserve"> enable policy holders to gain the tax benefit of having private health insurance, but may not </w:t>
      </w:r>
      <w:r w:rsidR="000B6168">
        <w:rPr>
          <w:rFonts w:cs="Arial"/>
          <w:szCs w:val="22"/>
          <w:shd w:val="clear" w:color="auto" w:fill="FBFBFB"/>
        </w:rPr>
        <w:t>cover common O&amp;G presentations</w:t>
      </w:r>
      <w:r w:rsidR="009C5980">
        <w:rPr>
          <w:rFonts w:cs="Arial"/>
          <w:szCs w:val="22"/>
          <w:shd w:val="clear" w:color="auto" w:fill="FBFBFB"/>
        </w:rPr>
        <w:t xml:space="preserve">. These policy holders can only access </w:t>
      </w:r>
      <w:r w:rsidR="000B6168">
        <w:rPr>
          <w:rFonts w:cs="Arial"/>
          <w:szCs w:val="22"/>
          <w:shd w:val="clear" w:color="auto" w:fill="FBFBFB"/>
        </w:rPr>
        <w:t xml:space="preserve">O&amp;G services in the public system. </w:t>
      </w:r>
    </w:p>
    <w:p w:rsidR="00740C8F" w:rsidRDefault="00740C8F" w:rsidP="00740C8F">
      <w:pPr>
        <w:pStyle w:val="Heading2"/>
        <w:rPr>
          <w:shd w:val="clear" w:color="auto" w:fill="FBFBFB"/>
        </w:rPr>
      </w:pPr>
      <w:bookmarkStart w:id="118" w:name="_Toc521510459"/>
      <w:r>
        <w:rPr>
          <w:shd w:val="clear" w:color="auto" w:fill="FBFBFB"/>
        </w:rPr>
        <w:t>Interaction between public and private hospitals</w:t>
      </w:r>
      <w:bookmarkEnd w:id="118"/>
    </w:p>
    <w:p w:rsidR="00740C8F" w:rsidRDefault="00C93CFE" w:rsidP="00740C8F">
      <w:pPr>
        <w:rPr>
          <w:rFonts w:cs="Arial"/>
          <w:szCs w:val="22"/>
          <w:shd w:val="clear" w:color="auto" w:fill="FBFBFB"/>
        </w:rPr>
      </w:pPr>
      <w:r>
        <w:rPr>
          <w:rFonts w:cs="Arial"/>
          <w:szCs w:val="22"/>
          <w:shd w:val="clear" w:color="auto" w:fill="FBFBFB"/>
        </w:rPr>
        <w:t>Figure 2</w:t>
      </w:r>
      <w:r w:rsidR="00147023">
        <w:rPr>
          <w:rFonts w:cs="Arial"/>
          <w:szCs w:val="22"/>
          <w:shd w:val="clear" w:color="auto" w:fill="FBFBFB"/>
        </w:rPr>
        <w:t>2</w:t>
      </w:r>
      <w:r>
        <w:rPr>
          <w:rFonts w:cs="Arial"/>
          <w:szCs w:val="22"/>
          <w:shd w:val="clear" w:color="auto" w:fill="FBFBFB"/>
        </w:rPr>
        <w:t xml:space="preserve"> shows the number of separations by private and public hospital sector over the last 12 years, where the average proportion between public and private have remained roughly the same over the </w:t>
      </w:r>
      <w:r w:rsidR="009D2D1F">
        <w:rPr>
          <w:rFonts w:cs="Arial"/>
          <w:szCs w:val="22"/>
          <w:shd w:val="clear" w:color="auto" w:fill="FBFBFB"/>
        </w:rPr>
        <w:t>period</w:t>
      </w:r>
      <w:r w:rsidR="00EA1896">
        <w:rPr>
          <w:rFonts w:cs="Arial"/>
          <w:szCs w:val="22"/>
          <w:shd w:val="clear" w:color="auto" w:fill="FBFBFB"/>
        </w:rPr>
        <w:t xml:space="preserve"> (2003-2015)</w:t>
      </w:r>
      <w:r>
        <w:rPr>
          <w:rFonts w:cs="Arial"/>
          <w:szCs w:val="22"/>
          <w:shd w:val="clear" w:color="auto" w:fill="FBFBFB"/>
        </w:rPr>
        <w:t>;</w:t>
      </w:r>
      <w:r w:rsidR="00EA1896">
        <w:rPr>
          <w:rFonts w:cs="Arial"/>
          <w:szCs w:val="22"/>
          <w:shd w:val="clear" w:color="auto" w:fill="FBFBFB"/>
        </w:rPr>
        <w:t xml:space="preserve"> </w:t>
      </w:r>
      <w:r>
        <w:rPr>
          <w:rFonts w:cs="Arial"/>
          <w:szCs w:val="22"/>
          <w:shd w:val="clear" w:color="auto" w:fill="FBFBFB"/>
        </w:rPr>
        <w:t>39 per cent and 61 per cent respectively</w:t>
      </w:r>
      <w:r w:rsidR="00EA1896">
        <w:rPr>
          <w:rFonts w:cs="Arial"/>
          <w:szCs w:val="22"/>
          <w:shd w:val="clear" w:color="auto" w:fill="FBFBFB"/>
        </w:rPr>
        <w:t xml:space="preserve"> for all O&amp;G service related group</w:t>
      </w:r>
      <w:r>
        <w:rPr>
          <w:rFonts w:cs="Arial"/>
          <w:szCs w:val="22"/>
          <w:shd w:val="clear" w:color="auto" w:fill="FBFBFB"/>
        </w:rPr>
        <w:t xml:space="preserve">. </w:t>
      </w:r>
    </w:p>
    <w:p w:rsidR="00740C8F" w:rsidRDefault="00740C8F" w:rsidP="00740C8F">
      <w:pPr>
        <w:pStyle w:val="Caption"/>
        <w:keepNext/>
      </w:pPr>
      <w:bookmarkStart w:id="119" w:name="_Toc515888826"/>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22</w:t>
      </w:r>
      <w:r w:rsidR="00556A17">
        <w:rPr>
          <w:noProof/>
        </w:rPr>
        <w:fldChar w:fldCharType="end"/>
      </w:r>
      <w:r>
        <w:t>: Separations by hospital sector, 2003-2015</w:t>
      </w:r>
      <w:bookmarkEnd w:id="119"/>
    </w:p>
    <w:p w:rsidR="0016673E" w:rsidRDefault="0016673E" w:rsidP="00C93CFE">
      <w:pPr>
        <w:rPr>
          <w:rFonts w:cs="Arial"/>
          <w:szCs w:val="22"/>
          <w:shd w:val="clear" w:color="auto" w:fill="FBFBFB"/>
        </w:rPr>
      </w:pPr>
      <w:r>
        <w:rPr>
          <w:rFonts w:cs="Arial"/>
          <w:noProof/>
          <w:szCs w:val="22"/>
          <w:shd w:val="clear" w:color="auto" w:fill="FBFBFB"/>
          <w:lang w:eastAsia="en-AU"/>
        </w:rPr>
        <w:drawing>
          <wp:inline distT="0" distB="0" distL="0" distR="0" wp14:anchorId="47180428" wp14:editId="7F645E46">
            <wp:extent cx="5541645" cy="2414270"/>
            <wp:effectExtent l="0" t="0" r="1905" b="5080"/>
            <wp:docPr id="679" name="Picture 679" descr="Shows the number of separations by private and public hospital sector over the last 12 years, where the average proportion between public and private have remained roughly the same over the period (2003-2015); 39 per cent and 61 per cent respectively for all obstetrics and gynaecology service related group. " title="Figure 22: Separations by hospital sector, 200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p>
    <w:p w:rsidR="00A060F6" w:rsidRDefault="00A060F6" w:rsidP="00C93CFE">
      <w:pPr>
        <w:rPr>
          <w:rFonts w:cs="Arial"/>
          <w:szCs w:val="22"/>
          <w:shd w:val="clear" w:color="auto" w:fill="FBFBFB"/>
        </w:rPr>
      </w:pPr>
      <w:r w:rsidRPr="006D55AE">
        <w:rPr>
          <w:rFonts w:cs="Arial"/>
          <w:szCs w:val="22"/>
          <w:shd w:val="clear" w:color="auto" w:fill="FBFBFB"/>
        </w:rPr>
        <w:t>Figure 2</w:t>
      </w:r>
      <w:r w:rsidR="00147023" w:rsidRPr="006D55AE">
        <w:rPr>
          <w:rFonts w:cs="Arial"/>
          <w:szCs w:val="22"/>
          <w:shd w:val="clear" w:color="auto" w:fill="FBFBFB"/>
        </w:rPr>
        <w:t>3</w:t>
      </w:r>
      <w:r w:rsidRPr="006D55AE">
        <w:rPr>
          <w:rFonts w:cs="Arial"/>
          <w:szCs w:val="22"/>
          <w:shd w:val="clear" w:color="auto" w:fill="FBFBFB"/>
        </w:rPr>
        <w:t xml:space="preserve"> shows the time series of separations for hysterectomy related procedures by public and private sector. The</w:t>
      </w:r>
      <w:r w:rsidR="00587F16" w:rsidRPr="006D55AE">
        <w:rPr>
          <w:rFonts w:cs="Arial"/>
          <w:szCs w:val="22"/>
          <w:shd w:val="clear" w:color="auto" w:fill="FBFBFB"/>
        </w:rPr>
        <w:t xml:space="preserve"> proportion in the</w:t>
      </w:r>
      <w:r w:rsidRPr="006D55AE">
        <w:rPr>
          <w:rFonts w:cs="Arial"/>
          <w:szCs w:val="22"/>
          <w:shd w:val="clear" w:color="auto" w:fill="FBFBFB"/>
        </w:rPr>
        <w:t xml:space="preserve"> private sector has slowly increased from 56</w:t>
      </w:r>
      <w:r w:rsidR="00587F16" w:rsidRPr="006D55AE">
        <w:rPr>
          <w:rFonts w:cs="Arial"/>
          <w:szCs w:val="22"/>
          <w:shd w:val="clear" w:color="auto" w:fill="FBFBFB"/>
        </w:rPr>
        <w:t xml:space="preserve"> </w:t>
      </w:r>
      <w:r w:rsidRPr="006D55AE">
        <w:rPr>
          <w:rFonts w:cs="Arial"/>
          <w:szCs w:val="22"/>
          <w:shd w:val="clear" w:color="auto" w:fill="FBFBFB"/>
        </w:rPr>
        <w:t>per cent in 2003 to 59 per cent in 2015, while the public sector</w:t>
      </w:r>
      <w:r w:rsidR="00587F16" w:rsidRPr="006D55AE">
        <w:rPr>
          <w:rFonts w:cs="Arial"/>
          <w:szCs w:val="22"/>
          <w:shd w:val="clear" w:color="auto" w:fill="FBFBFB"/>
        </w:rPr>
        <w:t xml:space="preserve"> proportion</w:t>
      </w:r>
      <w:r w:rsidRPr="006D55AE">
        <w:rPr>
          <w:rFonts w:cs="Arial"/>
          <w:szCs w:val="22"/>
          <w:shd w:val="clear" w:color="auto" w:fill="FBFBFB"/>
        </w:rPr>
        <w:t xml:space="preserve"> has declined from </w:t>
      </w:r>
      <w:r w:rsidRPr="006D55AE">
        <w:rPr>
          <w:rFonts w:cs="Arial"/>
          <w:szCs w:val="22"/>
          <w:shd w:val="clear" w:color="auto" w:fill="FBFBFB"/>
        </w:rPr>
        <w:lastRenderedPageBreak/>
        <w:t xml:space="preserve">44 </w:t>
      </w:r>
      <w:r w:rsidR="00587F16" w:rsidRPr="006D55AE">
        <w:rPr>
          <w:rFonts w:cs="Arial"/>
          <w:szCs w:val="22"/>
          <w:shd w:val="clear" w:color="auto" w:fill="FBFBFB"/>
        </w:rPr>
        <w:t>per cent in 2003 to 41 per cent. However, the private and public sector have seen strong growth over the 12 year period with 4.7 per cent and 3.7 per cent</w:t>
      </w:r>
      <w:r w:rsidR="00BB63D2" w:rsidRPr="006D55AE">
        <w:rPr>
          <w:rFonts w:cs="Arial"/>
          <w:szCs w:val="22"/>
          <w:shd w:val="clear" w:color="auto" w:fill="FBFBFB"/>
        </w:rPr>
        <w:t xml:space="preserve"> respectively</w:t>
      </w:r>
      <w:r w:rsidR="00587F16" w:rsidRPr="006D55AE">
        <w:rPr>
          <w:rFonts w:cs="Arial"/>
          <w:szCs w:val="22"/>
          <w:shd w:val="clear" w:color="auto" w:fill="FBFBFB"/>
        </w:rPr>
        <w:t>.</w:t>
      </w:r>
      <w:r w:rsidR="00587F16">
        <w:rPr>
          <w:rFonts w:cs="Arial"/>
          <w:szCs w:val="22"/>
          <w:shd w:val="clear" w:color="auto" w:fill="FBFBFB"/>
        </w:rPr>
        <w:t xml:space="preserve"> </w:t>
      </w:r>
    </w:p>
    <w:p w:rsidR="00A060F6" w:rsidRDefault="00A060F6" w:rsidP="00A060F6">
      <w:pPr>
        <w:pStyle w:val="Caption"/>
        <w:keepNext/>
      </w:pPr>
      <w:bookmarkStart w:id="120" w:name="_Toc515888827"/>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23</w:t>
      </w:r>
      <w:r w:rsidR="00556A17">
        <w:rPr>
          <w:noProof/>
        </w:rPr>
        <w:fldChar w:fldCharType="end"/>
      </w:r>
      <w:r>
        <w:t>: Hysterectomy separations by hospital sector, 2003-2015</w:t>
      </w:r>
      <w:bookmarkEnd w:id="120"/>
    </w:p>
    <w:p w:rsidR="0016673E" w:rsidRDefault="0016673E" w:rsidP="00C93CFE">
      <w:pPr>
        <w:rPr>
          <w:rFonts w:cs="Arial"/>
          <w:szCs w:val="22"/>
          <w:shd w:val="clear" w:color="auto" w:fill="FBFBFB"/>
        </w:rPr>
      </w:pPr>
      <w:r>
        <w:rPr>
          <w:rFonts w:cs="Arial"/>
          <w:noProof/>
          <w:szCs w:val="22"/>
          <w:shd w:val="clear" w:color="auto" w:fill="FBFBFB"/>
          <w:lang w:eastAsia="en-AU"/>
        </w:rPr>
        <w:drawing>
          <wp:inline distT="0" distB="0" distL="0" distR="0" wp14:anchorId="4881AB46" wp14:editId="31948269">
            <wp:extent cx="5730875" cy="2414270"/>
            <wp:effectExtent l="0" t="0" r="3175" b="5080"/>
            <wp:docPr id="680" name="Picture 680" descr="Shows the time series of separations for hysterectomy related procedures by public and private sector. The proportion in the private sector has slowly increased from 56 per cent in 2003 to 59 per cent in 2015, while the public sector proportion has declined from 44 per cent in 2003 to 41 per cent. However, the private and public sector have seen strong growth over the 12 year period with 4.7 per cent and 3.7 per cent respectively. " title="Figure 23: Hysterectomy separations by hospital sector, 200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rsidR="00F05062" w:rsidRDefault="00F05062" w:rsidP="00C93CFE">
      <w:pPr>
        <w:rPr>
          <w:rFonts w:cs="Arial"/>
          <w:szCs w:val="22"/>
          <w:shd w:val="clear" w:color="auto" w:fill="FBFBFB"/>
        </w:rPr>
      </w:pPr>
      <w:r w:rsidRPr="00F05062">
        <w:rPr>
          <w:rFonts w:cs="Arial"/>
          <w:szCs w:val="22"/>
          <w:shd w:val="clear" w:color="auto" w:fill="FBFBFB"/>
        </w:rPr>
        <w:t>Figure 24 shows the MBS items associated with hysterectomies between 2007 and 2016 which has seen negative growth of 1.3 percent in the number of services. These services are predominately provid</w:t>
      </w:r>
      <w:r>
        <w:rPr>
          <w:rFonts w:cs="Arial"/>
          <w:szCs w:val="22"/>
          <w:shd w:val="clear" w:color="auto" w:fill="FBFBFB"/>
        </w:rPr>
        <w:t>ed in MMM1 (over 80 per cent).</w:t>
      </w:r>
    </w:p>
    <w:p w:rsidR="00740C8F" w:rsidRDefault="00740C8F" w:rsidP="00740C8F">
      <w:pPr>
        <w:pStyle w:val="Caption"/>
        <w:keepNext/>
      </w:pPr>
      <w:bookmarkStart w:id="121" w:name="_Toc515888828"/>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24</w:t>
      </w:r>
      <w:r w:rsidR="00556A17">
        <w:rPr>
          <w:noProof/>
        </w:rPr>
        <w:fldChar w:fldCharType="end"/>
      </w:r>
      <w:r>
        <w:t>: Total Hysterectomy MBS items, 2007-2016</w:t>
      </w:r>
      <w:bookmarkEnd w:id="121"/>
    </w:p>
    <w:p w:rsidR="00F05062" w:rsidRDefault="00F05062" w:rsidP="00740C8F">
      <w:pPr>
        <w:rPr>
          <w:szCs w:val="22"/>
        </w:rPr>
      </w:pPr>
      <w:r>
        <w:rPr>
          <w:noProof/>
          <w:szCs w:val="22"/>
          <w:lang w:eastAsia="en-AU"/>
        </w:rPr>
        <w:drawing>
          <wp:inline distT="0" distB="0" distL="0" distR="0" wp14:anchorId="295BB1CA" wp14:editId="3DC05C56">
            <wp:extent cx="5797550" cy="2316480"/>
            <wp:effectExtent l="0" t="0" r="0" b="7620"/>
            <wp:docPr id="25" name="Picture 25" descr="Shows the Medicare Benefits Schedule items associated with hysterectomies between 2007 and 2016 which has seen negative growth of 1.3 percent in the number of services. These services are predominately provided in Modified Monash Model 1 (over 80 per cent).&#10;&#10;" title="Figure 24: Total Hysterectomy Medicare Benefits Schedule items, 20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7550" cy="2316480"/>
                    </a:xfrm>
                    <a:prstGeom prst="rect">
                      <a:avLst/>
                    </a:prstGeom>
                    <a:noFill/>
                  </pic:spPr>
                </pic:pic>
              </a:graphicData>
            </a:graphic>
          </wp:inline>
        </w:drawing>
      </w:r>
    </w:p>
    <w:p w:rsidR="00587F16" w:rsidRDefault="00587F16" w:rsidP="00587F16">
      <w:pPr>
        <w:pStyle w:val="Heading2"/>
        <w:rPr>
          <w:shd w:val="clear" w:color="auto" w:fill="FBFBFB"/>
        </w:rPr>
      </w:pPr>
      <w:bookmarkStart w:id="122" w:name="_Toc521510460"/>
      <w:r>
        <w:rPr>
          <w:shd w:val="clear" w:color="auto" w:fill="FBFBFB"/>
        </w:rPr>
        <w:t>Provision of services by hospital sector</w:t>
      </w:r>
      <w:bookmarkEnd w:id="122"/>
    </w:p>
    <w:p w:rsidR="00905C19" w:rsidRDefault="00740C8F" w:rsidP="00740C8F">
      <w:pPr>
        <w:rPr>
          <w:rFonts w:cs="Arial"/>
          <w:szCs w:val="22"/>
          <w:shd w:val="clear" w:color="auto" w:fill="FBFBFB"/>
        </w:rPr>
      </w:pPr>
      <w:r w:rsidRPr="00571BF5">
        <w:rPr>
          <w:rFonts w:cs="Arial"/>
          <w:szCs w:val="22"/>
          <w:shd w:val="clear" w:color="auto" w:fill="FBFBFB"/>
        </w:rPr>
        <w:t xml:space="preserve">Most of the specialist training in O&amp;G is undertaken in public hospitals, and one of the </w:t>
      </w:r>
      <w:r w:rsidR="0020322F">
        <w:rPr>
          <w:rFonts w:cs="Arial"/>
          <w:szCs w:val="22"/>
          <w:shd w:val="clear" w:color="auto" w:fill="FBFBFB"/>
        </w:rPr>
        <w:t>major problems facing RANZCOG is</w:t>
      </w:r>
      <w:r w:rsidRPr="00571BF5">
        <w:rPr>
          <w:rFonts w:cs="Arial"/>
          <w:szCs w:val="22"/>
          <w:shd w:val="clear" w:color="auto" w:fill="FBFBFB"/>
        </w:rPr>
        <w:t xml:space="preserve"> its provision of quality specialist training is that public hospitals </w:t>
      </w:r>
      <w:r w:rsidR="00D939EF">
        <w:rPr>
          <w:rFonts w:cs="Arial"/>
          <w:szCs w:val="22"/>
          <w:shd w:val="clear" w:color="auto" w:fill="FBFBFB"/>
        </w:rPr>
        <w:t xml:space="preserve">focus on </w:t>
      </w:r>
      <w:r w:rsidRPr="00571BF5">
        <w:rPr>
          <w:rFonts w:cs="Arial"/>
          <w:szCs w:val="22"/>
          <w:shd w:val="clear" w:color="auto" w:fill="FBFBFB"/>
        </w:rPr>
        <w:t>obstetrics</w:t>
      </w:r>
      <w:r w:rsidR="00905C19">
        <w:rPr>
          <w:rFonts w:cs="Arial"/>
          <w:szCs w:val="22"/>
          <w:shd w:val="clear" w:color="auto" w:fill="FBFBFB"/>
        </w:rPr>
        <w:t xml:space="preserve"> </w:t>
      </w:r>
      <w:r w:rsidR="00AF671E">
        <w:rPr>
          <w:rFonts w:cs="Arial"/>
          <w:szCs w:val="22"/>
          <w:shd w:val="clear" w:color="auto" w:fill="FBFBFB"/>
        </w:rPr>
        <w:t>largely</w:t>
      </w:r>
      <w:r w:rsidRPr="00571BF5">
        <w:rPr>
          <w:rFonts w:cs="Arial"/>
          <w:szCs w:val="22"/>
          <w:shd w:val="clear" w:color="auto" w:fill="FBFBFB"/>
        </w:rPr>
        <w:t xml:space="preserve">. </w:t>
      </w:r>
      <w:r w:rsidR="00012DFB">
        <w:rPr>
          <w:rFonts w:cs="Arial"/>
          <w:szCs w:val="22"/>
          <w:shd w:val="clear" w:color="auto" w:fill="FBFBFB"/>
        </w:rPr>
        <w:t>Figure 25</w:t>
      </w:r>
      <w:r w:rsidR="00905C19">
        <w:rPr>
          <w:rFonts w:cs="Arial"/>
          <w:szCs w:val="22"/>
          <w:shd w:val="clear" w:color="auto" w:fill="FBFBFB"/>
        </w:rPr>
        <w:t xml:space="preserve"> shows this;</w:t>
      </w:r>
      <w:r w:rsidR="00461440">
        <w:rPr>
          <w:rFonts w:cs="Arial"/>
          <w:szCs w:val="22"/>
          <w:shd w:val="clear" w:color="auto" w:fill="FBFBFB"/>
        </w:rPr>
        <w:t xml:space="preserve"> where the </w:t>
      </w:r>
      <w:r w:rsidR="00905C19">
        <w:rPr>
          <w:rFonts w:cs="Arial"/>
          <w:szCs w:val="22"/>
          <w:shd w:val="clear" w:color="auto" w:fill="FBFBFB"/>
        </w:rPr>
        <w:t xml:space="preserve">obstetric </w:t>
      </w:r>
      <w:r w:rsidR="00461440">
        <w:rPr>
          <w:rFonts w:cs="Arial"/>
          <w:szCs w:val="22"/>
          <w:shd w:val="clear" w:color="auto" w:fill="FBFBFB"/>
        </w:rPr>
        <w:t>separations</w:t>
      </w:r>
      <w:r w:rsidR="00905C19">
        <w:rPr>
          <w:rFonts w:cs="Arial"/>
          <w:szCs w:val="22"/>
          <w:shd w:val="clear" w:color="auto" w:fill="FBFBFB"/>
        </w:rPr>
        <w:t xml:space="preserve"> in the public sector are the largest</w:t>
      </w:r>
      <w:r w:rsidR="00AF671E">
        <w:rPr>
          <w:rFonts w:cs="Arial"/>
          <w:szCs w:val="22"/>
          <w:shd w:val="clear" w:color="auto" w:fill="FBFBFB"/>
        </w:rPr>
        <w:t>; at a rate of 3.6 times greater than in the private sector. W</w:t>
      </w:r>
      <w:r w:rsidR="00905C19">
        <w:rPr>
          <w:rFonts w:cs="Arial"/>
          <w:szCs w:val="22"/>
          <w:shd w:val="clear" w:color="auto" w:fill="FBFBFB"/>
        </w:rPr>
        <w:t>hile the gynaecology separations are lower than the private sector</w:t>
      </w:r>
      <w:r w:rsidR="00AF671E">
        <w:rPr>
          <w:rFonts w:cs="Arial"/>
          <w:szCs w:val="22"/>
          <w:shd w:val="clear" w:color="auto" w:fill="FBFBFB"/>
        </w:rPr>
        <w:t>; at a rate of 1.4 times</w:t>
      </w:r>
      <w:r w:rsidR="00905C19">
        <w:rPr>
          <w:rFonts w:cs="Arial"/>
          <w:szCs w:val="22"/>
          <w:shd w:val="clear" w:color="auto" w:fill="FBFBFB"/>
        </w:rPr>
        <w:t xml:space="preserve">, which </w:t>
      </w:r>
      <w:r w:rsidR="00AF671E" w:rsidRPr="00571BF5">
        <w:rPr>
          <w:rFonts w:cs="Arial"/>
          <w:szCs w:val="22"/>
          <w:shd w:val="clear" w:color="auto" w:fill="FBFBFB"/>
        </w:rPr>
        <w:t>dilut</w:t>
      </w:r>
      <w:r w:rsidR="00AF671E">
        <w:rPr>
          <w:rFonts w:cs="Arial"/>
          <w:szCs w:val="22"/>
          <w:shd w:val="clear" w:color="auto" w:fill="FBFBFB"/>
        </w:rPr>
        <w:t>es</w:t>
      </w:r>
      <w:r w:rsidR="00AF671E" w:rsidRPr="00571BF5">
        <w:rPr>
          <w:rFonts w:cs="Arial"/>
          <w:szCs w:val="22"/>
          <w:shd w:val="clear" w:color="auto" w:fill="FBFBFB"/>
        </w:rPr>
        <w:t xml:space="preserve"> gynaecological surgical training</w:t>
      </w:r>
      <w:r w:rsidR="00AF671E">
        <w:rPr>
          <w:rFonts w:cs="Arial"/>
          <w:szCs w:val="22"/>
          <w:shd w:val="clear" w:color="auto" w:fill="FBFBFB"/>
        </w:rPr>
        <w:t xml:space="preserve"> given </w:t>
      </w:r>
      <w:r w:rsidR="00905C19">
        <w:rPr>
          <w:rFonts w:cs="Arial"/>
          <w:szCs w:val="22"/>
          <w:shd w:val="clear" w:color="auto" w:fill="FBFBFB"/>
        </w:rPr>
        <w:t>that most of it occurs in the public sector.</w:t>
      </w:r>
      <w:r w:rsidR="00AF671E">
        <w:rPr>
          <w:rFonts w:cs="Arial"/>
          <w:szCs w:val="22"/>
          <w:shd w:val="clear" w:color="auto" w:fill="FBFBFB"/>
        </w:rPr>
        <w:t xml:space="preserve"> Furthermore within the public sector obstetrics separations occur at a rate of 2.1 more than gynaecological separations, while it is the opposite in the private sector where gynaecological separations occur at a rate of 2.4 times more than obstetrics. </w:t>
      </w:r>
      <w:r w:rsidR="00905C19">
        <w:rPr>
          <w:rFonts w:cs="Arial"/>
          <w:szCs w:val="22"/>
          <w:shd w:val="clear" w:color="auto" w:fill="FBFBFB"/>
        </w:rPr>
        <w:t xml:space="preserve"> </w:t>
      </w:r>
    </w:p>
    <w:p w:rsidR="00461440" w:rsidRDefault="00461440" w:rsidP="00461440">
      <w:pPr>
        <w:pStyle w:val="Caption"/>
        <w:keepNext/>
      </w:pPr>
      <w:bookmarkStart w:id="123" w:name="_Toc515888829"/>
      <w:r>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25</w:t>
      </w:r>
      <w:r w:rsidR="00556A17">
        <w:rPr>
          <w:noProof/>
        </w:rPr>
        <w:fldChar w:fldCharType="end"/>
      </w:r>
      <w:r>
        <w:t>: Obstetrics and gynaecology separations by sector</w:t>
      </w:r>
      <w:bookmarkEnd w:id="123"/>
    </w:p>
    <w:p w:rsidR="00737CAF" w:rsidRPr="00571BF5" w:rsidRDefault="00737CAF" w:rsidP="002348F6">
      <w:pPr>
        <w:spacing w:before="0"/>
        <w:rPr>
          <w:rFonts w:cs="Arial"/>
          <w:szCs w:val="22"/>
          <w:shd w:val="clear" w:color="auto" w:fill="FBFBFB"/>
        </w:rPr>
      </w:pPr>
      <w:r>
        <w:rPr>
          <w:rFonts w:cs="Arial"/>
          <w:noProof/>
          <w:szCs w:val="22"/>
          <w:shd w:val="clear" w:color="auto" w:fill="FBFBFB"/>
          <w:lang w:eastAsia="en-AU"/>
        </w:rPr>
        <w:drawing>
          <wp:inline distT="0" distB="0" distL="0" distR="0" wp14:anchorId="17A333CC" wp14:editId="6B06E9CE">
            <wp:extent cx="5541645" cy="2414270"/>
            <wp:effectExtent l="0" t="0" r="1905" b="5080"/>
            <wp:docPr id="684" name="Picture 684" descr="Shows obstetric separations in the public sector are the largest; at a rate of 3.6 times greater than in the private sector. While the gynaecology separations are lower than the private sector; at a rate of 1.4 times, which dilutes gynaecological surgical training given that most of it occurs in the public sector. Furthermore within the public sector obstetrics separations occur at a rate of 2.1 more than gynaecological separations, while it is the opposite in the private sector where gynaecological separations occur at a rate of 2.4 times more than obstetrics.  " title="Figure 25: Obstetrics and gynaecology separations b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p>
    <w:p w:rsidR="004A1E78" w:rsidRPr="00571BF5" w:rsidRDefault="001B240D" w:rsidP="00981DC3">
      <w:pPr>
        <w:rPr>
          <w:rFonts w:cs="Arial"/>
          <w:szCs w:val="22"/>
          <w:shd w:val="clear" w:color="auto" w:fill="FBFBFB"/>
        </w:rPr>
      </w:pPr>
      <w:r w:rsidRPr="00571BF5">
        <w:rPr>
          <w:rFonts w:cs="Arial"/>
          <w:szCs w:val="22"/>
          <w:shd w:val="clear" w:color="auto" w:fill="FBFBFB"/>
        </w:rPr>
        <w:t xml:space="preserve">Young couples planning for maternity care and birth are one of the main </w:t>
      </w:r>
      <w:r w:rsidR="004A1E78" w:rsidRPr="00571BF5">
        <w:rPr>
          <w:rFonts w:cs="Arial"/>
          <w:szCs w:val="22"/>
          <w:shd w:val="clear" w:color="auto" w:fill="FBFBFB"/>
        </w:rPr>
        <w:t>drivers fo</w:t>
      </w:r>
      <w:r w:rsidRPr="00571BF5">
        <w:rPr>
          <w:rFonts w:cs="Arial"/>
          <w:szCs w:val="22"/>
          <w:shd w:val="clear" w:color="auto" w:fill="FBFBFB"/>
        </w:rPr>
        <w:t xml:space="preserve">r uptake </w:t>
      </w:r>
      <w:r w:rsidR="004A1E78" w:rsidRPr="00571BF5">
        <w:rPr>
          <w:rFonts w:cs="Arial"/>
          <w:szCs w:val="22"/>
          <w:shd w:val="clear" w:color="auto" w:fill="FBFBFB"/>
        </w:rPr>
        <w:t>of hospital policies, and almost one third of all births in Australia occur at private hospitals. As can be seen in the graph below, the</w:t>
      </w:r>
      <w:r w:rsidR="00461440">
        <w:rPr>
          <w:rFonts w:cs="Arial"/>
          <w:szCs w:val="22"/>
          <w:shd w:val="clear" w:color="auto" w:fill="FBFBFB"/>
        </w:rPr>
        <w:t>re</w:t>
      </w:r>
      <w:r w:rsidR="004A1E78" w:rsidRPr="00571BF5">
        <w:rPr>
          <w:rFonts w:cs="Arial"/>
          <w:szCs w:val="22"/>
          <w:shd w:val="clear" w:color="auto" w:fill="FBFBFB"/>
        </w:rPr>
        <w:t xml:space="preserve"> have been a slight downward trend in the private hospital proportion – where over the years it has shifted from 30 per cent to 27 per cent in 201</w:t>
      </w:r>
      <w:r w:rsidR="00461440">
        <w:rPr>
          <w:rFonts w:cs="Arial"/>
          <w:szCs w:val="22"/>
          <w:shd w:val="clear" w:color="auto" w:fill="FBFBFB"/>
        </w:rPr>
        <w:t>5</w:t>
      </w:r>
      <w:r w:rsidR="004A1E78" w:rsidRPr="00571BF5">
        <w:rPr>
          <w:rFonts w:cs="Arial"/>
          <w:szCs w:val="22"/>
          <w:shd w:val="clear" w:color="auto" w:fill="FBFBFB"/>
        </w:rPr>
        <w:t xml:space="preserve">. </w:t>
      </w:r>
      <w:r w:rsidR="0022333A" w:rsidRPr="00571BF5">
        <w:rPr>
          <w:rFonts w:cs="Arial"/>
          <w:szCs w:val="22"/>
          <w:shd w:val="clear" w:color="auto" w:fill="FBFBFB"/>
        </w:rPr>
        <w:t xml:space="preserve">This shows that despite the overall increase in the total number of women </w:t>
      </w:r>
      <w:proofErr w:type="gramStart"/>
      <w:r w:rsidR="0022333A" w:rsidRPr="00571BF5">
        <w:rPr>
          <w:rFonts w:cs="Arial"/>
          <w:szCs w:val="22"/>
          <w:shd w:val="clear" w:color="auto" w:fill="FBFBFB"/>
        </w:rPr>
        <w:t>giving birth</w:t>
      </w:r>
      <w:proofErr w:type="gramEnd"/>
      <w:r w:rsidR="0022333A" w:rsidRPr="00571BF5">
        <w:rPr>
          <w:rFonts w:cs="Arial"/>
          <w:szCs w:val="22"/>
          <w:shd w:val="clear" w:color="auto" w:fill="FBFBFB"/>
        </w:rPr>
        <w:t xml:space="preserve"> the proportion of private hospital births is showing a decline. </w:t>
      </w:r>
      <w:r w:rsidR="00A42345">
        <w:rPr>
          <w:rFonts w:cs="Arial"/>
          <w:szCs w:val="22"/>
          <w:shd w:val="clear" w:color="auto" w:fill="FBFBFB"/>
        </w:rPr>
        <w:t>This has been attributed to changes in private health insurance as discussed above.</w:t>
      </w:r>
    </w:p>
    <w:p w:rsidR="004A1E78" w:rsidRDefault="004A1E78" w:rsidP="004A1E78">
      <w:pPr>
        <w:pStyle w:val="Caption"/>
        <w:keepNext/>
      </w:pPr>
      <w:bookmarkStart w:id="124" w:name="_Toc515888830"/>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26</w:t>
      </w:r>
      <w:r w:rsidR="00556A17">
        <w:rPr>
          <w:noProof/>
        </w:rPr>
        <w:fldChar w:fldCharType="end"/>
      </w:r>
      <w:r>
        <w:t xml:space="preserve">: Women who gave birth in </w:t>
      </w:r>
      <w:r w:rsidRPr="00F7056E">
        <w:t>hospital</w:t>
      </w:r>
      <w:r>
        <w:t>, by hospital sector 2006-2015</w:t>
      </w:r>
      <w:r>
        <w:rPr>
          <w:rStyle w:val="FootnoteReference"/>
        </w:rPr>
        <w:footnoteReference w:id="8"/>
      </w:r>
      <w:bookmarkEnd w:id="124"/>
    </w:p>
    <w:p w:rsidR="00D55E39" w:rsidRDefault="00D55E39" w:rsidP="001B00A3">
      <w:pPr>
        <w:keepNext/>
        <w:spacing w:before="0" w:after="0"/>
      </w:pPr>
      <w:r>
        <w:rPr>
          <w:noProof/>
          <w:lang w:eastAsia="en-AU"/>
        </w:rPr>
        <w:drawing>
          <wp:inline distT="0" distB="0" distL="0" distR="0" wp14:anchorId="034475BB" wp14:editId="74653E01">
            <wp:extent cx="5541645" cy="2517775"/>
            <wp:effectExtent l="0" t="0" r="1905" b="0"/>
            <wp:docPr id="685" name="Picture 685" descr="Shows a slight downward trend in the private hospital proportion – where over the years it has shifted from 30 per cent to 27 per cent in 2015. This shows that despite the overall increase in the total number of women giving birth the proportion of private hospital births is showing a decline. This has been attributed to changes in private health insurance." title="Figure 26: Women who gave birth in hospital, by hospital sector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1645" cy="2517775"/>
                    </a:xfrm>
                    <a:prstGeom prst="rect">
                      <a:avLst/>
                    </a:prstGeom>
                    <a:noFill/>
                  </pic:spPr>
                </pic:pic>
              </a:graphicData>
            </a:graphic>
          </wp:inline>
        </w:drawing>
      </w:r>
    </w:p>
    <w:p w:rsidR="00741345" w:rsidRDefault="001C56E1" w:rsidP="00426E94">
      <w:pPr>
        <w:pStyle w:val="Heading1"/>
      </w:pPr>
      <w:bookmarkStart w:id="125" w:name="_Toc521510461"/>
      <w:r>
        <w:t>W</w:t>
      </w:r>
      <w:r w:rsidR="00741345" w:rsidRPr="006A395F">
        <w:t>orkforce projections</w:t>
      </w:r>
      <w:bookmarkEnd w:id="125"/>
    </w:p>
    <w:p w:rsidR="003A53EE" w:rsidRDefault="003A53EE" w:rsidP="002209C4">
      <w:pPr>
        <w:pStyle w:val="Heading2"/>
        <w:spacing w:before="120"/>
      </w:pPr>
      <w:bookmarkStart w:id="126" w:name="_Toc429581524"/>
      <w:bookmarkStart w:id="127" w:name="_Toc521510462"/>
      <w:r w:rsidRPr="00380E28">
        <w:t>Supply</w:t>
      </w:r>
      <w:bookmarkEnd w:id="126"/>
      <w:bookmarkEnd w:id="127"/>
    </w:p>
    <w:p w:rsidR="003A53EE" w:rsidRDefault="003A53EE" w:rsidP="00544360">
      <w:r w:rsidRPr="00AE71AD">
        <w:t>Health professionals who are registered as a</w:t>
      </w:r>
      <w:r w:rsidR="00810827">
        <w:t>n O&amp;G</w:t>
      </w:r>
      <w:r w:rsidR="00642B5E">
        <w:t xml:space="preserve"> </w:t>
      </w:r>
      <w:r w:rsidR="004E3226">
        <w:t>specialist</w:t>
      </w:r>
      <w:r w:rsidR="00642B5E">
        <w:t xml:space="preserve"> </w:t>
      </w:r>
      <w:r w:rsidRPr="00AE71AD">
        <w:t xml:space="preserve">through the Australian Health Practitioner Regulation Agency (AHPRA) have been identified using the NHWDS, which includes registrant data and other characteristics obtained through the voluntary medical workforce survey as shown in the demographic data in </w:t>
      </w:r>
      <w:r w:rsidR="00255592" w:rsidRPr="00AE71AD">
        <w:t xml:space="preserve">the </w:t>
      </w:r>
      <w:r w:rsidRPr="00AE71AD">
        <w:t>section</w:t>
      </w:r>
      <w:r w:rsidR="00255592" w:rsidRPr="00AE71AD">
        <w:t>s above</w:t>
      </w:r>
      <w:r w:rsidRPr="00AE71AD">
        <w:t xml:space="preserve">.  </w:t>
      </w:r>
    </w:p>
    <w:p w:rsidR="003A53EE" w:rsidRDefault="003A53EE" w:rsidP="00544360">
      <w:r w:rsidRPr="00AE71AD">
        <w:lastRenderedPageBreak/>
        <w:t>In this analysis, only those who were registered</w:t>
      </w:r>
      <w:r w:rsidR="00255592" w:rsidRPr="00AE71AD">
        <w:t>/accredited</w:t>
      </w:r>
      <w:r w:rsidRPr="00AE71AD">
        <w:t>, employed clinicians in 201</w:t>
      </w:r>
      <w:r w:rsidR="00F7694E">
        <w:t>6</w:t>
      </w:r>
      <w:r w:rsidRPr="00AE71AD">
        <w:t xml:space="preserve"> are included (i.e. does not include those in the categories of administration, teacher/educator, researcher and ‘others’). Health professionals who are hospital non-specialists (HNS) or specialists-in-training (SIT) with intentions of entering </w:t>
      </w:r>
      <w:r w:rsidR="00171031">
        <w:t>O&amp;G</w:t>
      </w:r>
      <w:r w:rsidR="009F58B0">
        <w:t xml:space="preserve"> </w:t>
      </w:r>
      <w:r w:rsidRPr="00AE71AD">
        <w:t xml:space="preserve">training, or working towards the specialisation, are excluded at this point of modelling. </w:t>
      </w:r>
    </w:p>
    <w:p w:rsidR="006308B9" w:rsidRDefault="006308B9" w:rsidP="00544360">
      <w:r>
        <w:t xml:space="preserve">Please see Appendix </w:t>
      </w:r>
      <w:r w:rsidR="00206AFC">
        <w:t>2</w:t>
      </w:r>
      <w:r>
        <w:t xml:space="preserve"> and </w:t>
      </w:r>
      <w:r w:rsidR="00206AFC">
        <w:t>5</w:t>
      </w:r>
      <w:r>
        <w:t>.</w:t>
      </w:r>
    </w:p>
    <w:p w:rsidR="003A53EE" w:rsidRDefault="003A53EE" w:rsidP="002209C4">
      <w:pPr>
        <w:pStyle w:val="Heading2"/>
        <w:spacing w:before="120"/>
      </w:pPr>
      <w:bookmarkStart w:id="128" w:name="_Toc429581525"/>
      <w:bookmarkStart w:id="129" w:name="_Toc521510463"/>
      <w:r w:rsidRPr="002B3EA4">
        <w:t>Demand</w:t>
      </w:r>
      <w:bookmarkEnd w:id="128"/>
      <w:bookmarkEnd w:id="129"/>
    </w:p>
    <w:p w:rsidR="004F6268" w:rsidRPr="00C556EC" w:rsidRDefault="004F6268" w:rsidP="004F6268">
      <w:r w:rsidRPr="00C556EC">
        <w:t xml:space="preserve">The demand forecasts </w:t>
      </w:r>
      <w:r w:rsidRPr="00476A2C">
        <w:t>use a combination</w:t>
      </w:r>
      <w:r w:rsidRPr="00C556EC">
        <w:t xml:space="preserve"> of Acute Inpatient Hospital </w:t>
      </w:r>
      <w:r>
        <w:t xml:space="preserve">(AIH) </w:t>
      </w:r>
      <w:r w:rsidRPr="00C556EC">
        <w:t xml:space="preserve">and Medicare Benefits Schedule (MBS) data to measure increases/decreases in demand for </w:t>
      </w:r>
      <w:r>
        <w:t>O&amp;G</w:t>
      </w:r>
      <w:r w:rsidRPr="00C556EC">
        <w:t xml:space="preserve"> on a per capita basis. The acute inpatient hospital data used to form the basis of the public component and the MBS data the private component. Projected patient utilisation takes into account population growth and ageing, as well as clinical trends, by projecting </w:t>
      </w:r>
      <w:r>
        <w:t>O&amp;G</w:t>
      </w:r>
      <w:r w:rsidRPr="00C556EC">
        <w:t xml:space="preserve"> MBS services based on patient utilisation rates. The historical data uses the number of services and separations by age of patient captured as a monthly time series and forecasts the resulting estimates multiplied by the estimated residential </w:t>
      </w:r>
      <w:r>
        <w:t xml:space="preserve">female </w:t>
      </w:r>
      <w:r w:rsidRPr="00C556EC">
        <w:t xml:space="preserve">population. </w:t>
      </w:r>
    </w:p>
    <w:p w:rsidR="004F6268" w:rsidRDefault="004F6268" w:rsidP="004F6268">
      <w:r w:rsidRPr="00C556EC">
        <w:t xml:space="preserve">The utilisation rates are examined at the individual age group level and forecast using a series of exponential smoothing models. Forecasts for each individual age group have been generated using the SAS statistical package. Exponential smoothing has been chosen due to its successful use by </w:t>
      </w:r>
      <w:r w:rsidR="0094309A">
        <w:t>the Department</w:t>
      </w:r>
      <w:r w:rsidRPr="00C556EC">
        <w:t xml:space="preserve"> in forecasting MBS services for financial modelling purposes.</w:t>
      </w:r>
      <w:r w:rsidRPr="00AE71AD">
        <w:t xml:space="preserve"> </w:t>
      </w:r>
    </w:p>
    <w:p w:rsidR="00833FBD" w:rsidRPr="00833FBD" w:rsidRDefault="003A53EE" w:rsidP="00426E94">
      <w:pPr>
        <w:pStyle w:val="Heading1"/>
      </w:pPr>
      <w:bookmarkStart w:id="130" w:name="_Toc429581526"/>
      <w:bookmarkStart w:id="131" w:name="_Toc521510464"/>
      <w:r w:rsidRPr="006A395F">
        <w:t>Projections</w:t>
      </w:r>
      <w:bookmarkEnd w:id="130"/>
      <w:bookmarkEnd w:id="131"/>
    </w:p>
    <w:p w:rsidR="004F6268" w:rsidRDefault="004E4879" w:rsidP="007442D7">
      <w:r>
        <w:t xml:space="preserve">A number </w:t>
      </w:r>
      <w:r w:rsidR="009C18B7">
        <w:t>of scenarios are presented</w:t>
      </w:r>
      <w:r>
        <w:t xml:space="preserve"> which use all the information outlined throughout the report and make assumptions based on historical trends of utilisation and behaviours of the O&amp;G specialists in terms of hours worked and working patterns.</w:t>
      </w:r>
    </w:p>
    <w:p w:rsidR="00184CBE" w:rsidRDefault="004F6268" w:rsidP="00184CBE">
      <w:r w:rsidRPr="00380E28">
        <w:t>The</w:t>
      </w:r>
      <w:r w:rsidRPr="00AE71AD">
        <w:t xml:space="preserve"> initial year for the projections is 201</w:t>
      </w:r>
      <w:r>
        <w:t>6</w:t>
      </w:r>
      <w:r w:rsidRPr="00AE71AD">
        <w:t>, and</w:t>
      </w:r>
      <w:r>
        <w:t xml:space="preserve"> it is assumed</w:t>
      </w:r>
      <w:r w:rsidRPr="00AE71AD">
        <w:t xml:space="preserve"> that supply and demand</w:t>
      </w:r>
      <w:r>
        <w:t xml:space="preserve"> is</w:t>
      </w:r>
      <w:r w:rsidRPr="00AE71AD">
        <w:t xml:space="preserve"> in balance</w:t>
      </w:r>
      <w:r>
        <w:t xml:space="preserve"> </w:t>
      </w:r>
      <w:r w:rsidRPr="00AE71AD">
        <w:t xml:space="preserve">in this year. </w:t>
      </w:r>
      <w:r w:rsidR="004E4879">
        <w:t xml:space="preserve">The results show the projection for 2018, 2020, 2025 and 2030 and the gap between supply and demand. </w:t>
      </w:r>
      <w:r w:rsidRPr="00AE71AD">
        <w:t xml:space="preserve">The demand rate for </w:t>
      </w:r>
      <w:r w:rsidR="004E4879">
        <w:t>O&amp;G</w:t>
      </w:r>
      <w:r w:rsidRPr="00AE71AD">
        <w:t xml:space="preserve"> is estimated to grow </w:t>
      </w:r>
      <w:r w:rsidRPr="006D268D">
        <w:t xml:space="preserve">at </w:t>
      </w:r>
      <w:r w:rsidR="004E4879" w:rsidRPr="00381F96">
        <w:rPr>
          <w:b/>
        </w:rPr>
        <w:t>1.9</w:t>
      </w:r>
      <w:r w:rsidRPr="00381F96">
        <w:rPr>
          <w:b/>
        </w:rPr>
        <w:t xml:space="preserve"> per</w:t>
      </w:r>
      <w:r w:rsidR="004E4879" w:rsidRPr="00381F96">
        <w:rPr>
          <w:b/>
        </w:rPr>
        <w:t xml:space="preserve"> </w:t>
      </w:r>
      <w:r w:rsidRPr="00381F96">
        <w:rPr>
          <w:b/>
        </w:rPr>
        <w:t>cent</w:t>
      </w:r>
      <w:r w:rsidRPr="00AE71AD">
        <w:t>.</w:t>
      </w:r>
      <w:r w:rsidRPr="00A92FD3">
        <w:t xml:space="preserve"> </w:t>
      </w:r>
      <w:r w:rsidRPr="00AE71AD">
        <w:t xml:space="preserve">The inflow of </w:t>
      </w:r>
      <w:r>
        <w:t>n</w:t>
      </w:r>
      <w:r w:rsidRPr="00AE71AD">
        <w:t xml:space="preserve">ew </w:t>
      </w:r>
      <w:r>
        <w:t>f</w:t>
      </w:r>
      <w:r w:rsidRPr="00AE71AD">
        <w:t xml:space="preserve">ellows uses the </w:t>
      </w:r>
      <w:r>
        <w:t>results from the</w:t>
      </w:r>
      <w:r w:rsidRPr="00AE71AD">
        <w:t xml:space="preserve"> trainee pipeline, while the </w:t>
      </w:r>
      <w:r>
        <w:t>IMG</w:t>
      </w:r>
      <w:r w:rsidRPr="00AE71AD">
        <w:t xml:space="preserve"> new </w:t>
      </w:r>
      <w:r>
        <w:t>f</w:t>
      </w:r>
      <w:r w:rsidRPr="00AE71AD">
        <w:t>ellows are assumed to remain static o</w:t>
      </w:r>
      <w:r>
        <w:t>ver the same time period.</w:t>
      </w:r>
      <w:r w:rsidR="00184CBE">
        <w:t xml:space="preserve"> The pipelining analysis for the O&amp;G workforce can be </w:t>
      </w:r>
      <w:r w:rsidR="00184CBE" w:rsidRPr="0043671E">
        <w:t xml:space="preserve">found </w:t>
      </w:r>
      <w:r w:rsidR="00184CBE">
        <w:t>in Table 14.</w:t>
      </w:r>
    </w:p>
    <w:p w:rsidR="004E4879" w:rsidRPr="00E03620" w:rsidRDefault="004E4879" w:rsidP="004E4879">
      <w:pPr>
        <w:pStyle w:val="Heading2"/>
      </w:pPr>
      <w:bookmarkStart w:id="132" w:name="_Toc480464742"/>
      <w:bookmarkStart w:id="133" w:name="_Toc521510465"/>
      <w:r w:rsidRPr="00E03620">
        <w:t>Sensitivity</w:t>
      </w:r>
      <w:bookmarkEnd w:id="132"/>
      <w:bookmarkEnd w:id="133"/>
      <w:r w:rsidRPr="00E03620">
        <w:t xml:space="preserve"> </w:t>
      </w:r>
    </w:p>
    <w:p w:rsidR="004E4879" w:rsidRDefault="004E4879" w:rsidP="004E4879">
      <w:r w:rsidRPr="007442D7">
        <w:t>The</w:t>
      </w:r>
      <w:r>
        <w:t xml:space="preserve"> results presented are sensitive to changing assumptions. In particular towards changes in th</w:t>
      </w:r>
      <w:r w:rsidR="00184CBE">
        <w:t xml:space="preserve">e exit rate, </w:t>
      </w:r>
      <w:r>
        <w:t>changes to the number of new college fellows</w:t>
      </w:r>
      <w:r w:rsidR="00184CBE">
        <w:t xml:space="preserve"> and the hours worked</w:t>
      </w:r>
      <w:r>
        <w:t xml:space="preserve">. </w:t>
      </w:r>
    </w:p>
    <w:p w:rsidR="00583EC4" w:rsidRDefault="00583EC4" w:rsidP="002A3F1C">
      <w:pPr>
        <w:pStyle w:val="Heading2"/>
      </w:pPr>
      <w:bookmarkStart w:id="134" w:name="_Toc521510466"/>
      <w:r w:rsidRPr="00583EC4">
        <w:t>Interpretation of results for workforce position</w:t>
      </w:r>
      <w:bookmarkEnd w:id="134"/>
    </w:p>
    <w:p w:rsidR="00583EC4" w:rsidRDefault="00330C14" w:rsidP="007442D7">
      <w:r>
        <w:t>It is acknowledged that</w:t>
      </w:r>
      <w:r w:rsidR="00583EC4">
        <w:t xml:space="preserve"> projections and workforce supply and demand modelling are </w:t>
      </w:r>
      <w:r w:rsidR="004E4879">
        <w:t xml:space="preserve">an inexact </w:t>
      </w:r>
      <w:r w:rsidR="00583EC4">
        <w:t>science and rely on various assumptions holding true,</w:t>
      </w:r>
      <w:r w:rsidR="0040431A">
        <w:t xml:space="preserve"> </w:t>
      </w:r>
      <w:r>
        <w:t xml:space="preserve">therefore </w:t>
      </w:r>
      <w:r w:rsidR="0040431A">
        <w:t>it is recommended that</w:t>
      </w:r>
      <w:r w:rsidR="00583EC4">
        <w:t xml:space="preserve"> the final workforce position be interpreted with an error margin of </w:t>
      </w:r>
      <w:r w:rsidR="004F5A6C">
        <w:t>±</w:t>
      </w:r>
      <w:r w:rsidR="00583EC4">
        <w:t xml:space="preserve"> </w:t>
      </w:r>
      <w:r w:rsidR="004E4879">
        <w:t>three per cent</w:t>
      </w:r>
      <w:r w:rsidR="00583EC4">
        <w:t>. Th</w:t>
      </w:r>
      <w:r w:rsidR="0040431A">
        <w:t>at</w:t>
      </w:r>
      <w:r w:rsidR="00583EC4">
        <w:t xml:space="preserve"> is, if the workforce is projected to be in under or oversupply to the magnitude of </w:t>
      </w:r>
      <w:r w:rsidR="00184CBE">
        <w:t>three</w:t>
      </w:r>
      <w:r w:rsidR="00B555FC">
        <w:t xml:space="preserve"> per</w:t>
      </w:r>
      <w:r w:rsidR="00C65FC7">
        <w:t xml:space="preserve"> </w:t>
      </w:r>
      <w:r w:rsidR="00B555FC">
        <w:t>cent</w:t>
      </w:r>
      <w:r w:rsidR="00583EC4">
        <w:t xml:space="preserve"> or less</w:t>
      </w:r>
      <w:r w:rsidR="0040431A">
        <w:t>,</w:t>
      </w:r>
      <w:r w:rsidR="00583EC4">
        <w:t xml:space="preserve"> then the workforce is considered to be in balance. </w:t>
      </w:r>
    </w:p>
    <w:p w:rsidR="007F61ED" w:rsidRDefault="007F61ED" w:rsidP="007F61ED">
      <w:pPr>
        <w:pStyle w:val="Heading2"/>
      </w:pPr>
      <w:bookmarkStart w:id="135" w:name="_Toc521510467"/>
      <w:r>
        <w:t>Scenarios</w:t>
      </w:r>
      <w:bookmarkEnd w:id="135"/>
      <w:r>
        <w:t xml:space="preserve"> </w:t>
      </w:r>
    </w:p>
    <w:p w:rsidR="00184CBE" w:rsidRDefault="00184CBE" w:rsidP="00184CBE">
      <w:r>
        <w:t>The following projections are</w:t>
      </w:r>
      <w:r w:rsidRPr="00B30D1E">
        <w:t xml:space="preserve"> based on</w:t>
      </w:r>
      <w:r>
        <w:t xml:space="preserve"> total specialist hours which </w:t>
      </w:r>
      <w:r w:rsidRPr="0040431A">
        <w:t>incorporate</w:t>
      </w:r>
      <w:r>
        <w:t xml:space="preserve"> </w:t>
      </w:r>
      <w:r w:rsidRPr="00A92FD3">
        <w:t xml:space="preserve">both clinical and </w:t>
      </w:r>
      <w:r>
        <w:t>non-clinical (clinical support)</w:t>
      </w:r>
      <w:r w:rsidRPr="00A92FD3">
        <w:t xml:space="preserve"> hours</w:t>
      </w:r>
      <w:r>
        <w:t xml:space="preserve"> (D) worked in the O&amp;G specialty. </w:t>
      </w:r>
      <w:r w:rsidRPr="00A92FD3">
        <w:t xml:space="preserve">Modelling has been historically conducted using </w:t>
      </w:r>
      <w:r>
        <w:t xml:space="preserve">total </w:t>
      </w:r>
      <w:r w:rsidRPr="00A92FD3">
        <w:t xml:space="preserve">clinical hours; however due to feedback from stakeholders and improvements in data quality, total specialist hours are now used. </w:t>
      </w:r>
    </w:p>
    <w:p w:rsidR="00332BF9" w:rsidRDefault="002A3F1C" w:rsidP="00090A1A">
      <w:pPr>
        <w:pStyle w:val="Heading3"/>
      </w:pPr>
      <w:r>
        <w:lastRenderedPageBreak/>
        <w:t>Scenario 1: Dynamic intake scenario</w:t>
      </w:r>
    </w:p>
    <w:p w:rsidR="00381F96" w:rsidRDefault="00381F96" w:rsidP="00381F96">
      <w:r>
        <w:t xml:space="preserve">The projections in </w:t>
      </w:r>
      <w:r>
        <w:fldChar w:fldCharType="begin"/>
      </w:r>
      <w:r>
        <w:instrText xml:space="preserve"> REF _Ref443569909 \h </w:instrText>
      </w:r>
      <w:r>
        <w:fldChar w:fldCharType="separate"/>
      </w:r>
      <w:r w:rsidR="008C7087" w:rsidRPr="00090A1A">
        <w:t xml:space="preserve">Table </w:t>
      </w:r>
      <w:r w:rsidR="008C7087">
        <w:rPr>
          <w:noProof/>
        </w:rPr>
        <w:t>13</w:t>
      </w:r>
      <w:r>
        <w:fldChar w:fldCharType="end"/>
      </w:r>
      <w:r>
        <w:t xml:space="preserve"> indicate the workforce would be largely in balance throughout the projection period</w:t>
      </w:r>
      <w:r w:rsidRPr="00A92FD3">
        <w:t>.</w:t>
      </w:r>
      <w:r>
        <w:t xml:space="preserve"> By 2030, the slight oversupply accumulates to </w:t>
      </w:r>
      <w:r w:rsidRPr="00FC59C7">
        <w:t xml:space="preserve">approximately </w:t>
      </w:r>
      <w:r>
        <w:t>2.1 per cent of the required number of O&amp;G specialists.</w:t>
      </w:r>
    </w:p>
    <w:p w:rsidR="0018481F" w:rsidRPr="00090A1A" w:rsidRDefault="0018481F" w:rsidP="00090A1A">
      <w:pPr>
        <w:pStyle w:val="Caption"/>
      </w:pPr>
      <w:bookmarkStart w:id="136" w:name="_Ref443569909"/>
      <w:bookmarkStart w:id="137" w:name="_Toc515887834"/>
      <w:r w:rsidRPr="00090A1A">
        <w:t xml:space="preserve">Table </w:t>
      </w:r>
      <w:r w:rsidR="008F108A" w:rsidRPr="00090A1A">
        <w:fldChar w:fldCharType="begin"/>
      </w:r>
      <w:r w:rsidR="00637C08" w:rsidRPr="00090A1A">
        <w:instrText xml:space="preserve"> SEQ Table \* ARABIC </w:instrText>
      </w:r>
      <w:r w:rsidR="008F108A" w:rsidRPr="00090A1A">
        <w:fldChar w:fldCharType="separate"/>
      </w:r>
      <w:r w:rsidR="008C7087">
        <w:rPr>
          <w:noProof/>
        </w:rPr>
        <w:t>13</w:t>
      </w:r>
      <w:r w:rsidR="008F108A" w:rsidRPr="00090A1A">
        <w:fldChar w:fldCharType="end"/>
      </w:r>
      <w:bookmarkEnd w:id="136"/>
      <w:r w:rsidR="00090A1A" w:rsidRPr="00090A1A">
        <w:t>:</w:t>
      </w:r>
      <w:r w:rsidRPr="00090A1A">
        <w:t xml:space="preserve"> </w:t>
      </w:r>
      <w:r w:rsidR="00090A1A" w:rsidRPr="00090A1A">
        <w:t>Dynamic intake scenario 1</w:t>
      </w:r>
      <w:bookmarkEnd w:id="137"/>
    </w:p>
    <w:tbl>
      <w:tblPr>
        <w:tblStyle w:val="LightShading-Accent1"/>
        <w:tblW w:w="4907" w:type="pct"/>
        <w:tblInd w:w="108" w:type="dxa"/>
        <w:tblLook w:val="04A0" w:firstRow="1" w:lastRow="0" w:firstColumn="1" w:lastColumn="0" w:noHBand="0" w:noVBand="1"/>
        <w:tblCaption w:val="Table 13: Dynamic intake scenario 1"/>
        <w:tblDescription w:val="This table presents the dynamic intake scenario."/>
      </w:tblPr>
      <w:tblGrid>
        <w:gridCol w:w="2218"/>
        <w:gridCol w:w="1767"/>
        <w:gridCol w:w="1194"/>
        <w:gridCol w:w="1185"/>
        <w:gridCol w:w="1391"/>
        <w:gridCol w:w="1315"/>
      </w:tblGrid>
      <w:tr w:rsidR="00184CBE" w:rsidRPr="00507043" w:rsidTr="00F56A31">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bottom w:val="single" w:sz="4" w:space="0" w:color="auto"/>
            </w:tcBorders>
            <w:shd w:val="clear" w:color="auto" w:fill="1F497D" w:themeFill="text2"/>
            <w:noWrap/>
            <w:hideMark/>
          </w:tcPr>
          <w:p w:rsidR="008130C2" w:rsidRPr="00507043" w:rsidRDefault="008130C2" w:rsidP="008130C2">
            <w:pPr>
              <w:spacing w:before="0" w:after="0"/>
              <w:jc w:val="left"/>
              <w:rPr>
                <w:color w:val="FFFFFF" w:themeColor="background1"/>
                <w:sz w:val="20"/>
                <w:szCs w:val="20"/>
                <w:lang w:eastAsia="en-AU"/>
              </w:rPr>
            </w:pPr>
            <w:r w:rsidRPr="00507043">
              <w:rPr>
                <w:color w:val="FFFFFF" w:themeColor="background1"/>
                <w:sz w:val="20"/>
                <w:szCs w:val="20"/>
                <w:lang w:eastAsia="en-AU"/>
              </w:rPr>
              <w:t>Headcount</w:t>
            </w:r>
          </w:p>
        </w:tc>
        <w:tc>
          <w:tcPr>
            <w:tcW w:w="974" w:type="pct"/>
            <w:tcBorders>
              <w:top w:val="single" w:sz="4" w:space="0" w:color="auto"/>
              <w:bottom w:val="single" w:sz="4" w:space="0" w:color="auto"/>
            </w:tcBorders>
            <w:shd w:val="clear" w:color="auto" w:fill="1F497D" w:themeFill="text2"/>
            <w:noWrap/>
            <w:hideMark/>
          </w:tcPr>
          <w:p w:rsidR="008130C2" w:rsidRPr="00507043" w:rsidRDefault="008130C2" w:rsidP="008130C2">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2016</w:t>
            </w:r>
          </w:p>
        </w:tc>
        <w:tc>
          <w:tcPr>
            <w:tcW w:w="658" w:type="pct"/>
            <w:tcBorders>
              <w:top w:val="single" w:sz="4" w:space="0" w:color="auto"/>
              <w:bottom w:val="single" w:sz="4" w:space="0" w:color="auto"/>
            </w:tcBorders>
            <w:shd w:val="clear" w:color="auto" w:fill="1F497D" w:themeFill="text2"/>
            <w:noWrap/>
            <w:hideMark/>
          </w:tcPr>
          <w:p w:rsidR="008130C2" w:rsidRPr="00507043" w:rsidRDefault="008130C2" w:rsidP="008130C2">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2018</w:t>
            </w:r>
          </w:p>
        </w:tc>
        <w:tc>
          <w:tcPr>
            <w:tcW w:w="653" w:type="pct"/>
            <w:tcBorders>
              <w:top w:val="single" w:sz="4" w:space="0" w:color="auto"/>
              <w:bottom w:val="single" w:sz="4" w:space="0" w:color="auto"/>
            </w:tcBorders>
            <w:shd w:val="clear" w:color="auto" w:fill="1F497D" w:themeFill="text2"/>
            <w:noWrap/>
            <w:hideMark/>
          </w:tcPr>
          <w:p w:rsidR="008130C2" w:rsidRPr="00507043" w:rsidRDefault="008130C2" w:rsidP="008130C2">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2020</w:t>
            </w:r>
          </w:p>
        </w:tc>
        <w:tc>
          <w:tcPr>
            <w:tcW w:w="767" w:type="pct"/>
            <w:tcBorders>
              <w:top w:val="single" w:sz="4" w:space="0" w:color="auto"/>
              <w:bottom w:val="single" w:sz="4" w:space="0" w:color="auto"/>
            </w:tcBorders>
            <w:shd w:val="clear" w:color="auto" w:fill="1F497D" w:themeFill="text2"/>
            <w:noWrap/>
            <w:hideMark/>
          </w:tcPr>
          <w:p w:rsidR="008130C2" w:rsidRPr="00507043" w:rsidRDefault="004F6268" w:rsidP="008130C2">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Pr>
                <w:color w:val="FFFFFF" w:themeColor="background1"/>
                <w:sz w:val="20"/>
                <w:szCs w:val="20"/>
                <w:lang w:eastAsia="en-AU"/>
              </w:rPr>
              <w:t>2025</w:t>
            </w:r>
          </w:p>
        </w:tc>
        <w:tc>
          <w:tcPr>
            <w:tcW w:w="725" w:type="pct"/>
            <w:tcBorders>
              <w:top w:val="single" w:sz="4" w:space="0" w:color="auto"/>
              <w:bottom w:val="single" w:sz="4" w:space="0" w:color="auto"/>
              <w:right w:val="single" w:sz="4" w:space="0" w:color="auto"/>
            </w:tcBorders>
            <w:shd w:val="clear" w:color="auto" w:fill="1F497D" w:themeFill="text2"/>
            <w:noWrap/>
            <w:hideMark/>
          </w:tcPr>
          <w:p w:rsidR="008130C2" w:rsidRPr="00507043" w:rsidRDefault="008130C2" w:rsidP="008130C2">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2030</w:t>
            </w:r>
          </w:p>
        </w:tc>
      </w:tr>
      <w:tr w:rsidR="00921C68"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tcBorders>
            <w:noWrap/>
            <w:hideMark/>
          </w:tcPr>
          <w:p w:rsidR="00921C68" w:rsidRPr="001B00A3" w:rsidRDefault="00921C68" w:rsidP="008130C2">
            <w:pPr>
              <w:spacing w:before="0" w:after="0"/>
              <w:jc w:val="left"/>
              <w:rPr>
                <w:b w:val="0"/>
                <w:color w:val="auto"/>
                <w:sz w:val="20"/>
                <w:szCs w:val="20"/>
                <w:lang w:eastAsia="en-AU"/>
              </w:rPr>
            </w:pPr>
            <w:r w:rsidRPr="001B00A3">
              <w:rPr>
                <w:b w:val="0"/>
                <w:color w:val="auto"/>
                <w:sz w:val="20"/>
                <w:szCs w:val="20"/>
                <w:lang w:eastAsia="en-AU"/>
              </w:rPr>
              <w:t>Supply</w:t>
            </w:r>
          </w:p>
        </w:tc>
        <w:tc>
          <w:tcPr>
            <w:tcW w:w="974" w:type="pct"/>
            <w:tcBorders>
              <w:top w:val="single" w:sz="4" w:space="0" w:color="auto"/>
            </w:tcBorders>
            <w:noWrap/>
            <w:vAlign w:val="center"/>
            <w:hideMark/>
          </w:tcPr>
          <w:p w:rsidR="00921C68" w:rsidRPr="00921C68" w:rsidRDefault="00921C68" w:rsidP="00184CBE">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1,640 </w:t>
            </w:r>
          </w:p>
        </w:tc>
        <w:tc>
          <w:tcPr>
            <w:tcW w:w="658" w:type="pct"/>
            <w:tcBorders>
              <w:top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1,726 </w:t>
            </w:r>
          </w:p>
        </w:tc>
        <w:tc>
          <w:tcPr>
            <w:tcW w:w="653" w:type="pct"/>
            <w:tcBorders>
              <w:top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1,815 </w:t>
            </w:r>
          </w:p>
        </w:tc>
        <w:tc>
          <w:tcPr>
            <w:tcW w:w="767" w:type="pct"/>
            <w:tcBorders>
              <w:top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2,055 </w:t>
            </w:r>
          </w:p>
        </w:tc>
        <w:tc>
          <w:tcPr>
            <w:tcW w:w="725" w:type="pct"/>
            <w:tcBorders>
              <w:top w:val="single" w:sz="4" w:space="0" w:color="auto"/>
              <w:right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2,246 </w:t>
            </w:r>
          </w:p>
        </w:tc>
      </w:tr>
      <w:tr w:rsidR="00921C68"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tcPr>
          <w:p w:rsidR="00921C68" w:rsidRPr="001B00A3" w:rsidRDefault="00921C68" w:rsidP="008130C2">
            <w:pPr>
              <w:spacing w:before="0" w:after="0"/>
              <w:jc w:val="left"/>
              <w:rPr>
                <w:b w:val="0"/>
                <w:color w:val="auto"/>
                <w:sz w:val="20"/>
                <w:szCs w:val="20"/>
                <w:lang w:eastAsia="en-AU"/>
              </w:rPr>
            </w:pPr>
            <w:r w:rsidRPr="001B00A3">
              <w:rPr>
                <w:b w:val="0"/>
                <w:color w:val="auto"/>
                <w:sz w:val="20"/>
                <w:szCs w:val="20"/>
                <w:lang w:eastAsia="en-AU"/>
              </w:rPr>
              <w:t>Supply (FTE)</w:t>
            </w:r>
          </w:p>
        </w:tc>
        <w:tc>
          <w:tcPr>
            <w:tcW w:w="974" w:type="pct"/>
            <w:noWrap/>
            <w:vAlign w:val="center"/>
          </w:tcPr>
          <w:p w:rsidR="00921C68" w:rsidRPr="00921C68" w:rsidRDefault="00921C68" w:rsidP="00184CBE">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1,860 </w:t>
            </w:r>
          </w:p>
        </w:tc>
        <w:tc>
          <w:tcPr>
            <w:tcW w:w="658"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1,938 </w:t>
            </w:r>
          </w:p>
        </w:tc>
        <w:tc>
          <w:tcPr>
            <w:tcW w:w="653"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2,018 </w:t>
            </w:r>
          </w:p>
        </w:tc>
        <w:tc>
          <w:tcPr>
            <w:tcW w:w="767"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2,230 </w:t>
            </w:r>
          </w:p>
        </w:tc>
        <w:tc>
          <w:tcPr>
            <w:tcW w:w="725" w:type="pct"/>
            <w:tcBorders>
              <w:right w:val="single" w:sz="4" w:space="0" w:color="auto"/>
            </w:tcBorders>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2,405 </w:t>
            </w:r>
          </w:p>
        </w:tc>
      </w:tr>
      <w:tr w:rsidR="00921C68" w:rsidRPr="00C64F6E"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921C68" w:rsidRPr="003B341C" w:rsidRDefault="00921C68" w:rsidP="003B341C">
            <w:pPr>
              <w:spacing w:before="0" w:after="0"/>
              <w:rPr>
                <w:b w:val="0"/>
                <w:color w:val="000000"/>
                <w:sz w:val="20"/>
                <w:szCs w:val="20"/>
              </w:rPr>
            </w:pPr>
            <w:r w:rsidRPr="003B341C">
              <w:rPr>
                <w:b w:val="0"/>
                <w:color w:val="000000"/>
                <w:sz w:val="20"/>
                <w:szCs w:val="20"/>
              </w:rPr>
              <w:t>New fellows</w:t>
            </w:r>
          </w:p>
        </w:tc>
        <w:tc>
          <w:tcPr>
            <w:tcW w:w="974" w:type="pct"/>
            <w:noWrap/>
            <w:vAlign w:val="center"/>
          </w:tcPr>
          <w:p w:rsidR="00921C68" w:rsidRPr="00921C68" w:rsidRDefault="00921C68" w:rsidP="00184CBE">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921C68">
              <w:rPr>
                <w:rFonts w:cs="Arial"/>
                <w:color w:val="auto"/>
                <w:sz w:val="20"/>
                <w:szCs w:val="20"/>
              </w:rPr>
              <w:t>73</w:t>
            </w:r>
          </w:p>
        </w:tc>
        <w:tc>
          <w:tcPr>
            <w:tcW w:w="658"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921C68">
              <w:rPr>
                <w:rFonts w:cs="Arial"/>
                <w:color w:val="auto"/>
                <w:sz w:val="20"/>
                <w:szCs w:val="20"/>
              </w:rPr>
              <w:t>77</w:t>
            </w:r>
          </w:p>
        </w:tc>
        <w:tc>
          <w:tcPr>
            <w:tcW w:w="653"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921C68">
              <w:rPr>
                <w:rFonts w:cs="Arial"/>
                <w:color w:val="auto"/>
                <w:sz w:val="20"/>
                <w:szCs w:val="20"/>
              </w:rPr>
              <w:t>79</w:t>
            </w:r>
          </w:p>
        </w:tc>
        <w:tc>
          <w:tcPr>
            <w:tcW w:w="767"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921C68">
              <w:rPr>
                <w:rFonts w:cs="Arial"/>
                <w:color w:val="auto"/>
                <w:sz w:val="20"/>
                <w:szCs w:val="20"/>
              </w:rPr>
              <w:t>81</w:t>
            </w:r>
          </w:p>
        </w:tc>
        <w:tc>
          <w:tcPr>
            <w:tcW w:w="725" w:type="pct"/>
            <w:tcBorders>
              <w:right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921C68">
              <w:rPr>
                <w:rFonts w:cs="Arial"/>
                <w:color w:val="auto"/>
                <w:sz w:val="20"/>
                <w:szCs w:val="20"/>
              </w:rPr>
              <w:t>83</w:t>
            </w:r>
          </w:p>
        </w:tc>
      </w:tr>
      <w:tr w:rsidR="00921C68"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921C68" w:rsidRPr="001B00A3" w:rsidRDefault="00921C68" w:rsidP="008130C2">
            <w:pPr>
              <w:spacing w:before="0" w:after="0"/>
              <w:jc w:val="left"/>
              <w:rPr>
                <w:b w:val="0"/>
                <w:i/>
                <w:iCs/>
                <w:color w:val="auto"/>
                <w:sz w:val="20"/>
                <w:szCs w:val="20"/>
                <w:lang w:eastAsia="en-AU"/>
              </w:rPr>
            </w:pPr>
            <w:r w:rsidRPr="001B00A3">
              <w:rPr>
                <w:b w:val="0"/>
                <w:i/>
                <w:iCs/>
                <w:color w:val="auto"/>
                <w:sz w:val="20"/>
                <w:szCs w:val="20"/>
                <w:lang w:eastAsia="en-AU"/>
              </w:rPr>
              <w:t>IMGS new fellows</w:t>
            </w:r>
          </w:p>
        </w:tc>
        <w:tc>
          <w:tcPr>
            <w:tcW w:w="974" w:type="pct"/>
            <w:noWrap/>
            <w:vAlign w:val="center"/>
          </w:tcPr>
          <w:p w:rsidR="00921C68" w:rsidRPr="00921C68" w:rsidRDefault="00921C68" w:rsidP="00184CBE">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921C68">
              <w:rPr>
                <w:rFonts w:cs="Arial"/>
                <w:iCs/>
                <w:color w:val="auto"/>
                <w:sz w:val="20"/>
                <w:szCs w:val="20"/>
              </w:rPr>
              <w:t>24</w:t>
            </w:r>
          </w:p>
        </w:tc>
        <w:tc>
          <w:tcPr>
            <w:tcW w:w="658"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921C68">
              <w:rPr>
                <w:rFonts w:cs="Arial"/>
                <w:iCs/>
                <w:color w:val="auto"/>
                <w:sz w:val="20"/>
                <w:szCs w:val="20"/>
              </w:rPr>
              <w:t>14</w:t>
            </w:r>
          </w:p>
        </w:tc>
        <w:tc>
          <w:tcPr>
            <w:tcW w:w="653"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921C68">
              <w:rPr>
                <w:rFonts w:cs="Arial"/>
                <w:iCs/>
                <w:color w:val="auto"/>
                <w:sz w:val="20"/>
                <w:szCs w:val="20"/>
              </w:rPr>
              <w:t>28</w:t>
            </w:r>
          </w:p>
        </w:tc>
        <w:tc>
          <w:tcPr>
            <w:tcW w:w="767"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921C68">
              <w:rPr>
                <w:rFonts w:cs="Arial"/>
                <w:iCs/>
                <w:color w:val="auto"/>
                <w:sz w:val="20"/>
                <w:szCs w:val="20"/>
              </w:rPr>
              <w:t>28</w:t>
            </w:r>
          </w:p>
        </w:tc>
        <w:tc>
          <w:tcPr>
            <w:tcW w:w="725" w:type="pct"/>
            <w:tcBorders>
              <w:right w:val="single" w:sz="4" w:space="0" w:color="auto"/>
            </w:tcBorders>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921C68">
              <w:rPr>
                <w:rFonts w:cs="Arial"/>
                <w:iCs/>
                <w:color w:val="auto"/>
                <w:sz w:val="20"/>
                <w:szCs w:val="20"/>
              </w:rPr>
              <w:t>28</w:t>
            </w:r>
          </w:p>
        </w:tc>
      </w:tr>
      <w:tr w:rsidR="00921C68"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921C68" w:rsidRPr="001B00A3" w:rsidRDefault="00921C68" w:rsidP="008130C2">
            <w:pPr>
              <w:spacing w:before="0" w:after="0"/>
              <w:jc w:val="left"/>
              <w:rPr>
                <w:b w:val="0"/>
                <w:i/>
                <w:iCs/>
                <w:color w:val="auto"/>
                <w:sz w:val="20"/>
                <w:szCs w:val="20"/>
                <w:lang w:eastAsia="en-AU"/>
              </w:rPr>
            </w:pPr>
            <w:r w:rsidRPr="001B00A3">
              <w:rPr>
                <w:b w:val="0"/>
                <w:i/>
                <w:iCs/>
                <w:color w:val="auto"/>
                <w:sz w:val="20"/>
                <w:szCs w:val="20"/>
                <w:lang w:eastAsia="en-AU"/>
              </w:rPr>
              <w:t>Exits (% of supply)</w:t>
            </w:r>
          </w:p>
        </w:tc>
        <w:tc>
          <w:tcPr>
            <w:tcW w:w="974"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921C68">
              <w:rPr>
                <w:rFonts w:cs="Arial"/>
                <w:i/>
                <w:iCs/>
                <w:color w:val="auto"/>
                <w:sz w:val="20"/>
                <w:szCs w:val="20"/>
              </w:rPr>
              <w:t>3.18%</w:t>
            </w:r>
          </w:p>
        </w:tc>
        <w:tc>
          <w:tcPr>
            <w:tcW w:w="658"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921C68">
              <w:rPr>
                <w:rFonts w:cs="Arial"/>
                <w:i/>
                <w:iCs/>
                <w:color w:val="auto"/>
                <w:sz w:val="20"/>
                <w:szCs w:val="20"/>
              </w:rPr>
              <w:t>3.12%</w:t>
            </w:r>
          </w:p>
        </w:tc>
        <w:tc>
          <w:tcPr>
            <w:tcW w:w="653"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921C68">
              <w:rPr>
                <w:rFonts w:cs="Arial"/>
                <w:i/>
                <w:iCs/>
                <w:color w:val="auto"/>
                <w:sz w:val="20"/>
                <w:szCs w:val="20"/>
              </w:rPr>
              <w:t>3.16%</w:t>
            </w:r>
          </w:p>
        </w:tc>
        <w:tc>
          <w:tcPr>
            <w:tcW w:w="767" w:type="pct"/>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921C68">
              <w:rPr>
                <w:rFonts w:cs="Arial"/>
                <w:i/>
                <w:iCs/>
                <w:color w:val="auto"/>
                <w:sz w:val="20"/>
                <w:szCs w:val="20"/>
              </w:rPr>
              <w:t>3.19%</w:t>
            </w:r>
          </w:p>
        </w:tc>
        <w:tc>
          <w:tcPr>
            <w:tcW w:w="725" w:type="pct"/>
            <w:tcBorders>
              <w:right w:val="single" w:sz="4" w:space="0" w:color="auto"/>
            </w:tcBorders>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921C68">
              <w:rPr>
                <w:rFonts w:cs="Arial"/>
                <w:i/>
                <w:iCs/>
                <w:color w:val="auto"/>
                <w:sz w:val="20"/>
                <w:szCs w:val="20"/>
              </w:rPr>
              <w:t>3.40%</w:t>
            </w:r>
          </w:p>
        </w:tc>
      </w:tr>
      <w:tr w:rsidR="00921C68"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921C68" w:rsidRPr="001B00A3" w:rsidRDefault="00921C68" w:rsidP="008130C2">
            <w:pPr>
              <w:spacing w:before="0" w:after="0"/>
              <w:jc w:val="left"/>
              <w:rPr>
                <w:b w:val="0"/>
                <w:color w:val="auto"/>
                <w:sz w:val="20"/>
                <w:szCs w:val="20"/>
                <w:lang w:eastAsia="en-AU"/>
              </w:rPr>
            </w:pPr>
            <w:r w:rsidRPr="001B00A3">
              <w:rPr>
                <w:b w:val="0"/>
                <w:color w:val="auto"/>
                <w:sz w:val="20"/>
                <w:szCs w:val="20"/>
                <w:lang w:eastAsia="en-AU"/>
              </w:rPr>
              <w:t>Demand</w:t>
            </w:r>
          </w:p>
        </w:tc>
        <w:tc>
          <w:tcPr>
            <w:tcW w:w="974"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1,640 </w:t>
            </w:r>
          </w:p>
        </w:tc>
        <w:tc>
          <w:tcPr>
            <w:tcW w:w="658"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1,720 </w:t>
            </w:r>
          </w:p>
        </w:tc>
        <w:tc>
          <w:tcPr>
            <w:tcW w:w="653"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1,801 </w:t>
            </w:r>
          </w:p>
        </w:tc>
        <w:tc>
          <w:tcPr>
            <w:tcW w:w="767" w:type="pct"/>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2,007 </w:t>
            </w:r>
          </w:p>
        </w:tc>
        <w:tc>
          <w:tcPr>
            <w:tcW w:w="725" w:type="pct"/>
            <w:tcBorders>
              <w:right w:val="single" w:sz="4" w:space="0" w:color="auto"/>
            </w:tcBorders>
            <w:noWrap/>
            <w:vAlign w:val="center"/>
          </w:tcPr>
          <w:p w:rsidR="00921C68" w:rsidRPr="00921C68" w:rsidRDefault="00921C68" w:rsidP="00184CBE">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 xml:space="preserve">2,199 </w:t>
            </w:r>
          </w:p>
        </w:tc>
      </w:tr>
      <w:tr w:rsidR="00921C68" w:rsidRPr="00C64F6E"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shd w:val="clear" w:color="auto" w:fill="D3DFEE"/>
            <w:noWrap/>
          </w:tcPr>
          <w:p w:rsidR="00921C68" w:rsidRPr="00C64F6E" w:rsidRDefault="00921C68" w:rsidP="00C64F6E">
            <w:pPr>
              <w:spacing w:before="0" w:after="0"/>
              <w:rPr>
                <w:b w:val="0"/>
                <w:color w:val="000000"/>
                <w:sz w:val="20"/>
                <w:szCs w:val="20"/>
              </w:rPr>
            </w:pPr>
            <w:r w:rsidRPr="00C64F6E">
              <w:rPr>
                <w:b w:val="0"/>
                <w:color w:val="000000"/>
                <w:sz w:val="20"/>
                <w:szCs w:val="20"/>
              </w:rPr>
              <w:t>Demand (FTE)</w:t>
            </w:r>
          </w:p>
        </w:tc>
        <w:tc>
          <w:tcPr>
            <w:tcW w:w="974" w:type="pct"/>
            <w:shd w:val="clear" w:color="auto" w:fill="D3DFEE"/>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 xml:space="preserve">1,860 </w:t>
            </w:r>
          </w:p>
        </w:tc>
        <w:tc>
          <w:tcPr>
            <w:tcW w:w="658" w:type="pct"/>
            <w:shd w:val="clear" w:color="auto" w:fill="D3DFEE"/>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 xml:space="preserve">1,931 </w:t>
            </w:r>
          </w:p>
        </w:tc>
        <w:tc>
          <w:tcPr>
            <w:tcW w:w="653" w:type="pct"/>
            <w:shd w:val="clear" w:color="auto" w:fill="D3DFEE"/>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 xml:space="preserve">2,002 </w:t>
            </w:r>
          </w:p>
        </w:tc>
        <w:tc>
          <w:tcPr>
            <w:tcW w:w="767" w:type="pct"/>
            <w:shd w:val="clear" w:color="auto" w:fill="D3DFEE"/>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 xml:space="preserve">2,178 </w:t>
            </w:r>
          </w:p>
        </w:tc>
        <w:tc>
          <w:tcPr>
            <w:tcW w:w="725" w:type="pct"/>
            <w:tcBorders>
              <w:right w:val="single" w:sz="4" w:space="0" w:color="auto"/>
            </w:tcBorders>
            <w:shd w:val="clear" w:color="auto" w:fill="D3DFEE"/>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 xml:space="preserve">2,355 </w:t>
            </w:r>
          </w:p>
        </w:tc>
      </w:tr>
      <w:tr w:rsidR="00921C68"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921C68" w:rsidRPr="001B00A3" w:rsidRDefault="00921C68" w:rsidP="008130C2">
            <w:pPr>
              <w:spacing w:before="0" w:after="0"/>
              <w:jc w:val="left"/>
              <w:rPr>
                <w:b w:val="0"/>
                <w:color w:val="auto"/>
                <w:sz w:val="20"/>
                <w:szCs w:val="20"/>
                <w:lang w:eastAsia="en-AU"/>
              </w:rPr>
            </w:pPr>
            <w:r w:rsidRPr="001B00A3">
              <w:rPr>
                <w:b w:val="0"/>
                <w:color w:val="auto"/>
                <w:sz w:val="20"/>
                <w:szCs w:val="20"/>
                <w:lang w:eastAsia="en-AU"/>
              </w:rPr>
              <w:t>Excess/Shortfall</w:t>
            </w:r>
          </w:p>
        </w:tc>
        <w:tc>
          <w:tcPr>
            <w:tcW w:w="974" w:type="pct"/>
            <w:shd w:val="clear" w:color="auto" w:fill="00B050"/>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921C68">
              <w:rPr>
                <w:rFonts w:cs="Arial"/>
                <w:b/>
                <w:bCs/>
                <w:color w:val="auto"/>
                <w:sz w:val="20"/>
                <w:szCs w:val="20"/>
              </w:rPr>
              <w:t>0</w:t>
            </w:r>
          </w:p>
        </w:tc>
        <w:tc>
          <w:tcPr>
            <w:tcW w:w="658" w:type="pct"/>
            <w:shd w:val="clear" w:color="auto" w:fill="FFFF00"/>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6</w:t>
            </w:r>
          </w:p>
        </w:tc>
        <w:tc>
          <w:tcPr>
            <w:tcW w:w="653" w:type="pct"/>
            <w:shd w:val="clear" w:color="auto" w:fill="FFFF00"/>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14</w:t>
            </w:r>
          </w:p>
        </w:tc>
        <w:tc>
          <w:tcPr>
            <w:tcW w:w="767" w:type="pct"/>
            <w:shd w:val="clear" w:color="auto" w:fill="FFFF00"/>
            <w:noWrap/>
            <w:vAlign w:val="center"/>
          </w:tcPr>
          <w:p w:rsidR="00921C68" w:rsidRPr="00921C68" w:rsidRDefault="00921C68" w:rsidP="008130C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48</w:t>
            </w:r>
          </w:p>
        </w:tc>
        <w:tc>
          <w:tcPr>
            <w:tcW w:w="725" w:type="pct"/>
            <w:tcBorders>
              <w:right w:val="single" w:sz="4" w:space="0" w:color="auto"/>
            </w:tcBorders>
            <w:shd w:val="clear" w:color="auto" w:fill="FFFF00"/>
            <w:noWrap/>
            <w:vAlign w:val="center"/>
          </w:tcPr>
          <w:p w:rsidR="00921C68" w:rsidRPr="00921C68" w:rsidRDefault="00921C68" w:rsidP="00184CBE">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921C68">
              <w:rPr>
                <w:rFonts w:cs="Arial"/>
                <w:b/>
                <w:bCs/>
                <w:color w:val="auto"/>
                <w:sz w:val="20"/>
                <w:szCs w:val="20"/>
              </w:rPr>
              <w:t>47</w:t>
            </w:r>
          </w:p>
        </w:tc>
      </w:tr>
      <w:tr w:rsidR="00921C68"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bottom w:val="single" w:sz="4" w:space="0" w:color="auto"/>
            </w:tcBorders>
            <w:noWrap/>
          </w:tcPr>
          <w:p w:rsidR="00921C68" w:rsidRPr="001B00A3" w:rsidRDefault="00921C68" w:rsidP="008130C2">
            <w:pPr>
              <w:spacing w:before="0" w:after="0"/>
              <w:jc w:val="left"/>
              <w:rPr>
                <w:b w:val="0"/>
                <w:sz w:val="20"/>
                <w:szCs w:val="20"/>
                <w:lang w:eastAsia="en-AU"/>
              </w:rPr>
            </w:pPr>
            <w:r w:rsidRPr="001B00A3">
              <w:rPr>
                <w:b w:val="0"/>
                <w:color w:val="auto"/>
                <w:sz w:val="20"/>
                <w:szCs w:val="20"/>
                <w:lang w:eastAsia="en-AU"/>
              </w:rPr>
              <w:t>Excess/Shortfall</w:t>
            </w:r>
            <w:r>
              <w:rPr>
                <w:b w:val="0"/>
                <w:color w:val="auto"/>
                <w:sz w:val="20"/>
                <w:szCs w:val="20"/>
                <w:lang w:eastAsia="en-AU"/>
              </w:rPr>
              <w:t xml:space="preserve"> (FTE)</w:t>
            </w:r>
          </w:p>
        </w:tc>
        <w:tc>
          <w:tcPr>
            <w:tcW w:w="974" w:type="pct"/>
            <w:tcBorders>
              <w:bottom w:val="single" w:sz="4" w:space="0" w:color="auto"/>
            </w:tcBorders>
            <w:shd w:val="clear" w:color="auto" w:fill="00B050"/>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921C68">
              <w:rPr>
                <w:rFonts w:cs="Arial"/>
                <w:b/>
                <w:bCs/>
                <w:color w:val="auto"/>
                <w:sz w:val="20"/>
                <w:szCs w:val="20"/>
              </w:rPr>
              <w:t>0</w:t>
            </w:r>
          </w:p>
        </w:tc>
        <w:tc>
          <w:tcPr>
            <w:tcW w:w="658" w:type="pct"/>
            <w:tcBorders>
              <w:bottom w:val="single" w:sz="4" w:space="0" w:color="auto"/>
            </w:tcBorders>
            <w:shd w:val="clear" w:color="auto" w:fill="FFFF00"/>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1C68">
              <w:rPr>
                <w:rFonts w:cs="Arial"/>
                <w:b/>
                <w:bCs/>
                <w:color w:val="auto"/>
                <w:sz w:val="20"/>
                <w:szCs w:val="20"/>
              </w:rPr>
              <w:t>7</w:t>
            </w:r>
          </w:p>
        </w:tc>
        <w:tc>
          <w:tcPr>
            <w:tcW w:w="653" w:type="pct"/>
            <w:tcBorders>
              <w:bottom w:val="single" w:sz="4" w:space="0" w:color="auto"/>
            </w:tcBorders>
            <w:shd w:val="clear" w:color="auto" w:fill="FFFF00"/>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1C68">
              <w:rPr>
                <w:rFonts w:cs="Arial"/>
                <w:b/>
                <w:bCs/>
                <w:color w:val="auto"/>
                <w:sz w:val="20"/>
                <w:szCs w:val="20"/>
              </w:rPr>
              <w:t>16</w:t>
            </w:r>
          </w:p>
        </w:tc>
        <w:tc>
          <w:tcPr>
            <w:tcW w:w="767" w:type="pct"/>
            <w:tcBorders>
              <w:bottom w:val="single" w:sz="4" w:space="0" w:color="auto"/>
            </w:tcBorders>
            <w:shd w:val="clear" w:color="auto" w:fill="FFFF00"/>
            <w:noWrap/>
            <w:vAlign w:val="center"/>
          </w:tcPr>
          <w:p w:rsidR="00921C68" w:rsidRPr="00921C68" w:rsidRDefault="00921C68" w:rsidP="008130C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1C68">
              <w:rPr>
                <w:rFonts w:cs="Arial"/>
                <w:b/>
                <w:bCs/>
                <w:color w:val="auto"/>
                <w:sz w:val="20"/>
                <w:szCs w:val="20"/>
              </w:rPr>
              <w:t>52</w:t>
            </w:r>
          </w:p>
        </w:tc>
        <w:tc>
          <w:tcPr>
            <w:tcW w:w="725" w:type="pct"/>
            <w:tcBorders>
              <w:bottom w:val="single" w:sz="4" w:space="0" w:color="auto"/>
              <w:right w:val="single" w:sz="4" w:space="0" w:color="auto"/>
            </w:tcBorders>
            <w:shd w:val="clear" w:color="auto" w:fill="FFFF00"/>
            <w:noWrap/>
            <w:vAlign w:val="center"/>
          </w:tcPr>
          <w:p w:rsidR="00921C68" w:rsidRPr="00921C68" w:rsidRDefault="00921C68" w:rsidP="00184CBE">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1C68">
              <w:rPr>
                <w:rFonts w:cs="Arial"/>
                <w:b/>
                <w:bCs/>
                <w:color w:val="auto"/>
                <w:sz w:val="20"/>
                <w:szCs w:val="20"/>
              </w:rPr>
              <w:t>50</w:t>
            </w:r>
          </w:p>
        </w:tc>
      </w:tr>
    </w:tbl>
    <w:p w:rsidR="00077700" w:rsidRPr="008B0F40" w:rsidRDefault="00077700" w:rsidP="00077700">
      <w:pPr>
        <w:spacing w:before="0" w:after="0"/>
        <w:rPr>
          <w:i/>
          <w:sz w:val="16"/>
        </w:rPr>
      </w:pPr>
      <w:bookmarkStart w:id="138" w:name="_Toc480464748"/>
      <w:r w:rsidRPr="008B0F40">
        <w:rPr>
          <w:i/>
          <w:sz w:val="16"/>
        </w:rPr>
        <w:t>Legend:</w:t>
      </w:r>
    </w:p>
    <w:tbl>
      <w:tblPr>
        <w:tblStyle w:val="TableGrid"/>
        <w:tblW w:w="4890" w:type="pct"/>
        <w:tblInd w:w="108" w:type="dxa"/>
        <w:tblLook w:val="04A0" w:firstRow="1" w:lastRow="0" w:firstColumn="1" w:lastColumn="0" w:noHBand="0" w:noVBand="1"/>
        <w:tblDescription w:val="Legend"/>
      </w:tblPr>
      <w:tblGrid>
        <w:gridCol w:w="2037"/>
        <w:gridCol w:w="2290"/>
        <w:gridCol w:w="2911"/>
        <w:gridCol w:w="1801"/>
      </w:tblGrid>
      <w:tr w:rsidR="00077700" w:rsidRPr="008B0F40" w:rsidTr="008D26BB">
        <w:trPr>
          <w:trHeight w:val="20"/>
          <w:tblHeader/>
        </w:trPr>
        <w:tc>
          <w:tcPr>
            <w:tcW w:w="1127" w:type="pct"/>
            <w:shd w:val="clear" w:color="auto" w:fill="00B050"/>
          </w:tcPr>
          <w:p w:rsidR="00077700" w:rsidRPr="008B0F40" w:rsidRDefault="00077700" w:rsidP="004D2D38">
            <w:pPr>
              <w:spacing w:before="0" w:after="0"/>
              <w:rPr>
                <w:sz w:val="16"/>
              </w:rPr>
            </w:pPr>
            <w:r w:rsidRPr="008B0F40">
              <w:rPr>
                <w:sz w:val="16"/>
              </w:rPr>
              <w:t>No perceived shortage</w:t>
            </w:r>
          </w:p>
        </w:tc>
        <w:tc>
          <w:tcPr>
            <w:tcW w:w="1267" w:type="pct"/>
            <w:shd w:val="clear" w:color="auto" w:fill="FFFF00"/>
          </w:tcPr>
          <w:p w:rsidR="00077700" w:rsidRPr="008B0F40" w:rsidRDefault="00077700" w:rsidP="004D2D38">
            <w:pPr>
              <w:spacing w:before="0" w:after="0"/>
              <w:rPr>
                <w:sz w:val="16"/>
              </w:rPr>
            </w:pPr>
            <w:r w:rsidRPr="008B0F40">
              <w:rPr>
                <w:sz w:val="16"/>
              </w:rPr>
              <w:t>In balance (</w:t>
            </w:r>
            <w:r w:rsidRPr="008B0F40">
              <w:rPr>
                <w:rFonts w:cs="Arial"/>
                <w:sz w:val="16"/>
              </w:rPr>
              <w:t>±</w:t>
            </w:r>
            <w:r w:rsidRPr="008B0F40">
              <w:rPr>
                <w:sz w:val="16"/>
              </w:rPr>
              <w:t xml:space="preserve"> 3 per cent)</w:t>
            </w:r>
          </w:p>
        </w:tc>
        <w:tc>
          <w:tcPr>
            <w:tcW w:w="1610" w:type="pct"/>
            <w:shd w:val="clear" w:color="auto" w:fill="FFC000"/>
          </w:tcPr>
          <w:p w:rsidR="00077700" w:rsidRPr="008B0F40" w:rsidRDefault="00077700" w:rsidP="004D2D38">
            <w:pPr>
              <w:spacing w:before="0" w:after="0"/>
              <w:rPr>
                <w:sz w:val="16"/>
              </w:rPr>
            </w:pPr>
            <w:r w:rsidRPr="008B0F40">
              <w:rPr>
                <w:sz w:val="16"/>
              </w:rPr>
              <w:t>Only a slight perceived shortage</w:t>
            </w:r>
          </w:p>
        </w:tc>
        <w:tc>
          <w:tcPr>
            <w:tcW w:w="996" w:type="pct"/>
            <w:shd w:val="clear" w:color="auto" w:fill="FF0000"/>
          </w:tcPr>
          <w:p w:rsidR="00077700" w:rsidRPr="008B0F40" w:rsidRDefault="00077700" w:rsidP="004D2D38">
            <w:pPr>
              <w:spacing w:before="0" w:after="0"/>
              <w:rPr>
                <w:sz w:val="16"/>
              </w:rPr>
            </w:pPr>
            <w:r w:rsidRPr="008B0F40">
              <w:rPr>
                <w:sz w:val="16"/>
              </w:rPr>
              <w:t>Perceived shortage</w:t>
            </w:r>
          </w:p>
        </w:tc>
      </w:tr>
    </w:tbl>
    <w:p w:rsidR="009811C2" w:rsidRDefault="009811C2" w:rsidP="009811C2">
      <w:pPr>
        <w:pStyle w:val="Heading3"/>
      </w:pPr>
      <w:r>
        <w:t xml:space="preserve">Scenario 2: </w:t>
      </w:r>
      <w:r w:rsidR="003B341C">
        <w:t>Reduced m</w:t>
      </w:r>
      <w:r>
        <w:t>igration scenario</w:t>
      </w:r>
    </w:p>
    <w:p w:rsidR="009811C2" w:rsidRDefault="00EF617F" w:rsidP="009811C2">
      <w:r>
        <w:rPr>
          <w:lang w:eastAsia="en-AU"/>
        </w:rPr>
        <w:t>SIMGs are often recruited to fill service need but may not be accredited by RANZCOG for training. Thus their appointment reduces capacity to train domestic graduates.</w:t>
      </w:r>
      <w:r w:rsidR="00A258E2">
        <w:rPr>
          <w:lang w:eastAsia="en-AU"/>
        </w:rPr>
        <w:t xml:space="preserve"> Therefore this </w:t>
      </w:r>
      <w:r w:rsidR="003B341C">
        <w:t xml:space="preserve">scenario reduced the </w:t>
      </w:r>
      <w:r w:rsidR="00A258E2">
        <w:t>number of SIMGs entering</w:t>
      </w:r>
      <w:r w:rsidR="003B341C">
        <w:t xml:space="preserve"> the O&amp;G workforce by 50 per cent over the projection period</w:t>
      </w:r>
      <w:r w:rsidR="00A258E2">
        <w:t>.</w:t>
      </w:r>
      <w:r w:rsidR="003B341C">
        <w:t xml:space="preserve"> </w:t>
      </w:r>
      <w:r w:rsidR="009811C2">
        <w:t xml:space="preserve">The projections in </w:t>
      </w:r>
      <w:r w:rsidR="00CE17B4">
        <w:t>Table 1</w:t>
      </w:r>
      <w:r w:rsidR="00532393">
        <w:t>4</w:t>
      </w:r>
      <w:r w:rsidR="009811C2">
        <w:t xml:space="preserve"> indicate that the workforce would be largely in balance</w:t>
      </w:r>
      <w:r w:rsidR="004D2222">
        <w:t xml:space="preserve"> – still within the </w:t>
      </w:r>
      <w:r w:rsidR="004D2222">
        <w:rPr>
          <w:rFonts w:cs="Arial"/>
        </w:rPr>
        <w:t>±</w:t>
      </w:r>
      <w:r w:rsidR="004D2222">
        <w:t xml:space="preserve"> 3 per cent range</w:t>
      </w:r>
      <w:r w:rsidR="002B3E72">
        <w:t xml:space="preserve"> </w:t>
      </w:r>
      <w:r w:rsidR="00844EA3">
        <w:t xml:space="preserve">with a </w:t>
      </w:r>
      <w:r w:rsidR="002B3E72">
        <w:t xml:space="preserve">shortfall of 1.45 per cent. </w:t>
      </w:r>
    </w:p>
    <w:p w:rsidR="003B341C" w:rsidRDefault="003B341C" w:rsidP="003B341C">
      <w:pPr>
        <w:pStyle w:val="Caption"/>
        <w:keepNext/>
      </w:pPr>
      <w:bookmarkStart w:id="139" w:name="_Toc515887835"/>
      <w:r>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14</w:t>
      </w:r>
      <w:r w:rsidR="00556A17">
        <w:rPr>
          <w:noProof/>
        </w:rPr>
        <w:fldChar w:fldCharType="end"/>
      </w:r>
      <w:r>
        <w:t>: Reduced migration scenario 2</w:t>
      </w:r>
      <w:bookmarkEnd w:id="139"/>
    </w:p>
    <w:tbl>
      <w:tblPr>
        <w:tblStyle w:val="LightShading-Accent1"/>
        <w:tblW w:w="4907" w:type="pct"/>
        <w:tblInd w:w="108" w:type="dxa"/>
        <w:tblLook w:val="04A0" w:firstRow="1" w:lastRow="0" w:firstColumn="1" w:lastColumn="0" w:noHBand="0" w:noVBand="1"/>
        <w:tblCaption w:val="Table 14: Reduced migration scenario 2"/>
        <w:tblDescription w:val="This table presents the reduced migration scenario 2."/>
      </w:tblPr>
      <w:tblGrid>
        <w:gridCol w:w="2218"/>
        <w:gridCol w:w="1767"/>
        <w:gridCol w:w="1194"/>
        <w:gridCol w:w="1185"/>
        <w:gridCol w:w="1391"/>
        <w:gridCol w:w="1315"/>
      </w:tblGrid>
      <w:tr w:rsidR="00077700" w:rsidRPr="00507043" w:rsidTr="00B86366">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bottom w:val="single" w:sz="4" w:space="0" w:color="auto"/>
            </w:tcBorders>
            <w:shd w:val="clear" w:color="auto" w:fill="1F497D" w:themeFill="text2"/>
            <w:noWrap/>
            <w:hideMark/>
          </w:tcPr>
          <w:p w:rsidR="00077700" w:rsidRPr="00507043" w:rsidRDefault="00077700" w:rsidP="004D2D38">
            <w:pPr>
              <w:spacing w:before="0" w:after="0"/>
              <w:jc w:val="left"/>
              <w:rPr>
                <w:color w:val="FFFFFF" w:themeColor="background1"/>
                <w:sz w:val="20"/>
                <w:szCs w:val="20"/>
                <w:lang w:eastAsia="en-AU"/>
              </w:rPr>
            </w:pPr>
            <w:r w:rsidRPr="00507043">
              <w:rPr>
                <w:color w:val="FFFFFF" w:themeColor="background1"/>
                <w:sz w:val="20"/>
                <w:szCs w:val="20"/>
                <w:lang w:eastAsia="en-AU"/>
              </w:rPr>
              <w:t>Headcount</w:t>
            </w:r>
          </w:p>
        </w:tc>
        <w:tc>
          <w:tcPr>
            <w:tcW w:w="974" w:type="pct"/>
            <w:tcBorders>
              <w:top w:val="single" w:sz="4" w:space="0" w:color="auto"/>
              <w:bottom w:val="single" w:sz="4" w:space="0" w:color="auto"/>
            </w:tcBorders>
            <w:shd w:val="clear" w:color="auto" w:fill="1F497D" w:themeFill="text2"/>
            <w:noWrap/>
            <w:hideMark/>
          </w:tcPr>
          <w:p w:rsidR="00077700" w:rsidRPr="00507043" w:rsidRDefault="00077700" w:rsidP="004D2D38">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2016</w:t>
            </w:r>
          </w:p>
        </w:tc>
        <w:tc>
          <w:tcPr>
            <w:tcW w:w="658" w:type="pct"/>
            <w:tcBorders>
              <w:top w:val="single" w:sz="4" w:space="0" w:color="auto"/>
              <w:bottom w:val="single" w:sz="4" w:space="0" w:color="auto"/>
            </w:tcBorders>
            <w:shd w:val="clear" w:color="auto" w:fill="1F497D" w:themeFill="text2"/>
            <w:noWrap/>
            <w:hideMark/>
          </w:tcPr>
          <w:p w:rsidR="00077700" w:rsidRPr="00507043" w:rsidRDefault="00077700" w:rsidP="004D2D38">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2018</w:t>
            </w:r>
          </w:p>
        </w:tc>
        <w:tc>
          <w:tcPr>
            <w:tcW w:w="653" w:type="pct"/>
            <w:tcBorders>
              <w:top w:val="single" w:sz="4" w:space="0" w:color="auto"/>
              <w:bottom w:val="single" w:sz="4" w:space="0" w:color="auto"/>
            </w:tcBorders>
            <w:shd w:val="clear" w:color="auto" w:fill="1F497D" w:themeFill="text2"/>
            <w:noWrap/>
            <w:hideMark/>
          </w:tcPr>
          <w:p w:rsidR="00077700" w:rsidRPr="00507043" w:rsidRDefault="00077700" w:rsidP="004D2D38">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2020</w:t>
            </w:r>
          </w:p>
        </w:tc>
        <w:tc>
          <w:tcPr>
            <w:tcW w:w="767" w:type="pct"/>
            <w:tcBorders>
              <w:top w:val="single" w:sz="4" w:space="0" w:color="auto"/>
              <w:bottom w:val="single" w:sz="4" w:space="0" w:color="auto"/>
            </w:tcBorders>
            <w:shd w:val="clear" w:color="auto" w:fill="1F497D" w:themeFill="text2"/>
            <w:noWrap/>
            <w:hideMark/>
          </w:tcPr>
          <w:p w:rsidR="00077700" w:rsidRPr="00507043" w:rsidRDefault="00077700" w:rsidP="004D2D38">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Pr>
                <w:color w:val="FFFFFF" w:themeColor="background1"/>
                <w:sz w:val="20"/>
                <w:szCs w:val="20"/>
                <w:lang w:eastAsia="en-AU"/>
              </w:rPr>
              <w:t>2025</w:t>
            </w:r>
          </w:p>
        </w:tc>
        <w:tc>
          <w:tcPr>
            <w:tcW w:w="725" w:type="pct"/>
            <w:tcBorders>
              <w:top w:val="single" w:sz="4" w:space="0" w:color="auto"/>
              <w:bottom w:val="single" w:sz="4" w:space="0" w:color="auto"/>
              <w:right w:val="single" w:sz="4" w:space="0" w:color="auto"/>
            </w:tcBorders>
            <w:shd w:val="clear" w:color="auto" w:fill="1F497D" w:themeFill="text2"/>
            <w:noWrap/>
            <w:hideMark/>
          </w:tcPr>
          <w:p w:rsidR="00077700" w:rsidRPr="00507043" w:rsidRDefault="00077700" w:rsidP="004D2D38">
            <w:pPr>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507043">
              <w:rPr>
                <w:color w:val="FFFFFF" w:themeColor="background1"/>
                <w:sz w:val="20"/>
                <w:szCs w:val="20"/>
                <w:lang w:eastAsia="en-AU"/>
              </w:rPr>
              <w:t>2030</w:t>
            </w:r>
          </w:p>
        </w:tc>
      </w:tr>
      <w:tr w:rsidR="002B3E72"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tcBorders>
            <w:noWrap/>
            <w:hideMark/>
          </w:tcPr>
          <w:p w:rsidR="002B3E72" w:rsidRPr="001B00A3" w:rsidRDefault="002B3E72" w:rsidP="004D2D38">
            <w:pPr>
              <w:spacing w:before="0" w:after="0"/>
              <w:jc w:val="left"/>
              <w:rPr>
                <w:b w:val="0"/>
                <w:color w:val="auto"/>
                <w:sz w:val="20"/>
                <w:szCs w:val="20"/>
                <w:lang w:eastAsia="en-AU"/>
              </w:rPr>
            </w:pPr>
            <w:r w:rsidRPr="001B00A3">
              <w:rPr>
                <w:b w:val="0"/>
                <w:color w:val="auto"/>
                <w:sz w:val="20"/>
                <w:szCs w:val="20"/>
                <w:lang w:eastAsia="en-AU"/>
              </w:rPr>
              <w:t>Supply</w:t>
            </w:r>
          </w:p>
        </w:tc>
        <w:tc>
          <w:tcPr>
            <w:tcW w:w="974" w:type="pct"/>
            <w:tcBorders>
              <w:top w:val="single" w:sz="4" w:space="0" w:color="auto"/>
            </w:tcBorders>
            <w:noWrap/>
            <w:vAlign w:val="center"/>
            <w:hideMark/>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1,640 </w:t>
            </w:r>
          </w:p>
        </w:tc>
        <w:tc>
          <w:tcPr>
            <w:tcW w:w="658" w:type="pct"/>
            <w:tcBorders>
              <w:top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1,726 </w:t>
            </w:r>
          </w:p>
        </w:tc>
        <w:tc>
          <w:tcPr>
            <w:tcW w:w="653" w:type="pct"/>
            <w:tcBorders>
              <w:top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1,811 </w:t>
            </w:r>
          </w:p>
        </w:tc>
        <w:tc>
          <w:tcPr>
            <w:tcW w:w="767" w:type="pct"/>
            <w:tcBorders>
              <w:top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2,026 </w:t>
            </w:r>
          </w:p>
        </w:tc>
        <w:tc>
          <w:tcPr>
            <w:tcW w:w="725" w:type="pct"/>
            <w:tcBorders>
              <w:top w:val="single" w:sz="4" w:space="0" w:color="auto"/>
              <w:right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2,174 </w:t>
            </w:r>
          </w:p>
        </w:tc>
      </w:tr>
      <w:tr w:rsidR="002B3E72"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tcPr>
          <w:p w:rsidR="002B3E72" w:rsidRPr="001B00A3" w:rsidRDefault="002B3E72" w:rsidP="004D2D38">
            <w:pPr>
              <w:spacing w:before="0" w:after="0"/>
              <w:jc w:val="left"/>
              <w:rPr>
                <w:b w:val="0"/>
                <w:color w:val="auto"/>
                <w:sz w:val="20"/>
                <w:szCs w:val="20"/>
                <w:lang w:eastAsia="en-AU"/>
              </w:rPr>
            </w:pPr>
            <w:r w:rsidRPr="001B00A3">
              <w:rPr>
                <w:b w:val="0"/>
                <w:color w:val="auto"/>
                <w:sz w:val="20"/>
                <w:szCs w:val="20"/>
                <w:lang w:eastAsia="en-AU"/>
              </w:rPr>
              <w:t>Supply (FTE)</w:t>
            </w:r>
          </w:p>
        </w:tc>
        <w:tc>
          <w:tcPr>
            <w:tcW w:w="974"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1,860 </w:t>
            </w:r>
          </w:p>
        </w:tc>
        <w:tc>
          <w:tcPr>
            <w:tcW w:w="658"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1,937 </w:t>
            </w:r>
          </w:p>
        </w:tc>
        <w:tc>
          <w:tcPr>
            <w:tcW w:w="653"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2,013 </w:t>
            </w:r>
          </w:p>
        </w:tc>
        <w:tc>
          <w:tcPr>
            <w:tcW w:w="767"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2,196 </w:t>
            </w:r>
          </w:p>
        </w:tc>
        <w:tc>
          <w:tcPr>
            <w:tcW w:w="725" w:type="pct"/>
            <w:tcBorders>
              <w:right w:val="single" w:sz="4" w:space="0" w:color="auto"/>
            </w:tcBorders>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2,321 </w:t>
            </w:r>
          </w:p>
        </w:tc>
      </w:tr>
      <w:tr w:rsidR="002B3E72" w:rsidRPr="00C64F6E"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2B3E72" w:rsidRPr="003B341C" w:rsidRDefault="002B3E72" w:rsidP="003B341C">
            <w:pPr>
              <w:spacing w:before="0" w:after="0"/>
              <w:rPr>
                <w:b w:val="0"/>
                <w:color w:val="000000"/>
                <w:sz w:val="20"/>
                <w:szCs w:val="20"/>
              </w:rPr>
            </w:pPr>
            <w:r w:rsidRPr="003B341C">
              <w:rPr>
                <w:b w:val="0"/>
                <w:color w:val="000000"/>
                <w:sz w:val="20"/>
                <w:szCs w:val="20"/>
              </w:rPr>
              <w:t>New fellows</w:t>
            </w:r>
          </w:p>
        </w:tc>
        <w:tc>
          <w:tcPr>
            <w:tcW w:w="974"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2B3E72">
              <w:rPr>
                <w:rFonts w:cs="Arial"/>
                <w:color w:val="auto"/>
                <w:sz w:val="20"/>
                <w:szCs w:val="20"/>
              </w:rPr>
              <w:t>73</w:t>
            </w:r>
          </w:p>
        </w:tc>
        <w:tc>
          <w:tcPr>
            <w:tcW w:w="658"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2B3E72">
              <w:rPr>
                <w:rFonts w:cs="Arial"/>
                <w:color w:val="auto"/>
                <w:sz w:val="20"/>
                <w:szCs w:val="20"/>
              </w:rPr>
              <w:t>77</w:t>
            </w:r>
          </w:p>
        </w:tc>
        <w:tc>
          <w:tcPr>
            <w:tcW w:w="653"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2B3E72">
              <w:rPr>
                <w:rFonts w:cs="Arial"/>
                <w:color w:val="auto"/>
                <w:sz w:val="20"/>
                <w:szCs w:val="20"/>
              </w:rPr>
              <w:t>79</w:t>
            </w:r>
          </w:p>
        </w:tc>
        <w:tc>
          <w:tcPr>
            <w:tcW w:w="767"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2B3E72">
              <w:rPr>
                <w:rFonts w:cs="Arial"/>
                <w:color w:val="auto"/>
                <w:sz w:val="20"/>
                <w:szCs w:val="20"/>
              </w:rPr>
              <w:t>81</w:t>
            </w:r>
          </w:p>
        </w:tc>
        <w:tc>
          <w:tcPr>
            <w:tcW w:w="725" w:type="pct"/>
            <w:tcBorders>
              <w:right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2B3E72">
              <w:rPr>
                <w:rFonts w:cs="Arial"/>
                <w:color w:val="auto"/>
                <w:sz w:val="20"/>
                <w:szCs w:val="20"/>
              </w:rPr>
              <w:t>83</w:t>
            </w:r>
          </w:p>
        </w:tc>
      </w:tr>
      <w:tr w:rsidR="002B3E72"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2B3E72" w:rsidRPr="001B00A3" w:rsidRDefault="002B3E72" w:rsidP="004D2D38">
            <w:pPr>
              <w:spacing w:before="0" w:after="0"/>
              <w:jc w:val="left"/>
              <w:rPr>
                <w:b w:val="0"/>
                <w:i/>
                <w:iCs/>
                <w:color w:val="auto"/>
                <w:sz w:val="20"/>
                <w:szCs w:val="20"/>
                <w:lang w:eastAsia="en-AU"/>
              </w:rPr>
            </w:pPr>
            <w:r w:rsidRPr="001B00A3">
              <w:rPr>
                <w:b w:val="0"/>
                <w:i/>
                <w:iCs/>
                <w:color w:val="auto"/>
                <w:sz w:val="20"/>
                <w:szCs w:val="20"/>
                <w:lang w:eastAsia="en-AU"/>
              </w:rPr>
              <w:t>IMGS new fellows</w:t>
            </w:r>
          </w:p>
        </w:tc>
        <w:tc>
          <w:tcPr>
            <w:tcW w:w="974"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B3E72">
              <w:rPr>
                <w:rFonts w:cs="Arial"/>
                <w:iCs/>
                <w:color w:val="auto"/>
                <w:sz w:val="20"/>
                <w:szCs w:val="20"/>
              </w:rPr>
              <w:t>24</w:t>
            </w:r>
          </w:p>
        </w:tc>
        <w:tc>
          <w:tcPr>
            <w:tcW w:w="658"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B3E72">
              <w:rPr>
                <w:rFonts w:cs="Arial"/>
                <w:iCs/>
                <w:color w:val="auto"/>
                <w:sz w:val="20"/>
                <w:szCs w:val="20"/>
              </w:rPr>
              <w:t>13</w:t>
            </w:r>
          </w:p>
        </w:tc>
        <w:tc>
          <w:tcPr>
            <w:tcW w:w="653"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B3E72">
              <w:rPr>
                <w:rFonts w:cs="Arial"/>
                <w:iCs/>
                <w:color w:val="auto"/>
                <w:sz w:val="20"/>
                <w:szCs w:val="20"/>
              </w:rPr>
              <w:t>25</w:t>
            </w:r>
          </w:p>
        </w:tc>
        <w:tc>
          <w:tcPr>
            <w:tcW w:w="767"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B3E72">
              <w:rPr>
                <w:rFonts w:cs="Arial"/>
                <w:iCs/>
                <w:color w:val="auto"/>
                <w:sz w:val="20"/>
                <w:szCs w:val="20"/>
              </w:rPr>
              <w:t>20</w:t>
            </w:r>
          </w:p>
        </w:tc>
        <w:tc>
          <w:tcPr>
            <w:tcW w:w="725" w:type="pct"/>
            <w:tcBorders>
              <w:right w:val="single" w:sz="4" w:space="0" w:color="auto"/>
            </w:tcBorders>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B3E72">
              <w:rPr>
                <w:rFonts w:cs="Arial"/>
                <w:iCs/>
                <w:color w:val="auto"/>
                <w:sz w:val="20"/>
                <w:szCs w:val="20"/>
              </w:rPr>
              <w:t>16</w:t>
            </w:r>
          </w:p>
        </w:tc>
      </w:tr>
      <w:tr w:rsidR="002B3E72"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2B3E72" w:rsidRPr="001B00A3" w:rsidRDefault="002B3E72" w:rsidP="004D2D38">
            <w:pPr>
              <w:spacing w:before="0" w:after="0"/>
              <w:jc w:val="left"/>
              <w:rPr>
                <w:b w:val="0"/>
                <w:i/>
                <w:iCs/>
                <w:color w:val="auto"/>
                <w:sz w:val="20"/>
                <w:szCs w:val="20"/>
                <w:lang w:eastAsia="en-AU"/>
              </w:rPr>
            </w:pPr>
            <w:r w:rsidRPr="001B00A3">
              <w:rPr>
                <w:b w:val="0"/>
                <w:i/>
                <w:iCs/>
                <w:color w:val="auto"/>
                <w:sz w:val="20"/>
                <w:szCs w:val="20"/>
                <w:lang w:eastAsia="en-AU"/>
              </w:rPr>
              <w:t>Exits (% of supply)</w:t>
            </w:r>
          </w:p>
        </w:tc>
        <w:tc>
          <w:tcPr>
            <w:tcW w:w="974"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2B3E72">
              <w:rPr>
                <w:rFonts w:cs="Arial"/>
                <w:i/>
                <w:iCs/>
                <w:color w:val="auto"/>
                <w:sz w:val="20"/>
                <w:szCs w:val="20"/>
              </w:rPr>
              <w:t>3.18%</w:t>
            </w:r>
          </w:p>
        </w:tc>
        <w:tc>
          <w:tcPr>
            <w:tcW w:w="658"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2B3E72">
              <w:rPr>
                <w:rFonts w:cs="Arial"/>
                <w:i/>
                <w:iCs/>
                <w:color w:val="auto"/>
                <w:sz w:val="20"/>
                <w:szCs w:val="20"/>
              </w:rPr>
              <w:t>3.12%</w:t>
            </w:r>
          </w:p>
        </w:tc>
        <w:tc>
          <w:tcPr>
            <w:tcW w:w="653"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2B3E72">
              <w:rPr>
                <w:rFonts w:cs="Arial"/>
                <w:i/>
                <w:iCs/>
                <w:color w:val="auto"/>
                <w:sz w:val="20"/>
                <w:szCs w:val="20"/>
              </w:rPr>
              <w:t>3.17%</w:t>
            </w:r>
          </w:p>
        </w:tc>
        <w:tc>
          <w:tcPr>
            <w:tcW w:w="767" w:type="pct"/>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2B3E72">
              <w:rPr>
                <w:rFonts w:cs="Arial"/>
                <w:i/>
                <w:iCs/>
                <w:color w:val="auto"/>
                <w:sz w:val="20"/>
                <w:szCs w:val="20"/>
              </w:rPr>
              <w:t>3.20%</w:t>
            </w:r>
          </w:p>
        </w:tc>
        <w:tc>
          <w:tcPr>
            <w:tcW w:w="725" w:type="pct"/>
            <w:tcBorders>
              <w:right w:val="single" w:sz="4" w:space="0" w:color="auto"/>
            </w:tcBorders>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i/>
                <w:color w:val="auto"/>
                <w:sz w:val="20"/>
                <w:szCs w:val="20"/>
                <w:lang w:eastAsia="en-AU"/>
              </w:rPr>
            </w:pPr>
            <w:r w:rsidRPr="002B3E72">
              <w:rPr>
                <w:rFonts w:cs="Arial"/>
                <w:i/>
                <w:iCs/>
                <w:color w:val="auto"/>
                <w:sz w:val="20"/>
                <w:szCs w:val="20"/>
              </w:rPr>
              <w:t>3.43%</w:t>
            </w:r>
          </w:p>
        </w:tc>
      </w:tr>
      <w:tr w:rsidR="002B3E72"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2B3E72" w:rsidRPr="001B00A3" w:rsidRDefault="002B3E72" w:rsidP="004D2D38">
            <w:pPr>
              <w:spacing w:before="0" w:after="0"/>
              <w:jc w:val="left"/>
              <w:rPr>
                <w:b w:val="0"/>
                <w:color w:val="auto"/>
                <w:sz w:val="20"/>
                <w:szCs w:val="20"/>
                <w:lang w:eastAsia="en-AU"/>
              </w:rPr>
            </w:pPr>
            <w:r w:rsidRPr="001B00A3">
              <w:rPr>
                <w:b w:val="0"/>
                <w:color w:val="auto"/>
                <w:sz w:val="20"/>
                <w:szCs w:val="20"/>
                <w:lang w:eastAsia="en-AU"/>
              </w:rPr>
              <w:t>Demand</w:t>
            </w:r>
          </w:p>
        </w:tc>
        <w:tc>
          <w:tcPr>
            <w:tcW w:w="974"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1,640 </w:t>
            </w:r>
          </w:p>
        </w:tc>
        <w:tc>
          <w:tcPr>
            <w:tcW w:w="658"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1,720 </w:t>
            </w:r>
          </w:p>
        </w:tc>
        <w:tc>
          <w:tcPr>
            <w:tcW w:w="653"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1,801 </w:t>
            </w:r>
          </w:p>
        </w:tc>
        <w:tc>
          <w:tcPr>
            <w:tcW w:w="767" w:type="pct"/>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2,009 </w:t>
            </w:r>
          </w:p>
        </w:tc>
        <w:tc>
          <w:tcPr>
            <w:tcW w:w="725" w:type="pct"/>
            <w:tcBorders>
              <w:right w:val="single" w:sz="4" w:space="0" w:color="auto"/>
            </w:tcBorders>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 xml:space="preserve">2,205 </w:t>
            </w:r>
          </w:p>
        </w:tc>
      </w:tr>
      <w:tr w:rsidR="002B3E72" w:rsidRPr="00C64F6E"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shd w:val="clear" w:color="auto" w:fill="D3DFEE"/>
            <w:noWrap/>
          </w:tcPr>
          <w:p w:rsidR="002B3E72" w:rsidRPr="00C64F6E" w:rsidRDefault="002B3E72" w:rsidP="004D2D38">
            <w:pPr>
              <w:spacing w:before="0" w:after="0"/>
              <w:rPr>
                <w:b w:val="0"/>
                <w:color w:val="000000"/>
                <w:sz w:val="20"/>
                <w:szCs w:val="20"/>
              </w:rPr>
            </w:pPr>
            <w:r w:rsidRPr="00C64F6E">
              <w:rPr>
                <w:b w:val="0"/>
                <w:color w:val="000000"/>
                <w:sz w:val="20"/>
                <w:szCs w:val="20"/>
              </w:rPr>
              <w:t>Demand (FTE)</w:t>
            </w:r>
          </w:p>
        </w:tc>
        <w:tc>
          <w:tcPr>
            <w:tcW w:w="974" w:type="pct"/>
            <w:shd w:val="clear" w:color="auto" w:fill="D3DFEE"/>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 xml:space="preserve">1,860 </w:t>
            </w:r>
          </w:p>
        </w:tc>
        <w:tc>
          <w:tcPr>
            <w:tcW w:w="658" w:type="pct"/>
            <w:shd w:val="clear" w:color="auto" w:fill="D3DFEE"/>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 xml:space="preserve">1,931 </w:t>
            </w:r>
          </w:p>
        </w:tc>
        <w:tc>
          <w:tcPr>
            <w:tcW w:w="653" w:type="pct"/>
            <w:shd w:val="clear" w:color="auto" w:fill="D3DFEE"/>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 xml:space="preserve">2,002 </w:t>
            </w:r>
          </w:p>
        </w:tc>
        <w:tc>
          <w:tcPr>
            <w:tcW w:w="767" w:type="pct"/>
            <w:shd w:val="clear" w:color="auto" w:fill="D3DFEE"/>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 xml:space="preserve">2,178 </w:t>
            </w:r>
          </w:p>
        </w:tc>
        <w:tc>
          <w:tcPr>
            <w:tcW w:w="725" w:type="pct"/>
            <w:tcBorders>
              <w:right w:val="single" w:sz="4" w:space="0" w:color="auto"/>
            </w:tcBorders>
            <w:shd w:val="clear" w:color="auto" w:fill="D3DFEE"/>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 xml:space="preserve">2,355 </w:t>
            </w:r>
          </w:p>
        </w:tc>
      </w:tr>
      <w:tr w:rsidR="002B3E72" w:rsidRPr="00090A1A" w:rsidTr="002348F6">
        <w:trPr>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tcBorders>
            <w:noWrap/>
            <w:hideMark/>
          </w:tcPr>
          <w:p w:rsidR="002B3E72" w:rsidRPr="001B00A3" w:rsidRDefault="002B3E72" w:rsidP="004D2D38">
            <w:pPr>
              <w:spacing w:before="0" w:after="0"/>
              <w:jc w:val="left"/>
              <w:rPr>
                <w:b w:val="0"/>
                <w:color w:val="auto"/>
                <w:sz w:val="20"/>
                <w:szCs w:val="20"/>
                <w:lang w:eastAsia="en-AU"/>
              </w:rPr>
            </w:pPr>
            <w:r w:rsidRPr="001B00A3">
              <w:rPr>
                <w:b w:val="0"/>
                <w:color w:val="auto"/>
                <w:sz w:val="20"/>
                <w:szCs w:val="20"/>
                <w:lang w:eastAsia="en-AU"/>
              </w:rPr>
              <w:t>Excess/Shortfall</w:t>
            </w:r>
          </w:p>
        </w:tc>
        <w:tc>
          <w:tcPr>
            <w:tcW w:w="974" w:type="pct"/>
            <w:shd w:val="clear" w:color="auto" w:fill="00B050"/>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B3E72">
              <w:rPr>
                <w:rFonts w:cs="Arial"/>
                <w:b/>
                <w:bCs/>
                <w:color w:val="auto"/>
                <w:sz w:val="20"/>
                <w:szCs w:val="20"/>
              </w:rPr>
              <w:t>0</w:t>
            </w:r>
          </w:p>
        </w:tc>
        <w:tc>
          <w:tcPr>
            <w:tcW w:w="658" w:type="pct"/>
            <w:shd w:val="clear" w:color="auto" w:fill="FFFF00"/>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5</w:t>
            </w:r>
          </w:p>
        </w:tc>
        <w:tc>
          <w:tcPr>
            <w:tcW w:w="653" w:type="pct"/>
            <w:shd w:val="clear" w:color="auto" w:fill="FFFF00"/>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10</w:t>
            </w:r>
          </w:p>
        </w:tc>
        <w:tc>
          <w:tcPr>
            <w:tcW w:w="767" w:type="pct"/>
            <w:shd w:val="clear" w:color="auto" w:fill="FFFF00"/>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17</w:t>
            </w:r>
          </w:p>
        </w:tc>
        <w:tc>
          <w:tcPr>
            <w:tcW w:w="725" w:type="pct"/>
            <w:tcBorders>
              <w:right w:val="single" w:sz="4" w:space="0" w:color="auto"/>
            </w:tcBorders>
            <w:shd w:val="clear" w:color="auto" w:fill="FFFF00"/>
            <w:noWrap/>
            <w:vAlign w:val="center"/>
          </w:tcPr>
          <w:p w:rsidR="002B3E72" w:rsidRPr="002B3E72" w:rsidRDefault="002B3E72" w:rsidP="004D2D38">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B3E72">
              <w:rPr>
                <w:rFonts w:cs="Arial"/>
                <w:b/>
                <w:bCs/>
                <w:color w:val="auto"/>
                <w:sz w:val="20"/>
                <w:szCs w:val="20"/>
              </w:rPr>
              <w:t>-31</w:t>
            </w:r>
          </w:p>
        </w:tc>
      </w:tr>
      <w:tr w:rsidR="002B3E72" w:rsidRPr="00090A1A"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3" w:type="pct"/>
            <w:tcBorders>
              <w:left w:val="single" w:sz="4" w:space="0" w:color="auto"/>
              <w:bottom w:val="single" w:sz="4" w:space="0" w:color="auto"/>
            </w:tcBorders>
            <w:noWrap/>
          </w:tcPr>
          <w:p w:rsidR="002B3E72" w:rsidRPr="001B00A3" w:rsidRDefault="002B3E72" w:rsidP="004D2D38">
            <w:pPr>
              <w:spacing w:before="0" w:after="0"/>
              <w:jc w:val="left"/>
              <w:rPr>
                <w:b w:val="0"/>
                <w:sz w:val="20"/>
                <w:szCs w:val="20"/>
                <w:lang w:eastAsia="en-AU"/>
              </w:rPr>
            </w:pPr>
            <w:r w:rsidRPr="001B00A3">
              <w:rPr>
                <w:b w:val="0"/>
                <w:color w:val="auto"/>
                <w:sz w:val="20"/>
                <w:szCs w:val="20"/>
                <w:lang w:eastAsia="en-AU"/>
              </w:rPr>
              <w:t>Excess/Shortfall</w:t>
            </w:r>
            <w:r>
              <w:rPr>
                <w:b w:val="0"/>
                <w:color w:val="auto"/>
                <w:sz w:val="20"/>
                <w:szCs w:val="20"/>
                <w:lang w:eastAsia="en-AU"/>
              </w:rPr>
              <w:t xml:space="preserve"> (FTE)</w:t>
            </w:r>
          </w:p>
        </w:tc>
        <w:tc>
          <w:tcPr>
            <w:tcW w:w="974" w:type="pct"/>
            <w:tcBorders>
              <w:bottom w:val="single" w:sz="4" w:space="0" w:color="auto"/>
            </w:tcBorders>
            <w:shd w:val="clear" w:color="auto" w:fill="00B050"/>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2B3E72">
              <w:rPr>
                <w:rFonts w:cs="Arial"/>
                <w:b/>
                <w:bCs/>
                <w:color w:val="auto"/>
                <w:sz w:val="20"/>
                <w:szCs w:val="20"/>
              </w:rPr>
              <w:t>0</w:t>
            </w:r>
          </w:p>
        </w:tc>
        <w:tc>
          <w:tcPr>
            <w:tcW w:w="658" w:type="pct"/>
            <w:tcBorders>
              <w:bottom w:val="single" w:sz="4" w:space="0" w:color="auto"/>
            </w:tcBorders>
            <w:shd w:val="clear" w:color="auto" w:fill="FFFF00"/>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B3E72">
              <w:rPr>
                <w:rFonts w:cs="Arial"/>
                <w:b/>
                <w:bCs/>
                <w:color w:val="auto"/>
                <w:sz w:val="20"/>
                <w:szCs w:val="20"/>
              </w:rPr>
              <w:t>6</w:t>
            </w:r>
          </w:p>
        </w:tc>
        <w:tc>
          <w:tcPr>
            <w:tcW w:w="653" w:type="pct"/>
            <w:tcBorders>
              <w:bottom w:val="single" w:sz="4" w:space="0" w:color="auto"/>
            </w:tcBorders>
            <w:shd w:val="clear" w:color="auto" w:fill="FFFF00"/>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B3E72">
              <w:rPr>
                <w:rFonts w:cs="Arial"/>
                <w:b/>
                <w:bCs/>
                <w:color w:val="auto"/>
                <w:sz w:val="20"/>
                <w:szCs w:val="20"/>
              </w:rPr>
              <w:t>11</w:t>
            </w:r>
          </w:p>
        </w:tc>
        <w:tc>
          <w:tcPr>
            <w:tcW w:w="767" w:type="pct"/>
            <w:tcBorders>
              <w:bottom w:val="single" w:sz="4" w:space="0" w:color="auto"/>
            </w:tcBorders>
            <w:shd w:val="clear" w:color="auto" w:fill="FFFF00"/>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B3E72">
              <w:rPr>
                <w:rFonts w:cs="Arial"/>
                <w:b/>
                <w:bCs/>
                <w:color w:val="auto"/>
                <w:sz w:val="20"/>
                <w:szCs w:val="20"/>
              </w:rPr>
              <w:t>18</w:t>
            </w:r>
          </w:p>
        </w:tc>
        <w:tc>
          <w:tcPr>
            <w:tcW w:w="725" w:type="pct"/>
            <w:tcBorders>
              <w:bottom w:val="single" w:sz="4" w:space="0" w:color="auto"/>
              <w:right w:val="single" w:sz="4" w:space="0" w:color="auto"/>
            </w:tcBorders>
            <w:shd w:val="clear" w:color="auto" w:fill="FFFF00"/>
            <w:noWrap/>
            <w:vAlign w:val="center"/>
          </w:tcPr>
          <w:p w:rsidR="002B3E72" w:rsidRPr="002B3E72" w:rsidRDefault="002B3E72" w:rsidP="004D2D38">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B3E72">
              <w:rPr>
                <w:rFonts w:cs="Arial"/>
                <w:b/>
                <w:bCs/>
                <w:color w:val="auto"/>
                <w:sz w:val="20"/>
                <w:szCs w:val="20"/>
              </w:rPr>
              <w:t>-34</w:t>
            </w:r>
          </w:p>
        </w:tc>
      </w:tr>
    </w:tbl>
    <w:p w:rsidR="00077700" w:rsidRPr="008B0F40" w:rsidRDefault="00077700" w:rsidP="00077700">
      <w:pPr>
        <w:spacing w:before="0" w:after="0"/>
        <w:rPr>
          <w:i/>
          <w:sz w:val="16"/>
        </w:rPr>
      </w:pPr>
      <w:r w:rsidRPr="008B0F40">
        <w:rPr>
          <w:i/>
          <w:sz w:val="16"/>
        </w:rPr>
        <w:t>Legend:</w:t>
      </w:r>
    </w:p>
    <w:tbl>
      <w:tblPr>
        <w:tblStyle w:val="TableGrid"/>
        <w:tblW w:w="4890" w:type="pct"/>
        <w:tblInd w:w="108" w:type="dxa"/>
        <w:tblLook w:val="04A0" w:firstRow="1" w:lastRow="0" w:firstColumn="1" w:lastColumn="0" w:noHBand="0" w:noVBand="1"/>
        <w:tblDescription w:val="Legend"/>
      </w:tblPr>
      <w:tblGrid>
        <w:gridCol w:w="2037"/>
        <w:gridCol w:w="2290"/>
        <w:gridCol w:w="2911"/>
        <w:gridCol w:w="1801"/>
      </w:tblGrid>
      <w:tr w:rsidR="00077700" w:rsidRPr="008B0F40" w:rsidTr="008D26BB">
        <w:trPr>
          <w:trHeight w:val="20"/>
          <w:tblHeader/>
        </w:trPr>
        <w:tc>
          <w:tcPr>
            <w:tcW w:w="1127" w:type="pct"/>
            <w:shd w:val="clear" w:color="auto" w:fill="00B050"/>
          </w:tcPr>
          <w:p w:rsidR="00077700" w:rsidRPr="008B0F40" w:rsidRDefault="00077700" w:rsidP="004D2D38">
            <w:pPr>
              <w:spacing w:before="0" w:after="0"/>
              <w:rPr>
                <w:sz w:val="16"/>
              </w:rPr>
            </w:pPr>
            <w:r w:rsidRPr="008B0F40">
              <w:rPr>
                <w:sz w:val="16"/>
              </w:rPr>
              <w:t>No perceived shortage</w:t>
            </w:r>
          </w:p>
        </w:tc>
        <w:tc>
          <w:tcPr>
            <w:tcW w:w="1267" w:type="pct"/>
            <w:shd w:val="clear" w:color="auto" w:fill="FFFF00"/>
          </w:tcPr>
          <w:p w:rsidR="00077700" w:rsidRPr="008B0F40" w:rsidRDefault="00077700" w:rsidP="004D2D38">
            <w:pPr>
              <w:spacing w:before="0" w:after="0"/>
              <w:rPr>
                <w:sz w:val="16"/>
              </w:rPr>
            </w:pPr>
            <w:r w:rsidRPr="008B0F40">
              <w:rPr>
                <w:sz w:val="16"/>
              </w:rPr>
              <w:t>In balance (</w:t>
            </w:r>
            <w:r w:rsidRPr="008B0F40">
              <w:rPr>
                <w:rFonts w:cs="Arial"/>
                <w:sz w:val="16"/>
              </w:rPr>
              <w:t>±</w:t>
            </w:r>
            <w:r w:rsidRPr="008B0F40">
              <w:rPr>
                <w:sz w:val="16"/>
              </w:rPr>
              <w:t xml:space="preserve"> 3 per cent)</w:t>
            </w:r>
          </w:p>
        </w:tc>
        <w:tc>
          <w:tcPr>
            <w:tcW w:w="1610" w:type="pct"/>
            <w:shd w:val="clear" w:color="auto" w:fill="FFC000"/>
          </w:tcPr>
          <w:p w:rsidR="00077700" w:rsidRPr="008B0F40" w:rsidRDefault="00077700" w:rsidP="004D2D38">
            <w:pPr>
              <w:spacing w:before="0" w:after="0"/>
              <w:rPr>
                <w:sz w:val="16"/>
              </w:rPr>
            </w:pPr>
            <w:r w:rsidRPr="008B0F40">
              <w:rPr>
                <w:sz w:val="16"/>
              </w:rPr>
              <w:t>Only a slight perceived shortage</w:t>
            </w:r>
          </w:p>
        </w:tc>
        <w:tc>
          <w:tcPr>
            <w:tcW w:w="996" w:type="pct"/>
            <w:shd w:val="clear" w:color="auto" w:fill="FF0000"/>
          </w:tcPr>
          <w:p w:rsidR="00077700" w:rsidRPr="008B0F40" w:rsidRDefault="00077700" w:rsidP="004D2D38">
            <w:pPr>
              <w:spacing w:before="0" w:after="0"/>
              <w:rPr>
                <w:sz w:val="16"/>
              </w:rPr>
            </w:pPr>
            <w:r w:rsidRPr="008B0F40">
              <w:rPr>
                <w:sz w:val="16"/>
              </w:rPr>
              <w:t>Perceived shortage</w:t>
            </w:r>
          </w:p>
        </w:tc>
      </w:tr>
    </w:tbl>
    <w:p w:rsidR="00EF08AC" w:rsidRDefault="00EF08AC" w:rsidP="00EF08AC">
      <w:pPr>
        <w:pStyle w:val="Heading3"/>
      </w:pPr>
      <w:r>
        <w:t>Scenario comparison</w:t>
      </w:r>
      <w:bookmarkEnd w:id="138"/>
      <w:r>
        <w:t xml:space="preserve"> </w:t>
      </w:r>
    </w:p>
    <w:p w:rsidR="00A27C9C" w:rsidRDefault="00EF08AC" w:rsidP="00191F07">
      <w:pPr>
        <w:rPr>
          <w:noProof/>
          <w:lang w:eastAsia="en-AU"/>
        </w:rPr>
      </w:pPr>
      <w:r>
        <w:t>The following figure</w:t>
      </w:r>
      <w:r w:rsidR="004D2222">
        <w:t>s</w:t>
      </w:r>
      <w:r>
        <w:t xml:space="preserve"> show the differing effects of the scenario modelled over the projection period and how </w:t>
      </w:r>
      <w:r w:rsidR="004D2222">
        <w:t xml:space="preserve">they come into balance by 2030. It also demonstrates the supply over the projection period, with the </w:t>
      </w:r>
      <w:r w:rsidR="004D2222">
        <w:rPr>
          <w:rFonts w:cs="Arial"/>
        </w:rPr>
        <w:t>±</w:t>
      </w:r>
      <w:r w:rsidR="004D2222">
        <w:t xml:space="preserve"> 3 per cent margin of error that is factored in</w:t>
      </w:r>
      <w:r w:rsidR="0056114B">
        <w:t>. S</w:t>
      </w:r>
      <w:r w:rsidR="004D2222">
        <w:t xml:space="preserve">cenario 1, the demand (orange </w:t>
      </w:r>
      <w:r w:rsidR="0037099E">
        <w:t xml:space="preserve">dotted </w:t>
      </w:r>
      <w:r w:rsidR="004D2222">
        <w:t>line) i</w:t>
      </w:r>
      <w:r w:rsidR="0056114B">
        <w:t>s</w:t>
      </w:r>
      <w:r w:rsidR="004D2222">
        <w:t xml:space="preserve"> closer </w:t>
      </w:r>
      <w:r w:rsidR="0056114B">
        <w:t xml:space="preserve">to the </w:t>
      </w:r>
      <w:r w:rsidR="004D2222">
        <w:t>lower range</w:t>
      </w:r>
      <w:r w:rsidR="0056114B">
        <w:t xml:space="preserve"> (-3 per cent) of the error margin. Whereas, </w:t>
      </w:r>
      <w:r w:rsidR="004D2222">
        <w:t xml:space="preserve">scenario </w:t>
      </w:r>
      <w:r w:rsidR="0056114B">
        <w:t>2</w:t>
      </w:r>
      <w:r w:rsidR="004D2222">
        <w:t xml:space="preserve"> the demand line has shifted to the higher range of the error margin</w:t>
      </w:r>
      <w:r w:rsidR="0056114B">
        <w:t xml:space="preserve"> (+3 per cent)</w:t>
      </w:r>
      <w:r w:rsidR="004D2222">
        <w:t xml:space="preserve">. </w:t>
      </w:r>
      <w:r w:rsidR="0056114B">
        <w:t>Scenario 2 in comparison has a lower supply headcount than scenario 1, due to the reduction in the migration numbers of the projection period.</w:t>
      </w:r>
    </w:p>
    <w:p w:rsidR="00A27C9C" w:rsidRDefault="00A27C9C" w:rsidP="00EF08AC">
      <w:pPr>
        <w:jc w:val="left"/>
        <w:rPr>
          <w:noProof/>
          <w:lang w:eastAsia="en-AU"/>
        </w:rPr>
        <w:sectPr w:rsidR="00A27C9C" w:rsidSect="008C7087">
          <w:type w:val="continuous"/>
          <w:pgSz w:w="11906" w:h="16838"/>
          <w:pgMar w:top="1440" w:right="1440" w:bottom="1440" w:left="1440" w:header="709" w:footer="709" w:gutter="0"/>
          <w:pgNumType w:start="4"/>
          <w:cols w:space="708"/>
          <w:titlePg/>
          <w:docGrid w:linePitch="360"/>
        </w:sectPr>
      </w:pPr>
    </w:p>
    <w:p w:rsidR="00DC7BFD" w:rsidRDefault="00DC7BFD" w:rsidP="00DC7BFD">
      <w:pPr>
        <w:pStyle w:val="Caption"/>
        <w:keepNext/>
        <w:jc w:val="left"/>
      </w:pPr>
      <w:bookmarkStart w:id="140" w:name="_Toc515888831"/>
      <w:r>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27</w:t>
      </w:r>
      <w:r w:rsidR="00556A17">
        <w:rPr>
          <w:noProof/>
        </w:rPr>
        <w:fldChar w:fldCharType="end"/>
      </w:r>
      <w:r>
        <w:t>: Scenario 1 supply and demand comparison</w:t>
      </w:r>
      <w:bookmarkEnd w:id="140"/>
    </w:p>
    <w:p w:rsidR="007E2B2A" w:rsidRDefault="007E2B2A" w:rsidP="00EF08AC">
      <w:pPr>
        <w:jc w:val="left"/>
        <w:rPr>
          <w:noProof/>
          <w:lang w:eastAsia="en-AU"/>
        </w:rPr>
      </w:pPr>
      <w:r>
        <w:rPr>
          <w:noProof/>
          <w:lang w:eastAsia="en-AU"/>
        </w:rPr>
        <w:drawing>
          <wp:inline distT="0" distB="0" distL="0" distR="0" wp14:anchorId="1A55370E" wp14:editId="522DD5CC">
            <wp:extent cx="2700655" cy="2304415"/>
            <wp:effectExtent l="0" t="0" r="4445" b="635"/>
            <wp:docPr id="687" name="Picture 687" descr="Show the effect of the scenario modelled over the projection period and how will come into balance by 2030. It also demonstrates the supply over the projection period, with the ± 3 per cent margin of error that is factored in. Scenario 1, the demand is closer to the lower range (-3 per cent) of the error margin." title="Figure 27: Scenario 1 supply and demand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655" cy="2304415"/>
                    </a:xfrm>
                    <a:prstGeom prst="rect">
                      <a:avLst/>
                    </a:prstGeom>
                    <a:noFill/>
                  </pic:spPr>
                </pic:pic>
              </a:graphicData>
            </a:graphic>
          </wp:inline>
        </w:drawing>
      </w:r>
    </w:p>
    <w:p w:rsidR="00DC7BFD" w:rsidRDefault="00DC7BFD" w:rsidP="00DC7BFD">
      <w:pPr>
        <w:pStyle w:val="Caption"/>
        <w:keepNext/>
        <w:jc w:val="left"/>
      </w:pPr>
      <w:bookmarkStart w:id="141" w:name="_Toc515888832"/>
      <w:r>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28</w:t>
      </w:r>
      <w:r w:rsidR="00556A17">
        <w:rPr>
          <w:noProof/>
        </w:rPr>
        <w:fldChar w:fldCharType="end"/>
      </w:r>
      <w:r>
        <w:t>: Scenario 2 supply and demand comparison</w:t>
      </w:r>
      <w:bookmarkEnd w:id="141"/>
    </w:p>
    <w:p w:rsidR="007E2B2A" w:rsidRDefault="007E2B2A" w:rsidP="00EF08AC">
      <w:pPr>
        <w:sectPr w:rsidR="007E2B2A" w:rsidSect="00561EB0">
          <w:type w:val="continuous"/>
          <w:pgSz w:w="11906" w:h="16838"/>
          <w:pgMar w:top="1440" w:right="1440" w:bottom="1440" w:left="1440" w:header="709" w:footer="709" w:gutter="0"/>
          <w:cols w:num="2" w:space="708"/>
          <w:titlePg/>
          <w:docGrid w:linePitch="360"/>
        </w:sectPr>
      </w:pPr>
      <w:r>
        <w:rPr>
          <w:noProof/>
          <w:lang w:eastAsia="en-AU"/>
        </w:rPr>
        <w:drawing>
          <wp:inline distT="0" distB="0" distL="0" distR="0" wp14:anchorId="436FD86A" wp14:editId="34CE242A">
            <wp:extent cx="2700655" cy="2304415"/>
            <wp:effectExtent l="0" t="0" r="4445" b="635"/>
            <wp:docPr id="691" name="Picture 691" descr="Show the effect of the scenario modelled over the projection period and how will come into balance by 2030. It also demonstrates the supply over the projection period, with the ± 3 per cent margin of error that is factored in. Scenario 2, the demand line has shifted to the higher range of the error margin (+3 per cent). Scenario 2 in comparison has a lower supply headcount than scenario 1, due to the reduction in the migration numbers of the projection period." title="Figure 28: Scenario 2 supply and demand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655" cy="2304415"/>
                    </a:xfrm>
                    <a:prstGeom prst="rect">
                      <a:avLst/>
                    </a:prstGeom>
                    <a:noFill/>
                  </pic:spPr>
                </pic:pic>
              </a:graphicData>
            </a:graphic>
          </wp:inline>
        </w:drawing>
      </w:r>
    </w:p>
    <w:p w:rsidR="00886DAA" w:rsidRDefault="004A6A8F" w:rsidP="00090A1A">
      <w:pPr>
        <w:pStyle w:val="Heading3"/>
      </w:pPr>
      <w:r>
        <w:lastRenderedPageBreak/>
        <w:t>Ongoing monitoring</w:t>
      </w:r>
    </w:p>
    <w:p w:rsidR="00886DAA" w:rsidRDefault="00886DAA" w:rsidP="00544360">
      <w:r w:rsidRPr="00AE71AD">
        <w:t xml:space="preserve">These supply and demand projections are only the first step of the process in determining </w:t>
      </w:r>
      <w:r w:rsidR="004A6A8F">
        <w:t xml:space="preserve">supply and </w:t>
      </w:r>
      <w:r w:rsidRPr="00AE71AD">
        <w:t xml:space="preserve">capacity. The next step is determining the training pathway and trajectory. The development of such a training plan begins to unpick the issues and recognise the drivers and/or barriers that a long term plan will need to address to maintain adequate supply to meet demand in the future. This will also be closely monitored by continually adjusting the modelling projection to address policy changes and other government initiatives that are likely to impact on the supply and demand for </w:t>
      </w:r>
      <w:r w:rsidR="00171031">
        <w:t>O&amp;G</w:t>
      </w:r>
      <w:r w:rsidRPr="00AE71AD">
        <w:t>. It, however, does not factor in unmet demand.</w:t>
      </w:r>
    </w:p>
    <w:p w:rsidR="00886DAA" w:rsidRDefault="00886DAA" w:rsidP="00544360">
      <w:pPr>
        <w:pStyle w:val="Heading2"/>
        <w:spacing w:before="0" w:after="0"/>
      </w:pPr>
      <w:bookmarkStart w:id="142" w:name="_Toc429581527"/>
      <w:bookmarkStart w:id="143" w:name="_Toc521510468"/>
      <w:r w:rsidRPr="00380E28">
        <w:t xml:space="preserve">Training </w:t>
      </w:r>
      <w:r w:rsidR="007F61ED">
        <w:t xml:space="preserve">Analysis </w:t>
      </w:r>
      <w:r w:rsidR="00EF08AC">
        <w:t>P</w:t>
      </w:r>
      <w:r w:rsidRPr="00380E28">
        <w:t>ipeline</w:t>
      </w:r>
      <w:bookmarkEnd w:id="142"/>
      <w:r w:rsidR="007F61ED">
        <w:t xml:space="preserve"> (TAP)</w:t>
      </w:r>
      <w:bookmarkEnd w:id="143"/>
    </w:p>
    <w:p w:rsidR="008C7087" w:rsidRPr="005A44BC" w:rsidRDefault="00886DAA" w:rsidP="005A44BC">
      <w:r w:rsidRPr="00994125">
        <w:t xml:space="preserve">The purpose of the training </w:t>
      </w:r>
      <w:r w:rsidR="007F61ED">
        <w:t>analysis pipeline</w:t>
      </w:r>
      <w:r w:rsidRPr="00994125">
        <w:t xml:space="preserve"> is to project future vocational training numbers entering the training program as a basis for forecasting the number of domestic and </w:t>
      </w:r>
      <w:r w:rsidR="00CA1D1D">
        <w:t>SIMG</w:t>
      </w:r>
      <w:r w:rsidRPr="00994125">
        <w:t xml:space="preserve"> </w:t>
      </w:r>
      <w:r w:rsidR="00203F88">
        <w:t>n</w:t>
      </w:r>
      <w:r w:rsidR="0065243B" w:rsidRPr="00B30D1E">
        <w:t xml:space="preserve">ew </w:t>
      </w:r>
      <w:r w:rsidRPr="00B30D1E">
        <w:t xml:space="preserve">Fellows as inflows into the workforce projections. </w:t>
      </w:r>
      <w:r w:rsidR="00A36AAA" w:rsidRPr="00B30D1E">
        <w:fldChar w:fldCharType="begin"/>
      </w:r>
      <w:r w:rsidR="00A36AAA" w:rsidRPr="00B30D1E">
        <w:instrText xml:space="preserve"> REF _Ref442267578 \h </w:instrText>
      </w:r>
      <w:r w:rsidR="00A92FD3" w:rsidRPr="00B30D1E">
        <w:instrText xml:space="preserve"> \* MERGEFORMAT </w:instrText>
      </w:r>
      <w:r w:rsidR="00A36AAA" w:rsidRPr="00B30D1E">
        <w:fldChar w:fldCharType="separate"/>
      </w:r>
    </w:p>
    <w:p w:rsidR="0056114B" w:rsidRDefault="008C7087" w:rsidP="005A44BC">
      <w:r w:rsidRPr="00F23728">
        <w:t xml:space="preserve">Table </w:t>
      </w:r>
      <w:r>
        <w:rPr>
          <w:noProof/>
        </w:rPr>
        <w:t>15</w:t>
      </w:r>
      <w:r w:rsidR="00A36AAA" w:rsidRPr="00B30D1E">
        <w:fldChar w:fldCharType="end"/>
      </w:r>
      <w:r w:rsidR="009E7CF0" w:rsidRPr="00B30D1E">
        <w:t xml:space="preserve"> </w:t>
      </w:r>
      <w:r w:rsidR="00886DAA" w:rsidRPr="00B30D1E">
        <w:t xml:space="preserve">shows the predicted movement of trainees from </w:t>
      </w:r>
      <w:r w:rsidR="00625188">
        <w:t>enterin</w:t>
      </w:r>
      <w:r w:rsidR="0056114B">
        <w:t>g the college training program</w:t>
      </w:r>
      <w:r w:rsidR="00886DAA" w:rsidRPr="00B30D1E">
        <w:t xml:space="preserve"> right through to becoming a new Fellow (</w:t>
      </w:r>
      <w:r w:rsidR="004A6A8F" w:rsidRPr="00B30D1E">
        <w:t>D</w:t>
      </w:r>
      <w:r w:rsidR="00886DAA" w:rsidRPr="00B30D1E">
        <w:t xml:space="preserve">omestic or </w:t>
      </w:r>
      <w:r w:rsidR="00CA1D1D">
        <w:t>S</w:t>
      </w:r>
      <w:r w:rsidR="002563E1" w:rsidRPr="00B30D1E">
        <w:t>IMG</w:t>
      </w:r>
      <w:r w:rsidR="007F61ED">
        <w:t>s</w:t>
      </w:r>
      <w:r w:rsidR="00886DAA" w:rsidRPr="00B30D1E">
        <w:t xml:space="preserve">) in </w:t>
      </w:r>
      <w:r w:rsidR="009E7CF0" w:rsidRPr="00B30D1E">
        <w:t xml:space="preserve">a </w:t>
      </w:r>
      <w:r w:rsidR="00886DAA" w:rsidRPr="00B30D1E">
        <w:t xml:space="preserve">dynamic pipeline. </w:t>
      </w:r>
    </w:p>
    <w:p w:rsidR="00BA4650" w:rsidRPr="005A44BC" w:rsidRDefault="00625188" w:rsidP="005A44BC">
      <w:r>
        <w:t>T</w:t>
      </w:r>
      <w:r w:rsidR="00886DAA" w:rsidRPr="00B30D1E">
        <w:t>he methodology focus</w:t>
      </w:r>
      <w:r>
        <w:t>es</w:t>
      </w:r>
      <w:r w:rsidR="00886DAA" w:rsidRPr="00B30D1E">
        <w:t xml:space="preserve"> on moving through the </w:t>
      </w:r>
      <w:r w:rsidR="009E7CF0" w:rsidRPr="00B30D1E">
        <w:t>training levels</w:t>
      </w:r>
      <w:r w:rsidR="00886DAA" w:rsidRPr="00B30D1E">
        <w:t xml:space="preserve"> </w:t>
      </w:r>
      <w:r w:rsidR="00DF4178">
        <w:t>and is based on</w:t>
      </w:r>
      <w:r w:rsidR="00886DAA" w:rsidRPr="00AE71AD">
        <w:t xml:space="preserve"> data requested from the College to assist in more accurately determining the movement.</w:t>
      </w:r>
      <w:r w:rsidR="00BB2A54">
        <w:t xml:space="preserve"> In the future, when data over </w:t>
      </w:r>
      <w:r w:rsidR="0056114B">
        <w:t xml:space="preserve">more </w:t>
      </w:r>
      <w:r w:rsidR="00BB2A54">
        <w:t xml:space="preserve">time points have been collected from the College, more accurate transition rates can be calculated. </w:t>
      </w:r>
      <w:bookmarkStart w:id="144" w:name="_Ref442267578"/>
      <w:bookmarkStart w:id="145" w:name="_Ref443555233"/>
    </w:p>
    <w:p w:rsidR="006653EA" w:rsidRPr="00F23728" w:rsidRDefault="006653EA" w:rsidP="006348E7">
      <w:pPr>
        <w:pStyle w:val="Caption"/>
        <w:keepNext/>
      </w:pPr>
      <w:bookmarkStart w:id="146" w:name="_Toc515887836"/>
      <w:r w:rsidRPr="00F23728">
        <w:t xml:space="preserve">Table </w:t>
      </w:r>
      <w:r w:rsidR="008F108A" w:rsidRPr="00F23728">
        <w:fldChar w:fldCharType="begin"/>
      </w:r>
      <w:r w:rsidR="00F90CFA" w:rsidRPr="00F23728">
        <w:instrText xml:space="preserve"> SEQ Table \* ARABIC </w:instrText>
      </w:r>
      <w:r w:rsidR="008F108A" w:rsidRPr="00F23728">
        <w:fldChar w:fldCharType="separate"/>
      </w:r>
      <w:r w:rsidR="008C7087">
        <w:rPr>
          <w:noProof/>
        </w:rPr>
        <w:t>15</w:t>
      </w:r>
      <w:r w:rsidR="008F108A" w:rsidRPr="00F23728">
        <w:rPr>
          <w:noProof/>
        </w:rPr>
        <w:fldChar w:fldCharType="end"/>
      </w:r>
      <w:bookmarkEnd w:id="144"/>
      <w:r w:rsidR="00090A1A">
        <w:rPr>
          <w:noProof/>
        </w:rPr>
        <w:t>:</w:t>
      </w:r>
      <w:r w:rsidRPr="00F23728">
        <w:t xml:space="preserve"> </w:t>
      </w:r>
      <w:r w:rsidR="00090A1A">
        <w:t>TAP transition</w:t>
      </w:r>
      <w:bookmarkEnd w:id="145"/>
      <w:r w:rsidR="00090A1A">
        <w:t xml:space="preserve"> calculations</w:t>
      </w:r>
      <w:bookmarkEnd w:id="146"/>
    </w:p>
    <w:tbl>
      <w:tblPr>
        <w:tblStyle w:val="LightShading-Accent1"/>
        <w:tblW w:w="4879" w:type="pct"/>
        <w:tblInd w:w="108" w:type="dxa"/>
        <w:tblLayout w:type="fixed"/>
        <w:tblLook w:val="04A0" w:firstRow="1" w:lastRow="0" w:firstColumn="1" w:lastColumn="0" w:noHBand="0" w:noVBand="1"/>
        <w:tblCaption w:val="Table 15: Training analysis pipeline transition calculations"/>
        <w:tblDescription w:val="This shows the training analysis pipeline transition calculations."/>
      </w:tblPr>
      <w:tblGrid>
        <w:gridCol w:w="3667"/>
        <w:gridCol w:w="1048"/>
        <w:gridCol w:w="4303"/>
      </w:tblGrid>
      <w:tr w:rsidR="00A5438F" w:rsidRPr="00A5438F" w:rsidTr="002348F6">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2033" w:type="pct"/>
            <w:tcBorders>
              <w:top w:val="single" w:sz="4" w:space="0" w:color="auto"/>
              <w:left w:val="single" w:sz="4" w:space="0" w:color="auto"/>
              <w:bottom w:val="single" w:sz="4" w:space="0" w:color="auto"/>
            </w:tcBorders>
            <w:shd w:val="clear" w:color="auto" w:fill="1F497D" w:themeFill="text2"/>
            <w:noWrap/>
          </w:tcPr>
          <w:p w:rsidR="00CF58BD" w:rsidRPr="00A5438F" w:rsidRDefault="00CF58BD" w:rsidP="00B72A04">
            <w:pPr>
              <w:spacing w:before="0" w:after="0"/>
              <w:jc w:val="left"/>
              <w:rPr>
                <w:color w:val="FFFFFF" w:themeColor="background1"/>
                <w:sz w:val="20"/>
                <w:szCs w:val="20"/>
                <w:lang w:eastAsia="en-AU"/>
              </w:rPr>
            </w:pPr>
            <w:r w:rsidRPr="00A5438F">
              <w:rPr>
                <w:color w:val="FFFFFF" w:themeColor="background1"/>
                <w:sz w:val="20"/>
                <w:szCs w:val="20"/>
                <w:lang w:eastAsia="en-AU"/>
              </w:rPr>
              <w:t>Movements</w:t>
            </w:r>
          </w:p>
        </w:tc>
        <w:tc>
          <w:tcPr>
            <w:tcW w:w="581" w:type="pct"/>
            <w:tcBorders>
              <w:top w:val="single" w:sz="4" w:space="0" w:color="auto"/>
              <w:bottom w:val="single" w:sz="4" w:space="0" w:color="auto"/>
            </w:tcBorders>
            <w:shd w:val="clear" w:color="auto" w:fill="1F497D" w:themeFill="text2"/>
            <w:noWrap/>
          </w:tcPr>
          <w:p w:rsidR="00CF58BD" w:rsidRPr="00A5438F" w:rsidRDefault="00A5438F" w:rsidP="00B72A0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Pr>
                <w:color w:val="FFFFFF" w:themeColor="background1"/>
                <w:sz w:val="20"/>
                <w:szCs w:val="20"/>
                <w:lang w:eastAsia="en-AU"/>
              </w:rPr>
              <w:t xml:space="preserve">Number </w:t>
            </w:r>
          </w:p>
        </w:tc>
        <w:tc>
          <w:tcPr>
            <w:tcW w:w="2387" w:type="pct"/>
            <w:tcBorders>
              <w:top w:val="single" w:sz="4" w:space="0" w:color="auto"/>
              <w:bottom w:val="single" w:sz="4" w:space="0" w:color="auto"/>
              <w:right w:val="single" w:sz="4" w:space="0" w:color="auto"/>
            </w:tcBorders>
            <w:shd w:val="clear" w:color="auto" w:fill="1F497D" w:themeFill="text2"/>
            <w:noWrap/>
          </w:tcPr>
          <w:p w:rsidR="00CF58BD" w:rsidRPr="00A5438F" w:rsidRDefault="00CF58BD" w:rsidP="00B72A04">
            <w:pPr>
              <w:spacing w:before="0" w:after="0"/>
              <w:jc w:val="left"/>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A5438F">
              <w:rPr>
                <w:bCs w:val="0"/>
                <w:color w:val="FFFFFF" w:themeColor="background1"/>
                <w:sz w:val="20"/>
                <w:szCs w:val="20"/>
                <w:lang w:eastAsia="en-AU"/>
              </w:rPr>
              <w:t>Comments</w:t>
            </w: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top w:val="single" w:sz="4" w:space="0" w:color="auto"/>
              <w:left w:val="single" w:sz="4" w:space="0" w:color="auto"/>
            </w:tcBorders>
            <w:noWrap/>
          </w:tcPr>
          <w:p w:rsidR="00CF58BD" w:rsidRPr="007F61ED" w:rsidRDefault="00CF58BD" w:rsidP="00B72A04">
            <w:pPr>
              <w:spacing w:before="0" w:after="0"/>
              <w:jc w:val="left"/>
              <w:rPr>
                <w:b w:val="0"/>
                <w:color w:val="auto"/>
                <w:sz w:val="20"/>
                <w:szCs w:val="20"/>
                <w:lang w:eastAsia="en-AU"/>
              </w:rPr>
            </w:pPr>
            <w:r w:rsidRPr="007F61ED">
              <w:rPr>
                <w:b w:val="0"/>
                <w:color w:val="auto"/>
                <w:sz w:val="20"/>
                <w:szCs w:val="20"/>
                <w:lang w:eastAsia="en-AU"/>
              </w:rPr>
              <w:t>New intake</w:t>
            </w:r>
          </w:p>
        </w:tc>
        <w:tc>
          <w:tcPr>
            <w:tcW w:w="581" w:type="pct"/>
            <w:tcBorders>
              <w:top w:val="single" w:sz="4" w:space="0" w:color="auto"/>
            </w:tcBorders>
            <w:noWrap/>
          </w:tcPr>
          <w:p w:rsidR="00CF58BD" w:rsidRPr="007F61ED" w:rsidRDefault="00573B17" w:rsidP="00B72A0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25%</w:t>
            </w:r>
          </w:p>
        </w:tc>
        <w:tc>
          <w:tcPr>
            <w:tcW w:w="2387" w:type="pct"/>
            <w:tcBorders>
              <w:top w:val="single" w:sz="4" w:space="0" w:color="auto"/>
              <w:right w:val="single" w:sz="4" w:space="0" w:color="auto"/>
            </w:tcBorders>
          </w:tcPr>
          <w:p w:rsidR="00CF58BD" w:rsidRPr="007F61ED" w:rsidRDefault="00382301" w:rsidP="00B72A0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Per</w:t>
            </w:r>
            <w:r w:rsidR="00C65FC7">
              <w:rPr>
                <w:color w:val="auto"/>
                <w:sz w:val="20"/>
                <w:szCs w:val="20"/>
                <w:lang w:eastAsia="en-AU"/>
              </w:rPr>
              <w:t xml:space="preserve"> </w:t>
            </w:r>
            <w:r w:rsidRPr="007F61ED">
              <w:rPr>
                <w:color w:val="auto"/>
                <w:sz w:val="20"/>
                <w:szCs w:val="20"/>
                <w:lang w:eastAsia="en-AU"/>
              </w:rPr>
              <w:t>cent</w:t>
            </w:r>
            <w:r w:rsidR="00CF58BD" w:rsidRPr="007F61ED">
              <w:rPr>
                <w:color w:val="auto"/>
                <w:sz w:val="20"/>
                <w:szCs w:val="20"/>
                <w:lang w:eastAsia="en-AU"/>
              </w:rPr>
              <w:t xml:space="preserve"> of previous years basic trainees</w:t>
            </w:r>
          </w:p>
        </w:tc>
      </w:tr>
      <w:tr w:rsidR="00090A1A" w:rsidRPr="007F61ED" w:rsidTr="002348F6">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4423CA" w:rsidP="00B72A04">
            <w:pPr>
              <w:spacing w:before="0" w:after="0"/>
              <w:jc w:val="left"/>
              <w:rPr>
                <w:b w:val="0"/>
                <w:color w:val="auto"/>
                <w:sz w:val="20"/>
                <w:szCs w:val="20"/>
                <w:lang w:eastAsia="en-AU"/>
              </w:rPr>
            </w:pPr>
            <w:r w:rsidRPr="007F61ED">
              <w:rPr>
                <w:b w:val="0"/>
                <w:color w:val="auto"/>
                <w:sz w:val="20"/>
                <w:szCs w:val="20"/>
                <w:lang w:eastAsia="en-AU"/>
              </w:rPr>
              <w:t>Basic</w:t>
            </w:r>
            <w:r w:rsidR="000931AC" w:rsidRPr="007F61ED">
              <w:rPr>
                <w:b w:val="0"/>
                <w:color w:val="auto"/>
                <w:sz w:val="20"/>
                <w:szCs w:val="20"/>
                <w:lang w:eastAsia="en-AU"/>
              </w:rPr>
              <w:t xml:space="preserve"> </w:t>
            </w:r>
            <w:r w:rsidR="00CF58BD" w:rsidRPr="007F61ED">
              <w:rPr>
                <w:b w:val="0"/>
                <w:color w:val="auto"/>
                <w:sz w:val="20"/>
                <w:szCs w:val="20"/>
                <w:lang w:eastAsia="en-AU"/>
              </w:rPr>
              <w:t xml:space="preserve">Training to </w:t>
            </w:r>
            <w:r w:rsidRPr="007F61ED">
              <w:rPr>
                <w:b w:val="0"/>
                <w:color w:val="auto"/>
                <w:sz w:val="20"/>
                <w:szCs w:val="20"/>
                <w:lang w:eastAsia="en-AU"/>
              </w:rPr>
              <w:t>Basic</w:t>
            </w:r>
            <w:r w:rsidR="000931AC" w:rsidRPr="007F61ED">
              <w:rPr>
                <w:b w:val="0"/>
                <w:color w:val="auto"/>
                <w:sz w:val="20"/>
                <w:szCs w:val="20"/>
                <w:lang w:eastAsia="en-AU"/>
              </w:rPr>
              <w:t xml:space="preserve"> </w:t>
            </w:r>
            <w:r w:rsidR="006653EA" w:rsidRPr="007F61ED">
              <w:rPr>
                <w:b w:val="0"/>
                <w:color w:val="auto"/>
                <w:sz w:val="20"/>
                <w:szCs w:val="20"/>
                <w:lang w:eastAsia="en-AU"/>
              </w:rPr>
              <w:t>Training</w:t>
            </w:r>
          </w:p>
        </w:tc>
        <w:tc>
          <w:tcPr>
            <w:tcW w:w="581" w:type="pct"/>
            <w:noWrap/>
          </w:tcPr>
          <w:p w:rsidR="00CF58BD" w:rsidRPr="007F61ED" w:rsidRDefault="006C1B31"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76%</w:t>
            </w:r>
          </w:p>
        </w:tc>
        <w:tc>
          <w:tcPr>
            <w:tcW w:w="2387" w:type="pct"/>
            <w:tcBorders>
              <w:right w:val="single" w:sz="4" w:space="0" w:color="auto"/>
            </w:tcBorders>
            <w:noWrap/>
          </w:tcPr>
          <w:p w:rsidR="00CF58BD" w:rsidRPr="007F61ED" w:rsidRDefault="00CF58BD"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7F61ED">
              <w:rPr>
                <w:color w:val="auto"/>
                <w:sz w:val="20"/>
                <w:szCs w:val="20"/>
                <w:lang w:eastAsia="en-AU"/>
              </w:rPr>
              <w:t> </w:t>
            </w: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4423CA" w:rsidP="00B72A04">
            <w:pPr>
              <w:spacing w:before="0" w:after="0"/>
              <w:jc w:val="left"/>
              <w:rPr>
                <w:b w:val="0"/>
                <w:color w:val="auto"/>
                <w:sz w:val="20"/>
                <w:szCs w:val="20"/>
                <w:lang w:eastAsia="en-AU"/>
              </w:rPr>
            </w:pPr>
            <w:r w:rsidRPr="007F61ED">
              <w:rPr>
                <w:b w:val="0"/>
                <w:color w:val="auto"/>
                <w:sz w:val="20"/>
                <w:szCs w:val="20"/>
                <w:lang w:eastAsia="en-AU"/>
              </w:rPr>
              <w:t>Basic</w:t>
            </w:r>
            <w:r w:rsidR="000931AC" w:rsidRPr="007F61ED">
              <w:rPr>
                <w:b w:val="0"/>
                <w:color w:val="auto"/>
                <w:sz w:val="20"/>
                <w:szCs w:val="20"/>
                <w:lang w:eastAsia="en-AU"/>
              </w:rPr>
              <w:t xml:space="preserve"> </w:t>
            </w:r>
            <w:r w:rsidR="006653EA" w:rsidRPr="007F61ED">
              <w:rPr>
                <w:b w:val="0"/>
                <w:color w:val="auto"/>
                <w:sz w:val="20"/>
                <w:szCs w:val="20"/>
                <w:lang w:eastAsia="en-AU"/>
              </w:rPr>
              <w:t>Training</w:t>
            </w:r>
            <w:r w:rsidR="00CF58BD" w:rsidRPr="007F61ED">
              <w:rPr>
                <w:b w:val="0"/>
                <w:color w:val="auto"/>
                <w:sz w:val="20"/>
                <w:szCs w:val="20"/>
                <w:lang w:eastAsia="en-AU"/>
              </w:rPr>
              <w:t xml:space="preserve"> to </w:t>
            </w:r>
            <w:r w:rsidR="000931AC" w:rsidRPr="007F61ED">
              <w:rPr>
                <w:b w:val="0"/>
                <w:color w:val="auto"/>
                <w:sz w:val="20"/>
                <w:szCs w:val="20"/>
                <w:lang w:eastAsia="en-AU"/>
              </w:rPr>
              <w:t xml:space="preserve">Advanced </w:t>
            </w:r>
            <w:r w:rsidR="00CF58BD" w:rsidRPr="007F61ED">
              <w:rPr>
                <w:b w:val="0"/>
                <w:color w:val="auto"/>
                <w:sz w:val="20"/>
                <w:szCs w:val="20"/>
                <w:lang w:eastAsia="en-AU"/>
              </w:rPr>
              <w:t>T</w:t>
            </w:r>
            <w:r w:rsidR="006653EA" w:rsidRPr="007F61ED">
              <w:rPr>
                <w:b w:val="0"/>
                <w:color w:val="auto"/>
                <w:sz w:val="20"/>
                <w:szCs w:val="20"/>
                <w:lang w:eastAsia="en-AU"/>
              </w:rPr>
              <w:t>raining</w:t>
            </w:r>
          </w:p>
        </w:tc>
        <w:tc>
          <w:tcPr>
            <w:tcW w:w="581" w:type="pct"/>
            <w:noWrap/>
          </w:tcPr>
          <w:p w:rsidR="00CF58BD" w:rsidRPr="007F61ED" w:rsidRDefault="006C1B31" w:rsidP="00B72A0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24%</w:t>
            </w:r>
          </w:p>
        </w:tc>
        <w:tc>
          <w:tcPr>
            <w:tcW w:w="2387" w:type="pct"/>
            <w:tcBorders>
              <w:right w:val="single" w:sz="4" w:space="0" w:color="auto"/>
            </w:tcBorders>
            <w:noWrap/>
          </w:tcPr>
          <w:p w:rsidR="00CF58BD" w:rsidRPr="007F61ED" w:rsidRDefault="00CF58BD" w:rsidP="00B72A0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 </w:t>
            </w:r>
          </w:p>
        </w:tc>
      </w:tr>
      <w:tr w:rsidR="00090A1A" w:rsidRPr="007F61ED" w:rsidTr="002348F6">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4423CA" w:rsidRPr="007F61ED" w:rsidRDefault="004423CA" w:rsidP="00B72A04">
            <w:pPr>
              <w:spacing w:before="0" w:after="0"/>
              <w:jc w:val="left"/>
              <w:rPr>
                <w:b w:val="0"/>
                <w:color w:val="auto"/>
                <w:sz w:val="20"/>
                <w:szCs w:val="20"/>
                <w:lang w:eastAsia="en-AU"/>
              </w:rPr>
            </w:pPr>
            <w:r w:rsidRPr="007F61ED">
              <w:rPr>
                <w:b w:val="0"/>
                <w:color w:val="auto"/>
                <w:sz w:val="20"/>
                <w:szCs w:val="20"/>
                <w:lang w:eastAsia="en-AU"/>
              </w:rPr>
              <w:t>Advanced Training to Advanced Training</w:t>
            </w:r>
          </w:p>
        </w:tc>
        <w:tc>
          <w:tcPr>
            <w:tcW w:w="581" w:type="pct"/>
            <w:noWrap/>
          </w:tcPr>
          <w:p w:rsidR="004423CA" w:rsidRPr="007F61ED" w:rsidRDefault="006C1B31"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60%</w:t>
            </w:r>
          </w:p>
        </w:tc>
        <w:tc>
          <w:tcPr>
            <w:tcW w:w="2387" w:type="pct"/>
            <w:tcBorders>
              <w:right w:val="single" w:sz="4" w:space="0" w:color="auto"/>
            </w:tcBorders>
            <w:noWrap/>
          </w:tcPr>
          <w:p w:rsidR="004423CA" w:rsidRPr="007F61ED" w:rsidRDefault="004423CA"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0931AC" w:rsidP="00B72A04">
            <w:pPr>
              <w:spacing w:before="0" w:after="0"/>
              <w:jc w:val="left"/>
              <w:rPr>
                <w:b w:val="0"/>
                <w:color w:val="auto"/>
                <w:sz w:val="20"/>
                <w:szCs w:val="20"/>
                <w:lang w:eastAsia="en-AU"/>
              </w:rPr>
            </w:pPr>
            <w:r w:rsidRPr="007F61ED">
              <w:rPr>
                <w:b w:val="0"/>
                <w:color w:val="auto"/>
                <w:sz w:val="20"/>
                <w:szCs w:val="20"/>
                <w:lang w:eastAsia="en-AU"/>
              </w:rPr>
              <w:t>Advance</w:t>
            </w:r>
            <w:r w:rsidR="004423CA" w:rsidRPr="007F61ED">
              <w:rPr>
                <w:b w:val="0"/>
                <w:color w:val="auto"/>
                <w:sz w:val="20"/>
                <w:szCs w:val="20"/>
                <w:lang w:eastAsia="en-AU"/>
              </w:rPr>
              <w:t>d</w:t>
            </w:r>
            <w:r w:rsidR="006653EA" w:rsidRPr="007F61ED">
              <w:rPr>
                <w:b w:val="0"/>
                <w:color w:val="auto"/>
                <w:sz w:val="20"/>
                <w:szCs w:val="20"/>
                <w:lang w:eastAsia="en-AU"/>
              </w:rPr>
              <w:t xml:space="preserve"> Training</w:t>
            </w:r>
            <w:r w:rsidR="00CF58BD" w:rsidRPr="007F61ED">
              <w:rPr>
                <w:b w:val="0"/>
                <w:color w:val="auto"/>
                <w:sz w:val="20"/>
                <w:szCs w:val="20"/>
                <w:lang w:eastAsia="en-AU"/>
              </w:rPr>
              <w:t xml:space="preserve"> to </w:t>
            </w:r>
            <w:r w:rsidR="006653EA" w:rsidRPr="007F61ED">
              <w:rPr>
                <w:b w:val="0"/>
                <w:color w:val="auto"/>
                <w:sz w:val="20"/>
                <w:szCs w:val="20"/>
                <w:lang w:eastAsia="en-AU"/>
              </w:rPr>
              <w:t>N</w:t>
            </w:r>
            <w:r w:rsidR="00CF58BD" w:rsidRPr="007F61ED">
              <w:rPr>
                <w:b w:val="0"/>
                <w:color w:val="auto"/>
                <w:sz w:val="20"/>
                <w:szCs w:val="20"/>
                <w:lang w:eastAsia="en-AU"/>
              </w:rPr>
              <w:t>ew Fellow</w:t>
            </w:r>
          </w:p>
        </w:tc>
        <w:tc>
          <w:tcPr>
            <w:tcW w:w="581" w:type="pct"/>
            <w:noWrap/>
          </w:tcPr>
          <w:p w:rsidR="00CF58BD" w:rsidRPr="007F61ED" w:rsidRDefault="006C1B31" w:rsidP="00473A3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3</w:t>
            </w:r>
            <w:r w:rsidR="00473A34">
              <w:rPr>
                <w:color w:val="auto"/>
                <w:sz w:val="20"/>
                <w:szCs w:val="20"/>
                <w:lang w:eastAsia="en-AU"/>
              </w:rPr>
              <w:t>8</w:t>
            </w:r>
            <w:r>
              <w:rPr>
                <w:color w:val="auto"/>
                <w:sz w:val="20"/>
                <w:szCs w:val="20"/>
                <w:lang w:eastAsia="en-AU"/>
              </w:rPr>
              <w:t>%</w:t>
            </w:r>
          </w:p>
        </w:tc>
        <w:tc>
          <w:tcPr>
            <w:tcW w:w="2387" w:type="pct"/>
            <w:tcBorders>
              <w:right w:val="single" w:sz="4" w:space="0" w:color="auto"/>
            </w:tcBorders>
            <w:noWrap/>
          </w:tcPr>
          <w:p w:rsidR="00CF58BD" w:rsidRPr="007F61ED" w:rsidRDefault="00CF58BD" w:rsidP="00B72A0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 </w:t>
            </w:r>
          </w:p>
        </w:tc>
      </w:tr>
      <w:tr w:rsidR="00090A1A" w:rsidRPr="007F61ED" w:rsidTr="002348F6">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CF58BD" w:rsidP="00B72A04">
            <w:pPr>
              <w:spacing w:before="0" w:after="0"/>
              <w:jc w:val="left"/>
              <w:rPr>
                <w:b w:val="0"/>
                <w:color w:val="auto"/>
                <w:sz w:val="20"/>
                <w:szCs w:val="20"/>
                <w:lang w:eastAsia="en-AU"/>
              </w:rPr>
            </w:pPr>
            <w:r w:rsidRPr="007F61ED">
              <w:rPr>
                <w:b w:val="0"/>
                <w:color w:val="auto"/>
                <w:sz w:val="20"/>
                <w:szCs w:val="20"/>
                <w:lang w:eastAsia="en-AU"/>
              </w:rPr>
              <w:t>Retention rate </w:t>
            </w:r>
          </w:p>
        </w:tc>
        <w:tc>
          <w:tcPr>
            <w:tcW w:w="581" w:type="pct"/>
            <w:noWrap/>
          </w:tcPr>
          <w:p w:rsidR="00CF58BD" w:rsidRPr="007F61ED" w:rsidRDefault="002464CA"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99</w:t>
            </w:r>
            <w:r w:rsidR="006C1B31">
              <w:rPr>
                <w:color w:val="auto"/>
                <w:sz w:val="20"/>
                <w:szCs w:val="20"/>
                <w:lang w:eastAsia="en-AU"/>
              </w:rPr>
              <w:t>%</w:t>
            </w:r>
          </w:p>
        </w:tc>
        <w:tc>
          <w:tcPr>
            <w:tcW w:w="2387" w:type="pct"/>
            <w:tcBorders>
              <w:right w:val="single" w:sz="4" w:space="0" w:color="auto"/>
            </w:tcBorders>
            <w:noWrap/>
          </w:tcPr>
          <w:p w:rsidR="00CF58BD" w:rsidRPr="007F61ED" w:rsidRDefault="00CF58BD"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AB5839" w:rsidRDefault="00CF58BD" w:rsidP="00B72A04">
            <w:pPr>
              <w:spacing w:before="0" w:after="0"/>
              <w:jc w:val="left"/>
              <w:rPr>
                <w:b w:val="0"/>
                <w:bCs w:val="0"/>
                <w:color w:val="auto"/>
                <w:sz w:val="20"/>
                <w:szCs w:val="20"/>
                <w:lang w:eastAsia="en-AU"/>
              </w:rPr>
            </w:pPr>
            <w:r w:rsidRPr="007F61ED">
              <w:rPr>
                <w:b w:val="0"/>
                <w:color w:val="auto"/>
                <w:sz w:val="20"/>
                <w:szCs w:val="20"/>
                <w:lang w:eastAsia="en-AU"/>
              </w:rPr>
              <w:t>Through rate</w:t>
            </w:r>
          </w:p>
        </w:tc>
        <w:tc>
          <w:tcPr>
            <w:tcW w:w="581" w:type="pct"/>
            <w:noWrap/>
          </w:tcPr>
          <w:p w:rsidR="00CF58BD" w:rsidRPr="007F61ED" w:rsidRDefault="006C1B31" w:rsidP="00B72A0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94%</w:t>
            </w:r>
          </w:p>
        </w:tc>
        <w:tc>
          <w:tcPr>
            <w:tcW w:w="2387" w:type="pct"/>
            <w:tcBorders>
              <w:right w:val="single" w:sz="4" w:space="0" w:color="auto"/>
            </w:tcBorders>
            <w:noWrap/>
          </w:tcPr>
          <w:p w:rsidR="00CF58BD" w:rsidRPr="007F61ED" w:rsidRDefault="006653EA" w:rsidP="00473A3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I</w:t>
            </w:r>
            <w:r w:rsidR="00CF58BD" w:rsidRPr="007F61ED">
              <w:rPr>
                <w:color w:val="auto"/>
                <w:sz w:val="20"/>
                <w:szCs w:val="20"/>
                <w:lang w:eastAsia="en-AU"/>
              </w:rPr>
              <w:t xml:space="preserve">f everyone FT and complete in </w:t>
            </w:r>
            <w:r w:rsidR="00473A34">
              <w:rPr>
                <w:color w:val="auto"/>
                <w:sz w:val="20"/>
                <w:szCs w:val="20"/>
                <w:lang w:eastAsia="en-AU"/>
              </w:rPr>
              <w:t>72</w:t>
            </w:r>
            <w:r w:rsidR="00CF58BD" w:rsidRPr="007F61ED">
              <w:rPr>
                <w:color w:val="auto"/>
                <w:sz w:val="20"/>
                <w:szCs w:val="20"/>
                <w:lang w:eastAsia="en-AU"/>
              </w:rPr>
              <w:t xml:space="preserve"> months</w:t>
            </w:r>
          </w:p>
        </w:tc>
      </w:tr>
      <w:tr w:rsidR="00090A1A" w:rsidRPr="007F61ED" w:rsidTr="00AB5839">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shd w:val="clear" w:color="auto" w:fill="D3DFEE" w:themeFill="accent1" w:themeFillTint="3F"/>
            <w:noWrap/>
          </w:tcPr>
          <w:p w:rsidR="00CF58BD" w:rsidRPr="007F61ED" w:rsidRDefault="00CF58BD" w:rsidP="00B72A04">
            <w:pPr>
              <w:spacing w:before="0" w:after="0"/>
              <w:jc w:val="left"/>
              <w:rPr>
                <w:b w:val="0"/>
                <w:color w:val="auto"/>
                <w:sz w:val="20"/>
                <w:szCs w:val="20"/>
                <w:lang w:eastAsia="en-AU"/>
              </w:rPr>
            </w:pPr>
          </w:p>
        </w:tc>
        <w:tc>
          <w:tcPr>
            <w:tcW w:w="581" w:type="pct"/>
            <w:noWrap/>
          </w:tcPr>
          <w:p w:rsidR="00CF58BD" w:rsidRPr="007F61ED" w:rsidRDefault="00473A34"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90</w:t>
            </w:r>
            <w:r w:rsidR="006C1B31">
              <w:rPr>
                <w:color w:val="auto"/>
                <w:sz w:val="20"/>
                <w:szCs w:val="20"/>
                <w:lang w:eastAsia="en-AU"/>
              </w:rPr>
              <w:t>%</w:t>
            </w:r>
          </w:p>
        </w:tc>
        <w:tc>
          <w:tcPr>
            <w:tcW w:w="2387" w:type="pct"/>
            <w:tcBorders>
              <w:right w:val="single" w:sz="4" w:space="0" w:color="auto"/>
            </w:tcBorders>
            <w:noWrap/>
          </w:tcPr>
          <w:p w:rsidR="00CF58BD" w:rsidRPr="007F61ED" w:rsidRDefault="006653EA"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7F61ED">
              <w:rPr>
                <w:color w:val="auto"/>
                <w:sz w:val="20"/>
                <w:szCs w:val="20"/>
                <w:lang w:eastAsia="en-AU"/>
              </w:rPr>
              <w:t>A</w:t>
            </w:r>
            <w:r w:rsidR="00CF58BD" w:rsidRPr="007F61ED">
              <w:rPr>
                <w:color w:val="auto"/>
                <w:sz w:val="20"/>
                <w:szCs w:val="20"/>
                <w:lang w:eastAsia="en-AU"/>
              </w:rPr>
              <w:t>ctual (incorporates PT, waiting for rotation etc</w:t>
            </w:r>
            <w:r w:rsidRPr="007F61ED">
              <w:rPr>
                <w:color w:val="auto"/>
                <w:sz w:val="20"/>
                <w:szCs w:val="20"/>
                <w:lang w:eastAsia="en-AU"/>
              </w:rPr>
              <w:t>.</w:t>
            </w:r>
            <w:r w:rsidR="00CF58BD" w:rsidRPr="007F61ED">
              <w:rPr>
                <w:color w:val="auto"/>
                <w:sz w:val="20"/>
                <w:szCs w:val="20"/>
                <w:lang w:eastAsia="en-AU"/>
              </w:rPr>
              <w:t>)</w:t>
            </w: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B00725" w:rsidP="00B72A04">
            <w:pPr>
              <w:spacing w:before="0" w:after="0"/>
              <w:jc w:val="left"/>
              <w:rPr>
                <w:b w:val="0"/>
                <w:color w:val="auto"/>
                <w:sz w:val="20"/>
                <w:szCs w:val="20"/>
                <w:lang w:eastAsia="en-AU"/>
              </w:rPr>
            </w:pPr>
            <w:r w:rsidRPr="007F61ED">
              <w:rPr>
                <w:b w:val="0"/>
                <w:color w:val="auto"/>
                <w:sz w:val="20"/>
                <w:szCs w:val="20"/>
                <w:lang w:eastAsia="en-AU"/>
              </w:rPr>
              <w:t>IMGS</w:t>
            </w:r>
            <w:r w:rsidR="00CF58BD" w:rsidRPr="007F61ED">
              <w:rPr>
                <w:b w:val="0"/>
                <w:color w:val="auto"/>
                <w:sz w:val="20"/>
                <w:szCs w:val="20"/>
                <w:lang w:eastAsia="en-AU"/>
              </w:rPr>
              <w:t xml:space="preserve"> </w:t>
            </w:r>
          </w:p>
        </w:tc>
        <w:tc>
          <w:tcPr>
            <w:tcW w:w="581" w:type="pct"/>
            <w:noWrap/>
          </w:tcPr>
          <w:p w:rsidR="00CF58BD" w:rsidRPr="007F61ED" w:rsidRDefault="00473A34" w:rsidP="00B72A0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39</w:t>
            </w:r>
          </w:p>
        </w:tc>
        <w:tc>
          <w:tcPr>
            <w:tcW w:w="2387" w:type="pct"/>
            <w:tcBorders>
              <w:right w:val="single" w:sz="4" w:space="0" w:color="auto"/>
            </w:tcBorders>
            <w:noWrap/>
          </w:tcPr>
          <w:p w:rsidR="004423CA" w:rsidRPr="007F61ED" w:rsidRDefault="004423CA" w:rsidP="00B72A0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Average 201</w:t>
            </w:r>
            <w:r w:rsidR="006C1B31">
              <w:rPr>
                <w:color w:val="auto"/>
                <w:sz w:val="20"/>
                <w:szCs w:val="20"/>
                <w:lang w:eastAsia="en-AU"/>
              </w:rPr>
              <w:t>0</w:t>
            </w:r>
            <w:r w:rsidRPr="007F61ED">
              <w:rPr>
                <w:color w:val="auto"/>
                <w:sz w:val="20"/>
                <w:szCs w:val="20"/>
                <w:lang w:eastAsia="en-AU"/>
              </w:rPr>
              <w:t>-201</w:t>
            </w:r>
            <w:r w:rsidR="006C1B31">
              <w:rPr>
                <w:color w:val="auto"/>
                <w:sz w:val="20"/>
                <w:szCs w:val="20"/>
                <w:lang w:eastAsia="en-AU"/>
              </w:rPr>
              <w:t>5</w:t>
            </w:r>
            <w:r w:rsidR="00573B17">
              <w:rPr>
                <w:color w:val="auto"/>
                <w:sz w:val="20"/>
                <w:szCs w:val="20"/>
                <w:lang w:eastAsia="en-AU"/>
              </w:rPr>
              <w:t xml:space="preserve"> (static)</w:t>
            </w:r>
          </w:p>
        </w:tc>
      </w:tr>
      <w:tr w:rsidR="00090A1A" w:rsidRPr="007F61ED" w:rsidTr="002348F6">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CF58BD" w:rsidP="00C90AA2">
            <w:pPr>
              <w:tabs>
                <w:tab w:val="left" w:pos="459"/>
              </w:tabs>
              <w:spacing w:before="0" w:after="0"/>
              <w:ind w:left="567"/>
              <w:jc w:val="left"/>
              <w:rPr>
                <w:b w:val="0"/>
                <w:i/>
                <w:color w:val="auto"/>
                <w:sz w:val="20"/>
                <w:szCs w:val="20"/>
                <w:lang w:eastAsia="en-AU"/>
              </w:rPr>
            </w:pPr>
            <w:r w:rsidRPr="007F61ED">
              <w:rPr>
                <w:b w:val="0"/>
                <w:i/>
                <w:color w:val="auto"/>
                <w:sz w:val="20"/>
                <w:szCs w:val="20"/>
                <w:lang w:eastAsia="en-AU"/>
              </w:rPr>
              <w:t>Partially comparable</w:t>
            </w:r>
          </w:p>
        </w:tc>
        <w:tc>
          <w:tcPr>
            <w:tcW w:w="581" w:type="pct"/>
            <w:noWrap/>
          </w:tcPr>
          <w:p w:rsidR="00CF58BD" w:rsidRPr="007F61ED" w:rsidRDefault="00473A34"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25</w:t>
            </w:r>
            <w:r w:rsidR="006C1B31">
              <w:rPr>
                <w:color w:val="auto"/>
                <w:sz w:val="20"/>
                <w:szCs w:val="20"/>
                <w:lang w:eastAsia="en-AU"/>
              </w:rPr>
              <w:t>%</w:t>
            </w:r>
          </w:p>
        </w:tc>
        <w:tc>
          <w:tcPr>
            <w:tcW w:w="2387" w:type="pct"/>
            <w:tcBorders>
              <w:right w:val="single" w:sz="4" w:space="0" w:color="auto"/>
            </w:tcBorders>
            <w:noWrap/>
          </w:tcPr>
          <w:p w:rsidR="00CF58BD" w:rsidRPr="007F61ED" w:rsidRDefault="006653EA"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7F61ED">
              <w:rPr>
                <w:color w:val="auto"/>
                <w:sz w:val="20"/>
                <w:szCs w:val="20"/>
                <w:lang w:eastAsia="en-AU"/>
              </w:rPr>
              <w:t>O</w:t>
            </w:r>
            <w:r w:rsidR="00CF58BD" w:rsidRPr="007F61ED">
              <w:rPr>
                <w:color w:val="auto"/>
                <w:sz w:val="20"/>
                <w:szCs w:val="20"/>
                <w:lang w:eastAsia="en-AU"/>
              </w:rPr>
              <w:t xml:space="preserve">f </w:t>
            </w:r>
            <w:r w:rsidR="00B00725" w:rsidRPr="007F61ED">
              <w:rPr>
                <w:color w:val="auto"/>
                <w:sz w:val="20"/>
                <w:szCs w:val="20"/>
                <w:lang w:eastAsia="en-AU"/>
              </w:rPr>
              <w:t>IMGS</w:t>
            </w:r>
            <w:r w:rsidR="00CF58BD" w:rsidRPr="007F61ED">
              <w:rPr>
                <w:color w:val="auto"/>
                <w:sz w:val="20"/>
                <w:szCs w:val="20"/>
                <w:lang w:eastAsia="en-AU"/>
              </w:rPr>
              <w:t xml:space="preserve"> </w:t>
            </w:r>
          </w:p>
        </w:tc>
      </w:tr>
      <w:tr w:rsidR="00090A1A" w:rsidRPr="007F61ED" w:rsidTr="002348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tcBorders>
            <w:noWrap/>
          </w:tcPr>
          <w:p w:rsidR="00CF58BD" w:rsidRPr="007F61ED" w:rsidRDefault="00CF58BD" w:rsidP="00C90AA2">
            <w:pPr>
              <w:spacing w:before="0" w:after="0"/>
              <w:ind w:left="567"/>
              <w:jc w:val="left"/>
              <w:rPr>
                <w:b w:val="0"/>
                <w:i/>
                <w:color w:val="auto"/>
                <w:sz w:val="20"/>
                <w:szCs w:val="20"/>
                <w:lang w:eastAsia="en-AU"/>
              </w:rPr>
            </w:pPr>
            <w:r w:rsidRPr="007F61ED">
              <w:rPr>
                <w:b w:val="0"/>
                <w:i/>
                <w:color w:val="auto"/>
                <w:sz w:val="20"/>
                <w:szCs w:val="20"/>
                <w:lang w:eastAsia="en-AU"/>
              </w:rPr>
              <w:t>Substantially comparable</w:t>
            </w:r>
          </w:p>
        </w:tc>
        <w:tc>
          <w:tcPr>
            <w:tcW w:w="581" w:type="pct"/>
            <w:noWrap/>
          </w:tcPr>
          <w:p w:rsidR="00CF58BD" w:rsidRPr="007F61ED" w:rsidRDefault="00473A34" w:rsidP="00B72A04">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Pr>
                <w:color w:val="auto"/>
                <w:sz w:val="20"/>
                <w:szCs w:val="20"/>
                <w:lang w:eastAsia="en-AU"/>
              </w:rPr>
              <w:t>75</w:t>
            </w:r>
            <w:r w:rsidR="006C1B31">
              <w:rPr>
                <w:color w:val="auto"/>
                <w:sz w:val="20"/>
                <w:szCs w:val="20"/>
                <w:lang w:eastAsia="en-AU"/>
              </w:rPr>
              <w:t>%</w:t>
            </w:r>
          </w:p>
        </w:tc>
        <w:tc>
          <w:tcPr>
            <w:tcW w:w="2387" w:type="pct"/>
            <w:tcBorders>
              <w:right w:val="single" w:sz="4" w:space="0" w:color="auto"/>
            </w:tcBorders>
            <w:noWrap/>
          </w:tcPr>
          <w:p w:rsidR="00CF58BD" w:rsidRPr="007F61ED" w:rsidRDefault="006653EA" w:rsidP="00B72A04">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7F61ED">
              <w:rPr>
                <w:color w:val="auto"/>
                <w:sz w:val="20"/>
                <w:szCs w:val="20"/>
                <w:lang w:eastAsia="en-AU"/>
              </w:rPr>
              <w:t>O</w:t>
            </w:r>
            <w:r w:rsidR="00CF58BD" w:rsidRPr="007F61ED">
              <w:rPr>
                <w:color w:val="auto"/>
                <w:sz w:val="20"/>
                <w:szCs w:val="20"/>
                <w:lang w:eastAsia="en-AU"/>
              </w:rPr>
              <w:t xml:space="preserve">f </w:t>
            </w:r>
            <w:r w:rsidR="00B00725" w:rsidRPr="007F61ED">
              <w:rPr>
                <w:color w:val="auto"/>
                <w:sz w:val="20"/>
                <w:szCs w:val="20"/>
                <w:lang w:eastAsia="en-AU"/>
              </w:rPr>
              <w:t>IMGS</w:t>
            </w:r>
            <w:r w:rsidR="00CF58BD" w:rsidRPr="007F61ED">
              <w:rPr>
                <w:color w:val="auto"/>
                <w:sz w:val="20"/>
                <w:szCs w:val="20"/>
                <w:lang w:eastAsia="en-AU"/>
              </w:rPr>
              <w:t xml:space="preserve"> </w:t>
            </w:r>
          </w:p>
        </w:tc>
      </w:tr>
      <w:tr w:rsidR="00090A1A" w:rsidRPr="007F61ED" w:rsidTr="002348F6">
        <w:trPr>
          <w:trHeight w:val="227"/>
        </w:trPr>
        <w:tc>
          <w:tcPr>
            <w:cnfStyle w:val="001000000000" w:firstRow="0" w:lastRow="0" w:firstColumn="1" w:lastColumn="0" w:oddVBand="0" w:evenVBand="0" w:oddHBand="0" w:evenHBand="0" w:firstRowFirstColumn="0" w:firstRowLastColumn="0" w:lastRowFirstColumn="0" w:lastRowLastColumn="0"/>
            <w:tcW w:w="2033" w:type="pct"/>
            <w:tcBorders>
              <w:left w:val="single" w:sz="4" w:space="0" w:color="auto"/>
              <w:bottom w:val="single" w:sz="4" w:space="0" w:color="auto"/>
            </w:tcBorders>
            <w:noWrap/>
          </w:tcPr>
          <w:p w:rsidR="00CF58BD" w:rsidRPr="007F61ED" w:rsidRDefault="00B00725" w:rsidP="00B72A04">
            <w:pPr>
              <w:spacing w:before="0" w:after="0"/>
              <w:jc w:val="left"/>
              <w:rPr>
                <w:b w:val="0"/>
                <w:color w:val="auto"/>
                <w:sz w:val="20"/>
                <w:szCs w:val="20"/>
                <w:lang w:eastAsia="en-AU"/>
              </w:rPr>
            </w:pPr>
            <w:r w:rsidRPr="007F61ED">
              <w:rPr>
                <w:b w:val="0"/>
                <w:color w:val="auto"/>
                <w:sz w:val="20"/>
                <w:szCs w:val="20"/>
                <w:lang w:eastAsia="en-AU"/>
              </w:rPr>
              <w:t>IMGS</w:t>
            </w:r>
            <w:r w:rsidR="00CF58BD" w:rsidRPr="007F61ED">
              <w:rPr>
                <w:b w:val="0"/>
                <w:color w:val="auto"/>
                <w:sz w:val="20"/>
                <w:szCs w:val="20"/>
                <w:lang w:eastAsia="en-AU"/>
              </w:rPr>
              <w:t xml:space="preserve"> new fellow</w:t>
            </w:r>
          </w:p>
        </w:tc>
        <w:tc>
          <w:tcPr>
            <w:tcW w:w="581" w:type="pct"/>
            <w:tcBorders>
              <w:bottom w:val="single" w:sz="4" w:space="0" w:color="auto"/>
            </w:tcBorders>
            <w:noWrap/>
          </w:tcPr>
          <w:p w:rsidR="00CF58BD" w:rsidRPr="007F61ED" w:rsidRDefault="00473A34" w:rsidP="00B72A04">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Pr>
                <w:color w:val="auto"/>
                <w:sz w:val="20"/>
                <w:szCs w:val="20"/>
                <w:lang w:eastAsia="en-AU"/>
              </w:rPr>
              <w:t>72</w:t>
            </w:r>
            <w:r w:rsidR="006C1B31">
              <w:rPr>
                <w:color w:val="auto"/>
                <w:sz w:val="20"/>
                <w:szCs w:val="20"/>
                <w:lang w:eastAsia="en-AU"/>
              </w:rPr>
              <w:t>%</w:t>
            </w:r>
          </w:p>
        </w:tc>
        <w:tc>
          <w:tcPr>
            <w:tcW w:w="2387" w:type="pct"/>
            <w:tcBorders>
              <w:bottom w:val="single" w:sz="4" w:space="0" w:color="auto"/>
              <w:right w:val="single" w:sz="4" w:space="0" w:color="auto"/>
            </w:tcBorders>
            <w:noWrap/>
          </w:tcPr>
          <w:p w:rsidR="00136B89" w:rsidRPr="007F61ED" w:rsidRDefault="00382301" w:rsidP="00B72A04">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7F61ED">
              <w:rPr>
                <w:color w:val="auto"/>
                <w:sz w:val="20"/>
                <w:szCs w:val="20"/>
                <w:lang w:eastAsia="en-AU"/>
              </w:rPr>
              <w:t>Per</w:t>
            </w:r>
            <w:r w:rsidR="00C65FC7">
              <w:rPr>
                <w:color w:val="auto"/>
                <w:sz w:val="20"/>
                <w:szCs w:val="20"/>
                <w:lang w:eastAsia="en-AU"/>
              </w:rPr>
              <w:t xml:space="preserve"> </w:t>
            </w:r>
            <w:r w:rsidRPr="007F61ED">
              <w:rPr>
                <w:color w:val="auto"/>
                <w:sz w:val="20"/>
                <w:szCs w:val="20"/>
                <w:lang w:eastAsia="en-AU"/>
              </w:rPr>
              <w:t>cent</w:t>
            </w:r>
            <w:r w:rsidR="00CF58BD" w:rsidRPr="007F61ED">
              <w:rPr>
                <w:color w:val="auto"/>
                <w:sz w:val="20"/>
                <w:szCs w:val="20"/>
                <w:lang w:eastAsia="en-AU"/>
              </w:rPr>
              <w:t xml:space="preserve"> of </w:t>
            </w:r>
            <w:r w:rsidR="00B00725" w:rsidRPr="007F61ED">
              <w:rPr>
                <w:color w:val="auto"/>
                <w:sz w:val="20"/>
                <w:szCs w:val="20"/>
                <w:lang w:eastAsia="en-AU"/>
              </w:rPr>
              <w:t>IMGS</w:t>
            </w:r>
            <w:r w:rsidR="00CF58BD" w:rsidRPr="007F61ED">
              <w:rPr>
                <w:color w:val="auto"/>
                <w:sz w:val="20"/>
                <w:szCs w:val="20"/>
                <w:lang w:eastAsia="en-AU"/>
              </w:rPr>
              <w:t xml:space="preserve"> in previous</w:t>
            </w:r>
            <w:r w:rsidR="00136B89" w:rsidRPr="007F61ED">
              <w:rPr>
                <w:color w:val="auto"/>
                <w:sz w:val="20"/>
                <w:szCs w:val="20"/>
                <w:lang w:eastAsia="en-AU"/>
              </w:rPr>
              <w:t xml:space="preserve"> 2</w:t>
            </w:r>
            <w:r w:rsidR="00CF58BD" w:rsidRPr="007F61ED">
              <w:rPr>
                <w:color w:val="auto"/>
                <w:sz w:val="20"/>
                <w:szCs w:val="20"/>
                <w:lang w:eastAsia="en-AU"/>
              </w:rPr>
              <w:t xml:space="preserve"> year</w:t>
            </w:r>
            <w:r w:rsidR="00136B89" w:rsidRPr="007F61ED">
              <w:rPr>
                <w:color w:val="auto"/>
                <w:sz w:val="20"/>
                <w:szCs w:val="20"/>
                <w:lang w:eastAsia="en-AU"/>
              </w:rPr>
              <w:t>s</w:t>
            </w:r>
          </w:p>
        </w:tc>
      </w:tr>
    </w:tbl>
    <w:p w:rsidR="00573B17" w:rsidRDefault="00364E56" w:rsidP="002B73E3">
      <w:r w:rsidRPr="00457755">
        <w:lastRenderedPageBreak/>
        <w:t>The transition rates in</w:t>
      </w:r>
      <w:r w:rsidR="001A1C20" w:rsidRPr="00457755">
        <w:t xml:space="preserve"> </w:t>
      </w:r>
      <w:r w:rsidRPr="00457755">
        <w:fldChar w:fldCharType="begin"/>
      </w:r>
      <w:r w:rsidRPr="00457755">
        <w:instrText xml:space="preserve"> REF _Ref442267578 \h </w:instrText>
      </w:r>
      <w:r w:rsidR="00583EC4" w:rsidRPr="00457755">
        <w:instrText xml:space="preserve"> \* MERGEFORMAT </w:instrText>
      </w:r>
      <w:r w:rsidRPr="00457755">
        <w:fldChar w:fldCharType="separate"/>
      </w:r>
      <w:r w:rsidR="008C7087" w:rsidRPr="00F23728">
        <w:t>Table</w:t>
      </w:r>
      <w:r w:rsidR="008C7087" w:rsidRPr="00F23728">
        <w:rPr>
          <w:noProof/>
        </w:rPr>
        <w:t xml:space="preserve"> </w:t>
      </w:r>
      <w:r w:rsidR="008C7087">
        <w:rPr>
          <w:noProof/>
        </w:rPr>
        <w:t>15</w:t>
      </w:r>
      <w:r w:rsidRPr="00457755">
        <w:fldChar w:fldCharType="end"/>
      </w:r>
      <w:r w:rsidR="00573B17">
        <w:t xml:space="preserve"> </w:t>
      </w:r>
      <w:r w:rsidRPr="00457755">
        <w:t xml:space="preserve">are data driven and calculated from the changes between </w:t>
      </w:r>
      <w:r w:rsidR="00B00725" w:rsidRPr="00457755">
        <w:t xml:space="preserve">two </w:t>
      </w:r>
      <w:r w:rsidRPr="00457755">
        <w:t>time points (20</w:t>
      </w:r>
      <w:r w:rsidR="00B00725" w:rsidRPr="00457755">
        <w:t>13</w:t>
      </w:r>
      <w:r w:rsidR="00F7694E">
        <w:t xml:space="preserve"> MTRP data and 2016</w:t>
      </w:r>
      <w:r w:rsidRPr="00457755">
        <w:t xml:space="preserve"> </w:t>
      </w:r>
      <w:r w:rsidR="00CA1D1D">
        <w:t>RANZCOG</w:t>
      </w:r>
      <w:r w:rsidRPr="00457755">
        <w:t xml:space="preserve"> data). These rates are then consistently applied to pipeline trainees</w:t>
      </w:r>
      <w:r w:rsidR="00966FEB" w:rsidRPr="00457755">
        <w:t xml:space="preserve"> and </w:t>
      </w:r>
      <w:r w:rsidR="00CA1D1D">
        <w:t>S</w:t>
      </w:r>
      <w:r w:rsidR="001F0A59">
        <w:t>IMG</w:t>
      </w:r>
      <w:r w:rsidRPr="00457755">
        <w:t xml:space="preserve">. </w:t>
      </w:r>
    </w:p>
    <w:p w:rsidR="0056114B" w:rsidRDefault="0056114B" w:rsidP="00573B17">
      <w:pPr>
        <w:tabs>
          <w:tab w:val="left" w:pos="567"/>
        </w:tabs>
      </w:pPr>
      <w:r>
        <w:t>A number of assumptions are made in the TAP, these include:</w:t>
      </w:r>
    </w:p>
    <w:p w:rsidR="0056114B" w:rsidRDefault="0056114B" w:rsidP="0056114B">
      <w:pPr>
        <w:pStyle w:val="ListParagraph"/>
        <w:numPr>
          <w:ilvl w:val="0"/>
          <w:numId w:val="45"/>
        </w:numPr>
        <w:tabs>
          <w:tab w:val="left" w:pos="567"/>
        </w:tabs>
        <w:rPr>
          <w:noProof/>
        </w:rPr>
      </w:pPr>
      <w:r>
        <w:rPr>
          <w:noProof/>
        </w:rPr>
        <w:t xml:space="preserve">the </w:t>
      </w:r>
      <w:r w:rsidR="005F09B9">
        <w:rPr>
          <w:noProof/>
        </w:rPr>
        <w:t>number new intake is based on historical trends that increase by 25 per cent from the previous year.</w:t>
      </w:r>
    </w:p>
    <w:p w:rsidR="0056114B" w:rsidRDefault="005F09B9" w:rsidP="0056114B">
      <w:pPr>
        <w:pStyle w:val="ListParagraph"/>
        <w:numPr>
          <w:ilvl w:val="0"/>
          <w:numId w:val="45"/>
        </w:numPr>
        <w:tabs>
          <w:tab w:val="left" w:pos="567"/>
        </w:tabs>
        <w:rPr>
          <w:noProof/>
        </w:rPr>
      </w:pPr>
      <w:r>
        <w:rPr>
          <w:noProof/>
        </w:rPr>
        <w:t>t</w:t>
      </w:r>
      <w:r w:rsidR="0056114B">
        <w:rPr>
          <w:noProof/>
        </w:rPr>
        <w:t>he actual through rate (90 per cent) is used to mimick trainees flowing through within a 6 year period, therefore the number is lower than expected as not all trainees will finish within the 6 year period. The other trainees are carried through to finish</w:t>
      </w:r>
      <w:r w:rsidR="007A47F9">
        <w:rPr>
          <w:noProof/>
        </w:rPr>
        <w:t xml:space="preserve"> the training program</w:t>
      </w:r>
      <w:r w:rsidR="0056114B">
        <w:rPr>
          <w:noProof/>
        </w:rPr>
        <w:t xml:space="preserve"> in later years are the trends have indicated.</w:t>
      </w:r>
    </w:p>
    <w:p w:rsidR="0056114B" w:rsidRDefault="005F09B9" w:rsidP="0056114B">
      <w:pPr>
        <w:pStyle w:val="ListParagraph"/>
        <w:numPr>
          <w:ilvl w:val="0"/>
          <w:numId w:val="45"/>
        </w:numPr>
        <w:tabs>
          <w:tab w:val="left" w:pos="567"/>
        </w:tabs>
        <w:rPr>
          <w:noProof/>
        </w:rPr>
      </w:pPr>
      <w:r>
        <w:rPr>
          <w:noProof/>
        </w:rPr>
        <w:t>the SIMG trainees are classified into substantially and paritally comparable, a proportion of these bas</w:t>
      </w:r>
      <w:r w:rsidR="00844EA3">
        <w:rPr>
          <w:noProof/>
        </w:rPr>
        <w:t>e</w:t>
      </w:r>
      <w:r>
        <w:rPr>
          <w:noProof/>
        </w:rPr>
        <w:t>d on hisorical figures are flowed into the SIMG new fellow numbers the following year.</w:t>
      </w:r>
    </w:p>
    <w:p w:rsidR="005F09B9" w:rsidRDefault="005F09B9" w:rsidP="0056114B">
      <w:pPr>
        <w:pStyle w:val="ListParagraph"/>
        <w:numPr>
          <w:ilvl w:val="0"/>
          <w:numId w:val="45"/>
        </w:numPr>
        <w:tabs>
          <w:tab w:val="left" w:pos="567"/>
        </w:tabs>
        <w:rPr>
          <w:noProof/>
        </w:rPr>
      </w:pPr>
      <w:r>
        <w:rPr>
          <w:noProof/>
        </w:rPr>
        <w:t>feedback from the College has resulted in a higher number of SIMGs projected forward, than previous</w:t>
      </w:r>
      <w:r w:rsidR="00844EA3">
        <w:rPr>
          <w:noProof/>
        </w:rPr>
        <w:t>ly</w:t>
      </w:r>
      <w:r>
        <w:rPr>
          <w:noProof/>
        </w:rPr>
        <w:t xml:space="preserve"> due to recent lower than usual SIMG numbers, but have been smoothed over the period and </w:t>
      </w:r>
      <w:r w:rsidR="00844EA3">
        <w:rPr>
          <w:noProof/>
        </w:rPr>
        <w:t>h</w:t>
      </w:r>
      <w:r>
        <w:rPr>
          <w:noProof/>
        </w:rPr>
        <w:t xml:space="preserve">eld constant over the projection period. </w:t>
      </w:r>
    </w:p>
    <w:p w:rsidR="00C64F6E" w:rsidRDefault="006C1B31" w:rsidP="00010539">
      <w:pPr>
        <w:tabs>
          <w:tab w:val="left" w:pos="567"/>
        </w:tabs>
      </w:pPr>
      <w:r>
        <w:fldChar w:fldCharType="begin"/>
      </w:r>
      <w:r>
        <w:instrText xml:space="preserve"> REF _Ref442267601 \h  \* MERGEFORMAT </w:instrText>
      </w:r>
      <w:r>
        <w:fldChar w:fldCharType="separate"/>
      </w:r>
      <w:r w:rsidR="008C7087" w:rsidRPr="008C7087">
        <w:t>Table 16</w:t>
      </w:r>
      <w:r>
        <w:fldChar w:fldCharType="end"/>
      </w:r>
      <w:r w:rsidRPr="00AE71AD">
        <w:t xml:space="preserve"> show</w:t>
      </w:r>
      <w:r>
        <w:t>s</w:t>
      </w:r>
      <w:r w:rsidRPr="00AE71AD">
        <w:t xml:space="preserve"> the method for the new intake each year. This pipeline takes </w:t>
      </w:r>
      <w:r w:rsidR="00C87A15">
        <w:t xml:space="preserve">the </w:t>
      </w:r>
      <w:r w:rsidRPr="00AE71AD">
        <w:t>per</w:t>
      </w:r>
      <w:r w:rsidR="00C87A15">
        <w:t xml:space="preserve"> </w:t>
      </w:r>
      <w:r w:rsidRPr="00AE71AD">
        <w:t>cent</w:t>
      </w:r>
      <w:r w:rsidR="00C87A15">
        <w:t xml:space="preserve"> </w:t>
      </w:r>
      <w:r w:rsidRPr="00AE71AD">
        <w:t xml:space="preserve">of </w:t>
      </w:r>
      <w:r w:rsidR="00C87A15">
        <w:t xml:space="preserve">the previous year’s core trainees </w:t>
      </w:r>
      <w:r w:rsidRPr="00AE71AD">
        <w:t>(which has a more historic basis and is project</w:t>
      </w:r>
      <w:r w:rsidR="00514F62">
        <w:t>ed forward); the number of new f</w:t>
      </w:r>
      <w:r w:rsidRPr="00AE71AD">
        <w:t xml:space="preserve">ellows </w:t>
      </w:r>
      <w:r>
        <w:t>is</w:t>
      </w:r>
      <w:r w:rsidR="00C87A15">
        <w:t xml:space="preserve"> a result of the actual </w:t>
      </w:r>
      <w:r w:rsidR="007A47F9">
        <w:t xml:space="preserve">completion </w:t>
      </w:r>
      <w:r w:rsidR="00C87A15">
        <w:t xml:space="preserve">rate that has been </w:t>
      </w:r>
      <w:r w:rsidR="00514F62">
        <w:t xml:space="preserve">observed </w:t>
      </w:r>
      <w:r w:rsidR="00C87A15">
        <w:t>over the past few years.</w:t>
      </w:r>
      <w:r w:rsidRPr="00AE71AD">
        <w:t xml:space="preserve"> </w:t>
      </w:r>
      <w:r w:rsidR="00514F62">
        <w:t>The movement from advanced training to new fellow is relatively low (3</w:t>
      </w:r>
      <w:r w:rsidR="003E635A">
        <w:t>8</w:t>
      </w:r>
      <w:r w:rsidR="00514F62">
        <w:t xml:space="preserve"> per cent)</w:t>
      </w:r>
      <w:r w:rsidR="00010539">
        <w:t>, wh</w:t>
      </w:r>
      <w:r w:rsidR="008C0891">
        <w:t>ile</w:t>
      </w:r>
      <w:r w:rsidR="00010539">
        <w:t xml:space="preserve"> in 2014 there were 13 per cent of </w:t>
      </w:r>
      <w:r w:rsidR="008C0891">
        <w:t>all trainees</w:t>
      </w:r>
      <w:r w:rsidR="00010539">
        <w:t xml:space="preserve"> </w:t>
      </w:r>
      <w:r w:rsidR="009A7BA7">
        <w:t xml:space="preserve">who </w:t>
      </w:r>
      <w:r w:rsidR="00010539">
        <w:t xml:space="preserve">had been in </w:t>
      </w:r>
      <w:r w:rsidR="008C0891">
        <w:t xml:space="preserve">the </w:t>
      </w:r>
      <w:r w:rsidR="00010539">
        <w:t>training</w:t>
      </w:r>
      <w:r w:rsidR="008C0891">
        <w:t xml:space="preserve"> program</w:t>
      </w:r>
      <w:r w:rsidR="00010539">
        <w:t xml:space="preserve"> for </w:t>
      </w:r>
      <w:r w:rsidR="008C0891">
        <w:t>seven</w:t>
      </w:r>
      <w:r w:rsidR="00010539">
        <w:t xml:space="preserve"> years or more and in 2015 this had decreased slight</w:t>
      </w:r>
      <w:r w:rsidR="008C0891">
        <w:t>ly</w:t>
      </w:r>
      <w:r w:rsidR="00010539">
        <w:t xml:space="preserve"> to 10 per cent.</w:t>
      </w:r>
    </w:p>
    <w:p w:rsidR="00364E56" w:rsidRPr="00364E56" w:rsidRDefault="00364E56" w:rsidP="00583EC4">
      <w:pPr>
        <w:tabs>
          <w:tab w:val="left" w:pos="567"/>
        </w:tabs>
        <w:sectPr w:rsidR="00364E56" w:rsidRPr="00364E56" w:rsidSect="00561EB0">
          <w:type w:val="continuous"/>
          <w:pgSz w:w="11906" w:h="16838"/>
          <w:pgMar w:top="1440" w:right="1440" w:bottom="1440" w:left="1440" w:header="709" w:footer="709" w:gutter="0"/>
          <w:cols w:space="708"/>
          <w:titlePg/>
          <w:docGrid w:linePitch="360"/>
        </w:sectPr>
      </w:pPr>
    </w:p>
    <w:p w:rsidR="005B4D0E" w:rsidRPr="00534752" w:rsidRDefault="005B4D0E" w:rsidP="00544360">
      <w:pPr>
        <w:pStyle w:val="Caption"/>
        <w:keepNext/>
        <w:rPr>
          <w:szCs w:val="22"/>
        </w:rPr>
      </w:pPr>
      <w:bookmarkStart w:id="147" w:name="_Ref442267601"/>
      <w:bookmarkStart w:id="148" w:name="_Toc515887837"/>
      <w:r w:rsidRPr="00534752">
        <w:rPr>
          <w:szCs w:val="22"/>
        </w:rPr>
        <w:lastRenderedPageBreak/>
        <w:t xml:space="preserve">Table </w:t>
      </w:r>
      <w:r w:rsidR="008F108A" w:rsidRPr="00534752">
        <w:rPr>
          <w:szCs w:val="22"/>
        </w:rPr>
        <w:fldChar w:fldCharType="begin"/>
      </w:r>
      <w:r w:rsidR="00F90CFA" w:rsidRPr="00534752">
        <w:rPr>
          <w:szCs w:val="22"/>
        </w:rPr>
        <w:instrText xml:space="preserve"> SEQ Table \* ARABIC </w:instrText>
      </w:r>
      <w:r w:rsidR="008F108A" w:rsidRPr="00534752">
        <w:rPr>
          <w:szCs w:val="22"/>
        </w:rPr>
        <w:fldChar w:fldCharType="separate"/>
      </w:r>
      <w:r w:rsidR="008C7087">
        <w:rPr>
          <w:noProof/>
          <w:szCs w:val="22"/>
        </w:rPr>
        <w:t>16</w:t>
      </w:r>
      <w:r w:rsidR="008F108A" w:rsidRPr="00534752">
        <w:rPr>
          <w:noProof/>
          <w:szCs w:val="22"/>
        </w:rPr>
        <w:fldChar w:fldCharType="end"/>
      </w:r>
      <w:bookmarkEnd w:id="147"/>
      <w:r w:rsidR="00090A1A">
        <w:rPr>
          <w:noProof/>
          <w:szCs w:val="22"/>
        </w:rPr>
        <w:t>:</w:t>
      </w:r>
      <w:r w:rsidR="00090A1A">
        <w:rPr>
          <w:szCs w:val="22"/>
        </w:rPr>
        <w:t xml:space="preserve"> </w:t>
      </w:r>
      <w:r w:rsidR="006C1B31">
        <w:rPr>
          <w:szCs w:val="22"/>
        </w:rPr>
        <w:t xml:space="preserve">Dynamic intake </w:t>
      </w:r>
      <w:r w:rsidR="00090A1A">
        <w:rPr>
          <w:szCs w:val="22"/>
        </w:rPr>
        <w:t>TAP</w:t>
      </w:r>
      <w:r w:rsidRPr="00534752">
        <w:rPr>
          <w:szCs w:val="22"/>
        </w:rPr>
        <w:t>, 20</w:t>
      </w:r>
      <w:r w:rsidR="00B80B2C">
        <w:rPr>
          <w:szCs w:val="22"/>
        </w:rPr>
        <w:t>10</w:t>
      </w:r>
      <w:r w:rsidRPr="00534752">
        <w:rPr>
          <w:szCs w:val="22"/>
        </w:rPr>
        <w:t xml:space="preserve"> – 2030</w:t>
      </w:r>
      <w:bookmarkEnd w:id="148"/>
      <w:r w:rsidRPr="00534752">
        <w:rPr>
          <w:szCs w:val="22"/>
        </w:rPr>
        <w:t xml:space="preserve"> </w:t>
      </w:r>
    </w:p>
    <w:tbl>
      <w:tblPr>
        <w:tblStyle w:val="TableGrid"/>
        <w:tblW w:w="0" w:type="auto"/>
        <w:tblLook w:val="04A0" w:firstRow="1" w:lastRow="0" w:firstColumn="1" w:lastColumn="0" w:noHBand="0" w:noVBand="1"/>
        <w:tblCaption w:val="Table 16: Dynamic intake TAP, 2010 – 2030"/>
        <w:tblDescription w:val="Shows the dynamic intake of training analysis pipeline for the period 2010-2030."/>
      </w:tblPr>
      <w:tblGrid>
        <w:gridCol w:w="2425"/>
        <w:gridCol w:w="562"/>
        <w:gridCol w:w="484"/>
        <w:gridCol w:w="483"/>
        <w:gridCol w:w="483"/>
        <w:gridCol w:w="561"/>
        <w:gridCol w:w="561"/>
        <w:gridCol w:w="561"/>
        <w:gridCol w:w="561"/>
        <w:gridCol w:w="694"/>
        <w:gridCol w:w="561"/>
        <w:gridCol w:w="693"/>
        <w:gridCol w:w="694"/>
        <w:gridCol w:w="694"/>
        <w:gridCol w:w="694"/>
        <w:gridCol w:w="561"/>
        <w:gridCol w:w="561"/>
        <w:gridCol w:w="561"/>
        <w:gridCol w:w="561"/>
        <w:gridCol w:w="561"/>
        <w:gridCol w:w="561"/>
        <w:gridCol w:w="483"/>
      </w:tblGrid>
      <w:tr w:rsidR="00986F62" w:rsidTr="005A52F7">
        <w:trPr>
          <w:trHeight w:val="518"/>
          <w:tblHeader/>
        </w:trPr>
        <w:tc>
          <w:tcPr>
            <w:tcW w:w="2425" w:type="dxa"/>
            <w:tcBorders>
              <w:bottom w:val="single" w:sz="4" w:space="0" w:color="auto"/>
            </w:tcBorders>
            <w:shd w:val="clear" w:color="auto" w:fill="D9D9D9"/>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2003 program</w:t>
            </w:r>
          </w:p>
        </w:tc>
        <w:tc>
          <w:tcPr>
            <w:tcW w:w="562"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2010</w:t>
            </w:r>
          </w:p>
        </w:tc>
        <w:tc>
          <w:tcPr>
            <w:tcW w:w="484"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2011</w:t>
            </w:r>
          </w:p>
        </w:tc>
        <w:tc>
          <w:tcPr>
            <w:tcW w:w="483"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2012</w:t>
            </w:r>
          </w:p>
        </w:tc>
        <w:tc>
          <w:tcPr>
            <w:tcW w:w="483"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2013</w:t>
            </w:r>
          </w:p>
        </w:tc>
        <w:tc>
          <w:tcPr>
            <w:tcW w:w="561"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2014</w:t>
            </w:r>
          </w:p>
        </w:tc>
        <w:tc>
          <w:tcPr>
            <w:tcW w:w="561"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2015</w:t>
            </w:r>
          </w:p>
        </w:tc>
        <w:tc>
          <w:tcPr>
            <w:tcW w:w="561" w:type="dxa"/>
            <w:tcBorders>
              <w:bottom w:val="single" w:sz="4" w:space="0" w:color="auto"/>
            </w:tcBorders>
            <w:shd w:val="clear" w:color="auto" w:fill="D9D9D9"/>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2016</w:t>
            </w:r>
          </w:p>
        </w:tc>
        <w:tc>
          <w:tcPr>
            <w:tcW w:w="561"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2017</w:t>
            </w:r>
          </w:p>
        </w:tc>
        <w:tc>
          <w:tcPr>
            <w:tcW w:w="694"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2018</w:t>
            </w:r>
          </w:p>
        </w:tc>
        <w:tc>
          <w:tcPr>
            <w:tcW w:w="561"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2019</w:t>
            </w:r>
          </w:p>
        </w:tc>
        <w:tc>
          <w:tcPr>
            <w:tcW w:w="693"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2020</w:t>
            </w:r>
          </w:p>
        </w:tc>
        <w:tc>
          <w:tcPr>
            <w:tcW w:w="694"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2021</w:t>
            </w:r>
          </w:p>
        </w:tc>
        <w:tc>
          <w:tcPr>
            <w:tcW w:w="694"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2022</w:t>
            </w:r>
          </w:p>
        </w:tc>
        <w:tc>
          <w:tcPr>
            <w:tcW w:w="694"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2023</w:t>
            </w:r>
          </w:p>
        </w:tc>
        <w:tc>
          <w:tcPr>
            <w:tcW w:w="561" w:type="dxa"/>
            <w:tcBorders>
              <w:bottom w:val="single" w:sz="4" w:space="0" w:color="auto"/>
            </w:tcBorders>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2024</w:t>
            </w:r>
          </w:p>
        </w:tc>
        <w:tc>
          <w:tcPr>
            <w:tcW w:w="561"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2025</w:t>
            </w:r>
          </w:p>
        </w:tc>
        <w:tc>
          <w:tcPr>
            <w:tcW w:w="561"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2026</w:t>
            </w:r>
          </w:p>
        </w:tc>
        <w:tc>
          <w:tcPr>
            <w:tcW w:w="561"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2027</w:t>
            </w:r>
          </w:p>
        </w:tc>
        <w:tc>
          <w:tcPr>
            <w:tcW w:w="561"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2028</w:t>
            </w:r>
          </w:p>
        </w:tc>
        <w:tc>
          <w:tcPr>
            <w:tcW w:w="561"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2029</w:t>
            </w:r>
          </w:p>
        </w:tc>
        <w:tc>
          <w:tcPr>
            <w:tcW w:w="483" w:type="dxa"/>
            <w:shd w:val="clear" w:color="auto" w:fill="BFBFBF"/>
            <w:textDirection w:val="btLr"/>
            <w:vAlign w:val="center"/>
          </w:tcPr>
          <w:p w:rsidR="008D048D" w:rsidRPr="008724C2" w:rsidRDefault="008D048D" w:rsidP="009F0A92">
            <w:pPr>
              <w:spacing w:before="0" w:after="0"/>
              <w:jc w:val="center"/>
              <w:rPr>
                <w:b/>
                <w:bCs/>
                <w:color w:val="000000"/>
                <w:sz w:val="16"/>
                <w:szCs w:val="16"/>
                <w:lang w:eastAsia="en-AU"/>
              </w:rPr>
            </w:pPr>
            <w:r w:rsidRPr="008724C2">
              <w:rPr>
                <w:b/>
                <w:bCs/>
                <w:color w:val="000000"/>
                <w:sz w:val="16"/>
                <w:szCs w:val="16"/>
                <w:lang w:eastAsia="en-AU"/>
              </w:rPr>
              <w:t>2030</w:t>
            </w:r>
          </w:p>
        </w:tc>
      </w:tr>
      <w:tr w:rsidR="00B4024D" w:rsidTr="0023794B">
        <w:tc>
          <w:tcPr>
            <w:tcW w:w="2425" w:type="dxa"/>
            <w:tcBorders>
              <w:bottom w:val="single" w:sz="4" w:space="0" w:color="auto"/>
            </w:tcBorders>
            <w:shd w:val="clear" w:color="auto" w:fill="DAEEF3"/>
            <w:vAlign w:val="bottom"/>
          </w:tcPr>
          <w:p w:rsidR="008D048D" w:rsidRPr="008724C2" w:rsidRDefault="008D048D" w:rsidP="009F0A92">
            <w:pPr>
              <w:spacing w:before="0" w:after="0"/>
              <w:jc w:val="left"/>
              <w:rPr>
                <w:b/>
                <w:bCs/>
                <w:color w:val="000000"/>
                <w:sz w:val="16"/>
                <w:szCs w:val="16"/>
                <w:lang w:eastAsia="en-AU"/>
              </w:rPr>
            </w:pPr>
            <w:r w:rsidRPr="008724C2">
              <w:rPr>
                <w:b/>
                <w:bCs/>
                <w:color w:val="000000"/>
                <w:sz w:val="16"/>
                <w:szCs w:val="16"/>
                <w:lang w:eastAsia="en-AU"/>
              </w:rPr>
              <w:t>New intake</w:t>
            </w:r>
          </w:p>
        </w:tc>
        <w:tc>
          <w:tcPr>
            <w:tcW w:w="562"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77</w:t>
            </w:r>
          </w:p>
        </w:tc>
        <w:tc>
          <w:tcPr>
            <w:tcW w:w="484"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87</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83</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89</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86</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89</w:t>
            </w:r>
          </w:p>
        </w:tc>
        <w:tc>
          <w:tcPr>
            <w:tcW w:w="561"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90</w:t>
            </w:r>
          </w:p>
        </w:tc>
        <w:tc>
          <w:tcPr>
            <w:tcW w:w="561"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90</w:t>
            </w:r>
          </w:p>
        </w:tc>
        <w:tc>
          <w:tcPr>
            <w:tcW w:w="694"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90</w:t>
            </w:r>
          </w:p>
        </w:tc>
        <w:tc>
          <w:tcPr>
            <w:tcW w:w="561"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91</w:t>
            </w:r>
          </w:p>
        </w:tc>
        <w:tc>
          <w:tcPr>
            <w:tcW w:w="693"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91</w:t>
            </w:r>
          </w:p>
        </w:tc>
        <w:tc>
          <w:tcPr>
            <w:tcW w:w="694"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91</w:t>
            </w:r>
          </w:p>
        </w:tc>
        <w:tc>
          <w:tcPr>
            <w:tcW w:w="694"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92</w:t>
            </w:r>
          </w:p>
        </w:tc>
        <w:tc>
          <w:tcPr>
            <w:tcW w:w="694"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92</w:t>
            </w:r>
          </w:p>
        </w:tc>
        <w:tc>
          <w:tcPr>
            <w:tcW w:w="561" w:type="dxa"/>
            <w:shd w:val="clear" w:color="auto" w:fill="66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92</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94</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94</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94</w:t>
            </w:r>
          </w:p>
        </w:tc>
      </w:tr>
      <w:tr w:rsidR="00B4024D" w:rsidTr="0023794B">
        <w:tc>
          <w:tcPr>
            <w:tcW w:w="2425" w:type="dxa"/>
            <w:tcBorders>
              <w:bottom w:val="single" w:sz="4" w:space="0" w:color="auto"/>
            </w:tcBorders>
            <w:shd w:val="clear" w:color="auto" w:fill="B7DEE8"/>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CORE (YR1 - YR4)</w:t>
            </w:r>
          </w:p>
        </w:tc>
        <w:tc>
          <w:tcPr>
            <w:tcW w:w="562"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295</w:t>
            </w:r>
          </w:p>
        </w:tc>
        <w:tc>
          <w:tcPr>
            <w:tcW w:w="484"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330</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351</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356</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373</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364</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366</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367</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368</w:t>
            </w:r>
          </w:p>
        </w:tc>
        <w:tc>
          <w:tcPr>
            <w:tcW w:w="69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369</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371</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372</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374</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376</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377</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380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381</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382</w:t>
            </w:r>
          </w:p>
        </w:tc>
      </w:tr>
      <w:tr w:rsidR="00B4024D" w:rsidTr="0023794B">
        <w:tc>
          <w:tcPr>
            <w:tcW w:w="2425" w:type="dxa"/>
            <w:tcBorders>
              <w:bottom w:val="single" w:sz="4" w:space="0" w:color="auto"/>
            </w:tcBorders>
            <w:shd w:val="clear" w:color="auto" w:fill="76C0D4"/>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ADVANCED (YR5 &amp; YR6)</w:t>
            </w:r>
          </w:p>
        </w:tc>
        <w:tc>
          <w:tcPr>
            <w:tcW w:w="562"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123</w:t>
            </w:r>
          </w:p>
        </w:tc>
        <w:tc>
          <w:tcPr>
            <w:tcW w:w="484"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143</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133</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159</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181</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194</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201</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205</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208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211</w:t>
            </w:r>
          </w:p>
        </w:tc>
        <w:tc>
          <w:tcPr>
            <w:tcW w:w="69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212</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213</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214</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215</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216</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217</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220</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221</w:t>
            </w:r>
          </w:p>
        </w:tc>
      </w:tr>
      <w:tr w:rsidR="00B4024D" w:rsidTr="0023794B">
        <w:tc>
          <w:tcPr>
            <w:tcW w:w="2425" w:type="dxa"/>
            <w:tcBorders>
              <w:bottom w:val="single" w:sz="4" w:space="0" w:color="auto"/>
            </w:tcBorders>
            <w:shd w:val="clear" w:color="auto" w:fill="3288A0"/>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Domestic trainees</w:t>
            </w:r>
          </w:p>
        </w:tc>
        <w:tc>
          <w:tcPr>
            <w:tcW w:w="562"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418</w:t>
            </w:r>
          </w:p>
        </w:tc>
        <w:tc>
          <w:tcPr>
            <w:tcW w:w="484"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473</w:t>
            </w:r>
          </w:p>
        </w:tc>
        <w:tc>
          <w:tcPr>
            <w:tcW w:w="483"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484</w:t>
            </w:r>
          </w:p>
        </w:tc>
        <w:tc>
          <w:tcPr>
            <w:tcW w:w="483"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515</w:t>
            </w:r>
          </w:p>
        </w:tc>
        <w:tc>
          <w:tcPr>
            <w:tcW w:w="561"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554</w:t>
            </w:r>
          </w:p>
        </w:tc>
        <w:tc>
          <w:tcPr>
            <w:tcW w:w="561"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557</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565</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571</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575</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579</w:t>
            </w:r>
          </w:p>
        </w:tc>
        <w:tc>
          <w:tcPr>
            <w:tcW w:w="69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581</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584</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586</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588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593</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595</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597</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601</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603</w:t>
            </w:r>
          </w:p>
        </w:tc>
      </w:tr>
      <w:tr w:rsidR="00B4024D" w:rsidTr="0023794B">
        <w:tc>
          <w:tcPr>
            <w:tcW w:w="2425" w:type="dxa"/>
            <w:shd w:val="clear" w:color="auto" w:fill="CCC0DA"/>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Substantially comparable</w:t>
            </w:r>
          </w:p>
        </w:tc>
        <w:tc>
          <w:tcPr>
            <w:tcW w:w="562"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46</w:t>
            </w:r>
          </w:p>
        </w:tc>
        <w:tc>
          <w:tcPr>
            <w:tcW w:w="484"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38</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41</w:t>
            </w:r>
          </w:p>
        </w:tc>
        <w:tc>
          <w:tcPr>
            <w:tcW w:w="483" w:type="dxa"/>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34</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22</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18</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11</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69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r>
      <w:tr w:rsidR="00B4024D" w:rsidTr="0023794B">
        <w:tc>
          <w:tcPr>
            <w:tcW w:w="2425" w:type="dxa"/>
            <w:tcBorders>
              <w:bottom w:val="single" w:sz="4" w:space="0" w:color="auto"/>
            </w:tcBorders>
            <w:shd w:val="clear" w:color="auto" w:fill="CCC0DA"/>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Partially comparable</w:t>
            </w:r>
          </w:p>
        </w:tc>
        <w:tc>
          <w:tcPr>
            <w:tcW w:w="562"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9</w:t>
            </w:r>
          </w:p>
        </w:tc>
        <w:tc>
          <w:tcPr>
            <w:tcW w:w="484"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12</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16</w:t>
            </w:r>
          </w:p>
        </w:tc>
        <w:tc>
          <w:tcPr>
            <w:tcW w:w="561" w:type="dxa"/>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14</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8</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69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694"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561"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c>
          <w:tcPr>
            <w:tcW w:w="483" w:type="dxa"/>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10</w:t>
            </w:r>
          </w:p>
        </w:tc>
      </w:tr>
      <w:tr w:rsidR="00B4024D" w:rsidTr="0023794B">
        <w:tc>
          <w:tcPr>
            <w:tcW w:w="2425" w:type="dxa"/>
            <w:tcBorders>
              <w:bottom w:val="single" w:sz="4" w:space="0" w:color="auto"/>
            </w:tcBorders>
            <w:shd w:val="clear" w:color="auto" w:fill="B1A0C7"/>
            <w:vAlign w:val="bottom"/>
          </w:tcPr>
          <w:p w:rsidR="008D048D" w:rsidRPr="008724C2" w:rsidRDefault="008D048D" w:rsidP="009F0A92">
            <w:pPr>
              <w:spacing w:before="0" w:after="0"/>
              <w:jc w:val="left"/>
              <w:rPr>
                <w:color w:val="000000"/>
                <w:sz w:val="16"/>
                <w:szCs w:val="16"/>
                <w:lang w:eastAsia="en-AU"/>
              </w:rPr>
            </w:pPr>
            <w:r>
              <w:rPr>
                <w:color w:val="000000"/>
                <w:sz w:val="16"/>
                <w:szCs w:val="16"/>
                <w:lang w:eastAsia="en-AU"/>
              </w:rPr>
              <w:t>SIMG</w:t>
            </w:r>
            <w:r w:rsidRPr="008724C2">
              <w:rPr>
                <w:color w:val="000000"/>
                <w:sz w:val="16"/>
                <w:szCs w:val="16"/>
                <w:lang w:eastAsia="en-AU"/>
              </w:rPr>
              <w:t xml:space="preserve"> trainees</w:t>
            </w:r>
          </w:p>
        </w:tc>
        <w:tc>
          <w:tcPr>
            <w:tcW w:w="562"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55</w:t>
            </w:r>
          </w:p>
        </w:tc>
        <w:tc>
          <w:tcPr>
            <w:tcW w:w="484"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48</w:t>
            </w:r>
          </w:p>
        </w:tc>
        <w:tc>
          <w:tcPr>
            <w:tcW w:w="483"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49</w:t>
            </w:r>
          </w:p>
        </w:tc>
        <w:tc>
          <w:tcPr>
            <w:tcW w:w="483" w:type="dxa"/>
            <w:tcBorders>
              <w:bottom w:val="single" w:sz="4" w:space="0" w:color="auto"/>
            </w:tcBorders>
            <w:shd w:val="clear" w:color="auto" w:fill="D8E4BC"/>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46</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37</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36</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24</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19</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693"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c>
          <w:tcPr>
            <w:tcW w:w="483"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39</w:t>
            </w:r>
          </w:p>
        </w:tc>
      </w:tr>
      <w:tr w:rsidR="0023794B" w:rsidTr="0023794B">
        <w:tc>
          <w:tcPr>
            <w:tcW w:w="2425" w:type="dxa"/>
            <w:tcBorders>
              <w:bottom w:val="single" w:sz="4" w:space="0" w:color="auto"/>
            </w:tcBorders>
            <w:shd w:val="clear" w:color="auto" w:fill="A6A6A6"/>
            <w:vAlign w:val="bottom"/>
          </w:tcPr>
          <w:p w:rsidR="008D048D" w:rsidRPr="008724C2" w:rsidRDefault="008D048D" w:rsidP="009F0A92">
            <w:pPr>
              <w:spacing w:before="0" w:after="0"/>
              <w:jc w:val="left"/>
              <w:rPr>
                <w:color w:val="000000"/>
                <w:sz w:val="16"/>
                <w:szCs w:val="16"/>
                <w:lang w:eastAsia="en-AU"/>
              </w:rPr>
            </w:pPr>
            <w:r w:rsidRPr="008724C2">
              <w:rPr>
                <w:color w:val="000000"/>
                <w:sz w:val="16"/>
                <w:szCs w:val="16"/>
                <w:lang w:eastAsia="en-AU"/>
              </w:rPr>
              <w:t>Total trainees</w:t>
            </w:r>
          </w:p>
        </w:tc>
        <w:tc>
          <w:tcPr>
            <w:tcW w:w="562" w:type="dxa"/>
            <w:tcBorders>
              <w:bottom w:val="single" w:sz="4" w:space="0" w:color="auto"/>
            </w:tcBorders>
            <w:shd w:val="clear" w:color="auto" w:fill="A6A6A6"/>
            <w:vAlign w:val="bottom"/>
          </w:tcPr>
          <w:p w:rsidR="008D048D" w:rsidRPr="00473A34" w:rsidRDefault="008D048D" w:rsidP="009F0A92">
            <w:pPr>
              <w:spacing w:before="0" w:after="0"/>
              <w:jc w:val="left"/>
              <w:rPr>
                <w:rFonts w:cs="Arial"/>
                <w:color w:val="000000"/>
                <w:sz w:val="16"/>
                <w:szCs w:val="16"/>
                <w:lang w:eastAsia="en-AU"/>
              </w:rPr>
            </w:pPr>
            <w:r w:rsidRPr="00473A34">
              <w:rPr>
                <w:rFonts w:cs="Arial"/>
                <w:color w:val="000000"/>
                <w:sz w:val="16"/>
                <w:szCs w:val="22"/>
              </w:rPr>
              <w:t> </w:t>
            </w:r>
          </w:p>
        </w:tc>
        <w:tc>
          <w:tcPr>
            <w:tcW w:w="484"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521</w:t>
            </w:r>
          </w:p>
        </w:tc>
        <w:tc>
          <w:tcPr>
            <w:tcW w:w="483"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533</w:t>
            </w:r>
          </w:p>
        </w:tc>
        <w:tc>
          <w:tcPr>
            <w:tcW w:w="483"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561</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591</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593</w:t>
            </w:r>
          </w:p>
        </w:tc>
        <w:tc>
          <w:tcPr>
            <w:tcW w:w="561" w:type="dxa"/>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589</w:t>
            </w:r>
          </w:p>
        </w:tc>
        <w:tc>
          <w:tcPr>
            <w:tcW w:w="561" w:type="dxa"/>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590</w:t>
            </w:r>
          </w:p>
        </w:tc>
        <w:tc>
          <w:tcPr>
            <w:tcW w:w="694" w:type="dxa"/>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614</w:t>
            </w:r>
          </w:p>
        </w:tc>
        <w:tc>
          <w:tcPr>
            <w:tcW w:w="561" w:type="dxa"/>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618</w:t>
            </w:r>
          </w:p>
        </w:tc>
        <w:tc>
          <w:tcPr>
            <w:tcW w:w="693" w:type="dxa"/>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621</w:t>
            </w:r>
          </w:p>
        </w:tc>
        <w:tc>
          <w:tcPr>
            <w:tcW w:w="694"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623</w:t>
            </w:r>
          </w:p>
        </w:tc>
        <w:tc>
          <w:tcPr>
            <w:tcW w:w="694"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625</w:t>
            </w:r>
          </w:p>
        </w:tc>
        <w:tc>
          <w:tcPr>
            <w:tcW w:w="694"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628</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630</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632</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634</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636</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638</w:t>
            </w:r>
          </w:p>
        </w:tc>
        <w:tc>
          <w:tcPr>
            <w:tcW w:w="561"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640</w:t>
            </w:r>
          </w:p>
        </w:tc>
        <w:tc>
          <w:tcPr>
            <w:tcW w:w="483" w:type="dxa"/>
            <w:tcBorders>
              <w:bottom w:val="single" w:sz="4" w:space="0" w:color="auto"/>
            </w:tcBorders>
            <w:shd w:val="clear" w:color="auto" w:fill="A6A6A6"/>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642</w:t>
            </w:r>
          </w:p>
        </w:tc>
      </w:tr>
      <w:tr w:rsidR="00B4024D" w:rsidTr="0023794B">
        <w:tc>
          <w:tcPr>
            <w:tcW w:w="2425" w:type="dxa"/>
            <w:tcBorders>
              <w:bottom w:val="single" w:sz="4" w:space="0" w:color="auto"/>
            </w:tcBorders>
            <w:shd w:val="clear" w:color="auto" w:fill="215967"/>
            <w:vAlign w:val="bottom"/>
          </w:tcPr>
          <w:p w:rsidR="008D048D" w:rsidRPr="008724C2" w:rsidRDefault="008D048D" w:rsidP="009F0A92">
            <w:pPr>
              <w:spacing w:before="0" w:after="0"/>
              <w:jc w:val="left"/>
              <w:rPr>
                <w:color w:val="FFFFFF"/>
                <w:sz w:val="16"/>
                <w:szCs w:val="16"/>
                <w:lang w:eastAsia="en-AU"/>
              </w:rPr>
            </w:pPr>
            <w:r w:rsidRPr="008724C2">
              <w:rPr>
                <w:color w:val="FFFFFF"/>
                <w:sz w:val="16"/>
                <w:szCs w:val="16"/>
                <w:lang w:eastAsia="en-AU"/>
              </w:rPr>
              <w:t>Domestic new fellows</w:t>
            </w:r>
          </w:p>
        </w:tc>
        <w:tc>
          <w:tcPr>
            <w:tcW w:w="562" w:type="dxa"/>
            <w:shd w:val="clear" w:color="auto" w:fill="FFFF99"/>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82</w:t>
            </w:r>
          </w:p>
        </w:tc>
        <w:tc>
          <w:tcPr>
            <w:tcW w:w="484" w:type="dxa"/>
            <w:shd w:val="clear" w:color="auto" w:fill="FFFF99"/>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57</w:t>
            </w:r>
          </w:p>
        </w:tc>
        <w:tc>
          <w:tcPr>
            <w:tcW w:w="483" w:type="dxa"/>
            <w:shd w:val="clear" w:color="auto" w:fill="FFFF99"/>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52</w:t>
            </w:r>
          </w:p>
        </w:tc>
        <w:tc>
          <w:tcPr>
            <w:tcW w:w="483" w:type="dxa"/>
            <w:shd w:val="clear" w:color="auto" w:fill="FFFF99"/>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49</w:t>
            </w:r>
          </w:p>
        </w:tc>
        <w:tc>
          <w:tcPr>
            <w:tcW w:w="561" w:type="dxa"/>
            <w:shd w:val="clear" w:color="auto" w:fill="FDE9D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68</w:t>
            </w:r>
          </w:p>
        </w:tc>
        <w:tc>
          <w:tcPr>
            <w:tcW w:w="561" w:type="dxa"/>
            <w:shd w:val="clear" w:color="auto" w:fill="FDE9D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64</w:t>
            </w:r>
          </w:p>
        </w:tc>
        <w:tc>
          <w:tcPr>
            <w:tcW w:w="561" w:type="dxa"/>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73</w:t>
            </w:r>
          </w:p>
        </w:tc>
        <w:tc>
          <w:tcPr>
            <w:tcW w:w="561" w:type="dxa"/>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76</w:t>
            </w:r>
          </w:p>
        </w:tc>
        <w:tc>
          <w:tcPr>
            <w:tcW w:w="694" w:type="dxa"/>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77</w:t>
            </w:r>
          </w:p>
        </w:tc>
        <w:tc>
          <w:tcPr>
            <w:tcW w:w="561" w:type="dxa"/>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78</w:t>
            </w:r>
          </w:p>
        </w:tc>
        <w:tc>
          <w:tcPr>
            <w:tcW w:w="693" w:type="dxa"/>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79</w:t>
            </w:r>
          </w:p>
        </w:tc>
        <w:tc>
          <w:tcPr>
            <w:tcW w:w="694"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80</w:t>
            </w:r>
          </w:p>
        </w:tc>
        <w:tc>
          <w:tcPr>
            <w:tcW w:w="694"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80</w:t>
            </w:r>
          </w:p>
        </w:tc>
        <w:tc>
          <w:tcPr>
            <w:tcW w:w="694"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81</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81</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81</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82</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82</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82</w:t>
            </w:r>
          </w:p>
        </w:tc>
        <w:tc>
          <w:tcPr>
            <w:tcW w:w="561"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82</w:t>
            </w:r>
          </w:p>
        </w:tc>
        <w:tc>
          <w:tcPr>
            <w:tcW w:w="483" w:type="dxa"/>
            <w:shd w:val="clear" w:color="auto" w:fill="66FF99"/>
            <w:vAlign w:val="bottom"/>
          </w:tcPr>
          <w:p w:rsidR="008D048D" w:rsidRPr="00473A34" w:rsidRDefault="008D048D" w:rsidP="009F0A92">
            <w:pPr>
              <w:spacing w:before="0" w:after="0"/>
              <w:jc w:val="right"/>
              <w:rPr>
                <w:rFonts w:cs="Arial"/>
                <w:b/>
                <w:bCs/>
                <w:color w:val="000000"/>
                <w:sz w:val="16"/>
                <w:szCs w:val="16"/>
                <w:lang w:eastAsia="en-AU"/>
              </w:rPr>
            </w:pPr>
            <w:r w:rsidRPr="00473A34">
              <w:rPr>
                <w:rFonts w:cs="Arial"/>
                <w:b/>
                <w:bCs/>
                <w:color w:val="000000"/>
                <w:sz w:val="16"/>
                <w:szCs w:val="22"/>
              </w:rPr>
              <w:t>83</w:t>
            </w:r>
          </w:p>
        </w:tc>
      </w:tr>
      <w:tr w:rsidR="00B4024D" w:rsidTr="0023794B">
        <w:tc>
          <w:tcPr>
            <w:tcW w:w="2425" w:type="dxa"/>
            <w:tcBorders>
              <w:bottom w:val="single" w:sz="4" w:space="0" w:color="auto"/>
            </w:tcBorders>
            <w:shd w:val="clear" w:color="auto" w:fill="60497A"/>
            <w:vAlign w:val="bottom"/>
          </w:tcPr>
          <w:p w:rsidR="008D048D" w:rsidRPr="008724C2" w:rsidRDefault="008D048D" w:rsidP="009F0A92">
            <w:pPr>
              <w:spacing w:before="0" w:after="0"/>
              <w:jc w:val="left"/>
              <w:rPr>
                <w:color w:val="FFFFFF"/>
                <w:sz w:val="16"/>
                <w:szCs w:val="16"/>
                <w:lang w:eastAsia="en-AU"/>
              </w:rPr>
            </w:pPr>
            <w:r>
              <w:rPr>
                <w:color w:val="FFFFFF"/>
                <w:sz w:val="16"/>
                <w:szCs w:val="16"/>
                <w:lang w:eastAsia="en-AU"/>
              </w:rPr>
              <w:t xml:space="preserve">SIMG </w:t>
            </w:r>
            <w:r w:rsidRPr="008724C2">
              <w:rPr>
                <w:color w:val="FFFFFF"/>
                <w:sz w:val="16"/>
                <w:szCs w:val="16"/>
                <w:lang w:eastAsia="en-AU"/>
              </w:rPr>
              <w:t xml:space="preserve"> new fellows</w:t>
            </w:r>
          </w:p>
        </w:tc>
        <w:tc>
          <w:tcPr>
            <w:tcW w:w="562" w:type="dxa"/>
            <w:tcBorders>
              <w:bottom w:val="single" w:sz="4" w:space="0" w:color="auto"/>
            </w:tcBorders>
            <w:shd w:val="clear" w:color="auto" w:fill="FFFF99"/>
            <w:vAlign w:val="bottom"/>
          </w:tcPr>
          <w:p w:rsidR="008D048D" w:rsidRPr="00473A34" w:rsidRDefault="008D048D" w:rsidP="009F0A92">
            <w:pPr>
              <w:spacing w:before="0" w:after="0"/>
              <w:jc w:val="left"/>
              <w:rPr>
                <w:rFonts w:cs="Arial"/>
                <w:color w:val="000000"/>
                <w:sz w:val="16"/>
                <w:szCs w:val="16"/>
                <w:lang w:eastAsia="en-AU"/>
              </w:rPr>
            </w:pPr>
            <w:r w:rsidRPr="00473A34">
              <w:rPr>
                <w:rFonts w:cs="Arial"/>
                <w:color w:val="000000"/>
                <w:sz w:val="16"/>
                <w:szCs w:val="22"/>
              </w:rPr>
              <w:t> </w:t>
            </w:r>
          </w:p>
        </w:tc>
        <w:tc>
          <w:tcPr>
            <w:tcW w:w="484"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33</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29</w:t>
            </w:r>
          </w:p>
        </w:tc>
        <w:tc>
          <w:tcPr>
            <w:tcW w:w="483" w:type="dxa"/>
            <w:tcBorders>
              <w:bottom w:val="single" w:sz="4" w:space="0" w:color="auto"/>
            </w:tcBorders>
            <w:shd w:val="clear" w:color="auto" w:fill="FFFF9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19</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47</w:t>
            </w:r>
          </w:p>
        </w:tc>
        <w:tc>
          <w:tcPr>
            <w:tcW w:w="561" w:type="dxa"/>
            <w:tcBorders>
              <w:bottom w:val="single" w:sz="4" w:space="0" w:color="auto"/>
            </w:tcBorders>
            <w:shd w:val="clear" w:color="auto" w:fill="FDE9D9"/>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26</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24</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21</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14</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693"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694"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561"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c>
          <w:tcPr>
            <w:tcW w:w="483" w:type="dxa"/>
            <w:tcBorders>
              <w:bottom w:val="single" w:sz="4" w:space="0" w:color="auto"/>
            </w:tcBorders>
            <w:vAlign w:val="bottom"/>
          </w:tcPr>
          <w:p w:rsidR="008D048D" w:rsidRPr="00473A34" w:rsidRDefault="008D048D" w:rsidP="009F0A92">
            <w:pPr>
              <w:spacing w:before="0" w:after="0"/>
              <w:jc w:val="right"/>
              <w:rPr>
                <w:rFonts w:cs="Arial"/>
                <w:color w:val="000000"/>
                <w:sz w:val="16"/>
                <w:szCs w:val="16"/>
                <w:lang w:eastAsia="en-AU"/>
              </w:rPr>
            </w:pPr>
            <w:r w:rsidRPr="00473A34">
              <w:rPr>
                <w:rFonts w:cs="Arial"/>
                <w:color w:val="000000"/>
                <w:sz w:val="16"/>
                <w:szCs w:val="22"/>
              </w:rPr>
              <w:t>28</w:t>
            </w:r>
          </w:p>
        </w:tc>
      </w:tr>
      <w:tr w:rsidR="0023794B" w:rsidTr="0023794B">
        <w:tc>
          <w:tcPr>
            <w:tcW w:w="2425" w:type="dxa"/>
            <w:shd w:val="clear" w:color="auto" w:fill="A6A6A6"/>
            <w:vAlign w:val="bottom"/>
          </w:tcPr>
          <w:p w:rsidR="008D048D" w:rsidRPr="00DB0D77" w:rsidRDefault="008D048D" w:rsidP="009F0A92">
            <w:pPr>
              <w:spacing w:before="0" w:after="0"/>
              <w:jc w:val="left"/>
              <w:rPr>
                <w:b/>
                <w:color w:val="000000"/>
                <w:sz w:val="16"/>
                <w:szCs w:val="16"/>
                <w:lang w:eastAsia="en-AU"/>
              </w:rPr>
            </w:pPr>
            <w:r w:rsidRPr="00DB0D77">
              <w:rPr>
                <w:b/>
                <w:color w:val="000000"/>
                <w:sz w:val="16"/>
                <w:szCs w:val="16"/>
                <w:lang w:eastAsia="en-AU"/>
              </w:rPr>
              <w:t>Total New Fellows</w:t>
            </w:r>
          </w:p>
        </w:tc>
        <w:tc>
          <w:tcPr>
            <w:tcW w:w="562"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82</w:t>
            </w:r>
          </w:p>
        </w:tc>
        <w:tc>
          <w:tcPr>
            <w:tcW w:w="484"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90</w:t>
            </w:r>
          </w:p>
        </w:tc>
        <w:tc>
          <w:tcPr>
            <w:tcW w:w="483"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81</w:t>
            </w:r>
          </w:p>
        </w:tc>
        <w:tc>
          <w:tcPr>
            <w:tcW w:w="483"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68</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115</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90</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97</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97</w:t>
            </w:r>
          </w:p>
        </w:tc>
        <w:tc>
          <w:tcPr>
            <w:tcW w:w="694"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91</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107</w:t>
            </w:r>
          </w:p>
        </w:tc>
        <w:tc>
          <w:tcPr>
            <w:tcW w:w="693"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107</w:t>
            </w:r>
          </w:p>
        </w:tc>
        <w:tc>
          <w:tcPr>
            <w:tcW w:w="694"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108</w:t>
            </w:r>
          </w:p>
        </w:tc>
        <w:tc>
          <w:tcPr>
            <w:tcW w:w="694"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109</w:t>
            </w:r>
          </w:p>
        </w:tc>
        <w:tc>
          <w:tcPr>
            <w:tcW w:w="694"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109</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109</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110</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110</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110</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110</w:t>
            </w:r>
          </w:p>
        </w:tc>
        <w:tc>
          <w:tcPr>
            <w:tcW w:w="561"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111</w:t>
            </w:r>
          </w:p>
        </w:tc>
        <w:tc>
          <w:tcPr>
            <w:tcW w:w="483" w:type="dxa"/>
            <w:shd w:val="clear" w:color="auto" w:fill="A6A6A6"/>
            <w:vAlign w:val="bottom"/>
          </w:tcPr>
          <w:p w:rsidR="008D048D" w:rsidRPr="00473A34" w:rsidRDefault="008D048D" w:rsidP="009F0A92">
            <w:pPr>
              <w:spacing w:before="0" w:after="0"/>
              <w:jc w:val="right"/>
              <w:rPr>
                <w:rFonts w:cs="Arial"/>
                <w:b/>
                <w:color w:val="000000"/>
                <w:sz w:val="16"/>
                <w:szCs w:val="16"/>
                <w:lang w:eastAsia="en-AU"/>
              </w:rPr>
            </w:pPr>
            <w:r w:rsidRPr="00473A34">
              <w:rPr>
                <w:rFonts w:cs="Arial"/>
                <w:color w:val="000000"/>
                <w:sz w:val="16"/>
                <w:szCs w:val="22"/>
              </w:rPr>
              <w:t>111</w:t>
            </w:r>
          </w:p>
        </w:tc>
      </w:tr>
    </w:tbl>
    <w:p w:rsidR="00106E2A" w:rsidRDefault="00106E2A" w:rsidP="00E161CE">
      <w:pPr>
        <w:spacing w:before="0" w:after="0"/>
      </w:pPr>
    </w:p>
    <w:tbl>
      <w:tblPr>
        <w:tblStyle w:val="TableGrid"/>
        <w:tblW w:w="0" w:type="auto"/>
        <w:tblLook w:val="04A0" w:firstRow="1" w:lastRow="0" w:firstColumn="1" w:lastColumn="0" w:noHBand="0" w:noVBand="1"/>
        <w:tblDescription w:val="Legend"/>
      </w:tblPr>
      <w:tblGrid>
        <w:gridCol w:w="670"/>
        <w:gridCol w:w="1115"/>
        <w:gridCol w:w="973"/>
        <w:gridCol w:w="892"/>
        <w:gridCol w:w="892"/>
      </w:tblGrid>
      <w:tr w:rsidR="00106E2A" w:rsidTr="00E161CE">
        <w:trPr>
          <w:tblHeader/>
        </w:trPr>
        <w:tc>
          <w:tcPr>
            <w:tcW w:w="0" w:type="auto"/>
            <w:shd w:val="clear" w:color="auto" w:fill="FFFF99"/>
            <w:vAlign w:val="bottom"/>
          </w:tcPr>
          <w:p w:rsidR="00106E2A" w:rsidRPr="00F27243" w:rsidRDefault="00106E2A" w:rsidP="009F0A92">
            <w:pPr>
              <w:spacing w:before="0" w:after="0"/>
              <w:jc w:val="center"/>
              <w:rPr>
                <w:color w:val="000000"/>
                <w:sz w:val="16"/>
                <w:szCs w:val="16"/>
                <w:lang w:eastAsia="en-AU"/>
              </w:rPr>
            </w:pPr>
            <w:r w:rsidRPr="00F27243">
              <w:rPr>
                <w:color w:val="000000"/>
                <w:sz w:val="16"/>
                <w:szCs w:val="16"/>
                <w:lang w:eastAsia="en-AU"/>
              </w:rPr>
              <w:t>MTRP</w:t>
            </w:r>
          </w:p>
        </w:tc>
        <w:tc>
          <w:tcPr>
            <w:tcW w:w="0" w:type="auto"/>
            <w:shd w:val="clear" w:color="auto" w:fill="FDE9D9"/>
            <w:vAlign w:val="bottom"/>
          </w:tcPr>
          <w:p w:rsidR="00106E2A" w:rsidRPr="00F27243" w:rsidRDefault="00106E2A" w:rsidP="009F0A92">
            <w:pPr>
              <w:spacing w:before="0" w:after="0"/>
              <w:jc w:val="center"/>
              <w:rPr>
                <w:rFonts w:cs="Arial"/>
                <w:color w:val="000000"/>
                <w:sz w:val="16"/>
                <w:szCs w:val="22"/>
              </w:rPr>
            </w:pPr>
            <w:r w:rsidRPr="00F27243">
              <w:rPr>
                <w:rFonts w:cs="Arial"/>
                <w:color w:val="000000"/>
                <w:sz w:val="16"/>
                <w:szCs w:val="22"/>
              </w:rPr>
              <w:t>College data</w:t>
            </w:r>
          </w:p>
        </w:tc>
        <w:tc>
          <w:tcPr>
            <w:tcW w:w="0" w:type="auto"/>
            <w:shd w:val="clear" w:color="auto" w:fill="D8E4BC"/>
            <w:vAlign w:val="bottom"/>
          </w:tcPr>
          <w:p w:rsidR="00106E2A" w:rsidRPr="00F27243" w:rsidRDefault="00106E2A" w:rsidP="009F0A92">
            <w:pPr>
              <w:spacing w:before="0" w:after="0"/>
              <w:jc w:val="center"/>
              <w:rPr>
                <w:rFonts w:cs="Arial"/>
                <w:color w:val="000000"/>
                <w:sz w:val="16"/>
                <w:szCs w:val="22"/>
              </w:rPr>
            </w:pPr>
            <w:r w:rsidRPr="00F27243">
              <w:rPr>
                <w:rFonts w:cs="Arial"/>
                <w:color w:val="000000"/>
                <w:sz w:val="16"/>
                <w:szCs w:val="22"/>
              </w:rPr>
              <w:t>Calculated</w:t>
            </w:r>
          </w:p>
        </w:tc>
        <w:tc>
          <w:tcPr>
            <w:tcW w:w="0" w:type="auto"/>
            <w:shd w:val="clear" w:color="auto" w:fill="66FF99"/>
            <w:vAlign w:val="bottom"/>
          </w:tcPr>
          <w:p w:rsidR="00106E2A" w:rsidRPr="00F27243" w:rsidRDefault="00106E2A" w:rsidP="009F0A92">
            <w:pPr>
              <w:spacing w:before="0" w:after="0"/>
              <w:jc w:val="center"/>
              <w:rPr>
                <w:rFonts w:cs="Arial"/>
                <w:color w:val="000000"/>
                <w:sz w:val="16"/>
                <w:szCs w:val="22"/>
              </w:rPr>
            </w:pPr>
            <w:r w:rsidRPr="00F27243">
              <w:rPr>
                <w:rFonts w:cs="Arial"/>
                <w:color w:val="000000"/>
                <w:sz w:val="16"/>
                <w:szCs w:val="22"/>
              </w:rPr>
              <w:t>Projected</w:t>
            </w:r>
          </w:p>
        </w:tc>
        <w:tc>
          <w:tcPr>
            <w:tcW w:w="0" w:type="auto"/>
            <w:vAlign w:val="bottom"/>
          </w:tcPr>
          <w:p w:rsidR="00106E2A" w:rsidRPr="00F27243" w:rsidRDefault="00106E2A" w:rsidP="009F0A92">
            <w:pPr>
              <w:spacing w:before="0" w:after="0"/>
              <w:jc w:val="center"/>
              <w:rPr>
                <w:rFonts w:cs="Arial"/>
                <w:color w:val="000000"/>
                <w:sz w:val="16"/>
                <w:szCs w:val="22"/>
              </w:rPr>
            </w:pPr>
            <w:r w:rsidRPr="00F27243">
              <w:rPr>
                <w:rFonts w:cs="Arial"/>
                <w:color w:val="000000"/>
                <w:sz w:val="16"/>
                <w:szCs w:val="22"/>
              </w:rPr>
              <w:t>Projected</w:t>
            </w:r>
          </w:p>
        </w:tc>
      </w:tr>
    </w:tbl>
    <w:p w:rsidR="009572D3" w:rsidRDefault="009572D3" w:rsidP="009572D3">
      <w:pPr>
        <w:pStyle w:val="Heading3"/>
      </w:pPr>
      <w:r w:rsidRPr="001501D9">
        <w:t>Results of pipelining</w:t>
      </w:r>
    </w:p>
    <w:p w:rsidR="009572D3" w:rsidRDefault="009572D3" w:rsidP="009572D3">
      <w:r>
        <w:fldChar w:fldCharType="begin"/>
      </w:r>
      <w:r>
        <w:instrText xml:space="preserve"> REF _Ref442267637 \h  \* MERGEFORMAT </w:instrText>
      </w:r>
      <w:r>
        <w:fldChar w:fldCharType="separate"/>
      </w:r>
      <w:r w:rsidR="008C7087" w:rsidRPr="008C7087">
        <w:t>Figure 29</w:t>
      </w:r>
      <w:r>
        <w:fldChar w:fldCharType="end"/>
      </w:r>
      <w:r>
        <w:t xml:space="preserve"> </w:t>
      </w:r>
      <w:r w:rsidRPr="00AE71AD">
        <w:t>shows the historical number of new Fellows</w:t>
      </w:r>
      <w:r>
        <w:t xml:space="preserve"> (2013 to 2016)</w:t>
      </w:r>
      <w:r w:rsidRPr="00AE71AD">
        <w:t xml:space="preserve"> and the </w:t>
      </w:r>
      <w:r>
        <w:t>projected</w:t>
      </w:r>
      <w:r w:rsidRPr="00AE71AD">
        <w:t xml:space="preserve"> number of new Fellows, based on the above transition rates. </w:t>
      </w:r>
      <w:r>
        <w:t xml:space="preserve">A lower and upper limit of ± three per cent has been included to show the range of the future projection of new fellows (domestic and SIMGs). </w:t>
      </w:r>
    </w:p>
    <w:p w:rsidR="009572D3" w:rsidRPr="00F374B2" w:rsidRDefault="009572D3" w:rsidP="009572D3">
      <w:pPr>
        <w:pStyle w:val="Caption"/>
        <w:keepNext/>
        <w:rPr>
          <w:szCs w:val="22"/>
        </w:rPr>
      </w:pPr>
      <w:bookmarkStart w:id="149" w:name="_Ref442267637"/>
      <w:bookmarkStart w:id="150" w:name="_Toc442268286"/>
      <w:bookmarkStart w:id="151" w:name="_Toc515888833"/>
      <w:r w:rsidRPr="00F374B2">
        <w:rPr>
          <w:szCs w:val="22"/>
        </w:rPr>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29</w:t>
      </w:r>
      <w:r>
        <w:rPr>
          <w:szCs w:val="22"/>
        </w:rPr>
        <w:fldChar w:fldCharType="end"/>
      </w:r>
      <w:bookmarkEnd w:id="149"/>
      <w:r>
        <w:rPr>
          <w:noProof/>
          <w:szCs w:val="22"/>
        </w:rPr>
        <w:t>:</w:t>
      </w:r>
      <w:r w:rsidRPr="00F374B2">
        <w:rPr>
          <w:szCs w:val="22"/>
        </w:rPr>
        <w:t xml:space="preserve"> New Fellows pipeline projections</w:t>
      </w:r>
      <w:bookmarkEnd w:id="150"/>
      <w:bookmarkEnd w:id="151"/>
    </w:p>
    <w:p w:rsidR="00FC7B75" w:rsidRPr="00F374B2" w:rsidRDefault="00FC7B75" w:rsidP="009572D3">
      <w:pPr>
        <w:rPr>
          <w:sz w:val="16"/>
          <w:szCs w:val="16"/>
        </w:rPr>
      </w:pPr>
      <w:r>
        <w:rPr>
          <w:noProof/>
          <w:sz w:val="16"/>
          <w:szCs w:val="16"/>
          <w:lang w:eastAsia="en-AU"/>
        </w:rPr>
        <w:drawing>
          <wp:inline distT="0" distB="0" distL="0" distR="0" wp14:anchorId="512D929F" wp14:editId="5C5EC4F0">
            <wp:extent cx="9205595" cy="2249805"/>
            <wp:effectExtent l="0" t="0" r="0" b="0"/>
            <wp:docPr id="693" name="Picture 693" descr="Shows the historical number of new Fellows (2013 to 2016) and the projected number of new Fellows. A lower and upper limit of plus or minus three per cent has been included to show the range of the future projection of new fellows (domestic and Specialist International Medial Graduates). " title="Figure 29: New Fellows pipelin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05595" cy="2249805"/>
                    </a:xfrm>
                    <a:prstGeom prst="rect">
                      <a:avLst/>
                    </a:prstGeom>
                    <a:noFill/>
                  </pic:spPr>
                </pic:pic>
              </a:graphicData>
            </a:graphic>
          </wp:inline>
        </w:drawing>
      </w:r>
    </w:p>
    <w:p w:rsidR="00413E82" w:rsidRDefault="009572D3" w:rsidP="000831FF">
      <w:r w:rsidRPr="009572D3">
        <w:rPr>
          <w:i/>
          <w:color w:val="4F81BD" w:themeColor="accent1"/>
          <w:sz w:val="16"/>
          <w:szCs w:val="16"/>
        </w:rPr>
        <w:t>Source: MTRP reports and TAP</w:t>
      </w:r>
    </w:p>
    <w:p w:rsidR="00413E82" w:rsidRPr="000831FF" w:rsidRDefault="00413E82" w:rsidP="000831FF">
      <w:pPr>
        <w:sectPr w:rsidR="00413E82" w:rsidRPr="000831FF" w:rsidSect="00561EB0">
          <w:pgSz w:w="16838" w:h="11906" w:orient="landscape"/>
          <w:pgMar w:top="851" w:right="1247" w:bottom="567" w:left="1247" w:header="709" w:footer="709" w:gutter="0"/>
          <w:cols w:space="708"/>
          <w:titlePg/>
          <w:docGrid w:linePitch="360"/>
        </w:sectPr>
      </w:pPr>
    </w:p>
    <w:p w:rsidR="00C353C8" w:rsidRDefault="004E65E5" w:rsidP="00426E94">
      <w:pPr>
        <w:pStyle w:val="Heading1"/>
      </w:pPr>
      <w:bookmarkStart w:id="152" w:name="_Toc438633265"/>
      <w:bookmarkStart w:id="153" w:name="_Toc521510469"/>
      <w:r w:rsidRPr="0002233D">
        <w:lastRenderedPageBreak/>
        <w:t>Capacity</w:t>
      </w:r>
      <w:r w:rsidR="009A6598" w:rsidRPr="0002233D">
        <w:t xml:space="preserve"> and </w:t>
      </w:r>
      <w:r w:rsidR="00415246" w:rsidRPr="0002233D">
        <w:t>D</w:t>
      </w:r>
      <w:r w:rsidR="009A6598" w:rsidRPr="0002233D">
        <w:t xml:space="preserve">istribution for </w:t>
      </w:r>
      <w:r w:rsidR="00415246" w:rsidRPr="0002233D">
        <w:t>T</w:t>
      </w:r>
      <w:r w:rsidRPr="0002233D">
        <w:t>raining</w:t>
      </w:r>
      <w:bookmarkEnd w:id="152"/>
      <w:bookmarkEnd w:id="153"/>
    </w:p>
    <w:p w:rsidR="00256B6B" w:rsidRDefault="00256B6B" w:rsidP="00544360">
      <w:r w:rsidRPr="00AE71AD">
        <w:t>Vocational medical training is undertaken by most medical practitioners. The process of gaining a vocational training position is competitive, with training provided through the College. The vocational medical training pipeline enables the number of training positions required under various scenarios to be modelled. It provides a representation of the medical workforce from the graduate level through to specialty Fellowship. The model draws together the known flows and inter-dependencies at each stage of the medical education and training pipeline in a dynamic, system wide projection of each component over the period to 2030.</w:t>
      </w:r>
    </w:p>
    <w:p w:rsidR="00256B6B" w:rsidRDefault="00256B6B" w:rsidP="00544360">
      <w:r w:rsidRPr="00AE71AD">
        <w:t>Graduate numbers are only one component of the medical education pathway. The vocational medical training pipeline analysis highlights that, based on the existing demand for specialist services being carried forward (and other factors such as the number of expected graduates and a continued migration flow being held constant), there will be more medical practitioners seeking a vocational training position than places available</w:t>
      </w:r>
      <w:r w:rsidR="00F5099C">
        <w:t>; not just for O&amp;G, but all medical specialties</w:t>
      </w:r>
      <w:r w:rsidRPr="00AE71AD">
        <w:t xml:space="preserve">. </w:t>
      </w:r>
    </w:p>
    <w:p w:rsidR="00256B6B" w:rsidRDefault="00256B6B" w:rsidP="00544360">
      <w:r w:rsidRPr="00AE71AD">
        <w:t xml:space="preserve">Training capacity also impacts on vocational medical training. It recognises training capacity pressures are increasing as the larger cohorts of medial graduates move from intern to prevocational to vocational training positions. </w:t>
      </w:r>
      <w:r w:rsidR="00FF7128">
        <w:t>This is reflected in the 3</w:t>
      </w:r>
      <w:r w:rsidR="00A07297">
        <w:t>7</w:t>
      </w:r>
      <w:r w:rsidR="00FF7128" w:rsidRPr="00AE71AD">
        <w:t xml:space="preserve"> </w:t>
      </w:r>
      <w:r w:rsidR="00FF7128">
        <w:t>per</w:t>
      </w:r>
      <w:r w:rsidR="00C65FC7">
        <w:t xml:space="preserve"> </w:t>
      </w:r>
      <w:r w:rsidR="00FF7128">
        <w:t>cent</w:t>
      </w:r>
      <w:r w:rsidR="00FF7128" w:rsidRPr="00AE71AD">
        <w:t xml:space="preserve"> </w:t>
      </w:r>
      <w:r w:rsidR="00FF7128">
        <w:t xml:space="preserve">in </w:t>
      </w:r>
      <w:r w:rsidR="00FF7128" w:rsidRPr="00AE71AD">
        <w:t>vocational</w:t>
      </w:r>
      <w:r w:rsidR="00FF7128">
        <w:t xml:space="preserve"> training positions with</w:t>
      </w:r>
      <w:r w:rsidR="00A07297">
        <w:t xml:space="preserve"> 15,478 in 2011 moving to 21,224</w:t>
      </w:r>
      <w:r w:rsidR="00FF7128">
        <w:t xml:space="preserve"> by 201</w:t>
      </w:r>
      <w:r w:rsidR="00A07297">
        <w:t>6</w:t>
      </w:r>
      <w:r w:rsidR="00FF7128">
        <w:t xml:space="preserve"> </w:t>
      </w:r>
      <w:r w:rsidR="00FF7128" w:rsidRPr="00AE71AD">
        <w:t>with unclear links to future workforce requirements</w:t>
      </w:r>
      <w:r w:rsidR="00FF7128">
        <w:t xml:space="preserve"> and t</w:t>
      </w:r>
      <w:r w:rsidRPr="00AE71AD">
        <w:t xml:space="preserve">he continued reliance on </w:t>
      </w:r>
      <w:r w:rsidR="001F0A59">
        <w:t>IMGS</w:t>
      </w:r>
      <w:r w:rsidRPr="00AE71AD">
        <w:t xml:space="preserve"> places additional burden on the training capacity of the system. </w:t>
      </w:r>
    </w:p>
    <w:p w:rsidR="00AF671E" w:rsidRDefault="00AF671E" w:rsidP="00AF671E">
      <w:r>
        <w:t xml:space="preserve">The Department </w:t>
      </w:r>
      <w:r w:rsidR="00256B6B" w:rsidRPr="00AE71AD">
        <w:t>has continued to support the initiative to expand training capacity through the commitment t</w:t>
      </w:r>
      <w:r>
        <w:t>o continue funding for the Specialist Training Program (STP) and seeks to extend vocational training for specialist registrars into settings outside traditional metropolitan teaching hospitals, including regional, rural, remote and private facilities.  The program aims to improve the quality of the future specialist workforce by providing registrars with exposure to a broader range of healthcare settings.  STP also aims to have a positive influence on future workforce distribution.</w:t>
      </w:r>
    </w:p>
    <w:p w:rsidR="00AF671E" w:rsidRDefault="00AF671E" w:rsidP="00AF671E">
      <w:r>
        <w:t xml:space="preserve">The STP provides funding for up to 1077 ongoing positions in 2018. These numbers include the 100 dedicated rural training positions under the Integrated Rural Training Pipeline Initiative. The program funds between 5 and 7 per cent of all specialist training positions nationally and is currently funded through 13 specialist medical colleges under standard funding agreements with the Department for the 2018 – 2020 period. </w:t>
      </w:r>
    </w:p>
    <w:p w:rsidR="00256B6B" w:rsidRDefault="00256B6B" w:rsidP="00544360">
      <w:r w:rsidRPr="00AE71AD">
        <w:t xml:space="preserve">However, </w:t>
      </w:r>
      <w:r w:rsidR="00AF671E">
        <w:t>this</w:t>
      </w:r>
      <w:r w:rsidR="00556D61" w:rsidRPr="00AE71AD">
        <w:t xml:space="preserve"> </w:t>
      </w:r>
      <w:r w:rsidRPr="00AE71AD">
        <w:t>is only a small contributor to the overall number of training places nationally through funding of the STP posts. Responsibility for funding of and organising vocational training lies with many parties: jurisdictions (for post-graduate and specialist training in the public se</w:t>
      </w:r>
      <w:r w:rsidR="007F61ED">
        <w:t>ctor) and Colleges (who operate</w:t>
      </w:r>
      <w:r w:rsidRPr="00AE71AD">
        <w:t xml:space="preserve"> Australia and New Zealand wide). To add to the complexity, medical practitioners will often cross jurisdictional, sectoral, specialty college and international boundaries throughout their training pathway. As a result of the division of responsibilities and the potential myriad of individual medical practitioner’s pathways, imbalances in the vocational training pipeline are complex to manage and resolve, and will require partnerships between governments, employers, the College and professional bodies. </w:t>
      </w:r>
    </w:p>
    <w:p w:rsidR="00256B6B" w:rsidRPr="003965A3" w:rsidRDefault="00256B6B" w:rsidP="00090A1A">
      <w:pPr>
        <w:pStyle w:val="Heading2"/>
      </w:pPr>
      <w:bookmarkStart w:id="154" w:name="_Toc429581531"/>
      <w:bookmarkStart w:id="155" w:name="_Toc521510470"/>
      <w:bookmarkStart w:id="156" w:name="_Toc424050478"/>
      <w:r w:rsidRPr="003965A3">
        <w:t xml:space="preserve">Results of </w:t>
      </w:r>
      <w:bookmarkEnd w:id="154"/>
      <w:r w:rsidR="00693D19" w:rsidRPr="003965A3">
        <w:t>consultation</w:t>
      </w:r>
      <w:bookmarkEnd w:id="155"/>
    </w:p>
    <w:p w:rsidR="00B3010A" w:rsidRDefault="00AF671E" w:rsidP="00B3010A">
      <w:r>
        <w:t>The NMTAN</w:t>
      </w:r>
      <w:r w:rsidR="00693D19" w:rsidRPr="00B3010A">
        <w:t xml:space="preserve"> is aware that whilst supply and demand studies are a mix of science and art, understanding </w:t>
      </w:r>
      <w:r w:rsidR="00B3010A" w:rsidRPr="00B3010A">
        <w:t>the current situation</w:t>
      </w:r>
      <w:r w:rsidR="00693D19" w:rsidRPr="00B3010A">
        <w:t xml:space="preserve"> and future </w:t>
      </w:r>
      <w:r w:rsidR="00B3010A" w:rsidRPr="00B3010A">
        <w:t>scenarios</w:t>
      </w:r>
      <w:r w:rsidR="00693D19" w:rsidRPr="00B3010A">
        <w:t xml:space="preserve"> can be challengi</w:t>
      </w:r>
      <w:r w:rsidR="00B3010A" w:rsidRPr="00B3010A">
        <w:t xml:space="preserve">ng, </w:t>
      </w:r>
      <w:r>
        <w:t>the Department</w:t>
      </w:r>
      <w:r w:rsidR="00090A1A">
        <w:t xml:space="preserve"> </w:t>
      </w:r>
      <w:r w:rsidR="00B3010A">
        <w:t xml:space="preserve">therefore </w:t>
      </w:r>
      <w:r w:rsidR="00B3010A" w:rsidRPr="00B3010A">
        <w:t xml:space="preserve">consulted with both the </w:t>
      </w:r>
      <w:r w:rsidR="009D19C7">
        <w:t>C</w:t>
      </w:r>
      <w:r w:rsidR="00E209F0">
        <w:t xml:space="preserve">ollege and </w:t>
      </w:r>
      <w:r w:rsidR="00A545DD">
        <w:t xml:space="preserve">jurisdictions </w:t>
      </w:r>
      <w:r w:rsidR="00B3010A" w:rsidRPr="00B3010A">
        <w:t xml:space="preserve">on the </w:t>
      </w:r>
      <w:r w:rsidR="00B3010A">
        <w:t>report.</w:t>
      </w:r>
    </w:p>
    <w:p w:rsidR="00C46A59" w:rsidRDefault="00B3010A" w:rsidP="00B3010A">
      <w:r w:rsidRPr="003965A3">
        <w:t xml:space="preserve">The following section presents the views of the </w:t>
      </w:r>
      <w:r w:rsidR="00090A1A" w:rsidRPr="003965A3">
        <w:t>RANZCOG</w:t>
      </w:r>
      <w:r w:rsidR="00A545DD" w:rsidRPr="003965A3">
        <w:t>.</w:t>
      </w:r>
    </w:p>
    <w:p w:rsidR="00C46A59" w:rsidRDefault="00C46A59">
      <w:pPr>
        <w:spacing w:before="0" w:after="0"/>
        <w:jc w:val="left"/>
      </w:pPr>
      <w:r>
        <w:br w:type="page"/>
      </w:r>
    </w:p>
    <w:p w:rsidR="00256B6B" w:rsidRDefault="00256B6B" w:rsidP="00090A1A">
      <w:pPr>
        <w:pStyle w:val="Heading3"/>
      </w:pPr>
      <w:bookmarkStart w:id="157" w:name="_Toc424050480"/>
      <w:bookmarkStart w:id="158" w:name="_Toc429581532"/>
      <w:bookmarkEnd w:id="156"/>
      <w:r w:rsidRPr="006A395F">
        <w:lastRenderedPageBreak/>
        <w:t>Supervisory capacity requirements</w:t>
      </w:r>
      <w:bookmarkEnd w:id="157"/>
      <w:bookmarkEnd w:id="158"/>
    </w:p>
    <w:p w:rsidR="00B5258F" w:rsidRPr="00B5258F" w:rsidRDefault="00B5258F" w:rsidP="00544360">
      <w:r w:rsidRPr="00B5258F">
        <w:t xml:space="preserve">The </w:t>
      </w:r>
      <w:r w:rsidR="00090A1A">
        <w:t>RANZCOG</w:t>
      </w:r>
      <w:r w:rsidR="0065243B" w:rsidRPr="00B5258F">
        <w:t xml:space="preserve"> </w:t>
      </w:r>
      <w:r>
        <w:t xml:space="preserve">has indicated the following: </w:t>
      </w:r>
    </w:p>
    <w:p w:rsidR="004C1BA3" w:rsidRDefault="004C1BA3" w:rsidP="004C1BA3">
      <w:pPr>
        <w:pStyle w:val="ListParagraph"/>
        <w:numPr>
          <w:ilvl w:val="0"/>
          <w:numId w:val="5"/>
        </w:numPr>
        <w:ind w:left="714" w:hanging="357"/>
        <w:contextualSpacing w:val="0"/>
        <w:rPr>
          <w:szCs w:val="22"/>
        </w:rPr>
      </w:pPr>
      <w:r w:rsidRPr="008E2147">
        <w:rPr>
          <w:szCs w:val="22"/>
        </w:rPr>
        <w:t xml:space="preserve">There is increasing pressure on the capacity of supervisors to provide adequate supervision as demand for public hospital access grows and demand for private </w:t>
      </w:r>
      <w:r w:rsidR="003965A3" w:rsidRPr="008E2147">
        <w:rPr>
          <w:szCs w:val="22"/>
        </w:rPr>
        <w:t>practitioner’s</w:t>
      </w:r>
      <w:r w:rsidRPr="008E2147">
        <w:rPr>
          <w:szCs w:val="22"/>
        </w:rPr>
        <w:t xml:space="preserve"> decreases.  </w:t>
      </w:r>
    </w:p>
    <w:p w:rsidR="003965A3" w:rsidRDefault="004C1BA3" w:rsidP="003965A3">
      <w:pPr>
        <w:pStyle w:val="ListParagraph"/>
        <w:numPr>
          <w:ilvl w:val="0"/>
          <w:numId w:val="5"/>
        </w:numPr>
        <w:ind w:left="714" w:hanging="357"/>
        <w:contextualSpacing w:val="0"/>
        <w:rPr>
          <w:szCs w:val="22"/>
        </w:rPr>
      </w:pPr>
      <w:r>
        <w:rPr>
          <w:szCs w:val="22"/>
        </w:rPr>
        <w:t>Training sites must provide adequate non-clinical time for supervisors but this is sometimes compromised by increased service-delivery demands.</w:t>
      </w:r>
    </w:p>
    <w:p w:rsidR="004C1BA3" w:rsidRPr="003965A3" w:rsidRDefault="004C1BA3" w:rsidP="003965A3">
      <w:pPr>
        <w:pStyle w:val="ListParagraph"/>
        <w:numPr>
          <w:ilvl w:val="0"/>
          <w:numId w:val="5"/>
        </w:numPr>
        <w:ind w:left="714" w:hanging="357"/>
        <w:contextualSpacing w:val="0"/>
        <w:rPr>
          <w:szCs w:val="22"/>
        </w:rPr>
      </w:pPr>
      <w:r w:rsidRPr="003965A3">
        <w:rPr>
          <w:szCs w:val="22"/>
        </w:rPr>
        <w:t xml:space="preserve">If clinical support time of specialists is further eroded there will be insufficient time for </w:t>
      </w:r>
      <w:r w:rsidRPr="003965A3">
        <w:rPr>
          <w:rFonts w:cs="Arial"/>
          <w:szCs w:val="22"/>
        </w:rPr>
        <w:t>teaching and scholarly activity and this will impact on training</w:t>
      </w:r>
      <w:r w:rsidRPr="003965A3">
        <w:rPr>
          <w:rFonts w:eastAsia="Calibri" w:cs="Arial"/>
          <w:szCs w:val="22"/>
        </w:rPr>
        <w:t>.</w:t>
      </w:r>
      <w:r w:rsidRPr="003965A3">
        <w:rPr>
          <w:rFonts w:cs="Arial"/>
          <w:szCs w:val="22"/>
        </w:rPr>
        <w:t xml:space="preserve"> </w:t>
      </w:r>
    </w:p>
    <w:p w:rsidR="004C1BA3" w:rsidRDefault="004C1BA3" w:rsidP="004C1BA3">
      <w:pPr>
        <w:pStyle w:val="ListParagraph"/>
        <w:numPr>
          <w:ilvl w:val="0"/>
          <w:numId w:val="5"/>
        </w:numPr>
        <w:rPr>
          <w:rFonts w:eastAsia="Calibri" w:cs="Arial"/>
          <w:szCs w:val="22"/>
        </w:rPr>
      </w:pPr>
      <w:r w:rsidRPr="00661DD9">
        <w:rPr>
          <w:rFonts w:eastAsia="Calibri" w:cs="Arial"/>
          <w:szCs w:val="22"/>
        </w:rPr>
        <w:t>The O&amp;G workforce</w:t>
      </w:r>
      <w:r w:rsidR="003965A3">
        <w:rPr>
          <w:rFonts w:eastAsia="Calibri" w:cs="Arial"/>
          <w:szCs w:val="22"/>
        </w:rPr>
        <w:t xml:space="preserve"> is heavily female dominant, which</w:t>
      </w:r>
      <w:r w:rsidRPr="00661DD9">
        <w:rPr>
          <w:rFonts w:eastAsia="Calibri" w:cs="Arial"/>
          <w:szCs w:val="22"/>
        </w:rPr>
        <w:t xml:space="preserve"> may ha</w:t>
      </w:r>
      <w:r w:rsidR="003965A3">
        <w:rPr>
          <w:rFonts w:eastAsia="Calibri" w:cs="Arial"/>
          <w:szCs w:val="22"/>
        </w:rPr>
        <w:t>ve</w:t>
      </w:r>
      <w:r w:rsidRPr="00661DD9">
        <w:rPr>
          <w:rFonts w:eastAsia="Calibri" w:cs="Arial"/>
          <w:szCs w:val="22"/>
        </w:rPr>
        <w:t xml:space="preserve"> the potential to impact supervisory capacity as more women elect to work part-time. Over 80</w:t>
      </w:r>
      <w:r w:rsidR="003965A3">
        <w:rPr>
          <w:rFonts w:eastAsia="Calibri" w:cs="Arial"/>
          <w:szCs w:val="22"/>
        </w:rPr>
        <w:t xml:space="preserve"> per cent</w:t>
      </w:r>
      <w:r w:rsidRPr="00661DD9">
        <w:rPr>
          <w:rFonts w:eastAsia="Calibri" w:cs="Arial"/>
          <w:szCs w:val="22"/>
        </w:rPr>
        <w:t xml:space="preserve"> of new entrants to the training program are female</w:t>
      </w:r>
      <w:r w:rsidR="009A7BA7">
        <w:rPr>
          <w:rFonts w:eastAsia="Calibri" w:cs="Arial"/>
          <w:szCs w:val="22"/>
        </w:rPr>
        <w:t>,</w:t>
      </w:r>
      <w:r w:rsidRPr="00661DD9">
        <w:rPr>
          <w:rFonts w:eastAsia="Calibri" w:cs="Arial"/>
          <w:szCs w:val="22"/>
        </w:rPr>
        <w:t xml:space="preserve"> which has the potential to influence the projected workforce numbers and supervisory capacity</w:t>
      </w:r>
      <w:r>
        <w:rPr>
          <w:rFonts w:eastAsia="Calibri" w:cs="Arial"/>
          <w:szCs w:val="22"/>
        </w:rPr>
        <w:t>.</w:t>
      </w:r>
    </w:p>
    <w:p w:rsidR="004027EA" w:rsidRDefault="004027EA" w:rsidP="00090A1A">
      <w:pPr>
        <w:pStyle w:val="Heading3"/>
      </w:pPr>
      <w:r w:rsidRPr="006A395F">
        <w:t xml:space="preserve">Identify non-workforce based requirements and limitations </w:t>
      </w:r>
    </w:p>
    <w:p w:rsidR="00B5258F" w:rsidRPr="00B5258F" w:rsidRDefault="00B5258F" w:rsidP="00B5258F">
      <w:r w:rsidRPr="00B5258F">
        <w:t xml:space="preserve">The </w:t>
      </w:r>
      <w:r w:rsidR="00090A1A">
        <w:t>RANZCOG</w:t>
      </w:r>
      <w:r w:rsidR="0065243B" w:rsidRPr="00B5258F">
        <w:t xml:space="preserve"> </w:t>
      </w:r>
      <w:r w:rsidRPr="00B5258F">
        <w:t xml:space="preserve">has indicated the following: </w:t>
      </w:r>
    </w:p>
    <w:p w:rsidR="004C1BA3" w:rsidRPr="00566404" w:rsidRDefault="004C1BA3" w:rsidP="004C1BA3">
      <w:pPr>
        <w:pStyle w:val="ListParagraph"/>
        <w:numPr>
          <w:ilvl w:val="0"/>
          <w:numId w:val="7"/>
        </w:numPr>
        <w:rPr>
          <w:rFonts w:ascii="Times New Roman" w:hAnsi="Times New Roman"/>
          <w:szCs w:val="22"/>
        </w:rPr>
      </w:pPr>
      <w:r w:rsidRPr="00566404">
        <w:rPr>
          <w:szCs w:val="22"/>
        </w:rPr>
        <w:t>If the job market is saturated and employment prospects low, this could impact on the popularity of the specialty and the number of applicants could fall.</w:t>
      </w:r>
    </w:p>
    <w:p w:rsidR="004C1BA3" w:rsidRDefault="004C1BA3" w:rsidP="004C1BA3">
      <w:pPr>
        <w:pStyle w:val="ListParagraph"/>
        <w:numPr>
          <w:ilvl w:val="0"/>
          <w:numId w:val="7"/>
        </w:numPr>
        <w:ind w:left="714" w:hanging="357"/>
        <w:contextualSpacing w:val="0"/>
      </w:pPr>
      <w:r>
        <w:t xml:space="preserve">Access to procedural experience for trainees may be impacted by the presence of overseas-trained specialists who are recruited to meet service delivery requirements.  Jurisdictions </w:t>
      </w:r>
      <w:r w:rsidR="009A7BA7">
        <w:t xml:space="preserve">that </w:t>
      </w:r>
      <w:r>
        <w:t xml:space="preserve">fail to provide adequate training may have trainee numbers reduced. </w:t>
      </w:r>
    </w:p>
    <w:p w:rsidR="004027EA" w:rsidRDefault="004027EA" w:rsidP="00090A1A">
      <w:pPr>
        <w:pStyle w:val="Heading3"/>
      </w:pPr>
      <w:r w:rsidRPr="006A395F">
        <w:t>Mapping of training capacity</w:t>
      </w:r>
    </w:p>
    <w:p w:rsidR="00B5258F" w:rsidRPr="00B5258F" w:rsidRDefault="00B5258F" w:rsidP="00B5258F">
      <w:r w:rsidRPr="00B5258F">
        <w:t xml:space="preserve">The </w:t>
      </w:r>
      <w:r w:rsidR="00D102AD">
        <w:t>C</w:t>
      </w:r>
      <w:r w:rsidR="00D102AD" w:rsidRPr="00B5258F">
        <w:t xml:space="preserve">ollege </w:t>
      </w:r>
      <w:r w:rsidRPr="00B5258F">
        <w:t xml:space="preserve">has indicated the following: </w:t>
      </w:r>
    </w:p>
    <w:p w:rsidR="004C1BA3" w:rsidRDefault="004C1BA3" w:rsidP="004C1BA3">
      <w:pPr>
        <w:pStyle w:val="ListParagraph"/>
        <w:numPr>
          <w:ilvl w:val="0"/>
          <w:numId w:val="6"/>
        </w:numPr>
        <w:ind w:left="714" w:hanging="357"/>
        <w:contextualSpacing w:val="0"/>
      </w:pPr>
      <w:r>
        <w:t xml:space="preserve">With the introduction of the College’s e-log book, it is possible to identify the capacity for training in individual sites.  This enables the College to identify those sites that are providing inadequate training.  </w:t>
      </w:r>
    </w:p>
    <w:p w:rsidR="004C1BA3" w:rsidRPr="00457755" w:rsidRDefault="004C1BA3" w:rsidP="004C1BA3">
      <w:pPr>
        <w:pStyle w:val="ListParagraph"/>
        <w:numPr>
          <w:ilvl w:val="0"/>
          <w:numId w:val="6"/>
        </w:numPr>
        <w:ind w:left="714" w:hanging="357"/>
        <w:contextualSpacing w:val="0"/>
      </w:pPr>
      <w:r>
        <w:t xml:space="preserve">In general, trainees in regional and rural hospitals receive greater access to procedural training compared with trainees working in metropolitan hospitals.  </w:t>
      </w:r>
    </w:p>
    <w:p w:rsidR="001578FC" w:rsidRDefault="008B7E17" w:rsidP="00090A1A">
      <w:pPr>
        <w:pStyle w:val="Heading3"/>
      </w:pPr>
      <w:r>
        <w:t>Specialist Training Program</w:t>
      </w:r>
    </w:p>
    <w:p w:rsidR="004C1BA3" w:rsidRDefault="004C1BA3" w:rsidP="004C1BA3">
      <w:r w:rsidRPr="00B5258F">
        <w:t xml:space="preserve">The </w:t>
      </w:r>
      <w:r>
        <w:t>RANZCOG</w:t>
      </w:r>
      <w:r w:rsidRPr="00B5258F">
        <w:t xml:space="preserve"> has indicated </w:t>
      </w:r>
      <w:r>
        <w:t>that:</w:t>
      </w:r>
    </w:p>
    <w:p w:rsidR="004C1BA3" w:rsidRDefault="004C1BA3" w:rsidP="004C1BA3">
      <w:r>
        <w:rPr>
          <w:szCs w:val="22"/>
        </w:rPr>
        <w:t xml:space="preserve">The STP has been successful in providing opportunities for expanding training posts in rural and regional </w:t>
      </w:r>
      <w:r w:rsidR="00B06775">
        <w:rPr>
          <w:szCs w:val="22"/>
        </w:rPr>
        <w:t>areas which has greatly benefit</w:t>
      </w:r>
      <w:r>
        <w:rPr>
          <w:szCs w:val="22"/>
        </w:rPr>
        <w:t>ed the objective of improving access to rural training and RANZCOG supports the maintenance and expansion of this program</w:t>
      </w:r>
      <w:r>
        <w:t>.</w:t>
      </w:r>
    </w:p>
    <w:p w:rsidR="004C1BA3" w:rsidRDefault="004C1BA3" w:rsidP="004C1BA3">
      <w:r>
        <w:t>The funding provided for support projects has greatly enhanced the College’s ability to provide enhanced support for rural and regional trainees, particularly in the area of mentoring and support for trainees in difficulty and through the provision of online training modules.</w:t>
      </w:r>
    </w:p>
    <w:p w:rsidR="00965772" w:rsidRDefault="00965772">
      <w:pPr>
        <w:spacing w:before="0" w:after="0"/>
        <w:jc w:val="left"/>
        <w:rPr>
          <w:rFonts w:cs="Arial"/>
          <w:b/>
          <w:bCs/>
          <w:color w:val="4F81BD" w:themeColor="accent1"/>
          <w:sz w:val="26"/>
          <w:szCs w:val="26"/>
        </w:rPr>
      </w:pPr>
      <w:r>
        <w:br w:type="page"/>
      </w:r>
    </w:p>
    <w:p w:rsidR="00965772" w:rsidRDefault="00965772" w:rsidP="00965772">
      <w:pPr>
        <w:pStyle w:val="Heading3"/>
      </w:pPr>
      <w:r w:rsidRPr="009B5A92">
        <w:lastRenderedPageBreak/>
        <w:t>Jurisdictional perspective</w:t>
      </w:r>
    </w:p>
    <w:p w:rsidR="00965772" w:rsidRDefault="00965772" w:rsidP="00CD3145">
      <w:pPr>
        <w:rPr>
          <w:szCs w:val="22"/>
        </w:rPr>
      </w:pPr>
      <w:r w:rsidRPr="00965772">
        <w:rPr>
          <w:szCs w:val="22"/>
        </w:rPr>
        <w:t>The following section presents the jurisdictional perspective of O&amp;G from their own experiences. These different views above and below highlights the need to update the modelling on a regular basis to ensure the latest data and understanding of the workforce</w:t>
      </w:r>
      <w:r w:rsidRPr="00FA739F">
        <w:rPr>
          <w:szCs w:val="22"/>
        </w:rPr>
        <w:t xml:space="preserve"> is reflected in the studies</w:t>
      </w:r>
    </w:p>
    <w:p w:rsidR="00B86366" w:rsidRPr="00B86366" w:rsidRDefault="00B86366" w:rsidP="00B86366">
      <w:pPr>
        <w:pStyle w:val="ListParagraph"/>
        <w:numPr>
          <w:ilvl w:val="0"/>
          <w:numId w:val="68"/>
        </w:numPr>
        <w:rPr>
          <w:szCs w:val="22"/>
        </w:rPr>
      </w:pPr>
      <w:r w:rsidRPr="00B86366">
        <w:rPr>
          <w:rFonts w:cs="Arial"/>
          <w:b/>
          <w:szCs w:val="22"/>
        </w:rPr>
        <w:t>Is the speciality in under or over supply from a state/territory perspective?</w:t>
      </w:r>
    </w:p>
    <w:tbl>
      <w:tblPr>
        <w:tblStyle w:val="TableGrid1"/>
        <w:tblW w:w="5000" w:type="pct"/>
        <w:tblLook w:val="04A0" w:firstRow="1" w:lastRow="0" w:firstColumn="1" w:lastColumn="0" w:noHBand="0" w:noVBand="1"/>
        <w:tblDescription w:val="Shows the jurisdictional point of view."/>
      </w:tblPr>
      <w:tblGrid>
        <w:gridCol w:w="4639"/>
        <w:gridCol w:w="4603"/>
      </w:tblGrid>
      <w:tr w:rsidR="00932B16" w:rsidRPr="00965772" w:rsidTr="00932B16">
        <w:trPr>
          <w:tblHeader/>
        </w:trPr>
        <w:tc>
          <w:tcPr>
            <w:tcW w:w="2510"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490"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32B16" w:rsidRPr="00965772" w:rsidTr="00FA739F">
        <w:tc>
          <w:tcPr>
            <w:tcW w:w="2510" w:type="pct"/>
            <w:shd w:val="clear" w:color="auto" w:fill="14276A"/>
          </w:tcPr>
          <w:p w:rsidR="00932B16" w:rsidRPr="00965772" w:rsidRDefault="00932B16"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490" w:type="pct"/>
            <w:shd w:val="clear" w:color="auto" w:fill="14276A"/>
          </w:tcPr>
          <w:p w:rsidR="00932B16" w:rsidRPr="00965772" w:rsidRDefault="00932B16"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32B16" w:rsidRPr="00965772" w:rsidTr="00FA739F">
        <w:tc>
          <w:tcPr>
            <w:tcW w:w="2510" w:type="pct"/>
          </w:tcPr>
          <w:p w:rsidR="00932B16" w:rsidRPr="00965772" w:rsidRDefault="00932B16" w:rsidP="00545FAB">
            <w:pPr>
              <w:numPr>
                <w:ilvl w:val="0"/>
                <w:numId w:val="53"/>
              </w:numPr>
              <w:spacing w:before="0" w:after="0"/>
              <w:contextualSpacing/>
              <w:rPr>
                <w:rFonts w:cs="Arial"/>
                <w:sz w:val="20"/>
              </w:rPr>
            </w:pPr>
            <w:r w:rsidRPr="00965772">
              <w:rPr>
                <w:rFonts w:cs="Arial"/>
                <w:sz w:val="20"/>
              </w:rPr>
              <w:t xml:space="preserve">Considers the workforce to be in balance but there are geographical distribution issues. </w:t>
            </w:r>
          </w:p>
        </w:tc>
        <w:tc>
          <w:tcPr>
            <w:tcW w:w="2490" w:type="pct"/>
          </w:tcPr>
          <w:p w:rsidR="00932B16" w:rsidRPr="00965772" w:rsidRDefault="00932B16" w:rsidP="00545FAB">
            <w:pPr>
              <w:numPr>
                <w:ilvl w:val="0"/>
                <w:numId w:val="53"/>
              </w:numPr>
              <w:spacing w:before="0" w:after="0"/>
              <w:contextualSpacing/>
              <w:jc w:val="left"/>
              <w:rPr>
                <w:rFonts w:cs="Arial"/>
                <w:sz w:val="20"/>
              </w:rPr>
            </w:pPr>
            <w:r w:rsidRPr="00965772">
              <w:rPr>
                <w:rFonts w:cs="Arial"/>
                <w:sz w:val="20"/>
              </w:rPr>
              <w:t>VMO model</w:t>
            </w:r>
            <w:r>
              <w:rPr>
                <w:rFonts w:cs="Arial"/>
                <w:sz w:val="20"/>
              </w:rPr>
              <w:t xml:space="preserve"> and use GP VMO</w:t>
            </w:r>
          </w:p>
        </w:tc>
      </w:tr>
      <w:tr w:rsidR="00932B16" w:rsidRPr="00965772" w:rsidTr="00FA739F">
        <w:tc>
          <w:tcPr>
            <w:tcW w:w="2510" w:type="pct"/>
            <w:shd w:val="clear" w:color="auto" w:fill="14276A"/>
          </w:tcPr>
          <w:p w:rsidR="00932B16" w:rsidRPr="00965772" w:rsidRDefault="00932B16" w:rsidP="00965772">
            <w:pPr>
              <w:spacing w:before="0" w:after="0"/>
              <w:rPr>
                <w:rFonts w:cs="Arial"/>
                <w:b/>
                <w:color w:val="FFFFFF" w:themeColor="background1"/>
                <w:sz w:val="20"/>
              </w:rPr>
            </w:pPr>
            <w:r w:rsidRPr="00965772">
              <w:rPr>
                <w:rFonts w:cs="Arial"/>
                <w:b/>
                <w:color w:val="FFFFFF" w:themeColor="background1"/>
                <w:sz w:val="20"/>
              </w:rPr>
              <w:t>Western Australia point of view</w:t>
            </w:r>
          </w:p>
        </w:tc>
        <w:tc>
          <w:tcPr>
            <w:tcW w:w="2490" w:type="pct"/>
            <w:shd w:val="clear" w:color="auto" w:fill="14276A"/>
          </w:tcPr>
          <w:p w:rsidR="00932B16" w:rsidRPr="00965772" w:rsidRDefault="00932B16"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32B16" w:rsidRPr="00965772" w:rsidTr="00FA739F">
        <w:tc>
          <w:tcPr>
            <w:tcW w:w="2510" w:type="pct"/>
          </w:tcPr>
          <w:p w:rsidR="00932B16" w:rsidRPr="00965772" w:rsidRDefault="00932B16" w:rsidP="00965772">
            <w:pPr>
              <w:numPr>
                <w:ilvl w:val="0"/>
                <w:numId w:val="35"/>
              </w:numPr>
              <w:spacing w:before="0" w:after="0"/>
              <w:ind w:left="360"/>
              <w:contextualSpacing/>
              <w:jc w:val="left"/>
              <w:rPr>
                <w:rFonts w:cs="Arial"/>
                <w:sz w:val="20"/>
              </w:rPr>
            </w:pPr>
            <w:r w:rsidRPr="00965772">
              <w:rPr>
                <w:rFonts w:cs="Arial"/>
                <w:sz w:val="20"/>
              </w:rPr>
              <w:t>Supply in WA was well below demand with a medium risk shortfall identified in 2015, projected to increase to a high shortfall risk by 2021.</w:t>
            </w:r>
          </w:p>
          <w:p w:rsidR="00932B16" w:rsidRPr="00965772" w:rsidRDefault="00932B16" w:rsidP="00965772">
            <w:pPr>
              <w:numPr>
                <w:ilvl w:val="0"/>
                <w:numId w:val="35"/>
              </w:numPr>
              <w:spacing w:before="0" w:after="0"/>
              <w:ind w:left="360"/>
              <w:contextualSpacing/>
              <w:jc w:val="left"/>
              <w:rPr>
                <w:rFonts w:cs="Arial"/>
                <w:sz w:val="20"/>
              </w:rPr>
            </w:pPr>
            <w:r w:rsidRPr="00965772">
              <w:rPr>
                <w:rFonts w:cs="Arial"/>
                <w:sz w:val="20"/>
              </w:rPr>
              <w:t xml:space="preserve">Currently only 29 </w:t>
            </w:r>
            <w:r>
              <w:rPr>
                <w:rFonts w:cs="Arial"/>
                <w:sz w:val="20"/>
              </w:rPr>
              <w:t xml:space="preserve">specialists </w:t>
            </w:r>
            <w:r w:rsidRPr="00965772">
              <w:rPr>
                <w:rFonts w:cs="Arial"/>
                <w:sz w:val="20"/>
              </w:rPr>
              <w:t>work 1 FTE in the public sector, with the rest have variable sessional appointments.</w:t>
            </w:r>
          </w:p>
          <w:p w:rsidR="00932B16" w:rsidRPr="00965772" w:rsidRDefault="00932B16" w:rsidP="009A7BA7">
            <w:pPr>
              <w:numPr>
                <w:ilvl w:val="0"/>
                <w:numId w:val="35"/>
              </w:numPr>
              <w:spacing w:before="0" w:after="0"/>
              <w:ind w:left="360"/>
              <w:contextualSpacing/>
              <w:jc w:val="left"/>
              <w:rPr>
                <w:rFonts w:cs="Arial"/>
                <w:sz w:val="20"/>
              </w:rPr>
            </w:pPr>
            <w:r>
              <w:rPr>
                <w:rFonts w:cs="Arial"/>
                <w:sz w:val="20"/>
              </w:rPr>
              <w:t xml:space="preserve">In </w:t>
            </w:r>
            <w:r w:rsidRPr="00965772">
              <w:rPr>
                <w:rFonts w:cs="Arial"/>
                <w:sz w:val="20"/>
              </w:rPr>
              <w:t>2018 there are 21 specialists over the age of 65 and a further 30 expected to retire in 10 years.</w:t>
            </w:r>
          </w:p>
        </w:tc>
        <w:tc>
          <w:tcPr>
            <w:tcW w:w="2490" w:type="pct"/>
          </w:tcPr>
          <w:p w:rsidR="00932B16" w:rsidRPr="00965772" w:rsidRDefault="00932B16" w:rsidP="00FA739F">
            <w:pPr>
              <w:numPr>
                <w:ilvl w:val="0"/>
                <w:numId w:val="35"/>
              </w:numPr>
              <w:spacing w:before="0" w:after="0"/>
              <w:ind w:left="419" w:hanging="419"/>
              <w:contextualSpacing/>
              <w:jc w:val="left"/>
              <w:rPr>
                <w:rFonts w:cs="Arial"/>
                <w:sz w:val="20"/>
              </w:rPr>
            </w:pPr>
            <w:r w:rsidRPr="00965772">
              <w:rPr>
                <w:rFonts w:cs="Arial"/>
                <w:sz w:val="20"/>
              </w:rPr>
              <w:t>The Office of Chief Medical Officer, Department of Health Western Australia, is</w:t>
            </w:r>
            <w:r w:rsidRPr="00965772">
              <w:rPr>
                <w:rFonts w:ascii="Calibri" w:hAnsi="Calibri" w:cs="Calibri"/>
                <w:color w:val="000000" w:themeColor="text1"/>
              </w:rPr>
              <w:t xml:space="preserve"> d</w:t>
            </w:r>
            <w:r w:rsidRPr="00965772">
              <w:rPr>
                <w:rFonts w:cs="Arial"/>
                <w:sz w:val="20"/>
              </w:rPr>
              <w:t>eveloping strategies in conjunction with local services, to address discipline specific needs and encouraging the development of both educational and operational networks supported by predictive data modelling where possible.</w:t>
            </w:r>
          </w:p>
        </w:tc>
      </w:tr>
      <w:tr w:rsidR="00932B16" w:rsidRPr="00965772" w:rsidTr="00FA739F">
        <w:tc>
          <w:tcPr>
            <w:tcW w:w="2510" w:type="pct"/>
            <w:shd w:val="clear" w:color="auto" w:fill="14276A"/>
          </w:tcPr>
          <w:p w:rsidR="00932B16" w:rsidRPr="00965772" w:rsidRDefault="00932B16" w:rsidP="00965772">
            <w:pPr>
              <w:spacing w:before="0" w:after="0"/>
              <w:rPr>
                <w:rFonts w:cs="Arial"/>
                <w:b/>
                <w:color w:val="FFFFFF" w:themeColor="background1"/>
                <w:sz w:val="20"/>
              </w:rPr>
            </w:pPr>
            <w:r w:rsidRPr="00965772">
              <w:rPr>
                <w:rFonts w:cs="Arial"/>
                <w:b/>
                <w:color w:val="FFFFFF" w:themeColor="background1"/>
                <w:sz w:val="20"/>
              </w:rPr>
              <w:t>Tasmania point of view</w:t>
            </w:r>
          </w:p>
        </w:tc>
        <w:tc>
          <w:tcPr>
            <w:tcW w:w="2490" w:type="pct"/>
            <w:shd w:val="clear" w:color="auto" w:fill="14276A"/>
          </w:tcPr>
          <w:p w:rsidR="00932B16" w:rsidRPr="00965772" w:rsidRDefault="00932B16"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32B16" w:rsidRPr="00965772" w:rsidTr="00FA739F">
        <w:tc>
          <w:tcPr>
            <w:tcW w:w="2510" w:type="pct"/>
          </w:tcPr>
          <w:p w:rsidR="00932B16" w:rsidRPr="00A850C7" w:rsidRDefault="00932B16" w:rsidP="00965772">
            <w:pPr>
              <w:numPr>
                <w:ilvl w:val="0"/>
                <w:numId w:val="54"/>
              </w:numPr>
              <w:spacing w:before="0" w:after="0"/>
              <w:contextualSpacing/>
              <w:rPr>
                <w:rFonts w:cs="Arial"/>
                <w:sz w:val="20"/>
              </w:rPr>
            </w:pPr>
            <w:r w:rsidRPr="00965772">
              <w:rPr>
                <w:rFonts w:cs="Arial"/>
                <w:sz w:val="20"/>
              </w:rPr>
              <w:t>No. This is indicated by all funded positions being filled as at 16/3/2018.</w:t>
            </w:r>
          </w:p>
        </w:tc>
        <w:tc>
          <w:tcPr>
            <w:tcW w:w="2490" w:type="pct"/>
          </w:tcPr>
          <w:p w:rsidR="00932B16" w:rsidRPr="00965772" w:rsidRDefault="00932B16" w:rsidP="00FA739F">
            <w:pPr>
              <w:numPr>
                <w:ilvl w:val="0"/>
                <w:numId w:val="46"/>
              </w:numPr>
              <w:spacing w:before="0" w:after="0"/>
              <w:contextualSpacing/>
              <w:jc w:val="left"/>
              <w:rPr>
                <w:rFonts w:cs="Arial"/>
                <w:sz w:val="20"/>
              </w:rPr>
            </w:pPr>
            <w:r w:rsidRPr="00965772">
              <w:rPr>
                <w:rFonts w:cs="Arial"/>
                <w:sz w:val="20"/>
              </w:rPr>
              <w:t>Specialist positions are retained in the HR system (if unfilled)</w:t>
            </w:r>
            <w:proofErr w:type="gramStart"/>
            <w:r w:rsidRPr="00965772">
              <w:rPr>
                <w:rFonts w:cs="Arial"/>
                <w:sz w:val="20"/>
              </w:rPr>
              <w:t>,</w:t>
            </w:r>
            <w:proofErr w:type="gramEnd"/>
            <w:r w:rsidRPr="00965772">
              <w:rPr>
                <w:rFonts w:cs="Arial"/>
                <w:sz w:val="20"/>
              </w:rPr>
              <w:t xml:space="preserve"> this mitigates the lengthy </w:t>
            </w:r>
            <w:r w:rsidRPr="00965772">
              <w:rPr>
                <w:rFonts w:cs="Arial"/>
                <w:i/>
                <w:sz w:val="20"/>
              </w:rPr>
              <w:t>‘re-creation of positions’</w:t>
            </w:r>
            <w:r w:rsidRPr="00965772">
              <w:rPr>
                <w:rFonts w:cs="Arial"/>
                <w:sz w:val="20"/>
              </w:rPr>
              <w:t xml:space="preserve"> process each time a specialist leaves.</w:t>
            </w:r>
          </w:p>
          <w:p w:rsidR="00932B16" w:rsidRPr="00965772" w:rsidRDefault="00932B16" w:rsidP="00FA739F">
            <w:pPr>
              <w:numPr>
                <w:ilvl w:val="0"/>
                <w:numId w:val="46"/>
              </w:numPr>
              <w:spacing w:before="0" w:after="0"/>
              <w:contextualSpacing/>
              <w:jc w:val="left"/>
              <w:rPr>
                <w:rFonts w:cs="Arial"/>
                <w:sz w:val="20"/>
              </w:rPr>
            </w:pPr>
            <w:r w:rsidRPr="00965772">
              <w:rPr>
                <w:rFonts w:cs="Arial"/>
                <w:sz w:val="20"/>
              </w:rPr>
              <w:t xml:space="preserve">In terms of under supply, this is governed by the College to ensure </w:t>
            </w:r>
            <w:r>
              <w:rPr>
                <w:rFonts w:cs="Arial"/>
                <w:sz w:val="20"/>
              </w:rPr>
              <w:t xml:space="preserve">an </w:t>
            </w:r>
            <w:r w:rsidRPr="00965772">
              <w:rPr>
                <w:rFonts w:cs="Arial"/>
                <w:sz w:val="20"/>
              </w:rPr>
              <w:t xml:space="preserve">adequate number of specialists </w:t>
            </w:r>
            <w:proofErr w:type="gramStart"/>
            <w:r w:rsidRPr="00965772">
              <w:rPr>
                <w:rFonts w:cs="Arial"/>
                <w:sz w:val="20"/>
              </w:rPr>
              <w:t>is</w:t>
            </w:r>
            <w:proofErr w:type="gramEnd"/>
            <w:r w:rsidRPr="00965772">
              <w:rPr>
                <w:rFonts w:cs="Arial"/>
                <w:sz w:val="20"/>
              </w:rPr>
              <w:t xml:space="preserve"> available to meet the college requirements for supervision/training of junior doctors.</w:t>
            </w:r>
          </w:p>
        </w:tc>
      </w:tr>
      <w:tr w:rsidR="00932B16" w:rsidRPr="00965772" w:rsidTr="00FA739F">
        <w:tc>
          <w:tcPr>
            <w:tcW w:w="2510" w:type="pct"/>
            <w:shd w:val="clear" w:color="auto" w:fill="14276A"/>
          </w:tcPr>
          <w:p w:rsidR="00932B16" w:rsidRPr="00965772" w:rsidRDefault="00932B16"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490" w:type="pct"/>
            <w:shd w:val="clear" w:color="auto" w:fill="14276A"/>
          </w:tcPr>
          <w:p w:rsidR="00932B16" w:rsidRPr="00965772" w:rsidRDefault="00932B16"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32B16" w:rsidRPr="00965772" w:rsidTr="00FA739F">
        <w:tc>
          <w:tcPr>
            <w:tcW w:w="2510" w:type="pct"/>
          </w:tcPr>
          <w:p w:rsidR="00932B16" w:rsidRPr="00965772" w:rsidRDefault="00932B16" w:rsidP="00965772">
            <w:pPr>
              <w:numPr>
                <w:ilvl w:val="0"/>
                <w:numId w:val="40"/>
              </w:numPr>
              <w:spacing w:before="0" w:after="0"/>
              <w:ind w:left="360"/>
              <w:contextualSpacing/>
              <w:jc w:val="left"/>
              <w:rPr>
                <w:rFonts w:cs="Arial"/>
                <w:sz w:val="20"/>
              </w:rPr>
            </w:pPr>
            <w:r w:rsidRPr="00965772">
              <w:rPr>
                <w:rFonts w:cs="Arial"/>
                <w:sz w:val="20"/>
              </w:rPr>
              <w:t>Overall under supplied.</w:t>
            </w:r>
          </w:p>
          <w:p w:rsidR="00932B16" w:rsidRPr="00965772" w:rsidRDefault="00932B16" w:rsidP="00965772">
            <w:pPr>
              <w:numPr>
                <w:ilvl w:val="0"/>
                <w:numId w:val="40"/>
              </w:numPr>
              <w:spacing w:before="0" w:after="0"/>
              <w:ind w:left="360"/>
              <w:contextualSpacing/>
              <w:jc w:val="left"/>
              <w:rPr>
                <w:rFonts w:cs="Arial"/>
                <w:sz w:val="20"/>
              </w:rPr>
            </w:pPr>
            <w:r w:rsidRPr="00965772">
              <w:rPr>
                <w:rFonts w:cs="Arial"/>
                <w:sz w:val="20"/>
              </w:rPr>
              <w:t xml:space="preserve">Understaffed in subspecialties of Ultrasound, Maternal-Fetal medicine, Infertility and </w:t>
            </w:r>
            <w:proofErr w:type="spellStart"/>
            <w:r w:rsidRPr="00965772">
              <w:rPr>
                <w:rFonts w:cs="Arial"/>
                <w:sz w:val="20"/>
              </w:rPr>
              <w:t>Urogynaecology</w:t>
            </w:r>
            <w:proofErr w:type="spellEnd"/>
            <w:r w:rsidRPr="00965772">
              <w:rPr>
                <w:rFonts w:cs="Arial"/>
                <w:sz w:val="20"/>
              </w:rPr>
              <w:t xml:space="preserve"> – i.e. no subspecialists.</w:t>
            </w:r>
          </w:p>
          <w:p w:rsidR="00932B16" w:rsidRPr="00965772" w:rsidRDefault="00932B16" w:rsidP="00965772">
            <w:pPr>
              <w:numPr>
                <w:ilvl w:val="1"/>
                <w:numId w:val="41"/>
              </w:numPr>
              <w:spacing w:before="0" w:after="0"/>
              <w:ind w:left="602" w:hanging="283"/>
              <w:contextualSpacing/>
              <w:jc w:val="left"/>
              <w:rPr>
                <w:rFonts w:cs="Arial"/>
                <w:sz w:val="20"/>
              </w:rPr>
            </w:pPr>
            <w:r w:rsidRPr="00965772">
              <w:rPr>
                <w:rFonts w:cs="Arial"/>
                <w:sz w:val="20"/>
              </w:rPr>
              <w:t>Visiting Gynaecologist</w:t>
            </w:r>
          </w:p>
          <w:p w:rsidR="00932B16" w:rsidRPr="00965772" w:rsidRDefault="00932B16" w:rsidP="00965772">
            <w:pPr>
              <w:numPr>
                <w:ilvl w:val="1"/>
                <w:numId w:val="41"/>
              </w:numPr>
              <w:spacing w:before="0" w:after="0"/>
              <w:ind w:left="602" w:hanging="283"/>
              <w:contextualSpacing/>
              <w:jc w:val="left"/>
              <w:rPr>
                <w:rFonts w:cs="Arial"/>
                <w:sz w:val="20"/>
              </w:rPr>
            </w:pPr>
            <w:r w:rsidRPr="00965772">
              <w:rPr>
                <w:rFonts w:cs="Arial"/>
                <w:sz w:val="20"/>
              </w:rPr>
              <w:t>No Obstetric Physician</w:t>
            </w:r>
          </w:p>
          <w:p w:rsidR="00932B16" w:rsidRPr="00965772" w:rsidRDefault="00932B16" w:rsidP="00965772">
            <w:pPr>
              <w:numPr>
                <w:ilvl w:val="1"/>
                <w:numId w:val="41"/>
              </w:numPr>
              <w:spacing w:before="0" w:after="0"/>
              <w:ind w:left="602" w:hanging="283"/>
              <w:contextualSpacing/>
              <w:jc w:val="left"/>
              <w:rPr>
                <w:rFonts w:cs="Arial"/>
                <w:sz w:val="20"/>
              </w:rPr>
            </w:pPr>
            <w:r w:rsidRPr="00965772">
              <w:rPr>
                <w:rFonts w:cs="Arial"/>
                <w:sz w:val="20"/>
              </w:rPr>
              <w:t>No perinatal pathologist</w:t>
            </w:r>
          </w:p>
        </w:tc>
        <w:tc>
          <w:tcPr>
            <w:tcW w:w="2490" w:type="pct"/>
          </w:tcPr>
          <w:p w:rsidR="00932B16" w:rsidRPr="00965772" w:rsidRDefault="00932B16" w:rsidP="00FA739F">
            <w:pPr>
              <w:numPr>
                <w:ilvl w:val="0"/>
                <w:numId w:val="41"/>
              </w:numPr>
              <w:spacing w:before="0" w:after="0"/>
              <w:ind w:left="320" w:hanging="284"/>
              <w:contextualSpacing/>
              <w:jc w:val="left"/>
              <w:rPr>
                <w:rFonts w:cs="Arial"/>
                <w:sz w:val="20"/>
              </w:rPr>
            </w:pPr>
            <w:r w:rsidRPr="00965772">
              <w:rPr>
                <w:rFonts w:cs="Arial"/>
                <w:sz w:val="20"/>
              </w:rPr>
              <w:t>Ongoing active recruitment.</w:t>
            </w:r>
          </w:p>
          <w:p w:rsidR="00932B16" w:rsidRPr="00965772" w:rsidRDefault="00932B16" w:rsidP="00FA739F">
            <w:pPr>
              <w:numPr>
                <w:ilvl w:val="0"/>
                <w:numId w:val="41"/>
              </w:numPr>
              <w:spacing w:before="0" w:after="0"/>
              <w:ind w:left="320" w:hanging="284"/>
              <w:contextualSpacing/>
              <w:jc w:val="left"/>
              <w:rPr>
                <w:rFonts w:cs="Arial"/>
                <w:sz w:val="20"/>
              </w:rPr>
            </w:pPr>
            <w:r w:rsidRPr="00965772">
              <w:rPr>
                <w:rFonts w:cs="Arial"/>
                <w:sz w:val="20"/>
              </w:rPr>
              <w:t>To develop a whole of service strategy that involves recruiting and training senior registrars to retain as consultants.</w:t>
            </w:r>
          </w:p>
          <w:p w:rsidR="00932B16" w:rsidRPr="00965772" w:rsidRDefault="00932B16" w:rsidP="00FA739F">
            <w:pPr>
              <w:numPr>
                <w:ilvl w:val="0"/>
                <w:numId w:val="41"/>
              </w:numPr>
              <w:spacing w:before="0" w:after="0"/>
              <w:ind w:left="320" w:hanging="284"/>
              <w:contextualSpacing/>
              <w:jc w:val="left"/>
              <w:rPr>
                <w:rFonts w:cs="Arial"/>
                <w:sz w:val="20"/>
              </w:rPr>
            </w:pPr>
            <w:r w:rsidRPr="00965772">
              <w:rPr>
                <w:rFonts w:cs="Arial"/>
                <w:sz w:val="20"/>
              </w:rPr>
              <w:t>Active engagement in EBA negotiations</w:t>
            </w:r>
          </w:p>
          <w:p w:rsidR="00932B16" w:rsidRPr="00965772" w:rsidRDefault="00932B16" w:rsidP="00FA739F">
            <w:pPr>
              <w:numPr>
                <w:ilvl w:val="0"/>
                <w:numId w:val="41"/>
              </w:numPr>
              <w:spacing w:before="0" w:after="0"/>
              <w:ind w:left="320" w:hanging="284"/>
              <w:contextualSpacing/>
              <w:jc w:val="left"/>
              <w:rPr>
                <w:rFonts w:cs="Arial"/>
                <w:sz w:val="20"/>
              </w:rPr>
            </w:pPr>
            <w:r w:rsidRPr="00965772">
              <w:rPr>
                <w:rFonts w:cs="Arial"/>
                <w:sz w:val="20"/>
              </w:rPr>
              <w:t>No specific strategy to attract subspecialists has yet been developed.</w:t>
            </w:r>
          </w:p>
        </w:tc>
      </w:tr>
    </w:tbl>
    <w:p w:rsidR="00B86366" w:rsidRPr="00B86366" w:rsidRDefault="00B86366" w:rsidP="00573E4D">
      <w:pPr>
        <w:pStyle w:val="ListParagraph"/>
        <w:numPr>
          <w:ilvl w:val="0"/>
          <w:numId w:val="68"/>
        </w:numPr>
        <w:spacing w:after="0"/>
        <w:ind w:left="357" w:hanging="357"/>
        <w:rPr>
          <w:rFonts w:cs="Arial"/>
          <w:color w:val="14276A"/>
          <w:sz w:val="20"/>
          <w:szCs w:val="22"/>
        </w:rPr>
      </w:pPr>
      <w:r w:rsidRPr="00B86366">
        <w:rPr>
          <w:rFonts w:cs="Arial"/>
          <w:b/>
          <w:szCs w:val="22"/>
        </w:rPr>
        <w:t>Is the specialty over or under supply from geographical perspective?</w:t>
      </w:r>
    </w:p>
    <w:tbl>
      <w:tblPr>
        <w:tblStyle w:val="TableGrid1"/>
        <w:tblW w:w="4966" w:type="pct"/>
        <w:tblLook w:val="0480" w:firstRow="0" w:lastRow="0" w:firstColumn="1" w:lastColumn="0" w:noHBand="0" w:noVBand="1"/>
        <w:tblDescription w:val="Shows the jurisdictional point of view."/>
      </w:tblPr>
      <w:tblGrid>
        <w:gridCol w:w="4643"/>
        <w:gridCol w:w="4536"/>
      </w:tblGrid>
      <w:tr w:rsidR="00932B16" w:rsidRPr="00965772" w:rsidTr="00932B16">
        <w:trPr>
          <w:tblHeader/>
        </w:trPr>
        <w:tc>
          <w:tcPr>
            <w:tcW w:w="2529"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471"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65772" w:rsidRPr="00965772" w:rsidTr="00932B16">
        <w:tc>
          <w:tcPr>
            <w:tcW w:w="2529"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471" w:type="pct"/>
            <w:shd w:val="clear" w:color="auto" w:fill="14276A"/>
          </w:tcPr>
          <w:p w:rsidR="00965772" w:rsidRPr="00965772" w:rsidRDefault="00965772"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29" w:type="pct"/>
          </w:tcPr>
          <w:p w:rsidR="00965772" w:rsidRPr="00965772" w:rsidRDefault="00965772" w:rsidP="00965772">
            <w:pPr>
              <w:numPr>
                <w:ilvl w:val="0"/>
                <w:numId w:val="33"/>
              </w:numPr>
              <w:spacing w:before="0" w:after="0"/>
              <w:contextualSpacing/>
              <w:jc w:val="left"/>
              <w:rPr>
                <w:rFonts w:cs="Arial"/>
                <w:sz w:val="20"/>
              </w:rPr>
            </w:pPr>
            <w:r w:rsidRPr="00965772">
              <w:rPr>
                <w:rFonts w:cs="Arial"/>
                <w:sz w:val="20"/>
              </w:rPr>
              <w:t xml:space="preserve">Undersupply in regional and rural </w:t>
            </w:r>
            <w:r w:rsidR="009A7BA7" w:rsidRPr="00965772">
              <w:rPr>
                <w:rFonts w:cs="Arial"/>
                <w:sz w:val="20"/>
              </w:rPr>
              <w:t>V</w:t>
            </w:r>
            <w:r w:rsidR="009A7BA7">
              <w:rPr>
                <w:rFonts w:cs="Arial"/>
                <w:sz w:val="20"/>
              </w:rPr>
              <w:t>IC</w:t>
            </w:r>
            <w:r w:rsidRPr="00965772">
              <w:rPr>
                <w:rFonts w:cs="Arial"/>
                <w:sz w:val="20"/>
              </w:rPr>
              <w:t>.</w:t>
            </w:r>
          </w:p>
          <w:p w:rsidR="00965772" w:rsidRPr="00965772" w:rsidRDefault="00965772" w:rsidP="00965772">
            <w:pPr>
              <w:numPr>
                <w:ilvl w:val="0"/>
                <w:numId w:val="33"/>
              </w:numPr>
              <w:spacing w:before="0" w:after="0"/>
              <w:contextualSpacing/>
              <w:jc w:val="left"/>
              <w:rPr>
                <w:rFonts w:cs="Arial"/>
                <w:sz w:val="20"/>
              </w:rPr>
            </w:pPr>
            <w:r w:rsidRPr="00965772">
              <w:rPr>
                <w:rFonts w:cs="Arial"/>
                <w:sz w:val="20"/>
              </w:rPr>
              <w:t xml:space="preserve">Possibly a degree of reliance on outreach services for rural locations but the extent of this is not possible for </w:t>
            </w:r>
            <w:r w:rsidR="009A7BA7">
              <w:rPr>
                <w:rFonts w:cs="Arial"/>
                <w:sz w:val="20"/>
              </w:rPr>
              <w:t>VIC</w:t>
            </w:r>
            <w:r w:rsidR="009A7BA7" w:rsidRPr="00965772">
              <w:rPr>
                <w:rFonts w:cs="Arial"/>
                <w:sz w:val="20"/>
              </w:rPr>
              <w:t xml:space="preserve"> </w:t>
            </w:r>
            <w:r w:rsidRPr="00965772">
              <w:rPr>
                <w:rFonts w:cs="Arial"/>
                <w:sz w:val="20"/>
              </w:rPr>
              <w:t>to determine due to data limitations.</w:t>
            </w:r>
          </w:p>
          <w:p w:rsidR="00965772" w:rsidRPr="00965772" w:rsidRDefault="00965772" w:rsidP="00965772">
            <w:pPr>
              <w:numPr>
                <w:ilvl w:val="0"/>
                <w:numId w:val="33"/>
              </w:numPr>
              <w:spacing w:before="0" w:after="0"/>
              <w:contextualSpacing/>
              <w:jc w:val="left"/>
              <w:rPr>
                <w:rFonts w:cs="Arial"/>
                <w:sz w:val="20"/>
              </w:rPr>
            </w:pPr>
            <w:r w:rsidRPr="00965772">
              <w:rPr>
                <w:rFonts w:cs="Arial"/>
                <w:sz w:val="20"/>
              </w:rPr>
              <w:t xml:space="preserve">The large majority of non-metropolitan </w:t>
            </w:r>
            <w:r w:rsidRPr="00965772">
              <w:rPr>
                <w:rFonts w:cs="Arial"/>
                <w:sz w:val="20"/>
              </w:rPr>
              <w:lastRenderedPageBreak/>
              <w:t>regions have considerably fewer O&amp;G per head than the average across the State.</w:t>
            </w:r>
          </w:p>
          <w:p w:rsidR="00965772" w:rsidRPr="00965772" w:rsidRDefault="00965772" w:rsidP="00965772">
            <w:pPr>
              <w:numPr>
                <w:ilvl w:val="0"/>
                <w:numId w:val="33"/>
              </w:numPr>
              <w:spacing w:before="0" w:after="0"/>
              <w:contextualSpacing/>
              <w:jc w:val="left"/>
              <w:rPr>
                <w:rFonts w:cs="Arial"/>
                <w:sz w:val="20"/>
              </w:rPr>
            </w:pPr>
            <w:r w:rsidRPr="00965772">
              <w:rPr>
                <w:rFonts w:cs="Arial"/>
                <w:sz w:val="20"/>
              </w:rPr>
              <w:t>Median times for gynaecological treatment in public hospitals average 27 days across the State and vary from four days to 57 days.</w:t>
            </w:r>
          </w:p>
        </w:tc>
        <w:tc>
          <w:tcPr>
            <w:tcW w:w="2471" w:type="pct"/>
          </w:tcPr>
          <w:p w:rsidR="00965772" w:rsidRPr="00965772" w:rsidRDefault="00965772" w:rsidP="00FA739F">
            <w:pPr>
              <w:numPr>
                <w:ilvl w:val="0"/>
                <w:numId w:val="33"/>
              </w:numPr>
              <w:spacing w:before="0" w:after="0"/>
              <w:contextualSpacing/>
              <w:jc w:val="left"/>
              <w:rPr>
                <w:rFonts w:cs="Arial"/>
                <w:sz w:val="20"/>
              </w:rPr>
            </w:pPr>
            <w:r w:rsidRPr="00965772">
              <w:rPr>
                <w:rFonts w:cs="Arial"/>
                <w:sz w:val="20"/>
              </w:rPr>
              <w:lastRenderedPageBreak/>
              <w:t>Midwife led models/GP VMO/models of shared care.</w:t>
            </w:r>
          </w:p>
        </w:tc>
      </w:tr>
      <w:tr w:rsidR="00965772" w:rsidRPr="00965772" w:rsidTr="00932B16">
        <w:tc>
          <w:tcPr>
            <w:tcW w:w="2529"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lastRenderedPageBreak/>
              <w:t>Western Australia point of view</w:t>
            </w:r>
          </w:p>
        </w:tc>
        <w:tc>
          <w:tcPr>
            <w:tcW w:w="2471" w:type="pct"/>
            <w:shd w:val="clear" w:color="auto" w:fill="14276A"/>
          </w:tcPr>
          <w:p w:rsidR="00965772" w:rsidRPr="00965772" w:rsidRDefault="00965772"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29" w:type="pct"/>
          </w:tcPr>
          <w:p w:rsidR="00965772" w:rsidRPr="00965772" w:rsidRDefault="00965772" w:rsidP="00FA739F">
            <w:pPr>
              <w:numPr>
                <w:ilvl w:val="0"/>
                <w:numId w:val="34"/>
              </w:numPr>
              <w:spacing w:before="0" w:after="0"/>
              <w:ind w:left="426" w:hanging="426"/>
              <w:contextualSpacing/>
              <w:jc w:val="left"/>
              <w:rPr>
                <w:rFonts w:cs="Arial"/>
                <w:sz w:val="20"/>
              </w:rPr>
            </w:pPr>
            <w:r w:rsidRPr="00965772">
              <w:rPr>
                <w:rFonts w:cs="Arial"/>
                <w:sz w:val="20"/>
              </w:rPr>
              <w:t xml:space="preserve">In 2015 there was a geographical imbalance between metropolitan and rural locations with 89 per cent of specialists registering their principal place of practice as metropolitan. In rural areas of WA the obstetrics workforce are supported by GP </w:t>
            </w:r>
            <w:proofErr w:type="spellStart"/>
            <w:r w:rsidRPr="00965772">
              <w:rPr>
                <w:rFonts w:cs="Arial"/>
                <w:sz w:val="20"/>
              </w:rPr>
              <w:t>proceduralists</w:t>
            </w:r>
            <w:proofErr w:type="spellEnd"/>
            <w:r w:rsidRPr="00965772">
              <w:rPr>
                <w:rFonts w:cs="Arial"/>
                <w:sz w:val="20"/>
              </w:rPr>
              <w:t>.</w:t>
            </w:r>
          </w:p>
          <w:p w:rsidR="00965772" w:rsidRPr="00965772" w:rsidRDefault="00965772" w:rsidP="009A7BA7">
            <w:pPr>
              <w:numPr>
                <w:ilvl w:val="0"/>
                <w:numId w:val="34"/>
              </w:numPr>
              <w:spacing w:before="0" w:after="0"/>
              <w:ind w:left="426" w:hanging="426"/>
              <w:contextualSpacing/>
              <w:jc w:val="left"/>
              <w:rPr>
                <w:rFonts w:cs="Arial"/>
                <w:sz w:val="20"/>
              </w:rPr>
            </w:pPr>
            <w:r w:rsidRPr="00965772">
              <w:rPr>
                <w:rFonts w:cs="Arial"/>
                <w:sz w:val="20"/>
              </w:rPr>
              <w:t>In 2016 O&amp;G Specialists remain predominantly metropolitan based (90.8 per cent) only 9.2 per cent were regionally and remotely based.</w:t>
            </w:r>
          </w:p>
        </w:tc>
        <w:tc>
          <w:tcPr>
            <w:tcW w:w="2471" w:type="pct"/>
          </w:tcPr>
          <w:p w:rsidR="00965772" w:rsidRPr="00965772" w:rsidRDefault="00965772" w:rsidP="00FA739F">
            <w:pPr>
              <w:numPr>
                <w:ilvl w:val="0"/>
                <w:numId w:val="34"/>
              </w:numPr>
              <w:spacing w:before="0" w:after="0"/>
              <w:ind w:left="278" w:hanging="284"/>
              <w:contextualSpacing/>
              <w:jc w:val="left"/>
              <w:rPr>
                <w:rFonts w:cs="Arial"/>
                <w:sz w:val="20"/>
              </w:rPr>
            </w:pPr>
            <w:r w:rsidRPr="00965772">
              <w:rPr>
                <w:rFonts w:cs="Arial"/>
                <w:sz w:val="20"/>
              </w:rPr>
              <w:t>The Office of Chief Medical Officer, Department of Health Western Australia, is</w:t>
            </w:r>
            <w:r w:rsidRPr="00965772">
              <w:rPr>
                <w:rFonts w:ascii="Calibri" w:hAnsi="Calibri" w:cs="Calibri"/>
                <w:color w:val="000000" w:themeColor="text1"/>
              </w:rPr>
              <w:t xml:space="preserve"> d</w:t>
            </w:r>
            <w:r w:rsidRPr="00965772">
              <w:rPr>
                <w:rFonts w:cs="Arial"/>
                <w:sz w:val="20"/>
              </w:rPr>
              <w:t>eveloping strategies in conjunction with local areas, to address discipline specific needs</w:t>
            </w:r>
            <w:r w:rsidR="009A7BA7">
              <w:rPr>
                <w:rFonts w:cs="Arial"/>
                <w:sz w:val="20"/>
              </w:rPr>
              <w:t xml:space="preserve"> and</w:t>
            </w:r>
            <w:r w:rsidRPr="00965772">
              <w:rPr>
                <w:rFonts w:cs="Arial"/>
                <w:sz w:val="20"/>
              </w:rPr>
              <w:t xml:space="preserve"> is encouraging the development of both educational and operational networks supported by predictive data modelling where possible.</w:t>
            </w:r>
          </w:p>
          <w:p w:rsidR="00965772" w:rsidRPr="00965772" w:rsidRDefault="00965772" w:rsidP="00FA739F">
            <w:pPr>
              <w:numPr>
                <w:ilvl w:val="0"/>
                <w:numId w:val="34"/>
              </w:numPr>
              <w:spacing w:before="0" w:after="0"/>
              <w:ind w:left="278" w:hanging="284"/>
              <w:contextualSpacing/>
              <w:jc w:val="left"/>
              <w:rPr>
                <w:rFonts w:cs="Arial"/>
                <w:sz w:val="20"/>
              </w:rPr>
            </w:pPr>
            <w:r w:rsidRPr="00965772">
              <w:rPr>
                <w:rFonts w:cs="Arial"/>
                <w:sz w:val="20"/>
              </w:rPr>
              <w:t>As part of the WA GP program, GP obstetrical procedural training will be reviewed with the intent of reviewing some of the metro-rural &amp; remote imbalances.</w:t>
            </w:r>
          </w:p>
        </w:tc>
      </w:tr>
      <w:tr w:rsidR="00965772" w:rsidRPr="00965772" w:rsidTr="00932B16">
        <w:tc>
          <w:tcPr>
            <w:tcW w:w="2529"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Tasmania point of view</w:t>
            </w:r>
          </w:p>
        </w:tc>
        <w:tc>
          <w:tcPr>
            <w:tcW w:w="2471" w:type="pct"/>
            <w:shd w:val="clear" w:color="auto" w:fill="14276A"/>
          </w:tcPr>
          <w:p w:rsidR="00965772" w:rsidRPr="00965772" w:rsidRDefault="00965772"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29" w:type="pct"/>
          </w:tcPr>
          <w:p w:rsidR="00965772" w:rsidRPr="00AD0522" w:rsidRDefault="00965772" w:rsidP="009A7BA7">
            <w:pPr>
              <w:numPr>
                <w:ilvl w:val="0"/>
                <w:numId w:val="47"/>
              </w:numPr>
              <w:spacing w:before="0" w:after="0"/>
              <w:contextualSpacing/>
              <w:rPr>
                <w:rFonts w:cs="Arial"/>
                <w:sz w:val="20"/>
              </w:rPr>
            </w:pPr>
            <w:r w:rsidRPr="00965772">
              <w:rPr>
                <w:rFonts w:cs="Arial"/>
                <w:sz w:val="20"/>
              </w:rPr>
              <w:t xml:space="preserve">No concerns in </w:t>
            </w:r>
            <w:r w:rsidR="009A7BA7">
              <w:rPr>
                <w:rFonts w:cs="Arial"/>
                <w:sz w:val="20"/>
              </w:rPr>
              <w:t>TAS</w:t>
            </w:r>
            <w:r w:rsidRPr="00965772">
              <w:rPr>
                <w:rFonts w:cs="Arial"/>
                <w:sz w:val="20"/>
              </w:rPr>
              <w:t>, however, it is not uncommon to start seeing changes in the specialist staff numbers for OTS as they can start leaving after 12 months. This is usually if they are not integrated and/or in Australia without their families. For those who bring their families, it’s not uncommon to see them move interstate around year 2 or 3 for better opportunities interstate.</w:t>
            </w:r>
          </w:p>
        </w:tc>
        <w:tc>
          <w:tcPr>
            <w:tcW w:w="2471" w:type="pct"/>
          </w:tcPr>
          <w:p w:rsidR="00965772" w:rsidRPr="00965772" w:rsidRDefault="00965772" w:rsidP="00FA739F">
            <w:pPr>
              <w:spacing w:before="0" w:after="0"/>
              <w:jc w:val="left"/>
              <w:rPr>
                <w:rFonts w:cs="Arial"/>
                <w:sz w:val="20"/>
              </w:rPr>
            </w:pPr>
          </w:p>
          <w:p w:rsidR="00965772" w:rsidRPr="00CD3145" w:rsidRDefault="00FA739F" w:rsidP="00545FAB">
            <w:pPr>
              <w:pStyle w:val="ListParagraph"/>
              <w:numPr>
                <w:ilvl w:val="0"/>
                <w:numId w:val="66"/>
              </w:numPr>
              <w:spacing w:before="0" w:after="0"/>
              <w:ind w:left="278" w:hanging="284"/>
              <w:jc w:val="left"/>
              <w:rPr>
                <w:rFonts w:cs="Arial"/>
                <w:sz w:val="20"/>
              </w:rPr>
            </w:pPr>
            <w:r w:rsidRPr="00CD3145">
              <w:rPr>
                <w:rFonts w:cs="Arial"/>
                <w:sz w:val="20"/>
              </w:rPr>
              <w:t>Australian trained specialists are more flexible and will stay longer but are lured by other/interstate hospitals offering more incentives to relocate</w:t>
            </w:r>
          </w:p>
        </w:tc>
      </w:tr>
      <w:tr w:rsidR="00965772" w:rsidRPr="00965772" w:rsidTr="00932B16">
        <w:tc>
          <w:tcPr>
            <w:tcW w:w="2529"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471" w:type="pct"/>
            <w:shd w:val="clear" w:color="auto" w:fill="14276A"/>
          </w:tcPr>
          <w:p w:rsidR="00965772" w:rsidRPr="00965772" w:rsidRDefault="00965772" w:rsidP="00FA739F">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29" w:type="pct"/>
          </w:tcPr>
          <w:p w:rsidR="00965772" w:rsidRPr="00965772" w:rsidRDefault="00965772" w:rsidP="00545FAB">
            <w:pPr>
              <w:numPr>
                <w:ilvl w:val="0"/>
                <w:numId w:val="55"/>
              </w:numPr>
              <w:spacing w:before="0" w:after="0"/>
              <w:contextualSpacing/>
              <w:rPr>
                <w:rFonts w:cs="Arial"/>
                <w:sz w:val="20"/>
              </w:rPr>
            </w:pPr>
            <w:r w:rsidRPr="00965772">
              <w:rPr>
                <w:rFonts w:cs="Arial"/>
                <w:sz w:val="20"/>
              </w:rPr>
              <w:t xml:space="preserve">Under supplied in the Top End and currently </w:t>
            </w:r>
            <w:r w:rsidR="00AF3936">
              <w:rPr>
                <w:rFonts w:cs="Arial"/>
                <w:sz w:val="20"/>
              </w:rPr>
              <w:t xml:space="preserve">there are </w:t>
            </w:r>
            <w:r w:rsidRPr="00965772">
              <w:rPr>
                <w:rFonts w:cs="Arial"/>
                <w:sz w:val="20"/>
              </w:rPr>
              <w:t>no vacancies in another location. However that can change quickly and it generally requires two years advanced planning to recruit to these locations.</w:t>
            </w:r>
          </w:p>
        </w:tc>
        <w:tc>
          <w:tcPr>
            <w:tcW w:w="2471" w:type="pct"/>
          </w:tcPr>
          <w:p w:rsidR="00965772" w:rsidRPr="00965772" w:rsidRDefault="00965772" w:rsidP="00545FAB">
            <w:pPr>
              <w:numPr>
                <w:ilvl w:val="0"/>
                <w:numId w:val="55"/>
              </w:numPr>
              <w:spacing w:before="0" w:after="0"/>
              <w:contextualSpacing/>
              <w:jc w:val="left"/>
              <w:rPr>
                <w:rFonts w:cs="Arial"/>
                <w:sz w:val="20"/>
              </w:rPr>
            </w:pPr>
            <w:r w:rsidRPr="00965772">
              <w:rPr>
                <w:rFonts w:cs="Arial"/>
                <w:sz w:val="20"/>
              </w:rPr>
              <w:t>Expanding to have 2 GPT rural generalist places in Advanced Obstetrics.</w:t>
            </w:r>
          </w:p>
        </w:tc>
      </w:tr>
    </w:tbl>
    <w:p w:rsidR="00B86366" w:rsidRPr="00B86366" w:rsidRDefault="00B86366" w:rsidP="00573E4D">
      <w:pPr>
        <w:pStyle w:val="ListParagraph"/>
        <w:numPr>
          <w:ilvl w:val="0"/>
          <w:numId w:val="68"/>
        </w:numPr>
        <w:spacing w:after="0"/>
        <w:ind w:left="357" w:hanging="357"/>
        <w:rPr>
          <w:sz w:val="20"/>
        </w:rPr>
      </w:pPr>
      <w:r w:rsidRPr="00B86366">
        <w:rPr>
          <w:rFonts w:cs="Arial"/>
          <w:b/>
          <w:szCs w:val="22"/>
        </w:rPr>
        <w:t>Are there any concerns with the training or supervision of the speciality?</w:t>
      </w:r>
    </w:p>
    <w:tbl>
      <w:tblPr>
        <w:tblStyle w:val="TableGrid1"/>
        <w:tblW w:w="5000" w:type="pct"/>
        <w:tblLook w:val="0480" w:firstRow="0" w:lastRow="0" w:firstColumn="1" w:lastColumn="0" w:noHBand="0" w:noVBand="1"/>
        <w:tblDescription w:val="Shows the jurisdictional point of view."/>
      </w:tblPr>
      <w:tblGrid>
        <w:gridCol w:w="4577"/>
        <w:gridCol w:w="4665"/>
      </w:tblGrid>
      <w:tr w:rsidR="00932B16" w:rsidRPr="00965772" w:rsidTr="00932B16">
        <w:trPr>
          <w:tblHeader/>
        </w:trPr>
        <w:tc>
          <w:tcPr>
            <w:tcW w:w="2476"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524"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65772" w:rsidRPr="00965772" w:rsidTr="00932B16">
        <w:tc>
          <w:tcPr>
            <w:tcW w:w="2476"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524" w:type="pct"/>
            <w:shd w:val="clear" w:color="auto" w:fill="14276A"/>
          </w:tcPr>
          <w:p w:rsidR="00965772" w:rsidRPr="00965772" w:rsidRDefault="00965772" w:rsidP="00CD3145">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76" w:type="pct"/>
          </w:tcPr>
          <w:p w:rsidR="00965772" w:rsidRPr="00965772" w:rsidRDefault="00965772" w:rsidP="00545FAB">
            <w:pPr>
              <w:numPr>
                <w:ilvl w:val="0"/>
                <w:numId w:val="56"/>
              </w:numPr>
              <w:spacing w:before="0" w:after="0"/>
              <w:contextualSpacing/>
              <w:rPr>
                <w:rFonts w:cs="Arial"/>
                <w:sz w:val="20"/>
              </w:rPr>
            </w:pPr>
            <w:r w:rsidRPr="00965772">
              <w:rPr>
                <w:rFonts w:cs="Arial"/>
                <w:sz w:val="20"/>
              </w:rPr>
              <w:t xml:space="preserve">Need to expand/encourage rural and regional training capacity – the College needs to review existing accreditation processes for training sites to explore use of innovative solutions in rural areas where onsite supervision may not be possible.   </w:t>
            </w:r>
          </w:p>
        </w:tc>
        <w:tc>
          <w:tcPr>
            <w:tcW w:w="2524" w:type="pct"/>
          </w:tcPr>
          <w:p w:rsidR="00965772" w:rsidRPr="00965772" w:rsidRDefault="00965772" w:rsidP="00CD3145">
            <w:pPr>
              <w:numPr>
                <w:ilvl w:val="0"/>
                <w:numId w:val="39"/>
              </w:numPr>
              <w:spacing w:before="0" w:after="0"/>
              <w:ind w:left="385" w:hanging="284"/>
              <w:contextualSpacing/>
              <w:jc w:val="left"/>
              <w:rPr>
                <w:rFonts w:cs="Arial"/>
                <w:sz w:val="20"/>
              </w:rPr>
            </w:pPr>
            <w:r w:rsidRPr="00965772">
              <w:rPr>
                <w:rFonts w:cs="Arial"/>
                <w:sz w:val="20"/>
              </w:rPr>
              <w:t xml:space="preserve">Collaborating with Commonwealth Regional Training Hubs and Rural Workforce Agency, Victoria. </w:t>
            </w:r>
          </w:p>
          <w:p w:rsidR="00965772" w:rsidRPr="00965772" w:rsidRDefault="00965772" w:rsidP="00CD3145">
            <w:pPr>
              <w:numPr>
                <w:ilvl w:val="0"/>
                <w:numId w:val="39"/>
              </w:numPr>
              <w:spacing w:before="0" w:after="0"/>
              <w:ind w:left="385" w:hanging="284"/>
              <w:contextualSpacing/>
              <w:jc w:val="left"/>
              <w:rPr>
                <w:rFonts w:cs="Arial"/>
                <w:sz w:val="20"/>
              </w:rPr>
            </w:pPr>
            <w:r w:rsidRPr="00965772">
              <w:rPr>
                <w:rFonts w:cs="Arial"/>
                <w:sz w:val="20"/>
              </w:rPr>
              <w:t xml:space="preserve">Awaiting COAG Health Council decision on accreditation systems review. </w:t>
            </w:r>
          </w:p>
        </w:tc>
      </w:tr>
      <w:tr w:rsidR="00965772" w:rsidRPr="00965772" w:rsidTr="00932B16">
        <w:tc>
          <w:tcPr>
            <w:tcW w:w="2476"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Western Australia point of view</w:t>
            </w:r>
          </w:p>
        </w:tc>
        <w:tc>
          <w:tcPr>
            <w:tcW w:w="2524" w:type="pct"/>
            <w:shd w:val="clear" w:color="auto" w:fill="14276A"/>
          </w:tcPr>
          <w:p w:rsidR="00965772" w:rsidRPr="00965772" w:rsidRDefault="00965772" w:rsidP="00CD3145">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76" w:type="pct"/>
          </w:tcPr>
          <w:p w:rsidR="00965772" w:rsidRPr="00965772" w:rsidRDefault="00965772" w:rsidP="00CD3145">
            <w:pPr>
              <w:numPr>
                <w:ilvl w:val="0"/>
                <w:numId w:val="38"/>
              </w:numPr>
              <w:spacing w:before="0" w:after="0"/>
              <w:ind w:left="426" w:hanging="426"/>
              <w:contextualSpacing/>
              <w:jc w:val="left"/>
              <w:rPr>
                <w:rFonts w:cs="Arial"/>
                <w:sz w:val="20"/>
              </w:rPr>
            </w:pPr>
            <w:r w:rsidRPr="00965772">
              <w:rPr>
                <w:rFonts w:cs="Arial"/>
                <w:sz w:val="20"/>
              </w:rPr>
              <w:t xml:space="preserve">In 2015, there were 39 vocational trainees in WA. To address projected growth in demand and retirements, 12.5 specialists were required per annum to 2025. The 2015 estimated vocational trainee throughput of 4.55 specialists per annum would be </w:t>
            </w:r>
            <w:r w:rsidRPr="00965772">
              <w:rPr>
                <w:rFonts w:cs="Arial"/>
                <w:sz w:val="20"/>
              </w:rPr>
              <w:lastRenderedPageBreak/>
              <w:t>insufficient to replace approaching retirements.</w:t>
            </w:r>
          </w:p>
          <w:p w:rsidR="00965772" w:rsidRPr="00965772" w:rsidRDefault="00965772" w:rsidP="00CD3145">
            <w:pPr>
              <w:numPr>
                <w:ilvl w:val="0"/>
                <w:numId w:val="38"/>
              </w:numPr>
              <w:spacing w:before="0" w:after="0"/>
              <w:ind w:left="426" w:hanging="426"/>
              <w:contextualSpacing/>
              <w:jc w:val="left"/>
              <w:rPr>
                <w:rFonts w:cs="Arial"/>
                <w:sz w:val="20"/>
              </w:rPr>
            </w:pPr>
            <w:r w:rsidRPr="00965772">
              <w:rPr>
                <w:rFonts w:cs="Arial"/>
                <w:sz w:val="20"/>
              </w:rPr>
              <w:t>In 2018, while the number of trainees has increased it is still insufficient to meet the demand &amp; retirement projections as outlined in 2015; there is also concern regarding appropriate surgical exposure for current trainees.</w:t>
            </w:r>
          </w:p>
        </w:tc>
        <w:tc>
          <w:tcPr>
            <w:tcW w:w="2524" w:type="pct"/>
          </w:tcPr>
          <w:p w:rsidR="00965772" w:rsidRPr="00965772" w:rsidRDefault="00965772" w:rsidP="00CD3145">
            <w:pPr>
              <w:numPr>
                <w:ilvl w:val="0"/>
                <w:numId w:val="38"/>
              </w:numPr>
              <w:spacing w:before="0" w:after="0"/>
              <w:ind w:left="419" w:hanging="419"/>
              <w:contextualSpacing/>
              <w:jc w:val="left"/>
              <w:rPr>
                <w:rFonts w:cs="Arial"/>
                <w:sz w:val="20"/>
              </w:rPr>
            </w:pPr>
            <w:r w:rsidRPr="00965772">
              <w:rPr>
                <w:rFonts w:cs="Arial"/>
                <w:sz w:val="20"/>
              </w:rPr>
              <w:lastRenderedPageBreak/>
              <w:t>The Office of Chief Medical Officer, Department of Health Western Australia, is</w:t>
            </w:r>
            <w:r w:rsidRPr="00965772">
              <w:rPr>
                <w:rFonts w:ascii="Calibri" w:hAnsi="Calibri" w:cs="Calibri"/>
                <w:color w:val="000000" w:themeColor="text1"/>
              </w:rPr>
              <w:t xml:space="preserve"> d</w:t>
            </w:r>
            <w:r w:rsidRPr="00965772">
              <w:rPr>
                <w:rFonts w:cs="Arial"/>
                <w:sz w:val="20"/>
              </w:rPr>
              <w:t xml:space="preserve">eveloping strategies in conjunction with local areas, to encourage the development of both educational and operational networks across the state, and even nationally, to </w:t>
            </w:r>
            <w:r w:rsidRPr="00965772">
              <w:rPr>
                <w:rFonts w:cs="Arial"/>
                <w:sz w:val="20"/>
              </w:rPr>
              <w:lastRenderedPageBreak/>
              <w:t>ensure appropriate competency for independent practice is achieved.</w:t>
            </w:r>
          </w:p>
        </w:tc>
      </w:tr>
      <w:tr w:rsidR="00965772" w:rsidRPr="00965772" w:rsidTr="00932B16">
        <w:tc>
          <w:tcPr>
            <w:tcW w:w="2476" w:type="pct"/>
            <w:shd w:val="clear" w:color="auto" w:fill="14276A"/>
          </w:tcPr>
          <w:p w:rsidR="00965772" w:rsidRPr="00965772" w:rsidRDefault="00965772" w:rsidP="00CD3145">
            <w:pPr>
              <w:spacing w:before="0" w:after="0"/>
              <w:ind w:left="426" w:hanging="426"/>
              <w:rPr>
                <w:rFonts w:cs="Arial"/>
                <w:b/>
                <w:color w:val="FFFFFF" w:themeColor="background1"/>
                <w:sz w:val="20"/>
              </w:rPr>
            </w:pPr>
            <w:r w:rsidRPr="00965772">
              <w:rPr>
                <w:rFonts w:cs="Arial"/>
                <w:b/>
                <w:color w:val="FFFFFF" w:themeColor="background1"/>
                <w:sz w:val="20"/>
              </w:rPr>
              <w:lastRenderedPageBreak/>
              <w:t>Tasmania point of view</w:t>
            </w:r>
          </w:p>
        </w:tc>
        <w:tc>
          <w:tcPr>
            <w:tcW w:w="2524" w:type="pct"/>
            <w:shd w:val="clear" w:color="auto" w:fill="14276A"/>
          </w:tcPr>
          <w:p w:rsidR="00965772" w:rsidRPr="00965772" w:rsidRDefault="00965772" w:rsidP="00CD3145">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76" w:type="pct"/>
          </w:tcPr>
          <w:p w:rsidR="00965772" w:rsidRPr="00965772" w:rsidRDefault="00965772" w:rsidP="00545FAB">
            <w:pPr>
              <w:numPr>
                <w:ilvl w:val="0"/>
                <w:numId w:val="57"/>
              </w:numPr>
              <w:spacing w:before="0" w:after="0"/>
              <w:ind w:left="426" w:hanging="426"/>
              <w:contextualSpacing/>
              <w:rPr>
                <w:rFonts w:cs="Arial"/>
                <w:sz w:val="20"/>
              </w:rPr>
            </w:pPr>
            <w:r w:rsidRPr="00965772">
              <w:rPr>
                <w:rFonts w:cs="Arial"/>
                <w:sz w:val="20"/>
              </w:rPr>
              <w:t>No concerns at this time. All positions were filled as at 16/3/2018.</w:t>
            </w:r>
          </w:p>
        </w:tc>
        <w:tc>
          <w:tcPr>
            <w:tcW w:w="2524" w:type="pct"/>
          </w:tcPr>
          <w:p w:rsidR="00965772" w:rsidRPr="00965772" w:rsidRDefault="00965772" w:rsidP="00545FAB">
            <w:pPr>
              <w:numPr>
                <w:ilvl w:val="0"/>
                <w:numId w:val="57"/>
              </w:numPr>
              <w:spacing w:before="0" w:after="0"/>
              <w:contextualSpacing/>
              <w:jc w:val="left"/>
              <w:rPr>
                <w:rFonts w:cs="Arial"/>
                <w:sz w:val="20"/>
              </w:rPr>
            </w:pPr>
            <w:r w:rsidRPr="00965772">
              <w:rPr>
                <w:rFonts w:cs="Arial"/>
                <w:sz w:val="20"/>
              </w:rPr>
              <w:t>When Specialists leave the organisation, there is more pressure on remaining Specialists who take up additional supervision of Registrars. At these times a major recruitment campaign is undertaken.</w:t>
            </w:r>
          </w:p>
        </w:tc>
      </w:tr>
      <w:tr w:rsidR="00965772" w:rsidRPr="00965772" w:rsidTr="00932B16">
        <w:tc>
          <w:tcPr>
            <w:tcW w:w="2476"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524" w:type="pct"/>
            <w:shd w:val="clear" w:color="auto" w:fill="14276A"/>
          </w:tcPr>
          <w:p w:rsidR="00965772" w:rsidRPr="00965772" w:rsidRDefault="00965772" w:rsidP="00CD3145">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76" w:type="pct"/>
          </w:tcPr>
          <w:p w:rsidR="00965772" w:rsidRPr="00965772" w:rsidRDefault="00965772" w:rsidP="00545FAB">
            <w:pPr>
              <w:numPr>
                <w:ilvl w:val="0"/>
                <w:numId w:val="58"/>
              </w:numPr>
              <w:spacing w:before="0" w:after="0"/>
              <w:contextualSpacing/>
              <w:rPr>
                <w:rFonts w:cs="Arial"/>
                <w:sz w:val="20"/>
              </w:rPr>
            </w:pPr>
            <w:r w:rsidRPr="00965772">
              <w:rPr>
                <w:rFonts w:cs="Arial"/>
                <w:sz w:val="20"/>
              </w:rPr>
              <w:t>Top End granted provisional reaccreditation for specialist training in 2017. While another areas accreditation status only take advanced year four Registrars; which are difficult to recruit.</w:t>
            </w:r>
          </w:p>
        </w:tc>
        <w:tc>
          <w:tcPr>
            <w:tcW w:w="2524" w:type="pct"/>
          </w:tcPr>
          <w:p w:rsidR="00965772" w:rsidRPr="00965772" w:rsidRDefault="00965772" w:rsidP="00CD3145">
            <w:pPr>
              <w:numPr>
                <w:ilvl w:val="0"/>
                <w:numId w:val="36"/>
              </w:numPr>
              <w:spacing w:before="0" w:after="0"/>
              <w:contextualSpacing/>
              <w:jc w:val="left"/>
              <w:rPr>
                <w:rFonts w:cs="Arial"/>
                <w:sz w:val="20"/>
              </w:rPr>
            </w:pPr>
            <w:r w:rsidRPr="00965772">
              <w:rPr>
                <w:rFonts w:cs="Arial"/>
                <w:sz w:val="20"/>
              </w:rPr>
              <w:t xml:space="preserve">Appointment of a new Director in Top End with extensive registrar training experience </w:t>
            </w:r>
            <w:r w:rsidR="00BB3B71">
              <w:rPr>
                <w:rFonts w:cs="Arial"/>
                <w:sz w:val="20"/>
              </w:rPr>
              <w:t xml:space="preserve">with the position being </w:t>
            </w:r>
            <w:r w:rsidRPr="00965772">
              <w:rPr>
                <w:rFonts w:cs="Arial"/>
                <w:sz w:val="20"/>
              </w:rPr>
              <w:t>half time administrative has ensured full registrar staffing levels in 2018.</w:t>
            </w:r>
          </w:p>
          <w:p w:rsidR="00965772" w:rsidRPr="00965772" w:rsidRDefault="00965772" w:rsidP="00CD3145">
            <w:pPr>
              <w:numPr>
                <w:ilvl w:val="0"/>
                <w:numId w:val="36"/>
              </w:numPr>
              <w:spacing w:before="0" w:after="0"/>
              <w:contextualSpacing/>
              <w:jc w:val="left"/>
              <w:rPr>
                <w:rFonts w:cs="Arial"/>
                <w:sz w:val="20"/>
              </w:rPr>
            </w:pPr>
            <w:r w:rsidRPr="00965772">
              <w:rPr>
                <w:rFonts w:cs="Arial"/>
                <w:sz w:val="20"/>
              </w:rPr>
              <w:t>A further four specialists to undertake training supervisor education.</w:t>
            </w:r>
          </w:p>
          <w:p w:rsidR="00965772" w:rsidRPr="00965772" w:rsidRDefault="00965772" w:rsidP="00CD3145">
            <w:pPr>
              <w:numPr>
                <w:ilvl w:val="0"/>
                <w:numId w:val="36"/>
              </w:numPr>
              <w:spacing w:before="0" w:after="0"/>
              <w:contextualSpacing/>
              <w:jc w:val="left"/>
              <w:rPr>
                <w:rFonts w:cs="Arial"/>
                <w:sz w:val="20"/>
              </w:rPr>
            </w:pPr>
            <w:r w:rsidRPr="00965772">
              <w:rPr>
                <w:rFonts w:cs="Arial"/>
                <w:sz w:val="20"/>
              </w:rPr>
              <w:t>Actions to address deficiencies identified in the accreditation:</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specific unit orientation</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more structured teaching within protected training time in afternoons</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set registrars rosters with greater predictability</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plan to move to a team structure in the medium term</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increased operating lists once Palmerston Regional Hospital comes online</w:t>
            </w:r>
          </w:p>
          <w:p w:rsidR="00965772" w:rsidRPr="00965772" w:rsidRDefault="00965772" w:rsidP="00CD3145">
            <w:pPr>
              <w:numPr>
                <w:ilvl w:val="0"/>
                <w:numId w:val="37"/>
              </w:numPr>
              <w:spacing w:before="0" w:after="0"/>
              <w:contextualSpacing/>
              <w:jc w:val="left"/>
              <w:rPr>
                <w:rFonts w:cs="Arial"/>
                <w:sz w:val="20"/>
              </w:rPr>
            </w:pPr>
            <w:r w:rsidRPr="00965772">
              <w:rPr>
                <w:rFonts w:cs="Arial"/>
                <w:sz w:val="20"/>
              </w:rPr>
              <w:t>task shifting routine obstetric service away from registrars to GP obstetricians</w:t>
            </w:r>
          </w:p>
        </w:tc>
      </w:tr>
    </w:tbl>
    <w:p w:rsidR="00B86366" w:rsidRPr="00B86366" w:rsidRDefault="00B86366" w:rsidP="00573E4D">
      <w:pPr>
        <w:pStyle w:val="ListParagraph"/>
        <w:numPr>
          <w:ilvl w:val="0"/>
          <w:numId w:val="68"/>
        </w:numPr>
        <w:spacing w:after="0"/>
        <w:ind w:left="357" w:hanging="357"/>
        <w:rPr>
          <w:sz w:val="20"/>
        </w:rPr>
      </w:pPr>
      <w:r w:rsidRPr="00B86366">
        <w:rPr>
          <w:rFonts w:cs="Arial"/>
          <w:b/>
          <w:szCs w:val="22"/>
        </w:rPr>
        <w:t>Are you currently recruiting overseas for this specialty?</w:t>
      </w:r>
    </w:p>
    <w:tbl>
      <w:tblPr>
        <w:tblStyle w:val="TableGrid1"/>
        <w:tblW w:w="5000" w:type="pct"/>
        <w:tblLook w:val="0480" w:firstRow="0" w:lastRow="0" w:firstColumn="1" w:lastColumn="0" w:noHBand="0" w:noVBand="1"/>
        <w:tblDescription w:val="Shows the jurisdictional point of view."/>
      </w:tblPr>
      <w:tblGrid>
        <w:gridCol w:w="4627"/>
        <w:gridCol w:w="4615"/>
      </w:tblGrid>
      <w:tr w:rsidR="00932B16" w:rsidRPr="00965772" w:rsidTr="00932B16">
        <w:trPr>
          <w:tblHeader/>
        </w:trPr>
        <w:tc>
          <w:tcPr>
            <w:tcW w:w="2503"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497"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65772" w:rsidRPr="00965772" w:rsidTr="00932B16">
        <w:tc>
          <w:tcPr>
            <w:tcW w:w="2503"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497" w:type="pct"/>
            <w:shd w:val="clear" w:color="auto" w:fill="14276A"/>
          </w:tcPr>
          <w:p w:rsidR="00965772" w:rsidRPr="00965772" w:rsidRDefault="00965772" w:rsidP="00AD0522">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03" w:type="pct"/>
          </w:tcPr>
          <w:p w:rsidR="00965772" w:rsidRPr="00965772" w:rsidRDefault="00965772" w:rsidP="00965772">
            <w:pPr>
              <w:numPr>
                <w:ilvl w:val="0"/>
                <w:numId w:val="42"/>
              </w:numPr>
              <w:spacing w:before="0" w:after="0"/>
              <w:contextualSpacing/>
              <w:jc w:val="left"/>
              <w:rPr>
                <w:rFonts w:cs="Arial"/>
                <w:sz w:val="20"/>
              </w:rPr>
            </w:pPr>
            <w:r w:rsidRPr="00965772">
              <w:rPr>
                <w:rFonts w:cs="Arial"/>
                <w:sz w:val="20"/>
              </w:rPr>
              <w:t>No, but more than 40 per cent of existing workforce was born in a non-English speaking country.</w:t>
            </w:r>
          </w:p>
          <w:p w:rsidR="00965772" w:rsidRPr="00965772" w:rsidRDefault="00965772" w:rsidP="00BB3B71">
            <w:pPr>
              <w:numPr>
                <w:ilvl w:val="0"/>
                <w:numId w:val="42"/>
              </w:numPr>
              <w:spacing w:before="0" w:after="0"/>
              <w:contextualSpacing/>
              <w:jc w:val="left"/>
              <w:rPr>
                <w:rFonts w:cs="Arial"/>
                <w:sz w:val="20"/>
              </w:rPr>
            </w:pPr>
            <w:r w:rsidRPr="00965772">
              <w:rPr>
                <w:rFonts w:cs="Arial"/>
                <w:sz w:val="20"/>
              </w:rPr>
              <w:t xml:space="preserve">Only 11 individuals in this field had short-term working visas as of 30 June 2017 in </w:t>
            </w:r>
            <w:r w:rsidR="00BB3B71">
              <w:rPr>
                <w:rFonts w:cs="Arial"/>
                <w:sz w:val="20"/>
              </w:rPr>
              <w:t>VIC</w:t>
            </w:r>
            <w:r w:rsidR="00BB3B71" w:rsidRPr="00965772">
              <w:rPr>
                <w:rFonts w:cs="Arial"/>
                <w:sz w:val="20"/>
              </w:rPr>
              <w:t xml:space="preserve"> </w:t>
            </w:r>
            <w:r w:rsidRPr="00965772">
              <w:rPr>
                <w:rFonts w:cs="Arial"/>
                <w:sz w:val="20"/>
              </w:rPr>
              <w:t>and only seven as of December 2017, according to the most recent available migration data.</w:t>
            </w:r>
          </w:p>
        </w:tc>
        <w:tc>
          <w:tcPr>
            <w:tcW w:w="2497" w:type="pct"/>
          </w:tcPr>
          <w:p w:rsidR="00965772" w:rsidRPr="00965772" w:rsidRDefault="00965772" w:rsidP="00AD0522">
            <w:pPr>
              <w:spacing w:before="0" w:after="0"/>
              <w:jc w:val="left"/>
              <w:rPr>
                <w:rFonts w:cs="Arial"/>
                <w:sz w:val="20"/>
              </w:rPr>
            </w:pPr>
          </w:p>
        </w:tc>
      </w:tr>
      <w:tr w:rsidR="00965772" w:rsidRPr="00965772" w:rsidTr="00932B16">
        <w:tc>
          <w:tcPr>
            <w:tcW w:w="2503"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Western Australia point of view</w:t>
            </w:r>
          </w:p>
        </w:tc>
        <w:tc>
          <w:tcPr>
            <w:tcW w:w="2497" w:type="pct"/>
            <w:shd w:val="clear" w:color="auto" w:fill="14276A"/>
          </w:tcPr>
          <w:p w:rsidR="00965772" w:rsidRPr="00965772" w:rsidRDefault="00965772" w:rsidP="00AD0522">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rPr>
          <w:trHeight w:val="1161"/>
        </w:trPr>
        <w:tc>
          <w:tcPr>
            <w:tcW w:w="2503" w:type="pct"/>
          </w:tcPr>
          <w:p w:rsidR="00965772" w:rsidRPr="00CD3145" w:rsidRDefault="00965772" w:rsidP="00545FAB">
            <w:pPr>
              <w:numPr>
                <w:ilvl w:val="0"/>
                <w:numId w:val="59"/>
              </w:numPr>
              <w:spacing w:before="0" w:after="0"/>
              <w:contextualSpacing/>
              <w:rPr>
                <w:rFonts w:cs="Arial"/>
                <w:sz w:val="20"/>
              </w:rPr>
            </w:pPr>
            <w:r w:rsidRPr="00965772">
              <w:rPr>
                <w:rFonts w:cs="Arial"/>
                <w:sz w:val="20"/>
              </w:rPr>
              <w:t>Since the last 2015 report in WA four consultants have been recruited from overseas and sites continue to request Area of Need (</w:t>
            </w:r>
            <w:proofErr w:type="spellStart"/>
            <w:r w:rsidRPr="00965772">
              <w:rPr>
                <w:rFonts w:cs="Arial"/>
                <w:sz w:val="20"/>
              </w:rPr>
              <w:t>AoN</w:t>
            </w:r>
            <w:proofErr w:type="spellEnd"/>
            <w:r w:rsidRPr="00965772">
              <w:rPr>
                <w:rFonts w:cs="Arial"/>
                <w:sz w:val="20"/>
              </w:rPr>
              <w:t xml:space="preserve">) placements in this discipline. </w:t>
            </w:r>
          </w:p>
          <w:p w:rsidR="00965772" w:rsidRPr="00965772" w:rsidRDefault="00965772" w:rsidP="00965772">
            <w:pPr>
              <w:spacing w:before="0" w:after="0"/>
              <w:jc w:val="center"/>
              <w:rPr>
                <w:rFonts w:cs="Arial"/>
                <w:sz w:val="20"/>
              </w:rPr>
            </w:pPr>
          </w:p>
        </w:tc>
        <w:tc>
          <w:tcPr>
            <w:tcW w:w="2497" w:type="pct"/>
          </w:tcPr>
          <w:p w:rsidR="00965772" w:rsidRPr="00965772" w:rsidRDefault="00965772" w:rsidP="00AD0522">
            <w:pPr>
              <w:numPr>
                <w:ilvl w:val="0"/>
                <w:numId w:val="59"/>
              </w:numPr>
              <w:tabs>
                <w:tab w:val="left" w:pos="1376"/>
              </w:tabs>
              <w:spacing w:before="0" w:after="0"/>
              <w:contextualSpacing/>
              <w:jc w:val="left"/>
              <w:rPr>
                <w:rFonts w:cs="Arial"/>
                <w:sz w:val="20"/>
              </w:rPr>
            </w:pPr>
            <w:r w:rsidRPr="00965772">
              <w:rPr>
                <w:rFonts w:cs="Arial"/>
                <w:sz w:val="20"/>
              </w:rPr>
              <w:t>IMGs continue to address short to medium term staffing shortfalls in WA and meet gaps in service delivery, and it is likely to continue for some time to come; work on varying models of care is also underway.</w:t>
            </w:r>
          </w:p>
        </w:tc>
      </w:tr>
      <w:tr w:rsidR="00965772" w:rsidRPr="00965772" w:rsidTr="00932B16">
        <w:tc>
          <w:tcPr>
            <w:tcW w:w="2503"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lastRenderedPageBreak/>
              <w:t>Tasmania point of view</w:t>
            </w:r>
          </w:p>
        </w:tc>
        <w:tc>
          <w:tcPr>
            <w:tcW w:w="2497" w:type="pct"/>
            <w:shd w:val="clear" w:color="auto" w:fill="14276A"/>
          </w:tcPr>
          <w:p w:rsidR="00965772" w:rsidRPr="00965772" w:rsidRDefault="00965772" w:rsidP="00AD0522">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03" w:type="pct"/>
          </w:tcPr>
          <w:p w:rsidR="00965772" w:rsidRPr="00965772" w:rsidRDefault="00965772" w:rsidP="00545FAB">
            <w:pPr>
              <w:numPr>
                <w:ilvl w:val="0"/>
                <w:numId w:val="60"/>
              </w:numPr>
              <w:spacing w:before="0" w:after="0"/>
              <w:contextualSpacing/>
              <w:rPr>
                <w:rFonts w:cs="Arial"/>
                <w:sz w:val="20"/>
              </w:rPr>
            </w:pPr>
            <w:r w:rsidRPr="00965772">
              <w:rPr>
                <w:rFonts w:cs="Arial"/>
                <w:sz w:val="20"/>
              </w:rPr>
              <w:t>No, as all positions were filled in, as at 16/3/2018.</w:t>
            </w:r>
          </w:p>
        </w:tc>
        <w:tc>
          <w:tcPr>
            <w:tcW w:w="2497" w:type="pct"/>
          </w:tcPr>
          <w:p w:rsidR="00965772" w:rsidRPr="00965772" w:rsidRDefault="00965772" w:rsidP="00BB3B71">
            <w:pPr>
              <w:numPr>
                <w:ilvl w:val="0"/>
                <w:numId w:val="60"/>
              </w:numPr>
              <w:spacing w:before="0" w:after="0"/>
              <w:contextualSpacing/>
              <w:jc w:val="left"/>
              <w:rPr>
                <w:rFonts w:cs="Arial"/>
                <w:sz w:val="20"/>
              </w:rPr>
            </w:pPr>
            <w:r w:rsidRPr="00965772">
              <w:rPr>
                <w:rFonts w:cs="Arial"/>
                <w:sz w:val="20"/>
              </w:rPr>
              <w:t xml:space="preserve">OTS recruitment occurs if </w:t>
            </w:r>
            <w:r w:rsidR="00BB3B71">
              <w:rPr>
                <w:rFonts w:cs="Arial"/>
                <w:sz w:val="20"/>
              </w:rPr>
              <w:t>TAS</w:t>
            </w:r>
            <w:r w:rsidR="00BB3B71" w:rsidRPr="00965772">
              <w:rPr>
                <w:rFonts w:cs="Arial"/>
                <w:sz w:val="20"/>
              </w:rPr>
              <w:t xml:space="preserve"> </w:t>
            </w:r>
            <w:r w:rsidRPr="00965772">
              <w:rPr>
                <w:rFonts w:cs="Arial"/>
                <w:sz w:val="20"/>
              </w:rPr>
              <w:t>is unsuccessful in recruiting specialists locally or nationally.</w:t>
            </w:r>
          </w:p>
        </w:tc>
      </w:tr>
      <w:tr w:rsidR="00965772" w:rsidRPr="00965772" w:rsidTr="00932B16">
        <w:tc>
          <w:tcPr>
            <w:tcW w:w="2503"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497" w:type="pct"/>
            <w:shd w:val="clear" w:color="auto" w:fill="14276A"/>
          </w:tcPr>
          <w:p w:rsidR="00965772" w:rsidRPr="00965772" w:rsidRDefault="00965772" w:rsidP="00AD0522">
            <w:pPr>
              <w:spacing w:before="0" w:after="0"/>
              <w:jc w:val="left"/>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03" w:type="pct"/>
          </w:tcPr>
          <w:p w:rsidR="00965772" w:rsidRPr="00965772" w:rsidRDefault="00965772" w:rsidP="00545FAB">
            <w:pPr>
              <w:numPr>
                <w:ilvl w:val="0"/>
                <w:numId w:val="61"/>
              </w:numPr>
              <w:spacing w:before="0" w:after="0"/>
              <w:contextualSpacing/>
              <w:rPr>
                <w:rFonts w:cs="Arial"/>
                <w:sz w:val="20"/>
              </w:rPr>
            </w:pPr>
            <w:r w:rsidRPr="00965772">
              <w:rPr>
                <w:rFonts w:cs="Arial"/>
                <w:sz w:val="20"/>
              </w:rPr>
              <w:t>Yes, but unsuccessful.</w:t>
            </w:r>
          </w:p>
        </w:tc>
        <w:tc>
          <w:tcPr>
            <w:tcW w:w="2497" w:type="pct"/>
          </w:tcPr>
          <w:p w:rsidR="00965772" w:rsidRPr="00965772" w:rsidRDefault="00965772" w:rsidP="00AD0522">
            <w:pPr>
              <w:spacing w:before="0" w:after="0"/>
              <w:jc w:val="left"/>
              <w:rPr>
                <w:rFonts w:cs="Arial"/>
                <w:sz w:val="20"/>
              </w:rPr>
            </w:pPr>
          </w:p>
        </w:tc>
      </w:tr>
    </w:tbl>
    <w:p w:rsidR="00965772" w:rsidRPr="00B86366" w:rsidRDefault="00B86366" w:rsidP="00573E4D">
      <w:pPr>
        <w:pStyle w:val="ListParagraph"/>
        <w:numPr>
          <w:ilvl w:val="0"/>
          <w:numId w:val="68"/>
        </w:numPr>
        <w:spacing w:after="0"/>
        <w:ind w:left="357" w:hanging="357"/>
        <w:rPr>
          <w:sz w:val="20"/>
        </w:rPr>
      </w:pPr>
      <w:r w:rsidRPr="00B86366">
        <w:rPr>
          <w:rFonts w:cs="Arial"/>
          <w:b/>
          <w:szCs w:val="22"/>
        </w:rPr>
        <w:t>Are there currently unfilled vacancies in the specialty?</w:t>
      </w:r>
    </w:p>
    <w:tbl>
      <w:tblPr>
        <w:tblStyle w:val="TableGrid1"/>
        <w:tblW w:w="5000" w:type="pct"/>
        <w:tblLook w:val="0480" w:firstRow="0" w:lastRow="0" w:firstColumn="1" w:lastColumn="0" w:noHBand="0" w:noVBand="1"/>
        <w:tblDescription w:val="Shows the jurisdictional point of view."/>
      </w:tblPr>
      <w:tblGrid>
        <w:gridCol w:w="4617"/>
        <w:gridCol w:w="4625"/>
      </w:tblGrid>
      <w:tr w:rsidR="00932B16" w:rsidRPr="00965772" w:rsidTr="00932B16">
        <w:trPr>
          <w:tblHeader/>
        </w:trPr>
        <w:tc>
          <w:tcPr>
            <w:tcW w:w="2498"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502"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65772" w:rsidRPr="00965772" w:rsidTr="00932B16">
        <w:tc>
          <w:tcPr>
            <w:tcW w:w="2498"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502"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98" w:type="pct"/>
          </w:tcPr>
          <w:p w:rsidR="00965772" w:rsidRDefault="00AD0522" w:rsidP="00965772">
            <w:pPr>
              <w:spacing w:before="0" w:after="0"/>
              <w:rPr>
                <w:rFonts w:cs="Arial"/>
                <w:sz w:val="20"/>
              </w:rPr>
            </w:pPr>
            <w:r>
              <w:rPr>
                <w:rFonts w:cs="Arial"/>
                <w:sz w:val="20"/>
              </w:rPr>
              <w:t>Nil response</w:t>
            </w:r>
          </w:p>
          <w:p w:rsidR="00AD0522" w:rsidRPr="00965772" w:rsidRDefault="00AD0522" w:rsidP="00965772">
            <w:pPr>
              <w:spacing w:before="0" w:after="0"/>
              <w:rPr>
                <w:rFonts w:cs="Arial"/>
                <w:sz w:val="20"/>
              </w:rPr>
            </w:pPr>
          </w:p>
        </w:tc>
        <w:tc>
          <w:tcPr>
            <w:tcW w:w="2502" w:type="pct"/>
          </w:tcPr>
          <w:p w:rsidR="00965772" w:rsidRPr="00965772" w:rsidRDefault="00965772" w:rsidP="00965772">
            <w:pPr>
              <w:spacing w:before="0" w:after="0"/>
              <w:rPr>
                <w:rFonts w:cs="Arial"/>
                <w:sz w:val="20"/>
              </w:rPr>
            </w:pPr>
          </w:p>
        </w:tc>
      </w:tr>
      <w:tr w:rsidR="00965772" w:rsidRPr="00965772" w:rsidTr="00932B16">
        <w:tc>
          <w:tcPr>
            <w:tcW w:w="2498"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Western Australia point of view</w:t>
            </w:r>
          </w:p>
        </w:tc>
        <w:tc>
          <w:tcPr>
            <w:tcW w:w="2502"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98" w:type="pct"/>
          </w:tcPr>
          <w:p w:rsidR="00965772" w:rsidRPr="00965772" w:rsidRDefault="00965772" w:rsidP="00545FAB">
            <w:pPr>
              <w:numPr>
                <w:ilvl w:val="0"/>
                <w:numId w:val="61"/>
              </w:numPr>
              <w:spacing w:before="0" w:after="0"/>
              <w:contextualSpacing/>
              <w:rPr>
                <w:rFonts w:cs="Arial"/>
                <w:sz w:val="20"/>
              </w:rPr>
            </w:pPr>
            <w:r w:rsidRPr="00965772">
              <w:rPr>
                <w:rFonts w:cs="Arial"/>
                <w:sz w:val="20"/>
              </w:rPr>
              <w:t>Yes, but currently only anecdotal evidence is available in WA.</w:t>
            </w:r>
          </w:p>
          <w:p w:rsidR="00965772" w:rsidRPr="00965772" w:rsidRDefault="00965772" w:rsidP="00965772">
            <w:pPr>
              <w:spacing w:before="0" w:after="0"/>
              <w:rPr>
                <w:rFonts w:cs="Arial"/>
                <w:sz w:val="20"/>
              </w:rPr>
            </w:pPr>
          </w:p>
        </w:tc>
        <w:tc>
          <w:tcPr>
            <w:tcW w:w="2502" w:type="pct"/>
          </w:tcPr>
          <w:p w:rsidR="00965772" w:rsidRPr="00965772" w:rsidRDefault="00965772" w:rsidP="00545FAB">
            <w:pPr>
              <w:numPr>
                <w:ilvl w:val="0"/>
                <w:numId w:val="61"/>
              </w:numPr>
              <w:spacing w:before="0" w:after="0"/>
              <w:contextualSpacing/>
              <w:rPr>
                <w:rFonts w:cs="Arial"/>
                <w:sz w:val="20"/>
              </w:rPr>
            </w:pPr>
            <w:r w:rsidRPr="00965772">
              <w:rPr>
                <w:rFonts w:cs="Arial"/>
                <w:sz w:val="20"/>
              </w:rPr>
              <w:t>Data analysis is currently underway to allow specific definition of shortages in this discipline at site, Area and State-wide levels in both public and private sectors.</w:t>
            </w:r>
          </w:p>
        </w:tc>
      </w:tr>
      <w:tr w:rsidR="00965772" w:rsidRPr="00965772" w:rsidTr="00932B16">
        <w:tc>
          <w:tcPr>
            <w:tcW w:w="2498"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Tasmania point of view</w:t>
            </w:r>
          </w:p>
        </w:tc>
        <w:tc>
          <w:tcPr>
            <w:tcW w:w="2502"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98" w:type="pct"/>
          </w:tcPr>
          <w:p w:rsidR="00965772" w:rsidRPr="00965772" w:rsidRDefault="00965772" w:rsidP="00545FAB">
            <w:pPr>
              <w:numPr>
                <w:ilvl w:val="0"/>
                <w:numId w:val="62"/>
              </w:numPr>
              <w:spacing w:before="0" w:after="0"/>
              <w:contextualSpacing/>
              <w:rPr>
                <w:rFonts w:cs="Arial"/>
                <w:sz w:val="20"/>
              </w:rPr>
            </w:pPr>
            <w:r w:rsidRPr="00965772">
              <w:rPr>
                <w:rFonts w:cs="Arial"/>
                <w:sz w:val="20"/>
              </w:rPr>
              <w:t>No, all positions were filled, as at 16/3/2018.</w:t>
            </w:r>
          </w:p>
        </w:tc>
        <w:tc>
          <w:tcPr>
            <w:tcW w:w="2502" w:type="pct"/>
          </w:tcPr>
          <w:p w:rsidR="00965772" w:rsidRPr="00965772" w:rsidRDefault="00965772" w:rsidP="00965772">
            <w:pPr>
              <w:spacing w:before="0" w:after="0"/>
              <w:rPr>
                <w:rFonts w:cs="Arial"/>
                <w:sz w:val="20"/>
              </w:rPr>
            </w:pPr>
          </w:p>
        </w:tc>
      </w:tr>
      <w:tr w:rsidR="00965772" w:rsidRPr="00965772" w:rsidTr="00932B16">
        <w:tc>
          <w:tcPr>
            <w:tcW w:w="2498"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502"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498" w:type="pct"/>
          </w:tcPr>
          <w:p w:rsidR="00965772" w:rsidRPr="00965772" w:rsidRDefault="00965772" w:rsidP="00545FAB">
            <w:pPr>
              <w:numPr>
                <w:ilvl w:val="0"/>
                <w:numId w:val="62"/>
              </w:numPr>
              <w:spacing w:before="0" w:after="0"/>
              <w:contextualSpacing/>
              <w:rPr>
                <w:rFonts w:cs="Arial"/>
                <w:sz w:val="20"/>
              </w:rPr>
            </w:pPr>
            <w:r w:rsidRPr="00965772">
              <w:rPr>
                <w:rFonts w:cs="Arial"/>
                <w:sz w:val="20"/>
              </w:rPr>
              <w:t xml:space="preserve">Yes there are currently unfilled vacancies. </w:t>
            </w:r>
          </w:p>
        </w:tc>
        <w:tc>
          <w:tcPr>
            <w:tcW w:w="2502" w:type="pct"/>
          </w:tcPr>
          <w:p w:rsidR="00965772" w:rsidRPr="00965772" w:rsidRDefault="00965772" w:rsidP="00545FAB">
            <w:pPr>
              <w:numPr>
                <w:ilvl w:val="0"/>
                <w:numId w:val="62"/>
              </w:numPr>
              <w:spacing w:before="0" w:after="0"/>
              <w:contextualSpacing/>
              <w:rPr>
                <w:rFonts w:cs="Arial"/>
                <w:sz w:val="20"/>
              </w:rPr>
            </w:pPr>
            <w:r w:rsidRPr="00965772">
              <w:rPr>
                <w:rFonts w:cs="Arial"/>
                <w:sz w:val="20"/>
              </w:rPr>
              <w:t xml:space="preserve">Less focus on trying to recruit from elsewhere and more focus recruiting senior trainees to retain as consultants. </w:t>
            </w:r>
          </w:p>
        </w:tc>
      </w:tr>
    </w:tbl>
    <w:p w:rsidR="00B86366" w:rsidRPr="00B86366" w:rsidRDefault="00B86366" w:rsidP="00573E4D">
      <w:pPr>
        <w:pStyle w:val="ListParagraph"/>
        <w:numPr>
          <w:ilvl w:val="0"/>
          <w:numId w:val="68"/>
        </w:numPr>
        <w:spacing w:after="0"/>
        <w:ind w:left="357" w:hanging="357"/>
        <w:rPr>
          <w:b/>
        </w:rPr>
      </w:pPr>
      <w:r w:rsidRPr="00B86366">
        <w:rPr>
          <w:rFonts w:cs="Arial"/>
          <w:b/>
          <w:szCs w:val="22"/>
        </w:rPr>
        <w:t>Are there any innovative models of care in place to address supply or demand of the specialty?</w:t>
      </w:r>
    </w:p>
    <w:tbl>
      <w:tblPr>
        <w:tblStyle w:val="TableGrid1"/>
        <w:tblW w:w="5000" w:type="pct"/>
        <w:tblLook w:val="0480" w:firstRow="0" w:lastRow="0" w:firstColumn="1" w:lastColumn="0" w:noHBand="0" w:noVBand="1"/>
        <w:tblDescription w:val="Shows the jurisdictional point of view."/>
      </w:tblPr>
      <w:tblGrid>
        <w:gridCol w:w="4649"/>
        <w:gridCol w:w="4593"/>
      </w:tblGrid>
      <w:tr w:rsidR="00932B16" w:rsidRPr="00965772" w:rsidTr="00932B16">
        <w:trPr>
          <w:tblHeader/>
        </w:trPr>
        <w:tc>
          <w:tcPr>
            <w:tcW w:w="2515" w:type="pct"/>
            <w:shd w:val="clear" w:color="auto" w:fill="14276A"/>
          </w:tcPr>
          <w:p w:rsidR="00932B16" w:rsidRPr="00CB4631" w:rsidRDefault="00932B16" w:rsidP="00C90AA2">
            <w:pPr>
              <w:rPr>
                <w:rFonts w:cs="Arial"/>
                <w:b/>
                <w:color w:val="FFFFFF" w:themeColor="background1"/>
                <w:sz w:val="20"/>
              </w:rPr>
            </w:pPr>
            <w:r w:rsidRPr="00D608AE">
              <w:rPr>
                <w:b/>
              </w:rPr>
              <w:t>State/Territory point of view</w:t>
            </w:r>
          </w:p>
        </w:tc>
        <w:tc>
          <w:tcPr>
            <w:tcW w:w="2485" w:type="pct"/>
            <w:shd w:val="clear" w:color="auto" w:fill="14276A"/>
          </w:tcPr>
          <w:p w:rsidR="00932B16" w:rsidRPr="00CB4631" w:rsidRDefault="00932B16" w:rsidP="00C90AA2">
            <w:pPr>
              <w:jc w:val="left"/>
              <w:rPr>
                <w:rFonts w:cs="Arial"/>
                <w:b/>
                <w:color w:val="FFFFFF" w:themeColor="background1"/>
                <w:sz w:val="20"/>
              </w:rPr>
            </w:pPr>
            <w:r w:rsidRPr="00D608AE">
              <w:rPr>
                <w:b/>
              </w:rPr>
              <w:t>Programs or strategies</w:t>
            </w:r>
          </w:p>
        </w:tc>
      </w:tr>
      <w:tr w:rsidR="00965772" w:rsidRPr="00965772" w:rsidTr="00932B16">
        <w:tc>
          <w:tcPr>
            <w:tcW w:w="251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Victoria point of view</w:t>
            </w:r>
          </w:p>
        </w:tc>
        <w:tc>
          <w:tcPr>
            <w:tcW w:w="248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15" w:type="pct"/>
          </w:tcPr>
          <w:p w:rsidR="00965772" w:rsidRPr="00965772" w:rsidRDefault="00965772" w:rsidP="00965772">
            <w:pPr>
              <w:spacing w:before="0" w:after="0"/>
              <w:rPr>
                <w:rFonts w:cs="Arial"/>
                <w:sz w:val="20"/>
              </w:rPr>
            </w:pPr>
          </w:p>
        </w:tc>
        <w:tc>
          <w:tcPr>
            <w:tcW w:w="2485" w:type="pct"/>
          </w:tcPr>
          <w:p w:rsidR="00965772" w:rsidRPr="00965772" w:rsidRDefault="00965772" w:rsidP="004B7F94">
            <w:pPr>
              <w:numPr>
                <w:ilvl w:val="0"/>
                <w:numId w:val="63"/>
              </w:numPr>
              <w:spacing w:before="0" w:after="0"/>
              <w:contextualSpacing/>
              <w:rPr>
                <w:rFonts w:cs="Arial"/>
                <w:sz w:val="20"/>
              </w:rPr>
            </w:pPr>
            <w:r w:rsidRPr="00965772">
              <w:rPr>
                <w:rFonts w:cs="Arial"/>
                <w:sz w:val="20"/>
              </w:rPr>
              <w:t xml:space="preserve">Shared care models/GP VMO/midwife- led models in </w:t>
            </w:r>
            <w:r w:rsidR="004B7F94">
              <w:rPr>
                <w:rFonts w:cs="Arial"/>
                <w:sz w:val="20"/>
              </w:rPr>
              <w:t>VIC</w:t>
            </w:r>
            <w:r w:rsidRPr="00965772">
              <w:rPr>
                <w:rFonts w:cs="Arial"/>
                <w:sz w:val="20"/>
              </w:rPr>
              <w:t>.</w:t>
            </w:r>
          </w:p>
        </w:tc>
      </w:tr>
      <w:tr w:rsidR="00965772" w:rsidRPr="00965772" w:rsidTr="00932B16">
        <w:tc>
          <w:tcPr>
            <w:tcW w:w="251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Western Australia point of view</w:t>
            </w:r>
          </w:p>
        </w:tc>
        <w:tc>
          <w:tcPr>
            <w:tcW w:w="248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15" w:type="pct"/>
          </w:tcPr>
          <w:p w:rsidR="00965772" w:rsidRPr="00965772" w:rsidRDefault="00965772" w:rsidP="00545FAB">
            <w:pPr>
              <w:numPr>
                <w:ilvl w:val="0"/>
                <w:numId w:val="63"/>
              </w:numPr>
              <w:spacing w:before="0" w:after="0"/>
              <w:contextualSpacing/>
              <w:rPr>
                <w:rFonts w:cs="Arial"/>
                <w:sz w:val="20"/>
              </w:rPr>
            </w:pPr>
            <w:r w:rsidRPr="00965772">
              <w:rPr>
                <w:rFonts w:cs="Arial"/>
                <w:sz w:val="20"/>
              </w:rPr>
              <w:t>Yes</w:t>
            </w:r>
          </w:p>
        </w:tc>
        <w:tc>
          <w:tcPr>
            <w:tcW w:w="2485" w:type="pct"/>
          </w:tcPr>
          <w:p w:rsidR="00965772" w:rsidRPr="00965772" w:rsidRDefault="00965772" w:rsidP="00965772">
            <w:pPr>
              <w:numPr>
                <w:ilvl w:val="0"/>
                <w:numId w:val="44"/>
              </w:numPr>
              <w:spacing w:before="0" w:after="0"/>
              <w:contextualSpacing/>
              <w:jc w:val="left"/>
              <w:rPr>
                <w:rFonts w:cs="Arial"/>
                <w:sz w:val="20"/>
              </w:rPr>
            </w:pPr>
            <w:r w:rsidRPr="00965772">
              <w:rPr>
                <w:rFonts w:cs="Arial"/>
                <w:sz w:val="20"/>
              </w:rPr>
              <w:t xml:space="preserve">Models of Midwifery substitution have been suggested </w:t>
            </w:r>
            <w:proofErr w:type="spellStart"/>
            <w:r w:rsidRPr="00965772">
              <w:rPr>
                <w:rFonts w:cs="Arial"/>
                <w:sz w:val="20"/>
              </w:rPr>
              <w:t>statewide</w:t>
            </w:r>
            <w:proofErr w:type="spellEnd"/>
            <w:r w:rsidRPr="00965772">
              <w:rPr>
                <w:rFonts w:cs="Arial"/>
                <w:sz w:val="20"/>
              </w:rPr>
              <w:t xml:space="preserve"> in WA.</w:t>
            </w:r>
          </w:p>
          <w:p w:rsidR="00965772" w:rsidRPr="00965772" w:rsidRDefault="00965772" w:rsidP="00965772">
            <w:pPr>
              <w:numPr>
                <w:ilvl w:val="0"/>
                <w:numId w:val="44"/>
              </w:numPr>
              <w:spacing w:before="0" w:after="0"/>
              <w:contextualSpacing/>
              <w:jc w:val="left"/>
              <w:rPr>
                <w:rFonts w:cs="Arial"/>
                <w:sz w:val="20"/>
              </w:rPr>
            </w:pPr>
            <w:r w:rsidRPr="00965772">
              <w:rPr>
                <w:rFonts w:cs="Arial"/>
                <w:sz w:val="20"/>
              </w:rPr>
              <w:t>Obstetric Service reviews undertaken.</w:t>
            </w:r>
          </w:p>
          <w:p w:rsidR="00965772" w:rsidRPr="00965772" w:rsidRDefault="00965772" w:rsidP="00965772">
            <w:pPr>
              <w:numPr>
                <w:ilvl w:val="0"/>
                <w:numId w:val="44"/>
              </w:numPr>
              <w:spacing w:before="0" w:after="0"/>
              <w:contextualSpacing/>
              <w:jc w:val="left"/>
              <w:rPr>
                <w:rFonts w:cs="Arial"/>
                <w:sz w:val="20"/>
              </w:rPr>
            </w:pPr>
            <w:r w:rsidRPr="00965772">
              <w:rPr>
                <w:rFonts w:cs="Arial"/>
                <w:sz w:val="20"/>
              </w:rPr>
              <w:t>Improvements in procedural GP training being progressed.</w:t>
            </w:r>
          </w:p>
        </w:tc>
      </w:tr>
      <w:tr w:rsidR="00965772" w:rsidRPr="00965772" w:rsidTr="00932B16">
        <w:tc>
          <w:tcPr>
            <w:tcW w:w="251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Tasmania point of view</w:t>
            </w:r>
          </w:p>
        </w:tc>
        <w:tc>
          <w:tcPr>
            <w:tcW w:w="248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15" w:type="pct"/>
          </w:tcPr>
          <w:p w:rsidR="00965772" w:rsidRPr="00965772" w:rsidRDefault="00965772" w:rsidP="00545FAB">
            <w:pPr>
              <w:numPr>
                <w:ilvl w:val="0"/>
                <w:numId w:val="64"/>
              </w:numPr>
              <w:spacing w:before="0" w:after="0"/>
              <w:contextualSpacing/>
              <w:rPr>
                <w:rFonts w:cs="Arial"/>
                <w:sz w:val="20"/>
              </w:rPr>
            </w:pPr>
            <w:r w:rsidRPr="00965772">
              <w:rPr>
                <w:rFonts w:cs="Arial"/>
                <w:sz w:val="20"/>
              </w:rPr>
              <w:t>No</w:t>
            </w:r>
          </w:p>
        </w:tc>
        <w:tc>
          <w:tcPr>
            <w:tcW w:w="2485" w:type="pct"/>
          </w:tcPr>
          <w:p w:rsidR="00965772" w:rsidRPr="00965772" w:rsidRDefault="00965772" w:rsidP="00BB3B71">
            <w:pPr>
              <w:numPr>
                <w:ilvl w:val="0"/>
                <w:numId w:val="64"/>
              </w:numPr>
              <w:spacing w:before="0" w:after="0"/>
              <w:contextualSpacing/>
              <w:rPr>
                <w:rFonts w:cs="Arial"/>
                <w:sz w:val="20"/>
              </w:rPr>
            </w:pPr>
            <w:r w:rsidRPr="00965772">
              <w:rPr>
                <w:rFonts w:cs="Arial"/>
                <w:sz w:val="20"/>
              </w:rPr>
              <w:t xml:space="preserve">None at this stage for </w:t>
            </w:r>
            <w:r w:rsidR="00BB3B71">
              <w:rPr>
                <w:rFonts w:cs="Arial"/>
                <w:sz w:val="20"/>
              </w:rPr>
              <w:t>TAS</w:t>
            </w:r>
            <w:r w:rsidRPr="00965772">
              <w:rPr>
                <w:rFonts w:cs="Arial"/>
                <w:sz w:val="20"/>
              </w:rPr>
              <w:t>.</w:t>
            </w:r>
          </w:p>
        </w:tc>
      </w:tr>
      <w:tr w:rsidR="00965772" w:rsidRPr="00965772" w:rsidTr="00932B16">
        <w:tc>
          <w:tcPr>
            <w:tcW w:w="251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Northern Territory point of view</w:t>
            </w:r>
          </w:p>
        </w:tc>
        <w:tc>
          <w:tcPr>
            <w:tcW w:w="2485" w:type="pct"/>
            <w:shd w:val="clear" w:color="auto" w:fill="14276A"/>
          </w:tcPr>
          <w:p w:rsidR="00965772" w:rsidRPr="00965772" w:rsidRDefault="00965772" w:rsidP="00965772">
            <w:pPr>
              <w:spacing w:before="0" w:after="0"/>
              <w:rPr>
                <w:rFonts w:cs="Arial"/>
                <w:b/>
                <w:color w:val="FFFFFF" w:themeColor="background1"/>
                <w:sz w:val="20"/>
              </w:rPr>
            </w:pPr>
            <w:r w:rsidRPr="00965772">
              <w:rPr>
                <w:rFonts w:cs="Arial"/>
                <w:b/>
                <w:color w:val="FFFFFF" w:themeColor="background1"/>
                <w:sz w:val="20"/>
              </w:rPr>
              <w:t>Programs or strategies to address the situation</w:t>
            </w:r>
          </w:p>
        </w:tc>
      </w:tr>
      <w:tr w:rsidR="00965772" w:rsidRPr="00965772" w:rsidTr="00932B16">
        <w:tc>
          <w:tcPr>
            <w:tcW w:w="2515" w:type="pct"/>
          </w:tcPr>
          <w:p w:rsidR="00965772" w:rsidRPr="00965772" w:rsidRDefault="00965772" w:rsidP="00545FAB">
            <w:pPr>
              <w:numPr>
                <w:ilvl w:val="0"/>
                <w:numId w:val="65"/>
              </w:numPr>
              <w:spacing w:before="0" w:after="0"/>
              <w:contextualSpacing/>
              <w:rPr>
                <w:rFonts w:cs="Arial"/>
                <w:sz w:val="20"/>
              </w:rPr>
            </w:pPr>
            <w:r w:rsidRPr="00965772">
              <w:rPr>
                <w:rFonts w:cs="Arial"/>
                <w:sz w:val="20"/>
              </w:rPr>
              <w:t xml:space="preserve">Yes, a major change on the structure of Top End health service: </w:t>
            </w:r>
          </w:p>
          <w:p w:rsidR="00965772" w:rsidRPr="00965772" w:rsidRDefault="00965772" w:rsidP="00965772">
            <w:pPr>
              <w:numPr>
                <w:ilvl w:val="0"/>
                <w:numId w:val="32"/>
              </w:numPr>
              <w:spacing w:before="0" w:after="0"/>
              <w:contextualSpacing/>
              <w:rPr>
                <w:rFonts w:cs="Arial"/>
                <w:sz w:val="20"/>
              </w:rPr>
            </w:pPr>
            <w:r w:rsidRPr="00965772">
              <w:rPr>
                <w:rFonts w:cs="Arial"/>
                <w:sz w:val="20"/>
              </w:rPr>
              <w:t>Re-engage with the non-procedural GP workforce to undertake shared antenatal care</w:t>
            </w:r>
          </w:p>
          <w:p w:rsidR="00965772" w:rsidRPr="00965772" w:rsidRDefault="00965772" w:rsidP="00965772">
            <w:pPr>
              <w:numPr>
                <w:ilvl w:val="0"/>
                <w:numId w:val="32"/>
              </w:numPr>
              <w:spacing w:before="0" w:after="0"/>
              <w:contextualSpacing/>
              <w:rPr>
                <w:rFonts w:cs="Arial"/>
                <w:sz w:val="20"/>
              </w:rPr>
            </w:pPr>
            <w:r w:rsidRPr="00965772">
              <w:rPr>
                <w:rFonts w:cs="Arial"/>
                <w:sz w:val="20"/>
              </w:rPr>
              <w:t xml:space="preserve">train and recruit Procedural GP </w:t>
            </w:r>
            <w:r w:rsidRPr="00965772">
              <w:rPr>
                <w:rFonts w:cs="Arial"/>
                <w:sz w:val="20"/>
              </w:rPr>
              <w:lastRenderedPageBreak/>
              <w:t>obstetricians (DRANZCOG Advanced) to assist in workload</w:t>
            </w:r>
          </w:p>
          <w:p w:rsidR="00965772" w:rsidRPr="00965772" w:rsidRDefault="00965772" w:rsidP="00965772">
            <w:pPr>
              <w:numPr>
                <w:ilvl w:val="0"/>
                <w:numId w:val="32"/>
              </w:numPr>
              <w:spacing w:before="0" w:after="0"/>
              <w:contextualSpacing/>
              <w:rPr>
                <w:rFonts w:cs="Arial"/>
                <w:sz w:val="20"/>
              </w:rPr>
            </w:pPr>
            <w:r w:rsidRPr="00965772">
              <w:rPr>
                <w:rFonts w:cs="Arial"/>
                <w:sz w:val="20"/>
              </w:rPr>
              <w:t>shift some of the workload to the new hospital with a GPO/midwifery model of care</w:t>
            </w:r>
          </w:p>
          <w:p w:rsidR="00965772" w:rsidRPr="00965772" w:rsidRDefault="00965772" w:rsidP="00965772">
            <w:pPr>
              <w:numPr>
                <w:ilvl w:val="0"/>
                <w:numId w:val="32"/>
              </w:numPr>
              <w:spacing w:before="0" w:after="0"/>
              <w:contextualSpacing/>
              <w:rPr>
                <w:rFonts w:cs="Arial"/>
                <w:sz w:val="20"/>
              </w:rPr>
            </w:pPr>
            <w:r w:rsidRPr="00965772">
              <w:rPr>
                <w:rFonts w:cs="Arial"/>
                <w:sz w:val="20"/>
              </w:rPr>
              <w:t>Strengthen the GP obstetric (GPO) service in regional centres and reinstate the GP obstetric service to sustainable levels to decrease referral to the Royal Darwin Hospital.</w:t>
            </w:r>
          </w:p>
        </w:tc>
        <w:tc>
          <w:tcPr>
            <w:tcW w:w="2485" w:type="pct"/>
          </w:tcPr>
          <w:p w:rsidR="00965772" w:rsidRPr="00965772" w:rsidRDefault="00965772" w:rsidP="00965772">
            <w:pPr>
              <w:numPr>
                <w:ilvl w:val="0"/>
                <w:numId w:val="43"/>
              </w:numPr>
              <w:spacing w:before="0" w:after="0"/>
              <w:contextualSpacing/>
              <w:rPr>
                <w:rFonts w:cs="Arial"/>
                <w:sz w:val="20"/>
              </w:rPr>
            </w:pPr>
            <w:r w:rsidRPr="00965772">
              <w:rPr>
                <w:rFonts w:cs="Arial"/>
                <w:sz w:val="20"/>
              </w:rPr>
              <w:lastRenderedPageBreak/>
              <w:t>Ensuring the recruitment of senior management with extensive experience in GPO training and mentorship.</w:t>
            </w:r>
          </w:p>
          <w:p w:rsidR="00965772" w:rsidRPr="00965772" w:rsidRDefault="00965772" w:rsidP="00965772">
            <w:pPr>
              <w:numPr>
                <w:ilvl w:val="0"/>
                <w:numId w:val="43"/>
              </w:numPr>
              <w:spacing w:before="0" w:after="0"/>
              <w:contextualSpacing/>
              <w:rPr>
                <w:rFonts w:cs="Arial"/>
                <w:sz w:val="20"/>
              </w:rPr>
            </w:pPr>
            <w:r w:rsidRPr="00965772">
              <w:rPr>
                <w:rFonts w:cs="Arial"/>
                <w:sz w:val="20"/>
              </w:rPr>
              <w:t>Actively encourage junior medical staff to go onto procedural GP training.</w:t>
            </w:r>
          </w:p>
          <w:p w:rsidR="00965772" w:rsidRPr="00965772" w:rsidRDefault="00965772" w:rsidP="00965772">
            <w:pPr>
              <w:numPr>
                <w:ilvl w:val="0"/>
                <w:numId w:val="43"/>
              </w:numPr>
              <w:spacing w:before="0" w:after="0"/>
              <w:contextualSpacing/>
              <w:rPr>
                <w:rFonts w:cs="Arial"/>
                <w:sz w:val="20"/>
              </w:rPr>
            </w:pPr>
            <w:r w:rsidRPr="00965772">
              <w:rPr>
                <w:rFonts w:cs="Arial"/>
                <w:sz w:val="20"/>
              </w:rPr>
              <w:t xml:space="preserve">Aim to become the hub of GP obstetric </w:t>
            </w:r>
            <w:r w:rsidRPr="00965772">
              <w:rPr>
                <w:rFonts w:cs="Arial"/>
                <w:sz w:val="20"/>
              </w:rPr>
              <w:lastRenderedPageBreak/>
              <w:t>training through provision of Surgical Skills and other procedural GPO focussed workshops, engagement with ACCRM by convening a GPO skills day at conference in 2018.</w:t>
            </w:r>
          </w:p>
        </w:tc>
      </w:tr>
    </w:tbl>
    <w:p w:rsidR="00A545DD" w:rsidRPr="00B76C31" w:rsidRDefault="00A545DD" w:rsidP="00B76C31">
      <w:pPr>
        <w:sectPr w:rsidR="00A545DD" w:rsidRPr="00B76C31" w:rsidSect="00561EB0">
          <w:pgSz w:w="11906" w:h="16838"/>
          <w:pgMar w:top="1440" w:right="1440" w:bottom="1440" w:left="1440" w:header="709" w:footer="709" w:gutter="0"/>
          <w:cols w:space="708"/>
          <w:titlePg/>
          <w:docGrid w:linePitch="360"/>
        </w:sectPr>
      </w:pPr>
    </w:p>
    <w:p w:rsidR="00061FCE" w:rsidRDefault="00741345" w:rsidP="00426E94">
      <w:pPr>
        <w:pStyle w:val="Heading1"/>
      </w:pPr>
      <w:bookmarkStart w:id="159" w:name="_Toc521510471"/>
      <w:r w:rsidRPr="00161308">
        <w:lastRenderedPageBreak/>
        <w:t>Appendices</w:t>
      </w:r>
      <w:bookmarkEnd w:id="159"/>
    </w:p>
    <w:p w:rsidR="00A20964" w:rsidRPr="00577982" w:rsidRDefault="00A20964" w:rsidP="00A20964">
      <w:pPr>
        <w:pStyle w:val="Heading2"/>
        <w:spacing w:before="0"/>
        <w:rPr>
          <w:rFonts w:cs="Times New Roman"/>
        </w:rPr>
      </w:pPr>
      <w:bookmarkStart w:id="160" w:name="_Toc521510472"/>
      <w:r w:rsidRPr="00577982">
        <w:rPr>
          <w:rFonts w:cs="Times New Roman"/>
        </w:rPr>
        <w:t>Appendix 1: Summary of modelling inputs</w:t>
      </w:r>
      <w:bookmarkEnd w:id="160"/>
    </w:p>
    <w:p w:rsidR="00A20964" w:rsidRDefault="00A20964" w:rsidP="00A20964">
      <w:pPr>
        <w:pStyle w:val="Heading3"/>
      </w:pPr>
      <w:bookmarkStart w:id="161" w:name="_Toc424637711"/>
      <w:r w:rsidRPr="006A395F">
        <w:t>Updating supply and demand</w:t>
      </w:r>
      <w:bookmarkEnd w:id="161"/>
    </w:p>
    <w:p w:rsidR="00A20964" w:rsidRDefault="00A20964" w:rsidP="00A20964">
      <w:r w:rsidRPr="00F54835">
        <w:t xml:space="preserve">The supply side of the planning equation is determined using the characteristics of the known current workforce and projecting this forward with known and projected trainee inflows and exit trends from the workforce. The demand side uses historical service utilisation patterns and projects these forward based on population growth. It also relies on other factors that have shown to influence the utilisation patterns i.e. funding of specific programs that have either increased or decreased usage of services or seasonal patterns. </w:t>
      </w:r>
    </w:p>
    <w:p w:rsidR="00A20964" w:rsidRDefault="00A20964" w:rsidP="00A20964">
      <w:pPr>
        <w:pStyle w:val="Heading3"/>
      </w:pPr>
      <w:bookmarkStart w:id="162" w:name="_Toc424637712"/>
      <w:r w:rsidRPr="006A395F">
        <w:t xml:space="preserve">Descriptive characteristics of the </w:t>
      </w:r>
      <w:r>
        <w:t>O&amp;G</w:t>
      </w:r>
      <w:r w:rsidRPr="006A395F">
        <w:t xml:space="preserve"> workforce</w:t>
      </w:r>
      <w:bookmarkEnd w:id="162"/>
    </w:p>
    <w:p w:rsidR="00A20964" w:rsidRPr="00A92FD3" w:rsidRDefault="00A20964" w:rsidP="00A20964">
      <w:r w:rsidRPr="00A92FD3">
        <w:t xml:space="preserve">The demographic characteristics of the current </w:t>
      </w:r>
      <w:r>
        <w:t>O&amp;G</w:t>
      </w:r>
      <w:r w:rsidRPr="0040431A">
        <w:t xml:space="preserve"> </w:t>
      </w:r>
      <w:r w:rsidRPr="00A92FD3">
        <w:t xml:space="preserve">workforce are outlined as well describing the trainees and those intending to train. It is an important component in understanding the current supply and what is likely to be required into the future.  </w:t>
      </w:r>
    </w:p>
    <w:p w:rsidR="00A20964" w:rsidRDefault="00A20964" w:rsidP="00A20964">
      <w:pPr>
        <w:pStyle w:val="Heading3"/>
      </w:pPr>
      <w:bookmarkStart w:id="163" w:name="_Toc424637713"/>
      <w:r w:rsidRPr="006A395F">
        <w:t>Capacity</w:t>
      </w:r>
      <w:bookmarkEnd w:id="163"/>
    </w:p>
    <w:p w:rsidR="00A20964" w:rsidRDefault="00A20964" w:rsidP="00A20964">
      <w:r w:rsidRPr="00F54835">
        <w:t>The rapid growth in domestic medical graduates will continue to place pressure on medical training capacity. A significant amount of work has occurred to expand clinical training capacity across professional entry, intern and vocational training levels and additional work is underway to explore internships, however more needs to be done. While there have been recent expansions in medical training in alternate settings, medical training has traditionally been highly concentrated in public hospitals and in particular acute wards. It is important as medical training requirements continue to grow that capacity to expand medical training is considered.</w:t>
      </w:r>
    </w:p>
    <w:p w:rsidR="00A20964" w:rsidRDefault="00A20964" w:rsidP="00A20964">
      <w:pPr>
        <w:pStyle w:val="Heading3"/>
      </w:pPr>
      <w:bookmarkStart w:id="164" w:name="_Toc424637714"/>
      <w:r w:rsidRPr="006A395F">
        <w:t>Distr</w:t>
      </w:r>
      <w:r w:rsidRPr="00855F6B">
        <w:t>i</w:t>
      </w:r>
      <w:r w:rsidRPr="006A395F">
        <w:t>bution</w:t>
      </w:r>
      <w:bookmarkEnd w:id="164"/>
    </w:p>
    <w:p w:rsidR="00A20964" w:rsidRPr="00A92FD3" w:rsidRDefault="00A20964" w:rsidP="00A20964">
      <w:r w:rsidRPr="00A92FD3">
        <w:t>The growth in domestically trained medical graduates also presents an opportunity to distribute domestically trained doctors more effectively both geographically and into the traditionally less popular specialties. It has been argued that changing the distribution of medical training might contribute to an improvement in the distribution of the medical workforce. Based on evidence collected by Australian Rural Clinical Schools, it is proposed that if in the course of their training doctors could spend more time in rural locations or in primary care settings, they may be more likely to stay and practice in those settings.</w:t>
      </w:r>
    </w:p>
    <w:p w:rsidR="00A20964" w:rsidRDefault="00A20964" w:rsidP="00A20964">
      <w:pPr>
        <w:pStyle w:val="Heading3"/>
      </w:pPr>
      <w:r w:rsidRPr="006A395F">
        <w:t xml:space="preserve">Modelling inputs </w:t>
      </w:r>
    </w:p>
    <w:p w:rsidR="00A20964" w:rsidRDefault="00A20964" w:rsidP="00A20964">
      <w:r w:rsidRPr="00F54835">
        <w:t xml:space="preserve">The following information details the inputs that will be used in undertaking the modelling for the </w:t>
      </w:r>
      <w:r>
        <w:t>O&amp;G</w:t>
      </w:r>
      <w:r>
        <w:rPr>
          <w:szCs w:val="22"/>
        </w:rPr>
        <w:t xml:space="preserve"> </w:t>
      </w:r>
      <w:r w:rsidRPr="00F54835">
        <w:t xml:space="preserve">workforce. The </w:t>
      </w:r>
      <w:r>
        <w:t>O&amp;G</w:t>
      </w:r>
      <w:r>
        <w:rPr>
          <w:szCs w:val="22"/>
        </w:rPr>
        <w:t xml:space="preserve"> </w:t>
      </w:r>
      <w:r w:rsidRPr="00F54835">
        <w:t xml:space="preserve">workforce is defined by those medical practitioners that have an accreditation in </w:t>
      </w:r>
      <w:r>
        <w:t>O&amp;G</w:t>
      </w:r>
      <w:r w:rsidRPr="0040431A">
        <w:t xml:space="preserve"> </w:t>
      </w:r>
      <w:r w:rsidRPr="00F54835">
        <w:t xml:space="preserve">and have identified </w:t>
      </w:r>
      <w:r>
        <w:t>O&amp;G</w:t>
      </w:r>
      <w:r>
        <w:rPr>
          <w:szCs w:val="22"/>
        </w:rPr>
        <w:t xml:space="preserve"> </w:t>
      </w:r>
      <w:r w:rsidRPr="00F54835">
        <w:t xml:space="preserve">as </w:t>
      </w:r>
      <w:r>
        <w:t>one of their main specialties of practice</w:t>
      </w:r>
      <w:r w:rsidRPr="00F54835">
        <w:t xml:space="preserve"> by age, gender and average hours worked, along with the number of new fellows and the number of active trainees by year of training.</w:t>
      </w:r>
    </w:p>
    <w:p w:rsidR="00A20964" w:rsidRDefault="00A20964" w:rsidP="00A20964">
      <w:r w:rsidRPr="00F54835">
        <w:t>The following parameters were specified as inputs for the projection modelling:</w:t>
      </w:r>
    </w:p>
    <w:p w:rsidR="00A20964" w:rsidRDefault="00A20964" w:rsidP="00A20964">
      <w:pPr>
        <w:pStyle w:val="Heading4"/>
      </w:pPr>
      <w:r w:rsidRPr="006A395F">
        <w:t>Flows in</w:t>
      </w:r>
    </w:p>
    <w:p w:rsidR="00A20964" w:rsidRPr="00161308" w:rsidRDefault="00A20964" w:rsidP="00D17D24">
      <w:pPr>
        <w:numPr>
          <w:ilvl w:val="0"/>
          <w:numId w:val="16"/>
        </w:numPr>
        <w:rPr>
          <w:szCs w:val="20"/>
        </w:rPr>
      </w:pPr>
      <w:r w:rsidRPr="00161308">
        <w:rPr>
          <w:szCs w:val="20"/>
        </w:rPr>
        <w:t>Workforce stock</w:t>
      </w:r>
    </w:p>
    <w:p w:rsidR="00A20964" w:rsidRPr="00161308" w:rsidRDefault="00A20964" w:rsidP="00D17D24">
      <w:pPr>
        <w:numPr>
          <w:ilvl w:val="0"/>
          <w:numId w:val="16"/>
        </w:numPr>
        <w:rPr>
          <w:szCs w:val="20"/>
        </w:rPr>
      </w:pPr>
      <w:r w:rsidRPr="00161308">
        <w:rPr>
          <w:szCs w:val="20"/>
        </w:rPr>
        <w:t>Domestic new fellows</w:t>
      </w:r>
    </w:p>
    <w:p w:rsidR="00A20964" w:rsidRPr="00161308" w:rsidRDefault="00A20964" w:rsidP="00D17D24">
      <w:pPr>
        <w:numPr>
          <w:ilvl w:val="0"/>
          <w:numId w:val="16"/>
        </w:numPr>
        <w:rPr>
          <w:szCs w:val="20"/>
        </w:rPr>
      </w:pPr>
      <w:r w:rsidRPr="00161308">
        <w:rPr>
          <w:szCs w:val="20"/>
        </w:rPr>
        <w:t>International new fellows</w:t>
      </w:r>
    </w:p>
    <w:p w:rsidR="00A20964" w:rsidRPr="00161308" w:rsidRDefault="00A20964" w:rsidP="00D17D24">
      <w:pPr>
        <w:numPr>
          <w:ilvl w:val="0"/>
          <w:numId w:val="16"/>
        </w:numPr>
        <w:rPr>
          <w:szCs w:val="20"/>
        </w:rPr>
      </w:pPr>
      <w:r w:rsidRPr="00161308">
        <w:rPr>
          <w:szCs w:val="20"/>
        </w:rPr>
        <w:lastRenderedPageBreak/>
        <w:t>Temporary migration (held at a constant total level)</w:t>
      </w:r>
    </w:p>
    <w:p w:rsidR="00A20964" w:rsidRPr="001E37E7" w:rsidRDefault="00A20964" w:rsidP="00D17D24">
      <w:pPr>
        <w:numPr>
          <w:ilvl w:val="0"/>
          <w:numId w:val="16"/>
        </w:numPr>
        <w:rPr>
          <w:szCs w:val="20"/>
        </w:rPr>
      </w:pPr>
      <w:r w:rsidRPr="00161308">
        <w:rPr>
          <w:szCs w:val="20"/>
        </w:rPr>
        <w:t>Skilled migration (exemptions</w:t>
      </w:r>
      <w:r w:rsidRPr="001E37E7">
        <w:rPr>
          <w:szCs w:val="20"/>
        </w:rPr>
        <w:t>)</w:t>
      </w:r>
    </w:p>
    <w:p w:rsidR="00A20964" w:rsidRPr="0049607D" w:rsidRDefault="00A20964" w:rsidP="00A20964">
      <w:pPr>
        <w:pStyle w:val="Heading4"/>
      </w:pPr>
      <w:r w:rsidRPr="0049607D">
        <w:t>Flows out</w:t>
      </w:r>
    </w:p>
    <w:p w:rsidR="00A20964" w:rsidRPr="00B849FF" w:rsidRDefault="00A20964" w:rsidP="00D17D24">
      <w:pPr>
        <w:pStyle w:val="ListParagraph"/>
        <w:numPr>
          <w:ilvl w:val="0"/>
          <w:numId w:val="17"/>
        </w:numPr>
        <w:rPr>
          <w:szCs w:val="22"/>
        </w:rPr>
      </w:pPr>
      <w:r w:rsidRPr="00B849FF">
        <w:rPr>
          <w:szCs w:val="22"/>
        </w:rPr>
        <w:t>Exits from the workforce include all permanent and temporary flows out of the workforce.</w:t>
      </w:r>
    </w:p>
    <w:p w:rsidR="00A20964" w:rsidRDefault="00A20964" w:rsidP="00A20964">
      <w:pPr>
        <w:pStyle w:val="Heading3"/>
      </w:pPr>
      <w:r w:rsidRPr="006A395F">
        <w:t>Supply assumptions</w:t>
      </w:r>
    </w:p>
    <w:p w:rsidR="00BB3B71" w:rsidRPr="00BB3B71" w:rsidRDefault="00A20964" w:rsidP="00BB3B71">
      <w:pPr>
        <w:pStyle w:val="ListParagraph"/>
        <w:numPr>
          <w:ilvl w:val="0"/>
          <w:numId w:val="18"/>
        </w:numPr>
        <w:rPr>
          <w:szCs w:val="22"/>
        </w:rPr>
      </w:pPr>
      <w:r w:rsidRPr="00B849FF">
        <w:rPr>
          <w:szCs w:val="22"/>
        </w:rPr>
        <w:t xml:space="preserve">Medical practitioners who are registered </w:t>
      </w:r>
      <w:r>
        <w:t>O&amp;G</w:t>
      </w:r>
      <w:r w:rsidRPr="0040431A">
        <w:t xml:space="preserve"> </w:t>
      </w:r>
      <w:r w:rsidRPr="00B849FF">
        <w:rPr>
          <w:szCs w:val="22"/>
        </w:rPr>
        <w:t>specialists or subspecialist through Australian Health Practitioner Regulation Agency (AHPRA) have been identified through the use of the National Health Workforce Data Set (NHWDS), which includes registrants and the workforce survey.</w:t>
      </w:r>
    </w:p>
    <w:p w:rsidR="00A20964" w:rsidRPr="00B849FF" w:rsidRDefault="00A20964" w:rsidP="00D17D24">
      <w:pPr>
        <w:pStyle w:val="ListParagraph"/>
        <w:numPr>
          <w:ilvl w:val="0"/>
          <w:numId w:val="18"/>
        </w:numPr>
        <w:rPr>
          <w:szCs w:val="22"/>
        </w:rPr>
      </w:pPr>
      <w:r w:rsidRPr="00B849FF">
        <w:rPr>
          <w:szCs w:val="22"/>
        </w:rPr>
        <w:t xml:space="preserve">The </w:t>
      </w:r>
      <w:r>
        <w:t>O&amp;G</w:t>
      </w:r>
      <w:r w:rsidRPr="0040431A">
        <w:t xml:space="preserve"> </w:t>
      </w:r>
      <w:r w:rsidRPr="00B849FF">
        <w:rPr>
          <w:szCs w:val="22"/>
        </w:rPr>
        <w:t>workforce is defined as those that:</w:t>
      </w:r>
    </w:p>
    <w:p w:rsidR="00A20964" w:rsidRPr="00240EF4" w:rsidRDefault="00A20964" w:rsidP="00D17D24">
      <w:pPr>
        <w:numPr>
          <w:ilvl w:val="0"/>
          <w:numId w:val="19"/>
        </w:numPr>
        <w:rPr>
          <w:szCs w:val="22"/>
        </w:rPr>
      </w:pPr>
      <w:r w:rsidRPr="00240EF4">
        <w:rPr>
          <w:szCs w:val="22"/>
        </w:rPr>
        <w:t>Are employed (excluding those on leave for more than three months)</w:t>
      </w:r>
    </w:p>
    <w:p w:rsidR="00A20964" w:rsidRPr="00240EF4" w:rsidRDefault="00A20964" w:rsidP="00D17D24">
      <w:pPr>
        <w:numPr>
          <w:ilvl w:val="0"/>
          <w:numId w:val="19"/>
        </w:numPr>
        <w:rPr>
          <w:szCs w:val="22"/>
        </w:rPr>
      </w:pPr>
      <w:r w:rsidRPr="00240EF4">
        <w:rPr>
          <w:szCs w:val="22"/>
        </w:rPr>
        <w:t>Have clinician status</w:t>
      </w:r>
    </w:p>
    <w:p w:rsidR="00A20964" w:rsidRPr="00240EF4" w:rsidRDefault="00A20964" w:rsidP="00D17D24">
      <w:pPr>
        <w:numPr>
          <w:ilvl w:val="0"/>
          <w:numId w:val="19"/>
        </w:numPr>
        <w:rPr>
          <w:szCs w:val="22"/>
        </w:rPr>
      </w:pPr>
      <w:r w:rsidRPr="00240EF4">
        <w:rPr>
          <w:szCs w:val="22"/>
        </w:rPr>
        <w:t xml:space="preserve">Have specialist accreditation in </w:t>
      </w:r>
      <w:r>
        <w:rPr>
          <w:szCs w:val="22"/>
        </w:rPr>
        <w:t>O&amp;G</w:t>
      </w:r>
    </w:p>
    <w:p w:rsidR="00A20964" w:rsidRPr="00240EF4" w:rsidRDefault="00A20964" w:rsidP="00D17D24">
      <w:pPr>
        <w:numPr>
          <w:ilvl w:val="0"/>
          <w:numId w:val="19"/>
        </w:numPr>
        <w:rPr>
          <w:szCs w:val="22"/>
        </w:rPr>
      </w:pPr>
      <w:r w:rsidRPr="00240EF4">
        <w:rPr>
          <w:szCs w:val="22"/>
        </w:rPr>
        <w:t xml:space="preserve">Work the most or second most hours in the specialty field of </w:t>
      </w:r>
      <w:r>
        <w:rPr>
          <w:szCs w:val="22"/>
        </w:rPr>
        <w:t>O&amp;G.</w:t>
      </w:r>
    </w:p>
    <w:p w:rsidR="00A20964" w:rsidRPr="00240EF4" w:rsidRDefault="00A20964" w:rsidP="00D17D24">
      <w:pPr>
        <w:numPr>
          <w:ilvl w:val="0"/>
          <w:numId w:val="20"/>
        </w:numPr>
        <w:rPr>
          <w:szCs w:val="22"/>
        </w:rPr>
      </w:pPr>
      <w:r w:rsidRPr="00240EF4">
        <w:rPr>
          <w:szCs w:val="22"/>
        </w:rPr>
        <w:t xml:space="preserve">Inputs to the </w:t>
      </w:r>
      <w:r>
        <w:t>O&amp;G</w:t>
      </w:r>
      <w:r w:rsidRPr="0040431A">
        <w:t xml:space="preserve"> </w:t>
      </w:r>
      <w:r w:rsidRPr="00240EF4">
        <w:rPr>
          <w:szCs w:val="22"/>
        </w:rPr>
        <w:t>workforce are based on 201</w:t>
      </w:r>
      <w:r>
        <w:rPr>
          <w:szCs w:val="22"/>
        </w:rPr>
        <w:t>6</w:t>
      </w:r>
      <w:r w:rsidRPr="00240EF4">
        <w:rPr>
          <w:szCs w:val="22"/>
        </w:rPr>
        <w:t xml:space="preserve"> data and additional data from the </w:t>
      </w:r>
      <w:r>
        <w:rPr>
          <w:szCs w:val="22"/>
        </w:rPr>
        <w:t>RANZCOG</w:t>
      </w:r>
      <w:r w:rsidRPr="00240EF4">
        <w:rPr>
          <w:szCs w:val="22"/>
        </w:rPr>
        <w:t xml:space="preserve"> as required. </w:t>
      </w:r>
    </w:p>
    <w:p w:rsidR="00A20964" w:rsidRPr="00240EF4" w:rsidRDefault="00A20964" w:rsidP="00D17D24">
      <w:pPr>
        <w:numPr>
          <w:ilvl w:val="0"/>
          <w:numId w:val="20"/>
        </w:numPr>
        <w:rPr>
          <w:szCs w:val="22"/>
        </w:rPr>
      </w:pPr>
      <w:r w:rsidRPr="00240EF4">
        <w:rPr>
          <w:szCs w:val="22"/>
        </w:rPr>
        <w:t xml:space="preserve">The trainees that have been identified through the </w:t>
      </w:r>
      <w:r>
        <w:rPr>
          <w:szCs w:val="22"/>
        </w:rPr>
        <w:t>workforce survey</w:t>
      </w:r>
      <w:r w:rsidRPr="00240EF4">
        <w:rPr>
          <w:szCs w:val="22"/>
        </w:rPr>
        <w:t xml:space="preserve"> have been defined through the following methodology, that assumes that they:</w:t>
      </w:r>
    </w:p>
    <w:p w:rsidR="00A20964" w:rsidRPr="00240EF4" w:rsidRDefault="00A20964" w:rsidP="00D17D24">
      <w:pPr>
        <w:numPr>
          <w:ilvl w:val="0"/>
          <w:numId w:val="21"/>
        </w:numPr>
        <w:rPr>
          <w:szCs w:val="22"/>
        </w:rPr>
      </w:pPr>
      <w:r w:rsidRPr="00240EF4">
        <w:rPr>
          <w:szCs w:val="22"/>
        </w:rPr>
        <w:t>Are employed (excluding those on leave for more than three months)</w:t>
      </w:r>
    </w:p>
    <w:p w:rsidR="00A20964" w:rsidRPr="00240EF4" w:rsidRDefault="00A20964" w:rsidP="00D17D24">
      <w:pPr>
        <w:numPr>
          <w:ilvl w:val="0"/>
          <w:numId w:val="21"/>
        </w:numPr>
        <w:rPr>
          <w:szCs w:val="22"/>
        </w:rPr>
      </w:pPr>
      <w:r w:rsidRPr="00240EF4">
        <w:rPr>
          <w:szCs w:val="22"/>
        </w:rPr>
        <w:t xml:space="preserve">Currently undertaking specialist training in </w:t>
      </w:r>
      <w:r>
        <w:rPr>
          <w:szCs w:val="22"/>
        </w:rPr>
        <w:t xml:space="preserve">O&amp;G </w:t>
      </w:r>
      <w:r w:rsidRPr="00240EF4">
        <w:rPr>
          <w:szCs w:val="22"/>
        </w:rPr>
        <w:t>as their first field of training (excluding the second specialty field)</w:t>
      </w:r>
    </w:p>
    <w:p w:rsidR="00A20964" w:rsidRPr="00240EF4" w:rsidRDefault="00A20964" w:rsidP="00D17D24">
      <w:pPr>
        <w:numPr>
          <w:ilvl w:val="0"/>
          <w:numId w:val="21"/>
        </w:numPr>
        <w:rPr>
          <w:szCs w:val="22"/>
        </w:rPr>
      </w:pPr>
      <w:r w:rsidRPr="00240EF4">
        <w:rPr>
          <w:szCs w:val="22"/>
        </w:rPr>
        <w:t xml:space="preserve">Include those who have transitioned from trainee to holding a specialist accreditation in </w:t>
      </w:r>
      <w:r>
        <w:rPr>
          <w:szCs w:val="22"/>
        </w:rPr>
        <w:t xml:space="preserve">O&amp;G </w:t>
      </w:r>
      <w:r w:rsidRPr="00240EF4">
        <w:rPr>
          <w:szCs w:val="22"/>
        </w:rPr>
        <w:t xml:space="preserve">due to timing issues of registration and </w:t>
      </w:r>
      <w:r>
        <w:rPr>
          <w:szCs w:val="22"/>
        </w:rPr>
        <w:t>workforce survey</w:t>
      </w:r>
      <w:r w:rsidRPr="00240EF4">
        <w:rPr>
          <w:szCs w:val="22"/>
        </w:rPr>
        <w:t>.</w:t>
      </w:r>
    </w:p>
    <w:p w:rsidR="00A20964" w:rsidRPr="00240EF4" w:rsidRDefault="00A20964" w:rsidP="00D17D24">
      <w:pPr>
        <w:numPr>
          <w:ilvl w:val="0"/>
          <w:numId w:val="21"/>
        </w:numPr>
        <w:rPr>
          <w:szCs w:val="22"/>
        </w:rPr>
      </w:pPr>
      <w:r w:rsidRPr="00240EF4">
        <w:rPr>
          <w:szCs w:val="22"/>
        </w:rPr>
        <w:t>Includes those who were originally classified as intentions and trainees</w:t>
      </w:r>
      <w:r>
        <w:rPr>
          <w:szCs w:val="22"/>
        </w:rPr>
        <w:t xml:space="preserve"> </w:t>
      </w:r>
      <w:r w:rsidRPr="00240EF4">
        <w:rPr>
          <w:szCs w:val="22"/>
        </w:rPr>
        <w:t xml:space="preserve">(due to AIHW imputation), these </w:t>
      </w:r>
      <w:r>
        <w:rPr>
          <w:szCs w:val="22"/>
        </w:rPr>
        <w:t>have been classified</w:t>
      </w:r>
      <w:r w:rsidRPr="00240EF4">
        <w:rPr>
          <w:szCs w:val="22"/>
        </w:rPr>
        <w:t xml:space="preserve"> to be trainees only </w:t>
      </w:r>
    </w:p>
    <w:p w:rsidR="00A20964" w:rsidRPr="00240EF4" w:rsidRDefault="00A20964" w:rsidP="00D17D24">
      <w:pPr>
        <w:numPr>
          <w:ilvl w:val="0"/>
          <w:numId w:val="21"/>
        </w:numPr>
        <w:rPr>
          <w:szCs w:val="22"/>
        </w:rPr>
      </w:pPr>
      <w:r w:rsidRPr="00240EF4">
        <w:rPr>
          <w:szCs w:val="22"/>
        </w:rPr>
        <w:t>Includes those who were originally classified as trainee and specialist clinicians, if:</w:t>
      </w:r>
    </w:p>
    <w:p w:rsidR="00A20964" w:rsidRPr="00240EF4" w:rsidRDefault="00A20964" w:rsidP="00D17D24">
      <w:pPr>
        <w:numPr>
          <w:ilvl w:val="1"/>
          <w:numId w:val="14"/>
        </w:numPr>
        <w:rPr>
          <w:szCs w:val="22"/>
        </w:rPr>
      </w:pPr>
      <w:r w:rsidRPr="00240EF4">
        <w:rPr>
          <w:szCs w:val="22"/>
        </w:rPr>
        <w:t>They don’t have specialist accreditation, or</w:t>
      </w:r>
    </w:p>
    <w:p w:rsidR="00A20964" w:rsidRPr="00240EF4" w:rsidRDefault="00A20964" w:rsidP="00D17D24">
      <w:pPr>
        <w:numPr>
          <w:ilvl w:val="1"/>
          <w:numId w:val="14"/>
        </w:numPr>
        <w:rPr>
          <w:szCs w:val="22"/>
        </w:rPr>
      </w:pPr>
      <w:r w:rsidRPr="00240EF4">
        <w:rPr>
          <w:szCs w:val="22"/>
        </w:rPr>
        <w:t xml:space="preserve">If they do have specialist accreditation, </w:t>
      </w:r>
      <w:r>
        <w:rPr>
          <w:szCs w:val="22"/>
        </w:rPr>
        <w:t>but</w:t>
      </w:r>
      <w:r w:rsidRPr="00240EF4">
        <w:rPr>
          <w:szCs w:val="22"/>
        </w:rPr>
        <w:t xml:space="preserve"> the principal area of their main job in medicine was not specialist</w:t>
      </w:r>
    </w:p>
    <w:p w:rsidR="00A20964" w:rsidRPr="00B849FF" w:rsidRDefault="00A20964" w:rsidP="00D17D24">
      <w:pPr>
        <w:numPr>
          <w:ilvl w:val="0"/>
          <w:numId w:val="22"/>
        </w:numPr>
        <w:rPr>
          <w:szCs w:val="22"/>
        </w:rPr>
      </w:pPr>
      <w:r w:rsidRPr="00B849FF">
        <w:rPr>
          <w:szCs w:val="22"/>
        </w:rPr>
        <w:t xml:space="preserve">SIMG enter into the model through either the temporary or permanent migration streams. The inflow of O&amp;G specialists via migration is obtained from </w:t>
      </w:r>
      <w:r w:rsidR="0020322F">
        <w:t>Department of Home Affairs</w:t>
      </w:r>
      <w:r w:rsidRPr="00B849FF">
        <w:rPr>
          <w:szCs w:val="22"/>
        </w:rPr>
        <w:t xml:space="preserve"> and reconciled with the RANZCOG data.</w:t>
      </w:r>
    </w:p>
    <w:p w:rsidR="00A20964" w:rsidRPr="00240EF4" w:rsidRDefault="00A20964" w:rsidP="00D17D24">
      <w:pPr>
        <w:numPr>
          <w:ilvl w:val="0"/>
          <w:numId w:val="22"/>
        </w:numPr>
        <w:rPr>
          <w:szCs w:val="22"/>
        </w:rPr>
      </w:pPr>
      <w:r w:rsidRPr="00240EF4">
        <w:rPr>
          <w:szCs w:val="22"/>
        </w:rPr>
        <w:t xml:space="preserve">Hours worked are calculated and applied separately for each age/gender cohort for </w:t>
      </w:r>
      <w:r>
        <w:rPr>
          <w:szCs w:val="22"/>
        </w:rPr>
        <w:t>O&amp;G specialists</w:t>
      </w:r>
      <w:r w:rsidRPr="00240EF4">
        <w:rPr>
          <w:szCs w:val="22"/>
        </w:rPr>
        <w:t xml:space="preserve">. The data from which hours worked is calculated is taken from the hours reported by </w:t>
      </w:r>
      <w:r>
        <w:rPr>
          <w:szCs w:val="22"/>
        </w:rPr>
        <w:t>O&amp;G specialists</w:t>
      </w:r>
      <w:r w:rsidRPr="00240EF4">
        <w:rPr>
          <w:szCs w:val="22"/>
        </w:rPr>
        <w:t xml:space="preserve"> on the relevant </w:t>
      </w:r>
      <w:r>
        <w:rPr>
          <w:szCs w:val="22"/>
        </w:rPr>
        <w:t>workforce survey</w:t>
      </w:r>
      <w:r w:rsidRPr="00240EF4">
        <w:rPr>
          <w:szCs w:val="22"/>
        </w:rPr>
        <w:t xml:space="preserve"> items for 201</w:t>
      </w:r>
      <w:r>
        <w:rPr>
          <w:szCs w:val="22"/>
        </w:rPr>
        <w:t>6</w:t>
      </w:r>
      <w:r w:rsidRPr="00240EF4">
        <w:rPr>
          <w:szCs w:val="22"/>
        </w:rPr>
        <w:t>.</w:t>
      </w:r>
    </w:p>
    <w:p w:rsidR="00A20964" w:rsidRPr="00240EF4" w:rsidRDefault="00A20964" w:rsidP="00D17D24">
      <w:pPr>
        <w:numPr>
          <w:ilvl w:val="0"/>
          <w:numId w:val="22"/>
        </w:numPr>
        <w:rPr>
          <w:szCs w:val="22"/>
        </w:rPr>
      </w:pPr>
      <w:r w:rsidRPr="00240EF4">
        <w:rPr>
          <w:szCs w:val="22"/>
        </w:rPr>
        <w:t xml:space="preserve">Exit rates are calculated on a unique basis for </w:t>
      </w:r>
      <w:r>
        <w:rPr>
          <w:szCs w:val="22"/>
        </w:rPr>
        <w:t xml:space="preserve">O&amp;G specialists </w:t>
      </w:r>
      <w:r w:rsidRPr="00240EF4">
        <w:rPr>
          <w:szCs w:val="22"/>
        </w:rPr>
        <w:t xml:space="preserve">for each five year age/gender cohort. </w:t>
      </w:r>
    </w:p>
    <w:p w:rsidR="00A20964" w:rsidRPr="00240EF4" w:rsidRDefault="00A20964" w:rsidP="00D17D24">
      <w:pPr>
        <w:numPr>
          <w:ilvl w:val="0"/>
          <w:numId w:val="22"/>
        </w:numPr>
        <w:rPr>
          <w:szCs w:val="22"/>
        </w:rPr>
      </w:pPr>
      <w:r w:rsidRPr="00240EF4">
        <w:rPr>
          <w:szCs w:val="22"/>
        </w:rPr>
        <w:t>Exit rates are calculated by carrying forward the current distribution of ages of the workforce and assuming the same distribution in the future. The rates are based on observed retirements over recent years, not on retirement intentions.</w:t>
      </w:r>
    </w:p>
    <w:p w:rsidR="00A20964" w:rsidRPr="00240EF4" w:rsidRDefault="00A20964" w:rsidP="00D17D24">
      <w:pPr>
        <w:numPr>
          <w:ilvl w:val="0"/>
          <w:numId w:val="22"/>
        </w:numPr>
        <w:rPr>
          <w:szCs w:val="22"/>
        </w:rPr>
      </w:pPr>
      <w:r w:rsidRPr="00240EF4">
        <w:rPr>
          <w:szCs w:val="22"/>
        </w:rPr>
        <w:lastRenderedPageBreak/>
        <w:t xml:space="preserve">Exit rates are a composite measure including all forms of removal from the workforce, permanent or temporary. </w:t>
      </w:r>
    </w:p>
    <w:p w:rsidR="00A20964" w:rsidRPr="00240EF4" w:rsidRDefault="00A20964" w:rsidP="00D17D24">
      <w:pPr>
        <w:numPr>
          <w:ilvl w:val="0"/>
          <w:numId w:val="22"/>
        </w:numPr>
        <w:rPr>
          <w:szCs w:val="22"/>
        </w:rPr>
      </w:pPr>
      <w:r w:rsidRPr="00240EF4">
        <w:rPr>
          <w:szCs w:val="22"/>
        </w:rPr>
        <w:t xml:space="preserve">All </w:t>
      </w:r>
      <w:r>
        <w:rPr>
          <w:szCs w:val="22"/>
        </w:rPr>
        <w:t>O&amp;G specialists</w:t>
      </w:r>
      <w:r w:rsidRPr="00240EF4">
        <w:rPr>
          <w:szCs w:val="22"/>
        </w:rPr>
        <w:t xml:space="preserve"> are assumed to remain in the workforce, even in situations of oversupply. That is, exit rates are not adjusted to take account of possible movements away from a profession in an oversupply situation.</w:t>
      </w:r>
    </w:p>
    <w:p w:rsidR="00A20964" w:rsidRDefault="00A20964" w:rsidP="00A20964">
      <w:pPr>
        <w:pStyle w:val="Heading3"/>
      </w:pPr>
      <w:r w:rsidRPr="006A395F">
        <w:t>Demand assumptions</w:t>
      </w:r>
    </w:p>
    <w:p w:rsidR="00A20964" w:rsidRPr="00645FCA" w:rsidRDefault="00A20964" w:rsidP="00D17D24">
      <w:pPr>
        <w:pStyle w:val="ListParagraph"/>
        <w:numPr>
          <w:ilvl w:val="0"/>
          <w:numId w:val="15"/>
        </w:numPr>
        <w:contextualSpacing w:val="0"/>
        <w:rPr>
          <w:szCs w:val="22"/>
        </w:rPr>
      </w:pPr>
      <w:r w:rsidRPr="00645FCA">
        <w:rPr>
          <w:szCs w:val="22"/>
        </w:rPr>
        <w:t>The demand forecasts consider both public and privately delivered services</w:t>
      </w:r>
      <w:r>
        <w:rPr>
          <w:szCs w:val="22"/>
        </w:rPr>
        <w:t>.</w:t>
      </w:r>
      <w:r w:rsidRPr="00645FCA">
        <w:rPr>
          <w:szCs w:val="22"/>
        </w:rPr>
        <w:t xml:space="preserve">  </w:t>
      </w:r>
    </w:p>
    <w:p w:rsidR="00A20964" w:rsidRPr="00645FCA" w:rsidRDefault="00A20964" w:rsidP="00D17D24">
      <w:pPr>
        <w:pStyle w:val="ListParagraph"/>
        <w:numPr>
          <w:ilvl w:val="0"/>
          <w:numId w:val="15"/>
        </w:numPr>
        <w:contextualSpacing w:val="0"/>
        <w:rPr>
          <w:szCs w:val="22"/>
        </w:rPr>
      </w:pPr>
      <w:r w:rsidRPr="00645FCA">
        <w:rPr>
          <w:szCs w:val="22"/>
        </w:rPr>
        <w:t xml:space="preserve">Projections of acute inpatient utilisation take into account </w:t>
      </w:r>
      <w:r>
        <w:rPr>
          <w:szCs w:val="22"/>
        </w:rPr>
        <w:t xml:space="preserve">female </w:t>
      </w:r>
      <w:r w:rsidRPr="00645FCA">
        <w:rPr>
          <w:szCs w:val="22"/>
        </w:rPr>
        <w:t xml:space="preserve">population growth and ageing, as well as clinical trends, by projecting age by </w:t>
      </w:r>
      <w:r>
        <w:rPr>
          <w:szCs w:val="22"/>
        </w:rPr>
        <w:t>females</w:t>
      </w:r>
      <w:r w:rsidRPr="00645FCA">
        <w:rPr>
          <w:szCs w:val="22"/>
        </w:rPr>
        <w:t xml:space="preserve"> for same day or overnight stays, specialty-specific trends in admission rates and length of stay.  </w:t>
      </w:r>
    </w:p>
    <w:p w:rsidR="00A20964" w:rsidRPr="00645FCA" w:rsidRDefault="00A20964" w:rsidP="00D17D24">
      <w:pPr>
        <w:pStyle w:val="ListParagraph"/>
        <w:numPr>
          <w:ilvl w:val="0"/>
          <w:numId w:val="15"/>
        </w:numPr>
        <w:contextualSpacing w:val="0"/>
        <w:rPr>
          <w:szCs w:val="22"/>
        </w:rPr>
      </w:pPr>
      <w:r w:rsidRPr="00645FCA">
        <w:rPr>
          <w:szCs w:val="22"/>
        </w:rPr>
        <w:t>Similarly the historical MBS data uses the number of services received by age of patient captured as a quarterly time series and forecasts the resulting estimates multiplied by the estimated residential population</w:t>
      </w:r>
      <w:r w:rsidRPr="00E21D15">
        <w:rPr>
          <w:vertAlign w:val="superscript"/>
        </w:rPr>
        <w:footnoteReference w:id="9"/>
      </w:r>
      <w:r w:rsidRPr="00645FCA">
        <w:rPr>
          <w:szCs w:val="22"/>
        </w:rPr>
        <w:t>.</w:t>
      </w:r>
    </w:p>
    <w:p w:rsidR="00A20964" w:rsidRPr="00645FCA" w:rsidRDefault="00A20964" w:rsidP="00D17D24">
      <w:pPr>
        <w:pStyle w:val="ListParagraph"/>
        <w:numPr>
          <w:ilvl w:val="0"/>
          <w:numId w:val="15"/>
        </w:numPr>
        <w:contextualSpacing w:val="0"/>
        <w:rPr>
          <w:szCs w:val="22"/>
        </w:rPr>
      </w:pPr>
      <w:r w:rsidRPr="00645FCA">
        <w:rPr>
          <w:szCs w:val="22"/>
        </w:rPr>
        <w:t xml:space="preserve">The utilisation rates are examined at the individual age group level and forecast using a series of Exponential Smoothing models. Forecasts for each individual age group have been generated using the SAS statistical package. Exponential smoothing has been chosen due to its successful use </w:t>
      </w:r>
      <w:r>
        <w:rPr>
          <w:szCs w:val="22"/>
        </w:rPr>
        <w:t xml:space="preserve">in </w:t>
      </w:r>
      <w:r w:rsidR="0094309A">
        <w:rPr>
          <w:szCs w:val="22"/>
        </w:rPr>
        <w:t>the Department</w:t>
      </w:r>
      <w:r w:rsidRPr="00645FCA">
        <w:rPr>
          <w:szCs w:val="22"/>
        </w:rPr>
        <w:t xml:space="preserve"> at forecasting MBS services for financial modelling purposes.</w:t>
      </w:r>
    </w:p>
    <w:p w:rsidR="00A20964" w:rsidRPr="00645FCA" w:rsidRDefault="00A20964" w:rsidP="00D17D24">
      <w:pPr>
        <w:pStyle w:val="ListParagraph"/>
        <w:numPr>
          <w:ilvl w:val="0"/>
          <w:numId w:val="15"/>
        </w:numPr>
        <w:contextualSpacing w:val="0"/>
        <w:rPr>
          <w:szCs w:val="22"/>
        </w:rPr>
      </w:pPr>
      <w:r w:rsidRPr="00645FCA">
        <w:rPr>
          <w:szCs w:val="22"/>
        </w:rPr>
        <w:t>Demand and supply start from an ‘in balance’ position.</w:t>
      </w:r>
    </w:p>
    <w:p w:rsidR="00A20964" w:rsidRPr="00573E4D" w:rsidRDefault="00A20964" w:rsidP="00A20964">
      <w:pPr>
        <w:pStyle w:val="ListParagraph"/>
        <w:numPr>
          <w:ilvl w:val="0"/>
          <w:numId w:val="15"/>
        </w:numPr>
        <w:contextualSpacing w:val="0"/>
        <w:rPr>
          <w:szCs w:val="22"/>
        </w:rPr>
      </w:pPr>
      <w:r w:rsidRPr="00645FCA">
        <w:rPr>
          <w:szCs w:val="22"/>
        </w:rPr>
        <w:t xml:space="preserve">The demand growth rate for </w:t>
      </w:r>
      <w:r>
        <w:rPr>
          <w:szCs w:val="22"/>
        </w:rPr>
        <w:t>obstetrics and gynaecology</w:t>
      </w:r>
      <w:r w:rsidRPr="00645FCA">
        <w:rPr>
          <w:szCs w:val="22"/>
        </w:rPr>
        <w:t xml:space="preserve"> is currently in the range of </w:t>
      </w:r>
      <w:r>
        <w:rPr>
          <w:szCs w:val="22"/>
        </w:rPr>
        <w:t>1.9</w:t>
      </w:r>
      <w:r w:rsidRPr="00645FCA">
        <w:rPr>
          <w:szCs w:val="22"/>
        </w:rPr>
        <w:t xml:space="preserve"> per annum.</w:t>
      </w:r>
    </w:p>
    <w:p w:rsidR="00A20964" w:rsidRDefault="00A20964">
      <w:pPr>
        <w:spacing w:before="0" w:after="0"/>
        <w:jc w:val="left"/>
        <w:rPr>
          <w:rFonts w:cs="Arial"/>
          <w:b/>
          <w:bCs/>
          <w:iCs/>
          <w:color w:val="1F497D" w:themeColor="text2"/>
          <w:sz w:val="28"/>
          <w:szCs w:val="28"/>
        </w:rPr>
      </w:pPr>
      <w:r>
        <w:br w:type="page"/>
      </w:r>
    </w:p>
    <w:p w:rsidR="0098223C" w:rsidRPr="00577982" w:rsidRDefault="0098223C" w:rsidP="0098223C">
      <w:pPr>
        <w:pStyle w:val="Heading2"/>
        <w:spacing w:before="0" w:after="0"/>
        <w:rPr>
          <w:rFonts w:cs="Times New Roman"/>
        </w:rPr>
      </w:pPr>
      <w:bookmarkStart w:id="165" w:name="_Toc521510473"/>
      <w:r w:rsidRPr="00577982">
        <w:rPr>
          <w:rFonts w:cs="Times New Roman"/>
        </w:rPr>
        <w:lastRenderedPageBreak/>
        <w:t>Appendix 2: Definition of a Specialist (example for anaesthetist)</w:t>
      </w:r>
      <w:bookmarkEnd w:id="165"/>
    </w:p>
    <w:p w:rsidR="0098223C" w:rsidRDefault="0098223C" w:rsidP="0098223C">
      <w:r w:rsidRPr="00F54835">
        <w:t>The</w:t>
      </w:r>
      <w:r>
        <w:t xml:space="preserve">re are two sources of information used to determine the current supply of specialists; the medical workforce survey data and the AHPRA registration data. These two sources of information are combined by the AIHW into the </w:t>
      </w:r>
      <w:r w:rsidRPr="009C6B77">
        <w:rPr>
          <w:i/>
        </w:rPr>
        <w:t>National Health Workforce Dataset: Medical Practitioners</w:t>
      </w:r>
      <w:r>
        <w:t xml:space="preserve"> (NHWDS). The NHWDS is used to determine whether a medical practitioner should be classified as a specialist (in up to two specialities). These classifications are sued to determine supply for the purposes of modelling the medical workforce.</w:t>
      </w:r>
    </w:p>
    <w:p w:rsidR="0098223C" w:rsidRDefault="0098223C" w:rsidP="0098223C">
      <w:r>
        <w:t xml:space="preserve">The Medical Workforce </w:t>
      </w:r>
      <w:r w:rsidR="00BB3B71">
        <w:t xml:space="preserve">Survey </w:t>
      </w:r>
      <w:r>
        <w:t>provides a rich source of information regarding the current activities of medical practitioners. The answers to this survey are critical to ensure that data remains an accurate snapshot of medical workforce trends.</w:t>
      </w:r>
    </w:p>
    <w:p w:rsidR="0098223C" w:rsidRDefault="0098223C" w:rsidP="0098223C">
      <w:r>
        <w:t>The following example details the method for using the NHWDS data and associated survey questions to classify a medical practitioner as a specialist and therefore ‘supply’ in the specialty demand and supply modelling. This method applies to all specialities, but anaesthesia is used in this example.</w:t>
      </w:r>
    </w:p>
    <w:p w:rsidR="0098223C" w:rsidRDefault="0098223C" w:rsidP="0098223C">
      <w:r>
        <w:t xml:space="preserve">In order to be classified as a specialist a record must pass three initial conditions. </w:t>
      </w:r>
    </w:p>
    <w:p w:rsidR="0098223C" w:rsidRPr="000909FD" w:rsidRDefault="0098223C" w:rsidP="0098223C">
      <w:pPr>
        <w:pStyle w:val="ListParagraph"/>
        <w:numPr>
          <w:ilvl w:val="0"/>
          <w:numId w:val="3"/>
        </w:numPr>
        <w:spacing w:before="0" w:after="0"/>
        <w:ind w:left="357" w:hanging="357"/>
        <w:contextualSpacing w:val="0"/>
      </w:pPr>
      <w:r>
        <w:t xml:space="preserve">Be currently registered as </w:t>
      </w:r>
      <w:r w:rsidR="00BB3B71">
        <w:t xml:space="preserve">a medical </w:t>
      </w:r>
      <w:r>
        <w:t>practitioner</w:t>
      </w:r>
      <w:r w:rsidR="00BB3B71">
        <w:t>;</w:t>
      </w:r>
    </w:p>
    <w:p w:rsidR="0098223C" w:rsidRPr="00122BE2" w:rsidRDefault="0098223C" w:rsidP="0098223C">
      <w:pPr>
        <w:pStyle w:val="ListParagraph"/>
        <w:numPr>
          <w:ilvl w:val="0"/>
          <w:numId w:val="2"/>
        </w:numPr>
        <w:spacing w:before="0" w:after="0"/>
        <w:ind w:left="357" w:hanging="357"/>
        <w:contextualSpacing w:val="0"/>
      </w:pPr>
      <w:r>
        <w:t>Be accredited as an Anaesthetist</w:t>
      </w:r>
      <w:r w:rsidR="00BB3B71">
        <w:t>;</w:t>
      </w:r>
    </w:p>
    <w:p w:rsidR="0098223C" w:rsidRDefault="0098223C" w:rsidP="0098223C">
      <w:pPr>
        <w:pStyle w:val="ListParagraph"/>
        <w:numPr>
          <w:ilvl w:val="0"/>
          <w:numId w:val="2"/>
        </w:numPr>
        <w:spacing w:before="0" w:after="0"/>
        <w:ind w:left="357" w:hanging="357"/>
        <w:contextualSpacing w:val="0"/>
      </w:pPr>
      <w:r w:rsidRPr="00122BE2">
        <w:t xml:space="preserve">Be currently employed </w:t>
      </w:r>
      <w:r>
        <w:t xml:space="preserve">in the </w:t>
      </w:r>
      <w:r w:rsidR="00BB3B71">
        <w:t xml:space="preserve">medical </w:t>
      </w:r>
      <w:r>
        <w:t>profession</w:t>
      </w:r>
      <w:r w:rsidR="00BB3B71">
        <w:t>; and</w:t>
      </w:r>
    </w:p>
    <w:p w:rsidR="0098223C" w:rsidRDefault="0098223C" w:rsidP="0098223C">
      <w:pPr>
        <w:pStyle w:val="ListParagraph"/>
        <w:numPr>
          <w:ilvl w:val="0"/>
          <w:numId w:val="2"/>
        </w:numPr>
        <w:spacing w:before="0" w:after="0"/>
        <w:ind w:left="357" w:hanging="357"/>
        <w:contextualSpacing w:val="0"/>
      </w:pPr>
      <w:r>
        <w:t xml:space="preserve">Be currently working as a </w:t>
      </w:r>
      <w:r w:rsidR="00BB3B71">
        <w:t>clinician.</w:t>
      </w:r>
    </w:p>
    <w:p w:rsidR="0098223C" w:rsidRDefault="0098223C" w:rsidP="0098223C">
      <w:r>
        <w:t>Current registration as a medical practitioner and specialist accreditation in anaesthesia are data items maintained by AHPRA.</w:t>
      </w:r>
    </w:p>
    <w:p w:rsidR="0098223C" w:rsidRDefault="0098223C" w:rsidP="0098223C">
      <w:r>
        <w:t>The following survey questions relate to whether the medical practitioner is employed and working as a clinician. To be classified as a specialist they must have answered that they are currently employed and working as a clinician.</w:t>
      </w:r>
    </w:p>
    <w:p w:rsidR="0098223C" w:rsidRDefault="0098223C" w:rsidP="0098223C">
      <w:pPr>
        <w:pStyle w:val="Caption"/>
        <w:rPr>
          <w:szCs w:val="22"/>
        </w:rPr>
        <w:sectPr w:rsidR="0098223C" w:rsidSect="00561EB0">
          <w:pgSz w:w="11906" w:h="16838"/>
          <w:pgMar w:top="1247" w:right="1985" w:bottom="1247" w:left="1440" w:header="709" w:footer="709" w:gutter="0"/>
          <w:cols w:space="708"/>
          <w:titlePg/>
          <w:docGrid w:linePitch="360"/>
        </w:sectPr>
      </w:pPr>
      <w:bookmarkStart w:id="166" w:name="_Ref443570931"/>
    </w:p>
    <w:p w:rsidR="0098223C" w:rsidRPr="007D6704" w:rsidRDefault="0098223C" w:rsidP="0098223C">
      <w:pPr>
        <w:pStyle w:val="Caption"/>
        <w:rPr>
          <w:szCs w:val="22"/>
        </w:rPr>
      </w:pPr>
      <w:bookmarkStart w:id="167" w:name="_Toc515888834"/>
      <w:r w:rsidRPr="007D6704">
        <w:rPr>
          <w:szCs w:val="22"/>
        </w:rPr>
        <w:lastRenderedPageBreak/>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30</w:t>
      </w:r>
      <w:r>
        <w:rPr>
          <w:szCs w:val="22"/>
        </w:rPr>
        <w:fldChar w:fldCharType="end"/>
      </w:r>
      <w:bookmarkEnd w:id="166"/>
      <w:r>
        <w:rPr>
          <w:szCs w:val="22"/>
        </w:rPr>
        <w:t>:</w:t>
      </w:r>
      <w:r w:rsidRPr="007D6704">
        <w:rPr>
          <w:szCs w:val="22"/>
        </w:rPr>
        <w:t xml:space="preserve"> Survey questions relating to Employment Status</w:t>
      </w:r>
      <w:bookmarkEnd w:id="167"/>
    </w:p>
    <w:p w:rsidR="0098223C" w:rsidRPr="00C90AA2" w:rsidRDefault="0098223C" w:rsidP="00C90AA2">
      <w:pPr>
        <w:pStyle w:val="ListParagraph"/>
        <w:spacing w:after="720"/>
        <w:ind w:left="0"/>
        <w:jc w:val="left"/>
      </w:pPr>
      <w:r>
        <w:rPr>
          <w:noProof/>
          <w:lang w:eastAsia="en-AU"/>
        </w:rPr>
        <w:drawing>
          <wp:inline distT="0" distB="0" distL="0" distR="0" wp14:anchorId="3EE98752" wp14:editId="1FF9300E">
            <wp:extent cx="2679590" cy="1517704"/>
            <wp:effectExtent l="0" t="0" r="6985" b="6350"/>
            <wp:docPr id="4" name="Picture 4" descr="Survey question four asks LAST WEEK, were you working in medicine in Australia?  The response option include yes (including on leave for less than three months), yes (but currently on leave for three months or more) and no." title="Figure 30: Survey questions relating to Emplo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84746" cy="1520625"/>
                    </a:xfrm>
                    <a:prstGeom prst="rect">
                      <a:avLst/>
                    </a:prstGeom>
                    <a:noFill/>
                    <a:ln>
                      <a:noFill/>
                    </a:ln>
                  </pic:spPr>
                </pic:pic>
              </a:graphicData>
            </a:graphic>
          </wp:inline>
        </w:drawing>
      </w:r>
    </w:p>
    <w:p w:rsidR="0098223C" w:rsidRDefault="0098223C" w:rsidP="0098223C">
      <w:pPr>
        <w:pStyle w:val="Caption"/>
        <w:rPr>
          <w:szCs w:val="22"/>
        </w:rPr>
      </w:pPr>
      <w:bookmarkStart w:id="168" w:name="_Toc515888835"/>
      <w:r w:rsidRPr="007D6704">
        <w:rPr>
          <w:szCs w:val="22"/>
        </w:rPr>
        <w:lastRenderedPageBreak/>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31</w:t>
      </w:r>
      <w:r>
        <w:rPr>
          <w:szCs w:val="22"/>
        </w:rPr>
        <w:fldChar w:fldCharType="end"/>
      </w:r>
      <w:r>
        <w:rPr>
          <w:szCs w:val="22"/>
        </w:rPr>
        <w:t>:</w:t>
      </w:r>
      <w:r w:rsidRPr="007D6704">
        <w:rPr>
          <w:szCs w:val="22"/>
        </w:rPr>
        <w:t xml:space="preserve"> Survey questions relating to Clinician Status</w:t>
      </w:r>
      <w:bookmarkEnd w:id="168"/>
    </w:p>
    <w:p w:rsidR="0098223C" w:rsidRDefault="0098223C" w:rsidP="0098223C">
      <w:pPr>
        <w:pStyle w:val="ListParagraph"/>
        <w:ind w:left="0"/>
        <w:jc w:val="left"/>
      </w:pPr>
      <w:r>
        <w:rPr>
          <w:noProof/>
          <w:lang w:eastAsia="en-AU"/>
        </w:rPr>
        <w:drawing>
          <wp:inline distT="0" distB="0" distL="0" distR="0" wp14:anchorId="35B545B4" wp14:editId="063FE236">
            <wp:extent cx="2814760" cy="2007796"/>
            <wp:effectExtent l="0" t="0" r="5080" b="0"/>
            <wp:docPr id="29" name="Picture 29" descr="Survey question eleven asks LAST WEEK, what was your principal role in your main job in medicine?  The response options include clinician (including the provision of imaging and laboratory services and managers and supervisors also providing clinical services), administrator (including managers not providing clinical services), teacher/educator, researcher and other - please specify." title="Figure 31: Survey questions relating to Clinici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3967" cy="2014363"/>
                    </a:xfrm>
                    <a:prstGeom prst="rect">
                      <a:avLst/>
                    </a:prstGeom>
                    <a:noFill/>
                    <a:ln>
                      <a:noFill/>
                    </a:ln>
                  </pic:spPr>
                </pic:pic>
              </a:graphicData>
            </a:graphic>
          </wp:inline>
        </w:drawing>
      </w:r>
    </w:p>
    <w:p w:rsidR="0098223C" w:rsidRDefault="0098223C" w:rsidP="0098223C">
      <w:pPr>
        <w:sectPr w:rsidR="0098223C" w:rsidSect="00561EB0">
          <w:type w:val="continuous"/>
          <w:pgSz w:w="11906" w:h="16838"/>
          <w:pgMar w:top="1247" w:right="1985" w:bottom="1247" w:left="1440" w:header="709" w:footer="709" w:gutter="0"/>
          <w:cols w:num="2" w:space="708"/>
          <w:titlePg/>
          <w:docGrid w:linePitch="360"/>
        </w:sectPr>
      </w:pPr>
    </w:p>
    <w:p w:rsidR="0098223C" w:rsidRDefault="0098223C" w:rsidP="0098223C">
      <w:r w:rsidRPr="009C6B77">
        <w:lastRenderedPageBreak/>
        <w:t xml:space="preserve">In addition </w:t>
      </w:r>
      <w:r>
        <w:t>medical practitioners are required to specify that they are working clinical hours. If the practitioner specifies that they are working only non-clinical hours, then they will not be counted.</w:t>
      </w:r>
    </w:p>
    <w:p w:rsidR="00C90AA2" w:rsidRDefault="00C90AA2" w:rsidP="0098223C">
      <w:pPr>
        <w:pStyle w:val="Caption"/>
        <w:rPr>
          <w:szCs w:val="22"/>
        </w:rPr>
        <w:sectPr w:rsidR="00C90AA2" w:rsidSect="00561EB0">
          <w:type w:val="continuous"/>
          <w:pgSz w:w="11906" w:h="16838"/>
          <w:pgMar w:top="1247" w:right="1985" w:bottom="1247" w:left="1440" w:header="709" w:footer="709" w:gutter="0"/>
          <w:cols w:space="708"/>
          <w:titlePg/>
          <w:docGrid w:linePitch="360"/>
        </w:sectPr>
      </w:pPr>
      <w:bookmarkStart w:id="169" w:name="_Toc515888836"/>
    </w:p>
    <w:p w:rsidR="0098223C" w:rsidRPr="007D6704" w:rsidRDefault="0098223C" w:rsidP="0098223C">
      <w:pPr>
        <w:pStyle w:val="Caption"/>
        <w:rPr>
          <w:szCs w:val="22"/>
        </w:rPr>
      </w:pPr>
      <w:r w:rsidRPr="007D6704">
        <w:rPr>
          <w:szCs w:val="22"/>
        </w:rPr>
        <w:lastRenderedPageBreak/>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32</w:t>
      </w:r>
      <w:r>
        <w:rPr>
          <w:szCs w:val="22"/>
        </w:rPr>
        <w:fldChar w:fldCharType="end"/>
      </w:r>
      <w:r>
        <w:rPr>
          <w:szCs w:val="22"/>
        </w:rPr>
        <w:t>:</w:t>
      </w:r>
      <w:r w:rsidRPr="007D6704">
        <w:rPr>
          <w:szCs w:val="22"/>
        </w:rPr>
        <w:t xml:space="preserve"> Survey questions relating to clinical and non-clinical hours</w:t>
      </w:r>
      <w:bookmarkEnd w:id="169"/>
    </w:p>
    <w:p w:rsidR="0098223C" w:rsidRDefault="0098223C" w:rsidP="0098223C">
      <w:pPr>
        <w:pStyle w:val="ListParagraph"/>
        <w:ind w:left="0"/>
        <w:jc w:val="left"/>
      </w:pPr>
      <w:r>
        <w:rPr>
          <w:noProof/>
          <w:lang w:eastAsia="en-AU"/>
        </w:rPr>
        <w:drawing>
          <wp:inline distT="0" distB="0" distL="0" distR="0" wp14:anchorId="5BD5E099" wp14:editId="37162327">
            <wp:extent cx="3275937" cy="1609501"/>
            <wp:effectExtent l="0" t="0" r="1270" b="0"/>
            <wp:docPr id="672" name="Picture 672" descr="Survey question nine asks LAST WEEK, how many hours did you work in total in Medicine? The response options include clinical roles (including the provision of imaging and laboratory services and managers and supervisors also providing clinical services), non-clinical roles (including teacher, researcher, administrators or other), and total." title="Figure 32: Survey questions relating to clinical and non-clinic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87093" cy="1614982"/>
                    </a:xfrm>
                    <a:prstGeom prst="rect">
                      <a:avLst/>
                    </a:prstGeom>
                    <a:noFill/>
                    <a:ln>
                      <a:noFill/>
                    </a:ln>
                  </pic:spPr>
                </pic:pic>
              </a:graphicData>
            </a:graphic>
          </wp:inline>
        </w:drawing>
      </w:r>
    </w:p>
    <w:p w:rsidR="0098223C" w:rsidRDefault="0098223C" w:rsidP="0098223C">
      <w:r>
        <w:t>These conditions are applied initial to ensure a rigorous estimate of the current workforce based on the employment and accreditation status of medical practitioners. For example, to avoid counting medical practitioners who are in retirement the process checks to ensure that medical practitioners are currently employed and working as clinician</w:t>
      </w:r>
      <w:r w:rsidR="00BB3B71">
        <w:t>s</w:t>
      </w:r>
      <w:r>
        <w:t>. This also avoids counting medical practitioners who are currently working as administrators and teachers.</w:t>
      </w:r>
    </w:p>
    <w:p w:rsidR="0098223C" w:rsidRPr="009D19C7" w:rsidRDefault="0098223C" w:rsidP="0098223C">
      <w:r>
        <w:t xml:space="preserve">The next step looks at the main area in which the medical practitioner is employed. This is the step where medical practitioners have the opportunity to specify on the survey, in which area of medicine </w:t>
      </w:r>
      <w:r w:rsidR="00BB3B71">
        <w:t xml:space="preserve">they are </w:t>
      </w:r>
      <w:r>
        <w:t xml:space="preserve">currently employed. There is space to fill out </w:t>
      </w:r>
      <w:r w:rsidRPr="006257E5">
        <w:rPr>
          <w:i/>
        </w:rPr>
        <w:t>two</w:t>
      </w:r>
      <w:r>
        <w:t xml:space="preserve"> professions.</w:t>
      </w:r>
    </w:p>
    <w:p w:rsidR="0098223C" w:rsidRPr="007D6704" w:rsidRDefault="0098223C" w:rsidP="0098223C">
      <w:pPr>
        <w:pStyle w:val="Caption"/>
        <w:rPr>
          <w:szCs w:val="22"/>
        </w:rPr>
      </w:pPr>
      <w:bookmarkStart w:id="170" w:name="_Toc515888837"/>
      <w:r w:rsidRPr="007D6704">
        <w:rPr>
          <w:szCs w:val="22"/>
        </w:rPr>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33</w:t>
      </w:r>
      <w:r>
        <w:rPr>
          <w:szCs w:val="22"/>
        </w:rPr>
        <w:fldChar w:fldCharType="end"/>
      </w:r>
      <w:r>
        <w:rPr>
          <w:szCs w:val="22"/>
        </w:rPr>
        <w:t>:</w:t>
      </w:r>
      <w:r w:rsidRPr="007D6704">
        <w:rPr>
          <w:szCs w:val="22"/>
        </w:rPr>
        <w:t xml:space="preserve"> Survey questions relating to principal field of main specialties</w:t>
      </w:r>
      <w:bookmarkEnd w:id="170"/>
    </w:p>
    <w:p w:rsidR="0098223C" w:rsidRDefault="0098223C" w:rsidP="0098223C">
      <w:pPr>
        <w:jc w:val="left"/>
      </w:pPr>
      <w:r>
        <w:rPr>
          <w:noProof/>
          <w:lang w:eastAsia="en-AU"/>
        </w:rPr>
        <w:drawing>
          <wp:inline distT="0" distB="0" distL="0" distR="0" wp14:anchorId="674F5347" wp14:editId="693AA8E7">
            <wp:extent cx="2698562" cy="3403158"/>
            <wp:effectExtent l="0" t="0" r="6985" b="6985"/>
            <wp:docPr id="19" name="Picture 19" descr="Survey question twenty three asks In which specialty field(s) did you work the most hours, LAST WEEK?  Responders are asked to refer to specialty fields table on page five of the survey, find the relevant specialty and enter the corresponding number of each specialty field in the box.  Responders can list up to two speciality fields.&#10;&#10;Survey question twenty four asks LAST WEEK, how many clinical hours did you work in each sector in your speciality field(s)?  Options include private hospitals, private rooms, private other, public hospitals - inpatients, public hospitals - outpatients and public other. Responders can list up to two speciality fields." title="Figure 33: Survey questions relating to principal field of main specia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09982" cy="3417560"/>
                    </a:xfrm>
                    <a:prstGeom prst="rect">
                      <a:avLst/>
                    </a:prstGeom>
                    <a:noFill/>
                    <a:ln>
                      <a:noFill/>
                    </a:ln>
                  </pic:spPr>
                </pic:pic>
              </a:graphicData>
            </a:graphic>
          </wp:inline>
        </w:drawing>
      </w:r>
    </w:p>
    <w:p w:rsidR="0098223C" w:rsidRDefault="0098223C" w:rsidP="0098223C">
      <w:r>
        <w:t xml:space="preserve">The above survey question is crucial to the inclusion of a medical practitioner as an anaesthetist. This question indicates that the medical practitioner will be classified as a specialist in the recorded specialty provided that all previous criteria have been met. </w:t>
      </w:r>
    </w:p>
    <w:p w:rsidR="0098223C" w:rsidRDefault="0098223C" w:rsidP="0098223C">
      <w:r>
        <w:t xml:space="preserve">If the medical practitioner is currently registered and is; </w:t>
      </w:r>
    </w:p>
    <w:p w:rsidR="0098223C" w:rsidRDefault="0098223C" w:rsidP="0098223C">
      <w:pPr>
        <w:pStyle w:val="ListParagraph"/>
        <w:numPr>
          <w:ilvl w:val="0"/>
          <w:numId w:val="4"/>
        </w:numPr>
      </w:pPr>
      <w:r w:rsidRPr="00423C59">
        <w:t xml:space="preserve">employed, </w:t>
      </w:r>
    </w:p>
    <w:p w:rsidR="0098223C" w:rsidRDefault="0098223C" w:rsidP="0098223C">
      <w:pPr>
        <w:pStyle w:val="ListParagraph"/>
        <w:numPr>
          <w:ilvl w:val="0"/>
          <w:numId w:val="4"/>
        </w:numPr>
      </w:pPr>
      <w:r w:rsidRPr="00423C59">
        <w:t xml:space="preserve">working as a clinician </w:t>
      </w:r>
    </w:p>
    <w:p w:rsidR="0098223C" w:rsidRDefault="0098223C" w:rsidP="0098223C">
      <w:pPr>
        <w:pStyle w:val="ListParagraph"/>
        <w:numPr>
          <w:ilvl w:val="0"/>
          <w:numId w:val="4"/>
        </w:numPr>
      </w:pPr>
      <w:r w:rsidRPr="00423C59">
        <w:t xml:space="preserve">and has accreditation with AHPRA in Anaesthesia </w:t>
      </w:r>
    </w:p>
    <w:p w:rsidR="0098223C" w:rsidRDefault="0098223C" w:rsidP="0098223C">
      <w:r w:rsidRPr="00423C59">
        <w:t>At this point they will be counted</w:t>
      </w:r>
      <w:r>
        <w:t xml:space="preserve"> as an Anaesthetist provided they have indicated so in question 23</w:t>
      </w:r>
      <w:r w:rsidRPr="00423C59">
        <w:t>.</w:t>
      </w:r>
    </w:p>
    <w:p w:rsidR="0098223C" w:rsidRDefault="0098223C" w:rsidP="0098223C">
      <w:r>
        <w:lastRenderedPageBreak/>
        <w:t>With the exception of 3 cases, that is the end of the classification process.</w:t>
      </w:r>
    </w:p>
    <w:p w:rsidR="0098223C" w:rsidRPr="00423C59" w:rsidRDefault="0098223C" w:rsidP="00D63A77">
      <w:pPr>
        <w:rPr>
          <w:b/>
        </w:rPr>
      </w:pPr>
      <w:r>
        <w:rPr>
          <w:b/>
        </w:rPr>
        <w:t>C</w:t>
      </w:r>
      <w:r w:rsidRPr="00423C59">
        <w:rPr>
          <w:b/>
        </w:rPr>
        <w:t>ase 1:</w:t>
      </w:r>
      <w:r>
        <w:rPr>
          <w:b/>
        </w:rPr>
        <w:t xml:space="preserve"> Specialist and trainee</w:t>
      </w:r>
    </w:p>
    <w:p w:rsidR="0098223C" w:rsidRDefault="0098223C" w:rsidP="0098223C">
      <w:r>
        <w:t>If the medical practitioner has also indicated that they are a current anaesthesia trainee and their year of completion is the year of the survey then they will be classified as a trainee and not a specialist. This can occur due to timing issues; the medical practitioner is in a training program on the date they complete the survey, however on the date of data extraction (which can be up to 2 months later) the medical practitioner has obtained fellowship and AHPRA has recorded them as an accredited specialist. The decision was made to classify the medical practitioner according to the date of completion of the survey. In this instance the medical practitioner will be classified as an anaesthetist in the following year.</w:t>
      </w:r>
    </w:p>
    <w:p w:rsidR="0098223C" w:rsidRDefault="0098223C" w:rsidP="0098223C">
      <w:pPr>
        <w:pStyle w:val="Caption"/>
        <w:rPr>
          <w:szCs w:val="22"/>
        </w:rPr>
        <w:sectPr w:rsidR="0098223C" w:rsidSect="00561EB0">
          <w:pgSz w:w="11906" w:h="16838"/>
          <w:pgMar w:top="1247" w:right="1985" w:bottom="1247" w:left="1440" w:header="709" w:footer="709" w:gutter="0"/>
          <w:cols w:space="708"/>
          <w:titlePg/>
          <w:docGrid w:linePitch="360"/>
        </w:sectPr>
      </w:pPr>
      <w:bookmarkStart w:id="171" w:name="_Ref443570970"/>
    </w:p>
    <w:p w:rsidR="0098223C" w:rsidRPr="007D6704" w:rsidRDefault="0098223C" w:rsidP="0098223C">
      <w:pPr>
        <w:pStyle w:val="Caption"/>
        <w:rPr>
          <w:szCs w:val="22"/>
        </w:rPr>
      </w:pPr>
      <w:bookmarkStart w:id="172" w:name="_Toc515888838"/>
      <w:r w:rsidRPr="007D6704">
        <w:rPr>
          <w:szCs w:val="22"/>
        </w:rPr>
        <w:lastRenderedPageBreak/>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34</w:t>
      </w:r>
      <w:r>
        <w:rPr>
          <w:szCs w:val="22"/>
        </w:rPr>
        <w:fldChar w:fldCharType="end"/>
      </w:r>
      <w:bookmarkEnd w:id="171"/>
      <w:r>
        <w:rPr>
          <w:szCs w:val="22"/>
        </w:rPr>
        <w:t>:</w:t>
      </w:r>
      <w:r w:rsidRPr="007D6704">
        <w:rPr>
          <w:szCs w:val="22"/>
        </w:rPr>
        <w:t xml:space="preserve"> Survey questions relating to training</w:t>
      </w:r>
      <w:bookmarkEnd w:id="172"/>
    </w:p>
    <w:p w:rsidR="0098223C" w:rsidRDefault="0098223C" w:rsidP="00B44178">
      <w:pPr>
        <w:jc w:val="left"/>
        <w:rPr>
          <w:b/>
        </w:rPr>
      </w:pPr>
      <w:r>
        <w:rPr>
          <w:noProof/>
          <w:lang w:eastAsia="en-AU"/>
        </w:rPr>
        <w:drawing>
          <wp:inline distT="0" distB="0" distL="0" distR="0" wp14:anchorId="31D0DD78" wp14:editId="34CD1FEF">
            <wp:extent cx="2552997" cy="1979875"/>
            <wp:effectExtent l="0" t="0" r="0" b="1905"/>
            <wp:docPr id="23" name="Picture 23"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ce?Responders are asked to refer to specialty fields table on page five of the survey, find the relevant specialty and enter the corresponding number of each specialty field in the box.  Responders can list up to two speciality fields." title="Figure 34: Survey questions relating to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55272" cy="1981639"/>
                    </a:xfrm>
                    <a:prstGeom prst="rect">
                      <a:avLst/>
                    </a:prstGeom>
                    <a:noFill/>
                    <a:ln>
                      <a:noFill/>
                    </a:ln>
                  </pic:spPr>
                </pic:pic>
              </a:graphicData>
            </a:graphic>
          </wp:inline>
        </w:drawing>
      </w:r>
      <w:r w:rsidR="00442495">
        <w:br w:type="column"/>
      </w:r>
      <w:r>
        <w:rPr>
          <w:b/>
        </w:rPr>
        <w:lastRenderedPageBreak/>
        <w:t>C</w:t>
      </w:r>
      <w:r w:rsidRPr="00423C59">
        <w:rPr>
          <w:b/>
        </w:rPr>
        <w:t xml:space="preserve">ase </w:t>
      </w:r>
      <w:r>
        <w:rPr>
          <w:b/>
        </w:rPr>
        <w:t>2 – fails to answer question 23</w:t>
      </w:r>
    </w:p>
    <w:p w:rsidR="0098223C" w:rsidRDefault="0098223C" w:rsidP="0098223C">
      <w:r>
        <w:t>If the medical practitioner fails to answer question 23</w:t>
      </w:r>
      <w:r>
        <w:rPr>
          <w:b/>
        </w:rPr>
        <w:t xml:space="preserve"> </w:t>
      </w:r>
      <w:r>
        <w:t>but</w:t>
      </w:r>
      <w:r w:rsidRPr="00DD5213">
        <w:t xml:space="preserve"> </w:t>
      </w:r>
      <w:r>
        <w:t xml:space="preserve">currently is </w:t>
      </w:r>
      <w:r w:rsidR="00BB3B71">
        <w:t xml:space="preserve">a </w:t>
      </w:r>
      <w:r>
        <w:t>registered medical practitioner and is;</w:t>
      </w:r>
    </w:p>
    <w:p w:rsidR="0098223C" w:rsidRDefault="0098223C" w:rsidP="0098223C">
      <w:pPr>
        <w:pStyle w:val="ListParagraph"/>
        <w:numPr>
          <w:ilvl w:val="0"/>
          <w:numId w:val="4"/>
        </w:numPr>
      </w:pPr>
      <w:r w:rsidRPr="00423C59">
        <w:t xml:space="preserve">employed, </w:t>
      </w:r>
    </w:p>
    <w:p w:rsidR="0098223C" w:rsidRDefault="0098223C" w:rsidP="0098223C">
      <w:pPr>
        <w:pStyle w:val="ListParagraph"/>
        <w:numPr>
          <w:ilvl w:val="0"/>
          <w:numId w:val="4"/>
        </w:numPr>
      </w:pPr>
      <w:r w:rsidRPr="00423C59">
        <w:t xml:space="preserve">working as a clinician </w:t>
      </w:r>
    </w:p>
    <w:p w:rsidR="0098223C" w:rsidRDefault="0098223C" w:rsidP="0098223C">
      <w:pPr>
        <w:pStyle w:val="ListParagraph"/>
        <w:numPr>
          <w:ilvl w:val="0"/>
          <w:numId w:val="4"/>
        </w:numPr>
      </w:pPr>
      <w:r w:rsidRPr="00423C59">
        <w:t xml:space="preserve">has accreditation with AHPRA in Anaesthesia </w:t>
      </w:r>
    </w:p>
    <w:p w:rsidR="0098223C" w:rsidRDefault="0098223C" w:rsidP="0098223C">
      <w:pPr>
        <w:pStyle w:val="ListParagraph"/>
        <w:numPr>
          <w:ilvl w:val="0"/>
          <w:numId w:val="4"/>
        </w:numPr>
      </w:pPr>
      <w:r>
        <w:t>and has two or fewer specialities accredited with AHPRA</w:t>
      </w:r>
    </w:p>
    <w:p w:rsidR="00D63A77" w:rsidRDefault="0098223C" w:rsidP="0098223C">
      <w:pPr>
        <w:sectPr w:rsidR="00D63A77" w:rsidSect="00561EB0">
          <w:type w:val="continuous"/>
          <w:pgSz w:w="11906" w:h="16838"/>
          <w:pgMar w:top="1247" w:right="1985" w:bottom="1247" w:left="1440" w:header="709" w:footer="709" w:gutter="0"/>
          <w:cols w:num="2" w:space="708"/>
          <w:titlePg/>
          <w:docGrid w:linePitch="360"/>
        </w:sectPr>
      </w:pPr>
      <w:proofErr w:type="gramStart"/>
      <w:r>
        <w:t>then</w:t>
      </w:r>
      <w:proofErr w:type="gramEnd"/>
      <w:r>
        <w:t xml:space="preserve"> their survey response to question 23 is imputed as anaesthesia (69) and they are counted as a Specialist.</w:t>
      </w:r>
    </w:p>
    <w:p w:rsidR="0098223C" w:rsidRDefault="0098223C" w:rsidP="0098223C"/>
    <w:p w:rsidR="00D63A77" w:rsidRDefault="00D63A77" w:rsidP="0098223C">
      <w:pPr>
        <w:rPr>
          <w:b/>
        </w:rPr>
        <w:sectPr w:rsidR="00D63A77" w:rsidSect="00561EB0">
          <w:type w:val="continuous"/>
          <w:pgSz w:w="11906" w:h="16838"/>
          <w:pgMar w:top="1247" w:right="1985" w:bottom="1247" w:left="1440" w:header="709" w:footer="709" w:gutter="0"/>
          <w:cols w:num="2" w:space="708"/>
          <w:titlePg/>
          <w:docGrid w:linePitch="360"/>
        </w:sectPr>
      </w:pPr>
    </w:p>
    <w:p w:rsidR="0098223C" w:rsidRPr="00DD5213" w:rsidRDefault="0098223C" w:rsidP="0098223C">
      <w:pPr>
        <w:rPr>
          <w:b/>
        </w:rPr>
      </w:pPr>
      <w:r>
        <w:rPr>
          <w:b/>
        </w:rPr>
        <w:lastRenderedPageBreak/>
        <w:t>Case 3 -</w:t>
      </w:r>
      <w:r w:rsidRPr="00DD5213">
        <w:rPr>
          <w:b/>
        </w:rPr>
        <w:t xml:space="preserve"> </w:t>
      </w:r>
      <w:r>
        <w:rPr>
          <w:b/>
        </w:rPr>
        <w:t>E</w:t>
      </w:r>
      <w:r w:rsidRPr="00DD5213">
        <w:rPr>
          <w:b/>
        </w:rPr>
        <w:t xml:space="preserve">rroneous </w:t>
      </w:r>
      <w:r>
        <w:rPr>
          <w:b/>
        </w:rPr>
        <w:t>answer recorded in</w:t>
      </w:r>
      <w:r w:rsidRPr="00DD5213">
        <w:rPr>
          <w:b/>
        </w:rPr>
        <w:t xml:space="preserve"> question 23 </w:t>
      </w:r>
    </w:p>
    <w:p w:rsidR="00E70E57" w:rsidRDefault="0098223C" w:rsidP="00E70E57">
      <w:r w:rsidRPr="00C90AA2">
        <w:t>The medical practitioner responds to the survey indicating that they are currently working as a vocationally registered GP. They do not currently have accreditation with APHRA as a GP but they do have current accreditation as an anaesthetist and are; currently registered as a medical practitioner, employed, and working as a clinician. The response to question 23 is imputed as Anaesthesia (69) and they are classified as an anaesthetist.</w:t>
      </w:r>
    </w:p>
    <w:p w:rsidR="0098223C" w:rsidRPr="007D6704" w:rsidRDefault="00E70E57" w:rsidP="00E70E57">
      <w:pPr>
        <w:pStyle w:val="Caption"/>
      </w:pPr>
      <w:r>
        <w:br w:type="column"/>
      </w:r>
      <w:bookmarkStart w:id="173" w:name="_Toc515888839"/>
      <w:r w:rsidR="0098223C" w:rsidRPr="007D6704">
        <w:lastRenderedPageBreak/>
        <w:t xml:space="preserve">Figure </w:t>
      </w:r>
      <w:fldSimple w:instr=" SEQ Figure \* ARABIC ">
        <w:r w:rsidR="008C7087">
          <w:rPr>
            <w:noProof/>
          </w:rPr>
          <w:t>35</w:t>
        </w:r>
      </w:fldSimple>
      <w:r w:rsidR="0098223C">
        <w:t>:</w:t>
      </w:r>
      <w:r w:rsidR="0098223C" w:rsidRPr="007D6704">
        <w:t xml:space="preserve"> Erroneous answer recorded in question 23</w:t>
      </w:r>
      <w:bookmarkEnd w:id="173"/>
      <w:r w:rsidR="0098223C" w:rsidRPr="007D6704">
        <w:t xml:space="preserve"> </w:t>
      </w:r>
    </w:p>
    <w:p w:rsidR="0098223C" w:rsidRDefault="0098223C" w:rsidP="0098223C">
      <w:pPr>
        <w:jc w:val="left"/>
        <w:rPr>
          <w:color w:val="4F81BD" w:themeColor="accent1"/>
        </w:rPr>
        <w:sectPr w:rsidR="0098223C" w:rsidSect="00561EB0">
          <w:type w:val="continuous"/>
          <w:pgSz w:w="11906" w:h="16838"/>
          <w:pgMar w:top="1247" w:right="1985" w:bottom="1247" w:left="1440" w:header="709" w:footer="709" w:gutter="0"/>
          <w:cols w:num="2" w:space="708"/>
          <w:titlePg/>
          <w:docGrid w:linePitch="360"/>
        </w:sectPr>
      </w:pPr>
      <w:r>
        <w:rPr>
          <w:noProof/>
          <w:lang w:eastAsia="en-AU"/>
        </w:rPr>
        <w:drawing>
          <wp:inline distT="0" distB="0" distL="0" distR="0" wp14:anchorId="3A74DE53" wp14:editId="3081D8FD">
            <wp:extent cx="2585258" cy="1634792"/>
            <wp:effectExtent l="0" t="0" r="5715" b="3810"/>
            <wp:docPr id="30" name="Picture 30" descr="The medical practitioner responds to the survey indicating that they are currently working as a vocationally registered GP. They do not currently have accreditation with APHRA as a GP but they do have current accreditation as an anaesthetist and are; currently registered as a medical practitioner, employed, and working as a clinician. The response to question 23 is imputed as Anaesthesia (69) and they are classified as an anaesthetist." title="Figure 35: Erroneous answer recorded in question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93419" cy="1639953"/>
                    </a:xfrm>
                    <a:prstGeom prst="rect">
                      <a:avLst/>
                    </a:prstGeom>
                    <a:noFill/>
                    <a:ln>
                      <a:noFill/>
                    </a:ln>
                  </pic:spPr>
                </pic:pic>
              </a:graphicData>
            </a:graphic>
          </wp:inline>
        </w:drawing>
      </w:r>
    </w:p>
    <w:p w:rsidR="00C60CF0" w:rsidRPr="00985952" w:rsidRDefault="00AE0228" w:rsidP="0098223C">
      <w:pPr>
        <w:pStyle w:val="Heading2"/>
        <w:spacing w:before="0"/>
      </w:pPr>
      <w:bookmarkStart w:id="174" w:name="_Toc521510474"/>
      <w:r w:rsidRPr="00985952">
        <w:lastRenderedPageBreak/>
        <w:t xml:space="preserve">Appendix </w:t>
      </w:r>
      <w:r w:rsidR="0098223C">
        <w:t>3</w:t>
      </w:r>
      <w:r w:rsidR="00A20964">
        <w:t>:</w:t>
      </w:r>
      <w:r w:rsidR="00C06590" w:rsidRPr="00985952">
        <w:t xml:space="preserve"> </w:t>
      </w:r>
      <w:r w:rsidR="00C60CF0" w:rsidRPr="00985952">
        <w:t>Subspecialty workforce demographics</w:t>
      </w:r>
      <w:bookmarkEnd w:id="174"/>
      <w:r w:rsidR="00C60CF0" w:rsidRPr="00985952">
        <w:t xml:space="preserve"> </w:t>
      </w:r>
    </w:p>
    <w:p w:rsidR="00C60CF0" w:rsidRDefault="004D2D38" w:rsidP="00985952">
      <w:pPr>
        <w:pStyle w:val="Heading3"/>
      </w:pPr>
      <w:r>
        <w:t xml:space="preserve">Subspecialists: </w:t>
      </w:r>
      <w:r w:rsidR="00C60CF0" w:rsidRPr="00E07C3F">
        <w:t>Obstetric and gynaecological ultrasound (OGU)</w:t>
      </w:r>
    </w:p>
    <w:p w:rsidR="00C60CF0" w:rsidRDefault="00C60CF0" w:rsidP="00985952">
      <w:pPr>
        <w:pStyle w:val="Heading3"/>
        <w:sectPr w:rsidR="00C60CF0" w:rsidSect="00561EB0">
          <w:pgSz w:w="11906" w:h="16838"/>
          <w:pgMar w:top="1440" w:right="1440" w:bottom="1440" w:left="1440" w:header="709" w:footer="709" w:gutter="0"/>
          <w:cols w:space="708"/>
          <w:titlePg/>
          <w:docGrid w:linePitch="360"/>
        </w:sectPr>
      </w:pPr>
    </w:p>
    <w:p w:rsidR="00C60CF0" w:rsidRPr="00C60CF0" w:rsidRDefault="00C60CF0" w:rsidP="00C60CF0">
      <w:pPr>
        <w:rPr>
          <w:sz w:val="20"/>
        </w:rPr>
      </w:pPr>
      <w:r w:rsidRPr="00C60CF0">
        <w:rPr>
          <w:sz w:val="20"/>
        </w:rPr>
        <w:lastRenderedPageBreak/>
        <w:t>A certified Obstetrical and Gynaecological Ultrasound (OGU) subspecialist has successfully completed a formal training program of ultrasound diagnosis relating to obstetrics and gynaecology, including ultrasound guided interventional diagnostic and therapeutic techniques.</w:t>
      </w:r>
    </w:p>
    <w:p w:rsidR="00C60CF0" w:rsidRPr="00C60CF0" w:rsidRDefault="00C60CF0" w:rsidP="00C60CF0">
      <w:pPr>
        <w:rPr>
          <w:sz w:val="20"/>
        </w:rPr>
      </w:pPr>
      <w:r w:rsidRPr="00C60CF0">
        <w:rPr>
          <w:sz w:val="20"/>
        </w:rPr>
        <w:t xml:space="preserve">An obstetrical and gynaecological ultrasound subspecialist must spend at least 66 per cent of </w:t>
      </w:r>
      <w:r w:rsidR="00985952">
        <w:rPr>
          <w:sz w:val="20"/>
        </w:rPr>
        <w:t>their</w:t>
      </w:r>
      <w:r w:rsidRPr="00C60CF0">
        <w:rPr>
          <w:sz w:val="20"/>
        </w:rPr>
        <w:t xml:space="preserve"> clinical time working in obstetrical and gynaecological diagnostic ultrasound practice. It is desirable but not mandatory that they work part of this time in a 'tertiary care' institution where the ultrasound department provides a comprehensive diagnostic service to general obstetrics and gynaecology and to the subspecialties.</w:t>
      </w:r>
    </w:p>
    <w:p w:rsidR="00C60CF0" w:rsidRPr="00C60CF0" w:rsidRDefault="00C60CF0" w:rsidP="00C60CF0">
      <w:pPr>
        <w:rPr>
          <w:sz w:val="20"/>
        </w:rPr>
      </w:pPr>
      <w:r w:rsidRPr="00C60CF0">
        <w:rPr>
          <w:sz w:val="20"/>
        </w:rPr>
        <w:t>According to the 2016 NHWDS, there were 66 OGU subspecialists who indicated they were employed and working as clinicians with the following characteristics:</w:t>
      </w:r>
    </w:p>
    <w:p w:rsidR="00C60CF0" w:rsidRPr="00C60CF0" w:rsidRDefault="00C60CF0" w:rsidP="00C60CF0">
      <w:pPr>
        <w:pStyle w:val="Caption"/>
        <w:keepNext/>
        <w:rPr>
          <w:szCs w:val="22"/>
        </w:rPr>
      </w:pPr>
      <w:bookmarkStart w:id="175" w:name="_Toc515888840"/>
      <w:r w:rsidRPr="00C60CF0">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36</w:t>
      </w:r>
      <w:r w:rsidR="008C16B5">
        <w:rPr>
          <w:szCs w:val="22"/>
        </w:rPr>
        <w:fldChar w:fldCharType="end"/>
      </w:r>
      <w:r w:rsidRPr="00C60CF0">
        <w:rPr>
          <w:szCs w:val="22"/>
        </w:rPr>
        <w:t>: Demographics of the OGU subspecialty</w:t>
      </w:r>
      <w:r w:rsidR="001A70A7">
        <w:rPr>
          <w:szCs w:val="22"/>
        </w:rPr>
        <w:t xml:space="preserve"> workforce</w:t>
      </w:r>
      <w:bookmarkEnd w:id="175"/>
    </w:p>
    <w:p w:rsidR="00825D70" w:rsidRDefault="0040497C" w:rsidP="00C60CF0">
      <w:pPr>
        <w:pStyle w:val="Heading5"/>
        <w:rPr>
          <w:rFonts w:eastAsia="Calibri"/>
        </w:rPr>
      </w:pPr>
      <w:r>
        <w:rPr>
          <w:rFonts w:eastAsia="Calibri"/>
          <w:noProof/>
          <w:lang w:eastAsia="en-AU"/>
        </w:rPr>
        <w:drawing>
          <wp:inline distT="0" distB="0" distL="0" distR="0" wp14:anchorId="006E3CA7" wp14:editId="201984DF">
            <wp:extent cx="2822575" cy="2133600"/>
            <wp:effectExtent l="0" t="0" r="0" b="0"/>
            <wp:docPr id="15" name="Picture 15" descr="The average age of an obstetrical and gynaecological ultrasound subspecialist was 55 years.&#10;There were 45% of obstetrical and gynaecological ultrasound subspecialists who were female.&#10;Obstetrical and gynaecological ultrasound subspecialists averaged 42.5 hours, with females working 41.6 hours.&#10;Obstetrical and gynaecological ultrasound subspecialists aged 55 years and over represent 47% of the workforce, and tend to work 43.3 hours.&#10;There were 83% of obstetrical and gynaecological ultrasound subspecialists located in NSW and VIC.&#10;There were 91% of obstetrical and gynaecological ultrasound subspecialists located in Modified Monash Model Area 1.&#10;There were 24% of obstetrical and gynaecological ultrasound subspecialists working in the public sector." title="Figure 36: Demographics of the OGU subspecialt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2575" cy="2133600"/>
                    </a:xfrm>
                    <a:prstGeom prst="rect">
                      <a:avLst/>
                    </a:prstGeom>
                    <a:noFill/>
                  </pic:spPr>
                </pic:pic>
              </a:graphicData>
            </a:graphic>
          </wp:inline>
        </w:drawing>
      </w:r>
    </w:p>
    <w:p w:rsidR="00C60CF0" w:rsidRPr="000522FE" w:rsidRDefault="00C60CF0" w:rsidP="00825D70">
      <w:pPr>
        <w:pStyle w:val="Heading5"/>
        <w:spacing w:after="120"/>
      </w:pPr>
      <w:r w:rsidRPr="00825DE5">
        <w:rPr>
          <w:rFonts w:eastAsia="Calibri"/>
        </w:rPr>
        <w:t>Source:</w:t>
      </w:r>
      <w:r>
        <w:rPr>
          <w:rFonts w:eastAsia="Calibri"/>
        </w:rPr>
        <w:t xml:space="preserve"> NHWDS, Medical Practitioner 2016 (Average total specialist hours worked per week)</w:t>
      </w:r>
    </w:p>
    <w:p w:rsidR="00C60CF0" w:rsidRPr="00A02039" w:rsidRDefault="00C60CF0" w:rsidP="00C60CF0">
      <w:pPr>
        <w:pStyle w:val="Heading4"/>
        <w:spacing w:before="0"/>
      </w:pPr>
      <w:r w:rsidRPr="00A02039">
        <w:t>Distribution</w:t>
      </w:r>
    </w:p>
    <w:p w:rsidR="00865AF1" w:rsidRDefault="00C60CF0" w:rsidP="00C60CF0">
      <w:pPr>
        <w:rPr>
          <w:sz w:val="20"/>
        </w:rPr>
      </w:pPr>
      <w:r w:rsidRPr="00C60CF0">
        <w:rPr>
          <w:sz w:val="20"/>
        </w:rPr>
        <w:t xml:space="preserve">Figure </w:t>
      </w:r>
      <w:r w:rsidR="004D2DDD">
        <w:rPr>
          <w:sz w:val="20"/>
        </w:rPr>
        <w:t>37</w:t>
      </w:r>
      <w:r w:rsidR="004D2DDD" w:rsidRPr="00C60CF0">
        <w:rPr>
          <w:sz w:val="20"/>
        </w:rPr>
        <w:t xml:space="preserve"> </w:t>
      </w:r>
      <w:r w:rsidRPr="00C60CF0">
        <w:rPr>
          <w:sz w:val="20"/>
        </w:rPr>
        <w:t xml:space="preserve">illustrates the MMM and density of the OGU subspecialist workforce within these areas. For more information on the MMM please see the NHWDS, medical practitioner distribution section, page </w:t>
      </w:r>
      <w:r w:rsidRPr="00C60CF0">
        <w:rPr>
          <w:sz w:val="20"/>
        </w:rPr>
        <w:fldChar w:fldCharType="begin"/>
      </w:r>
      <w:r w:rsidRPr="00C60CF0">
        <w:rPr>
          <w:sz w:val="20"/>
        </w:rPr>
        <w:instrText xml:space="preserve"> PAGEREF _Ref455568508 \h </w:instrText>
      </w:r>
      <w:r w:rsidRPr="00C60CF0">
        <w:rPr>
          <w:sz w:val="20"/>
        </w:rPr>
      </w:r>
      <w:r w:rsidRPr="00C60CF0">
        <w:rPr>
          <w:sz w:val="20"/>
        </w:rPr>
        <w:fldChar w:fldCharType="separate"/>
      </w:r>
      <w:r w:rsidR="00B31A00">
        <w:rPr>
          <w:noProof/>
          <w:sz w:val="20"/>
        </w:rPr>
        <w:t>8</w:t>
      </w:r>
      <w:r w:rsidRPr="00C60CF0">
        <w:rPr>
          <w:sz w:val="20"/>
        </w:rPr>
        <w:fldChar w:fldCharType="end"/>
      </w:r>
      <w:r w:rsidRPr="00C60CF0">
        <w:rPr>
          <w:sz w:val="20"/>
        </w:rPr>
        <w:t xml:space="preserve">.  As can be seen in the map, the OGU workforce is located throughout Australia, except Tasmania and the ACT, and almost exclusively concentrated in Metropolitan areas (91 per cent in MMM1). </w:t>
      </w:r>
      <w:bookmarkStart w:id="176" w:name="_Ref455490197"/>
    </w:p>
    <w:p w:rsidR="00C60CF0" w:rsidRPr="00C60CF0" w:rsidRDefault="00626476" w:rsidP="00C60CF0">
      <w:pPr>
        <w:pStyle w:val="Caption"/>
      </w:pPr>
      <w:bookmarkStart w:id="177" w:name="_Toc515888841"/>
      <w:r>
        <w:br w:type="column"/>
      </w:r>
      <w:r w:rsidR="00C60CF0" w:rsidRPr="00C60CF0">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37</w:t>
      </w:r>
      <w:r w:rsidR="00556A17">
        <w:rPr>
          <w:noProof/>
        </w:rPr>
        <w:fldChar w:fldCharType="end"/>
      </w:r>
      <w:bookmarkEnd w:id="176"/>
      <w:r w:rsidR="00C60CF0" w:rsidRPr="00C60CF0">
        <w:t>: OGU subspecialty workforce (clinicians) by MMM</w:t>
      </w:r>
      <w:bookmarkEnd w:id="177"/>
    </w:p>
    <w:p w:rsidR="00C60CF0" w:rsidRPr="00073DE5" w:rsidRDefault="00C60CF0" w:rsidP="00825D70">
      <w:pPr>
        <w:spacing w:before="0"/>
        <w:jc w:val="left"/>
        <w:rPr>
          <w:rStyle w:val="IntenseEmphasis"/>
          <w:b w:val="0"/>
          <w:sz w:val="16"/>
          <w:lang w:eastAsia="en-AU"/>
        </w:rPr>
      </w:pPr>
      <w:r>
        <w:rPr>
          <w:noProof/>
          <w:lang w:eastAsia="en-AU"/>
        </w:rPr>
        <w:drawing>
          <wp:inline distT="0" distB="0" distL="0" distR="0" wp14:anchorId="0E0B2D51" wp14:editId="5DD63449">
            <wp:extent cx="2643448" cy="2130157"/>
            <wp:effectExtent l="0" t="0" r="5080" b="3810"/>
            <wp:docPr id="728" name="Picture 728" descr="This illustrates the Modified Monash Model and density of the obstetric and gynaecological ultrasound subspecialist workforce within these areas. The obstetric and gynaecological ultrasound subspecialist workforce is located throughout Australia, except Tasmania and the ACT, and almost exclusively concentrated in metropolitan areas (91 per cent in MMM1). " title="Figure 37: obstetric and gynaecological ultrasound subspecialty workforce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45181" cy="2131554"/>
                    </a:xfrm>
                    <a:prstGeom prst="rect">
                      <a:avLst/>
                    </a:prstGeom>
                  </pic:spPr>
                </pic:pic>
              </a:graphicData>
            </a:graphic>
          </wp:inline>
        </w:drawing>
      </w:r>
      <w:r w:rsidRPr="00073DE5">
        <w:rPr>
          <w:rStyle w:val="IntenseEmphasis"/>
          <w:b w:val="0"/>
          <w:sz w:val="16"/>
        </w:rPr>
        <w:t>Source: NHWDS, Medical Practitioner 2016</w:t>
      </w:r>
    </w:p>
    <w:p w:rsidR="00C60CF0" w:rsidRPr="00A02039" w:rsidRDefault="00C60CF0" w:rsidP="00C60CF0">
      <w:pPr>
        <w:pStyle w:val="Heading4"/>
        <w:spacing w:before="0" w:after="0"/>
      </w:pPr>
      <w:r>
        <w:t>Hours worked</w:t>
      </w:r>
    </w:p>
    <w:p w:rsidR="00C60CF0" w:rsidRPr="00C60CF0" w:rsidRDefault="00D24820" w:rsidP="00C60CF0">
      <w:pPr>
        <w:rPr>
          <w:sz w:val="20"/>
        </w:rPr>
      </w:pPr>
      <w:r>
        <w:rPr>
          <w:sz w:val="20"/>
        </w:rPr>
        <w:t xml:space="preserve">Figure </w:t>
      </w:r>
      <w:r w:rsidR="002D709D">
        <w:rPr>
          <w:sz w:val="20"/>
        </w:rPr>
        <w:t xml:space="preserve">38 </w:t>
      </w:r>
      <w:r w:rsidR="00C60CF0" w:rsidRPr="00C60CF0">
        <w:rPr>
          <w:sz w:val="20"/>
        </w:rPr>
        <w:t>below shows the difference between the hours worked by the OGU workforce, by gender. There is a small difference between males and females; with males working fewer hours on average. As expected, for both males and females, the total hours are greater than the clinical hours and these are again greater than the specialist clinical hours. The difference between the total specialist (D) and specialist clinical (C) hours indicates the clinical support (non-clinical hours) component for the OGU workforce. On average 6.1 hours for males and 5.0 hours per week for females, is spent performing clinical support in OGU.</w:t>
      </w:r>
    </w:p>
    <w:p w:rsidR="00C60CF0" w:rsidRPr="00C00103" w:rsidRDefault="00C60CF0" w:rsidP="00C60CF0">
      <w:pPr>
        <w:pStyle w:val="Caption"/>
        <w:keepNext/>
        <w:rPr>
          <w:szCs w:val="22"/>
        </w:rPr>
      </w:pPr>
      <w:bookmarkStart w:id="178" w:name="_Ref455490225"/>
      <w:bookmarkStart w:id="179" w:name="_Toc515888842"/>
      <w:r w:rsidRPr="00C00103">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38</w:t>
      </w:r>
      <w:r w:rsidR="008C16B5">
        <w:rPr>
          <w:szCs w:val="22"/>
        </w:rPr>
        <w:fldChar w:fldCharType="end"/>
      </w:r>
      <w:bookmarkEnd w:id="178"/>
      <w:r>
        <w:rPr>
          <w:szCs w:val="22"/>
        </w:rPr>
        <w:t>:</w:t>
      </w:r>
      <w:r w:rsidRPr="00C00103">
        <w:rPr>
          <w:szCs w:val="22"/>
        </w:rPr>
        <w:t xml:space="preserve"> Average hours by total, clinical, specialist clinical and specialist total hours</w:t>
      </w:r>
      <w:bookmarkEnd w:id="179"/>
      <w:r w:rsidRPr="00C00103">
        <w:rPr>
          <w:szCs w:val="22"/>
        </w:rPr>
        <w:t xml:space="preserve"> </w:t>
      </w:r>
    </w:p>
    <w:p w:rsidR="00951F54" w:rsidRDefault="00951F54" w:rsidP="00C60CF0">
      <w:pPr>
        <w:spacing w:after="0"/>
        <w:rPr>
          <w:rFonts w:eastAsia="Calibri"/>
          <w:i/>
          <w:color w:val="4F81BD" w:themeColor="accent1"/>
          <w:sz w:val="16"/>
        </w:rPr>
      </w:pPr>
      <w:r>
        <w:rPr>
          <w:rFonts w:eastAsia="Calibri"/>
          <w:i/>
          <w:noProof/>
          <w:color w:val="4F81BD" w:themeColor="accent1"/>
          <w:sz w:val="16"/>
          <w:lang w:eastAsia="en-AU"/>
        </w:rPr>
        <w:drawing>
          <wp:inline distT="0" distB="0" distL="0" distR="0" wp14:anchorId="7DA0AB05" wp14:editId="17CDE6E4">
            <wp:extent cx="2615565" cy="2212975"/>
            <wp:effectExtent l="0" t="0" r="0" b="0"/>
            <wp:docPr id="26" name="Picture 26" descr="Shows the difference between the hours worked by the obstetric and gynaecological ultrasound subspecialist workforce, by gender. There is a small difference between males and females; with males working fewer hours on average. As expected, for both males and females, the total hours are greater than the clinical hours and these are again greater than the specialist clinical hours. The difference between the total specialist (D) and specialist clinical (C) hours indicates the clinical support (non-clinical hours) component for the obstetric and gynaecological ultrasound subspecialist workforce. On average 6.1 hours for males and 5.0 hours per week for females, is spent performing clinical support in obstetric and gynaecological ultrasound subspecialty." title="Figure 38: Average hours by total, clinical, specialist clinical and specialist tot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5565" cy="2212975"/>
                    </a:xfrm>
                    <a:prstGeom prst="rect">
                      <a:avLst/>
                    </a:prstGeom>
                    <a:noFill/>
                  </pic:spPr>
                </pic:pic>
              </a:graphicData>
            </a:graphic>
          </wp:inline>
        </w:drawing>
      </w:r>
    </w:p>
    <w:p w:rsidR="00C60CF0" w:rsidRPr="00E03027" w:rsidRDefault="00C60CF0" w:rsidP="00C60CF0">
      <w:pPr>
        <w:spacing w:after="0"/>
        <w:rPr>
          <w:rFonts w:eastAsia="Calibri"/>
          <w:i/>
          <w:color w:val="4F81BD" w:themeColor="accent1"/>
          <w:sz w:val="8"/>
          <w:szCs w:val="16"/>
        </w:rPr>
      </w:pPr>
      <w:r w:rsidRPr="00E03027">
        <w:rPr>
          <w:rFonts w:eastAsia="Calibri"/>
          <w:i/>
          <w:color w:val="4F81BD" w:themeColor="accent1"/>
          <w:sz w:val="16"/>
        </w:rPr>
        <w:t>Source: NHWDS, Medical Practitioner 2016</w:t>
      </w:r>
    </w:p>
    <w:p w:rsidR="00C60CF0" w:rsidRPr="00C60CF0" w:rsidRDefault="00C60CF0" w:rsidP="00C60CF0">
      <w:pPr>
        <w:rPr>
          <w:sz w:val="20"/>
        </w:rPr>
      </w:pPr>
      <w:bookmarkStart w:id="180" w:name="_Ref455490238"/>
      <w:r w:rsidRPr="00C60CF0">
        <w:rPr>
          <w:sz w:val="20"/>
        </w:rPr>
        <w:t xml:space="preserve">The difference between the total specialist hours (D) and clinical specialist hours (C) by </w:t>
      </w:r>
      <w:r w:rsidRPr="00C60CF0">
        <w:rPr>
          <w:sz w:val="20"/>
        </w:rPr>
        <w:lastRenderedPageBreak/>
        <w:t xml:space="preserve">gender and age group are shown in </w:t>
      </w:r>
      <w:r w:rsidR="00D24820">
        <w:rPr>
          <w:sz w:val="20"/>
        </w:rPr>
        <w:t xml:space="preserve">Figure </w:t>
      </w:r>
      <w:r w:rsidR="002D709D">
        <w:rPr>
          <w:sz w:val="20"/>
        </w:rPr>
        <w:t>39</w:t>
      </w:r>
      <w:r w:rsidRPr="00C60CF0">
        <w:rPr>
          <w:sz w:val="20"/>
        </w:rPr>
        <w:t>. The x-axis is assumed to be average hours worked (40 hours) and the bars in positive or negative position show the hours worked greater or less than 40 hours. Given that it is a relatively small workforce, the impact of one person will greatly affect the difference in the graph below. Nonetheless the total specialist hours tend to be greater than the clinical specialist hours for both females and males across all the age groups. This indicates that both males and females do clinical support work in the form of non-clinical hours at 6.1 and 4.1 hours respectively.</w:t>
      </w:r>
    </w:p>
    <w:p w:rsidR="00C60CF0" w:rsidRPr="00CC5C72" w:rsidRDefault="00C60CF0" w:rsidP="00C60CF0">
      <w:pPr>
        <w:pStyle w:val="Caption"/>
        <w:keepNext/>
        <w:rPr>
          <w:szCs w:val="22"/>
        </w:rPr>
      </w:pPr>
      <w:bookmarkStart w:id="181" w:name="_Ref487724181"/>
      <w:bookmarkStart w:id="182" w:name="_Toc515888843"/>
      <w:r w:rsidRPr="00C00103">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39</w:t>
      </w:r>
      <w:r w:rsidR="008C16B5">
        <w:rPr>
          <w:szCs w:val="22"/>
        </w:rPr>
        <w:fldChar w:fldCharType="end"/>
      </w:r>
      <w:bookmarkEnd w:id="180"/>
      <w:bookmarkEnd w:id="181"/>
      <w:r>
        <w:rPr>
          <w:szCs w:val="22"/>
        </w:rPr>
        <w:t>:</w:t>
      </w:r>
      <w:r w:rsidRPr="00CC5C72">
        <w:rPr>
          <w:szCs w:val="22"/>
        </w:rPr>
        <w:t xml:space="preserve"> </w:t>
      </w:r>
      <w:r>
        <w:rPr>
          <w:szCs w:val="22"/>
        </w:rPr>
        <w:t>Difference between t</w:t>
      </w:r>
      <w:r w:rsidRPr="00CC5C72">
        <w:rPr>
          <w:szCs w:val="22"/>
        </w:rPr>
        <w:t xml:space="preserve">otal specialist and clinical specialist hour’s </w:t>
      </w:r>
      <w:r>
        <w:rPr>
          <w:szCs w:val="22"/>
        </w:rPr>
        <w:t xml:space="preserve">from average hours </w:t>
      </w:r>
      <w:r w:rsidRPr="00CC5C72">
        <w:rPr>
          <w:szCs w:val="22"/>
        </w:rPr>
        <w:t xml:space="preserve">by </w:t>
      </w:r>
      <w:r>
        <w:rPr>
          <w:szCs w:val="22"/>
        </w:rPr>
        <w:t>age groups and gender</w:t>
      </w:r>
      <w:bookmarkEnd w:id="182"/>
    </w:p>
    <w:p w:rsidR="00825D70" w:rsidRDefault="003B279B" w:rsidP="00825D70">
      <w:pPr>
        <w:rPr>
          <w:rFonts w:eastAsia="Calibri"/>
        </w:rPr>
      </w:pPr>
      <w:r>
        <w:rPr>
          <w:rFonts w:eastAsia="Calibri"/>
          <w:noProof/>
          <w:lang w:eastAsia="en-AU"/>
        </w:rPr>
        <w:drawing>
          <wp:inline distT="0" distB="0" distL="0" distR="0" wp14:anchorId="511F66E9" wp14:editId="3CBBC752">
            <wp:extent cx="2767965" cy="2103120"/>
            <wp:effectExtent l="0" t="0" r="0" b="0"/>
            <wp:docPr id="694" name="Picture 694" descr="This figure shows the difference between the total specialist hours (D) and clinical specialist hours (C) by gender and age group. The x-axis is assumed to be average hours worked (40 hours) and the bars in positive or negative position show the hours worked greater or less than 40 hours. Given that it is a relatively small workforce, the impact of one person will greatly affect the difference. Nonetheless the total specialist hours tend to be greater than the clinical specialist hours for both females and males across all the age groups. This indicates that both males and females do clinical support work in the form of non-clinical hours at 6.1 and 4.1 hours respectively." title="Figure 39: Difference between total specialist and clinical specialist hour’s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7965" cy="2103120"/>
                    </a:xfrm>
                    <a:prstGeom prst="rect">
                      <a:avLst/>
                    </a:prstGeom>
                    <a:noFill/>
                  </pic:spPr>
                </pic:pic>
              </a:graphicData>
            </a:graphic>
          </wp:inline>
        </w:drawing>
      </w:r>
    </w:p>
    <w:p w:rsidR="00C60CF0" w:rsidRDefault="00C60CF0" w:rsidP="001A3939">
      <w:pPr>
        <w:pStyle w:val="Heading5"/>
        <w:spacing w:after="120"/>
        <w:rPr>
          <w:rFonts w:eastAsia="Calibri"/>
        </w:rPr>
      </w:pPr>
      <w:r w:rsidRPr="00825DE5">
        <w:rPr>
          <w:rFonts w:eastAsia="Calibri"/>
        </w:rPr>
        <w:t>Source: NHWDS, M</w:t>
      </w:r>
      <w:r>
        <w:rPr>
          <w:rFonts w:eastAsia="Calibri"/>
        </w:rPr>
        <w:t>edical Practitioner 2016</w:t>
      </w:r>
    </w:p>
    <w:p w:rsidR="00C60CF0" w:rsidRPr="00C60CF0" w:rsidRDefault="00C60CF0" w:rsidP="00985952">
      <w:pPr>
        <w:spacing w:before="0"/>
        <w:rPr>
          <w:sz w:val="20"/>
        </w:rPr>
      </w:pPr>
      <w:r w:rsidRPr="00C60CF0">
        <w:rPr>
          <w:sz w:val="20"/>
        </w:rPr>
        <w:t xml:space="preserve">The average total specialist hours worked by states and territories is shown below OGU subspecialists in WA tend to work more than the national average (45.2 hours), while those in </w:t>
      </w:r>
      <w:r w:rsidR="004D2DDD">
        <w:rPr>
          <w:sz w:val="20"/>
        </w:rPr>
        <w:t>QLD</w:t>
      </w:r>
      <w:r w:rsidRPr="00C60CF0">
        <w:rPr>
          <w:sz w:val="20"/>
        </w:rPr>
        <w:t xml:space="preserve">, SA, NSW and the NT tended to work less than the national average. There were no OGU subspecialists in </w:t>
      </w:r>
      <w:r w:rsidR="004D2DDD">
        <w:rPr>
          <w:sz w:val="20"/>
        </w:rPr>
        <w:t>TAS</w:t>
      </w:r>
      <w:r w:rsidR="004D2DDD" w:rsidRPr="00C60CF0">
        <w:rPr>
          <w:sz w:val="20"/>
        </w:rPr>
        <w:t xml:space="preserve"> </w:t>
      </w:r>
      <w:r w:rsidRPr="00C60CF0">
        <w:rPr>
          <w:sz w:val="20"/>
        </w:rPr>
        <w:t>or the ACT.</w:t>
      </w:r>
    </w:p>
    <w:p w:rsidR="00C60CF0" w:rsidRPr="00C00103" w:rsidRDefault="00C60CF0" w:rsidP="00C60CF0">
      <w:pPr>
        <w:pStyle w:val="Caption"/>
        <w:keepNext/>
        <w:rPr>
          <w:szCs w:val="22"/>
        </w:rPr>
      </w:pPr>
      <w:bookmarkStart w:id="183" w:name="_Ref455490269"/>
      <w:bookmarkStart w:id="184" w:name="_Toc515888844"/>
      <w:r w:rsidRPr="00C00103">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40</w:t>
      </w:r>
      <w:r w:rsidR="008C16B5">
        <w:rPr>
          <w:szCs w:val="22"/>
        </w:rPr>
        <w:fldChar w:fldCharType="end"/>
      </w:r>
      <w:bookmarkEnd w:id="183"/>
      <w:r>
        <w:rPr>
          <w:szCs w:val="22"/>
        </w:rPr>
        <w:t>:</w:t>
      </w:r>
      <w:r w:rsidRPr="00C00103">
        <w:rPr>
          <w:szCs w:val="22"/>
        </w:rPr>
        <w:t xml:space="preserve"> Average total specialist hours by states and territories</w:t>
      </w:r>
      <w:bookmarkEnd w:id="184"/>
    </w:p>
    <w:p w:rsidR="003B279B" w:rsidRDefault="003B279B" w:rsidP="00985952">
      <w:pPr>
        <w:spacing w:before="0"/>
        <w:rPr>
          <w:rFonts w:eastAsia="Calibri"/>
          <w:i/>
          <w:color w:val="1F497D" w:themeColor="text2"/>
          <w:sz w:val="16"/>
        </w:rPr>
      </w:pPr>
      <w:r>
        <w:rPr>
          <w:rFonts w:eastAsia="Calibri"/>
          <w:i/>
          <w:noProof/>
          <w:color w:val="1F497D" w:themeColor="text2"/>
          <w:sz w:val="16"/>
          <w:lang w:eastAsia="en-AU"/>
        </w:rPr>
        <w:drawing>
          <wp:inline distT="0" distB="0" distL="0" distR="0" wp14:anchorId="0ADA63FE" wp14:editId="773ABA85">
            <wp:extent cx="2761615" cy="1945005"/>
            <wp:effectExtent l="0" t="0" r="635" b="0"/>
            <wp:docPr id="702" name="Picture 702" descr="The average total specialist hours worked by states and territories is shown in this figure. Obstetrics and gynaecological ultrasound subspecialists in WA tend to work more than the national average (45.2 hours), while those in QLD, SA, NSW and the NT tended to work less than the national average. There were no obstetrics and gynaecological ultrasound subspecialists in TAS or the ACT." title="Figure 40: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1615" cy="1945005"/>
                    </a:xfrm>
                    <a:prstGeom prst="rect">
                      <a:avLst/>
                    </a:prstGeom>
                    <a:noFill/>
                  </pic:spPr>
                </pic:pic>
              </a:graphicData>
            </a:graphic>
          </wp:inline>
        </w:drawing>
      </w:r>
    </w:p>
    <w:p w:rsidR="00C60CF0" w:rsidRPr="00FC5E0B" w:rsidRDefault="00C60CF0" w:rsidP="00985952">
      <w:pPr>
        <w:spacing w:before="0"/>
        <w:rPr>
          <w:rFonts w:eastAsia="Calibri"/>
          <w:i/>
          <w:color w:val="1F497D" w:themeColor="text2"/>
          <w:sz w:val="16"/>
        </w:rPr>
      </w:pPr>
      <w:r w:rsidRPr="00FC5E0B">
        <w:rPr>
          <w:rFonts w:eastAsia="Calibri"/>
          <w:i/>
          <w:color w:val="1F497D" w:themeColor="text2"/>
          <w:sz w:val="16"/>
        </w:rPr>
        <w:t>Source: NHWDS, Medical Practitioner 2016</w:t>
      </w:r>
    </w:p>
    <w:p w:rsidR="00C60CF0" w:rsidRPr="00C60CF0" w:rsidRDefault="00985952" w:rsidP="00C60CF0">
      <w:pPr>
        <w:rPr>
          <w:sz w:val="20"/>
        </w:rPr>
      </w:pPr>
      <w:r>
        <w:rPr>
          <w:sz w:val="20"/>
        </w:rPr>
        <w:lastRenderedPageBreak/>
        <w:t xml:space="preserve">Figure </w:t>
      </w:r>
      <w:r w:rsidR="004D2DDD">
        <w:rPr>
          <w:sz w:val="20"/>
        </w:rPr>
        <w:t>4</w:t>
      </w:r>
      <w:r w:rsidR="002D709D">
        <w:rPr>
          <w:sz w:val="20"/>
        </w:rPr>
        <w:t>1</w:t>
      </w:r>
      <w:r w:rsidR="004D2DDD">
        <w:rPr>
          <w:sz w:val="20"/>
        </w:rPr>
        <w:t xml:space="preserve"> </w:t>
      </w:r>
      <w:r w:rsidR="00C60CF0" w:rsidRPr="00C60CF0">
        <w:rPr>
          <w:sz w:val="20"/>
        </w:rPr>
        <w:t>shows that, on average, OGU subspecialist are located in M</w:t>
      </w:r>
      <w:r>
        <w:rPr>
          <w:sz w:val="20"/>
        </w:rPr>
        <w:t>M</w:t>
      </w:r>
      <w:r w:rsidR="00C60CF0" w:rsidRPr="00C60CF0">
        <w:rPr>
          <w:sz w:val="20"/>
        </w:rPr>
        <w:t>M4 and work the most total specialist hours. There were no OGU subspecialists in remote areas (M</w:t>
      </w:r>
      <w:r>
        <w:rPr>
          <w:sz w:val="20"/>
        </w:rPr>
        <w:t>M</w:t>
      </w:r>
      <w:r w:rsidR="00C60CF0" w:rsidRPr="00C60CF0">
        <w:rPr>
          <w:sz w:val="20"/>
        </w:rPr>
        <w:t>M3 and M</w:t>
      </w:r>
      <w:r>
        <w:rPr>
          <w:sz w:val="20"/>
        </w:rPr>
        <w:t>M</w:t>
      </w:r>
      <w:r w:rsidR="00C60CF0" w:rsidRPr="00C60CF0">
        <w:rPr>
          <w:sz w:val="20"/>
        </w:rPr>
        <w:t>M5 - M</w:t>
      </w:r>
      <w:r>
        <w:rPr>
          <w:sz w:val="20"/>
        </w:rPr>
        <w:t>M</w:t>
      </w:r>
      <w:r w:rsidR="00C60CF0" w:rsidRPr="00C60CF0">
        <w:rPr>
          <w:sz w:val="20"/>
        </w:rPr>
        <w:t xml:space="preserve">M7). </w:t>
      </w:r>
    </w:p>
    <w:p w:rsidR="00C60CF0" w:rsidRPr="00C00103" w:rsidRDefault="00C60CF0" w:rsidP="00C60CF0">
      <w:pPr>
        <w:pStyle w:val="Caption"/>
        <w:keepNext/>
        <w:rPr>
          <w:szCs w:val="22"/>
        </w:rPr>
      </w:pPr>
      <w:bookmarkStart w:id="185" w:name="_Ref455490283"/>
      <w:bookmarkStart w:id="186" w:name="_Toc515888845"/>
      <w:r w:rsidRPr="00C00103">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41</w:t>
      </w:r>
      <w:r w:rsidR="008C16B5">
        <w:rPr>
          <w:szCs w:val="22"/>
        </w:rPr>
        <w:fldChar w:fldCharType="end"/>
      </w:r>
      <w:bookmarkEnd w:id="185"/>
      <w:r>
        <w:rPr>
          <w:szCs w:val="22"/>
        </w:rPr>
        <w:t>:</w:t>
      </w:r>
      <w:r w:rsidRPr="00C00103">
        <w:rPr>
          <w:szCs w:val="22"/>
        </w:rPr>
        <w:t xml:space="preserve"> </w:t>
      </w:r>
      <w:r w:rsidRPr="00F23728">
        <w:t>Average</w:t>
      </w:r>
      <w:r>
        <w:t xml:space="preserve"> total </w:t>
      </w:r>
      <w:r w:rsidRPr="00F23728">
        <w:t>specialist hours by</w:t>
      </w:r>
      <w:r>
        <w:t xml:space="preserve"> MMM</w:t>
      </w:r>
      <w:bookmarkEnd w:id="186"/>
    </w:p>
    <w:p w:rsidR="00825D70" w:rsidRDefault="003B279B" w:rsidP="00825D70">
      <w:pPr>
        <w:rPr>
          <w:rFonts w:eastAsia="Calibri"/>
        </w:rPr>
      </w:pPr>
      <w:r>
        <w:rPr>
          <w:rFonts w:eastAsia="Calibri"/>
          <w:noProof/>
          <w:lang w:eastAsia="en-AU"/>
        </w:rPr>
        <w:drawing>
          <wp:inline distT="0" distB="0" distL="0" distR="0" wp14:anchorId="231289D0" wp14:editId="193DB008">
            <wp:extent cx="2651760" cy="2292350"/>
            <wp:effectExtent l="0" t="0" r="0" b="0"/>
            <wp:docPr id="708" name="Picture 708" descr="Shows that, on average, obstetric and gynaecological ultrasound subspecialists are located in Modified Monash Model 4 and work the most total specialist hours. There were no obstetric and gynaecological ultrasound subspecialists in remote areas (MMM3 and MMM5 - MMM7)." title="Figure 41: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1760" cy="2292350"/>
                    </a:xfrm>
                    <a:prstGeom prst="rect">
                      <a:avLst/>
                    </a:prstGeom>
                    <a:noFill/>
                  </pic:spPr>
                </pic:pic>
              </a:graphicData>
            </a:graphic>
          </wp:inline>
        </w:drawing>
      </w:r>
    </w:p>
    <w:p w:rsidR="00C60CF0" w:rsidRPr="00F41B02" w:rsidRDefault="00C60CF0" w:rsidP="00F41B02">
      <w:pPr>
        <w:pStyle w:val="Heading5"/>
      </w:pPr>
      <w:r w:rsidRPr="00825DE5">
        <w:rPr>
          <w:rFonts w:eastAsia="Calibri"/>
        </w:rPr>
        <w:t xml:space="preserve">Source: </w:t>
      </w:r>
      <w:r>
        <w:rPr>
          <w:rFonts w:eastAsia="Calibri"/>
        </w:rPr>
        <w:t>NHWDS, Medical Practitioner 2016</w:t>
      </w:r>
    </w:p>
    <w:p w:rsidR="00C60CF0" w:rsidRPr="00C60CF0" w:rsidRDefault="00C60CF0" w:rsidP="00C60CF0">
      <w:pPr>
        <w:rPr>
          <w:sz w:val="20"/>
        </w:rPr>
      </w:pPr>
      <w:r w:rsidRPr="00C60CF0">
        <w:rPr>
          <w:sz w:val="20"/>
        </w:rPr>
        <w:fldChar w:fldCharType="begin"/>
      </w:r>
      <w:r w:rsidRPr="00C60CF0">
        <w:rPr>
          <w:sz w:val="20"/>
        </w:rPr>
        <w:instrText xml:space="preserve"> REF _Ref455490334 \h </w:instrText>
      </w:r>
      <w:r>
        <w:rPr>
          <w:sz w:val="20"/>
        </w:rPr>
        <w:instrText xml:space="preserve"> \* MERGEFORMAT </w:instrText>
      </w:r>
      <w:r w:rsidRPr="00C60CF0">
        <w:rPr>
          <w:sz w:val="20"/>
        </w:rPr>
      </w:r>
      <w:r w:rsidRPr="00C60CF0">
        <w:rPr>
          <w:sz w:val="20"/>
        </w:rPr>
        <w:fldChar w:fldCharType="separate"/>
      </w:r>
      <w:r w:rsidR="008C7087" w:rsidRPr="008C7087">
        <w:rPr>
          <w:sz w:val="20"/>
          <w:szCs w:val="22"/>
        </w:rPr>
        <w:t xml:space="preserve">Table </w:t>
      </w:r>
      <w:r w:rsidR="008C7087" w:rsidRPr="008C7087">
        <w:rPr>
          <w:noProof/>
          <w:sz w:val="20"/>
          <w:szCs w:val="22"/>
        </w:rPr>
        <w:t>17</w:t>
      </w:r>
      <w:r w:rsidRPr="00C60CF0">
        <w:rPr>
          <w:sz w:val="20"/>
        </w:rPr>
        <w:fldChar w:fldCharType="end"/>
      </w:r>
      <w:r w:rsidRPr="00C60CF0">
        <w:rPr>
          <w:sz w:val="20"/>
        </w:rPr>
        <w:t xml:space="preserve"> indicates OGUs clinical workload between sectors and jurisdictions. The data shows, on average the majority of OGU subspecialists FTE is spent in the private sector (75 per cent) with 25 per cent in the public sector, although this varies greatly by jurisdiction. NSW had the highest proportion of clinical FTE in the private sector (81 per cent) while NT, </w:t>
      </w:r>
      <w:r w:rsidR="004D2DDD">
        <w:rPr>
          <w:sz w:val="20"/>
        </w:rPr>
        <w:t>TAS</w:t>
      </w:r>
      <w:r w:rsidR="004D2DDD" w:rsidRPr="00C60CF0">
        <w:rPr>
          <w:sz w:val="20"/>
        </w:rPr>
        <w:t xml:space="preserve"> </w:t>
      </w:r>
      <w:r w:rsidRPr="00C60CF0">
        <w:rPr>
          <w:sz w:val="20"/>
        </w:rPr>
        <w:t>and ACT had none. The vast majority of OGUs are located in VIC (65 per cent).</w:t>
      </w:r>
    </w:p>
    <w:p w:rsidR="00C60CF0" w:rsidRPr="00C60CF0" w:rsidRDefault="00C60CF0" w:rsidP="00C60CF0">
      <w:pPr>
        <w:pStyle w:val="Caption"/>
        <w:keepNext/>
        <w:rPr>
          <w:szCs w:val="22"/>
        </w:rPr>
      </w:pPr>
      <w:bookmarkStart w:id="187" w:name="_Ref455490334"/>
      <w:bookmarkStart w:id="188" w:name="_Ref455490313"/>
      <w:bookmarkStart w:id="189" w:name="_Toc515887838"/>
      <w:r w:rsidRPr="00C60CF0">
        <w:rPr>
          <w:szCs w:val="22"/>
        </w:rPr>
        <w:t xml:space="preserve">Table </w:t>
      </w:r>
      <w:r w:rsidRPr="00C60CF0">
        <w:rPr>
          <w:szCs w:val="22"/>
        </w:rPr>
        <w:fldChar w:fldCharType="begin"/>
      </w:r>
      <w:r w:rsidRPr="00C60CF0">
        <w:rPr>
          <w:szCs w:val="22"/>
        </w:rPr>
        <w:instrText xml:space="preserve"> SEQ Table \* ARABIC </w:instrText>
      </w:r>
      <w:r w:rsidRPr="00C60CF0">
        <w:rPr>
          <w:szCs w:val="22"/>
        </w:rPr>
        <w:fldChar w:fldCharType="separate"/>
      </w:r>
      <w:r w:rsidR="008C7087">
        <w:rPr>
          <w:noProof/>
          <w:szCs w:val="22"/>
        </w:rPr>
        <w:t>17</w:t>
      </w:r>
      <w:r w:rsidRPr="00C60CF0">
        <w:rPr>
          <w:szCs w:val="22"/>
        </w:rPr>
        <w:fldChar w:fldCharType="end"/>
      </w:r>
      <w:bookmarkEnd w:id="187"/>
      <w:r w:rsidRPr="00C60CF0">
        <w:rPr>
          <w:szCs w:val="22"/>
        </w:rPr>
        <w:t>: OGU clinicians (headcount and sector: proportion of specialist clinical FTE in public and private) by state and territory</w:t>
      </w:r>
      <w:bookmarkEnd w:id="188"/>
      <w:bookmarkEnd w:id="189"/>
    </w:p>
    <w:tbl>
      <w:tblPr>
        <w:tblStyle w:val="TableGrid"/>
        <w:tblW w:w="0" w:type="auto"/>
        <w:tblBorders>
          <w:insideH w:val="none" w:sz="0" w:space="0" w:color="auto"/>
          <w:insideV w:val="none" w:sz="0" w:space="0" w:color="auto"/>
        </w:tblBorders>
        <w:tblLook w:val="04A0" w:firstRow="1" w:lastRow="0" w:firstColumn="1" w:lastColumn="0" w:noHBand="0" w:noVBand="1"/>
        <w:tblCaption w:val="Table 17: Obstetric and gynaecological clinicians (headcount and sector: proportion of specialist clinical Full Time Equivalent in public and private) by state and territory"/>
        <w:tblDescription w:val="Obstetric and gynaecological subspecialists clinical workload between sectors and jurisdictions. The data shows, on average the majority of obstetric and gynaecological subspecialists full time equivalent is spent in the private sector (75 per cent) with 25 per cent in the public sector, although this varies greatly by jurisdiction. NSW had the highest proportion of clinical full time equivalent in the private sector (81 per cent) while NT, TAS and ACT had none. The vast majority of obstetric and gynaecological subspecialists are located in VIC (65 per cent)."/>
      </w:tblPr>
      <w:tblGrid>
        <w:gridCol w:w="1047"/>
        <w:gridCol w:w="1028"/>
        <w:gridCol w:w="1150"/>
        <w:gridCol w:w="1150"/>
      </w:tblGrid>
      <w:tr w:rsidR="00070C15" w:rsidTr="008D0421">
        <w:trPr>
          <w:trHeight w:val="1368"/>
          <w:tblHeader/>
        </w:trPr>
        <w:tc>
          <w:tcPr>
            <w:tcW w:w="1047" w:type="dxa"/>
            <w:shd w:val="clear" w:color="auto" w:fill="1F497D"/>
            <w:textDirection w:val="btLr"/>
            <w:vAlign w:val="center"/>
          </w:tcPr>
          <w:p w:rsidR="00070C15" w:rsidRPr="00171591" w:rsidRDefault="00070C15" w:rsidP="00F05062">
            <w:pPr>
              <w:spacing w:before="0" w:after="0"/>
              <w:ind w:left="113" w:right="113"/>
              <w:jc w:val="center"/>
              <w:rPr>
                <w:b/>
                <w:bCs/>
                <w:color w:val="FFFFFF"/>
                <w:sz w:val="20"/>
                <w:szCs w:val="20"/>
                <w:lang w:eastAsia="en-AU"/>
              </w:rPr>
            </w:pPr>
            <w:r w:rsidRPr="00C2365E">
              <w:rPr>
                <w:b/>
                <w:color w:val="FFFFFF"/>
                <w:sz w:val="20"/>
                <w:szCs w:val="20"/>
                <w:lang w:eastAsia="en-AU"/>
              </w:rPr>
              <w:t>State and Territories</w:t>
            </w:r>
          </w:p>
        </w:tc>
        <w:tc>
          <w:tcPr>
            <w:tcW w:w="1028" w:type="dxa"/>
            <w:shd w:val="clear" w:color="auto" w:fill="1F497D"/>
            <w:textDirection w:val="btLr"/>
            <w:vAlign w:val="center"/>
          </w:tcPr>
          <w:p w:rsidR="00070C15" w:rsidRPr="00171591" w:rsidRDefault="00070C15" w:rsidP="00F05062">
            <w:pPr>
              <w:spacing w:before="0" w:after="0"/>
              <w:ind w:left="113" w:right="113"/>
              <w:jc w:val="center"/>
              <w:rPr>
                <w:b/>
                <w:bCs/>
                <w:color w:val="FFFFFF"/>
                <w:sz w:val="20"/>
                <w:szCs w:val="20"/>
                <w:lang w:eastAsia="en-AU"/>
              </w:rPr>
            </w:pPr>
            <w:r w:rsidRPr="00171591">
              <w:rPr>
                <w:b/>
                <w:bCs/>
                <w:color w:val="FFFFFF"/>
                <w:sz w:val="20"/>
                <w:szCs w:val="20"/>
                <w:lang w:eastAsia="en-AU"/>
              </w:rPr>
              <w:t>Headcount</w:t>
            </w:r>
          </w:p>
        </w:tc>
        <w:tc>
          <w:tcPr>
            <w:tcW w:w="1150" w:type="dxa"/>
            <w:shd w:val="clear" w:color="auto" w:fill="1F497D"/>
            <w:vAlign w:val="center"/>
          </w:tcPr>
          <w:p w:rsidR="00070C15" w:rsidRDefault="00070C15"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070C15" w:rsidRPr="00171591" w:rsidRDefault="00070C15" w:rsidP="00F05062">
            <w:pPr>
              <w:spacing w:before="0" w:after="0"/>
              <w:jc w:val="center"/>
              <w:rPr>
                <w:b/>
                <w:bCs/>
                <w:color w:val="FFFFFF"/>
                <w:sz w:val="20"/>
                <w:szCs w:val="20"/>
                <w:lang w:eastAsia="en-AU"/>
              </w:rPr>
            </w:pPr>
            <w:r w:rsidRPr="00171591">
              <w:rPr>
                <w:b/>
                <w:bCs/>
                <w:color w:val="FFFFFF"/>
                <w:sz w:val="20"/>
                <w:szCs w:val="20"/>
                <w:lang w:eastAsia="en-AU"/>
              </w:rPr>
              <w:t>% Public</w:t>
            </w:r>
          </w:p>
        </w:tc>
        <w:tc>
          <w:tcPr>
            <w:tcW w:w="1150" w:type="dxa"/>
            <w:shd w:val="clear" w:color="auto" w:fill="1F497D"/>
            <w:vAlign w:val="center"/>
          </w:tcPr>
          <w:p w:rsidR="00070C15" w:rsidRDefault="00070C15"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070C15" w:rsidRPr="00171591" w:rsidRDefault="00070C15" w:rsidP="00F05062">
            <w:pPr>
              <w:spacing w:before="0" w:after="0"/>
              <w:jc w:val="center"/>
              <w:rPr>
                <w:b/>
                <w:bCs/>
                <w:color w:val="FFFFFF"/>
                <w:sz w:val="20"/>
                <w:szCs w:val="20"/>
                <w:lang w:eastAsia="en-AU"/>
              </w:rPr>
            </w:pPr>
            <w:r w:rsidRPr="00171591">
              <w:rPr>
                <w:b/>
                <w:bCs/>
                <w:color w:val="FFFFFF"/>
                <w:sz w:val="20"/>
                <w:szCs w:val="20"/>
                <w:lang w:eastAsia="en-AU"/>
              </w:rPr>
              <w:t>% Private</w:t>
            </w:r>
          </w:p>
        </w:tc>
      </w:tr>
      <w:tr w:rsidR="00070C15" w:rsidTr="008D0421">
        <w:trPr>
          <w:trHeight w:val="227"/>
        </w:trPr>
        <w:tc>
          <w:tcPr>
            <w:tcW w:w="1047" w:type="dxa"/>
            <w:vAlign w:val="center"/>
          </w:tcPr>
          <w:p w:rsidR="00070C15" w:rsidRPr="00985952" w:rsidRDefault="00070C15" w:rsidP="00F05062">
            <w:pPr>
              <w:spacing w:before="0" w:after="0"/>
              <w:jc w:val="left"/>
              <w:rPr>
                <w:sz w:val="18"/>
                <w:szCs w:val="20"/>
                <w:lang w:eastAsia="en-AU"/>
              </w:rPr>
            </w:pPr>
            <w:r w:rsidRPr="00985952">
              <w:rPr>
                <w:sz w:val="18"/>
                <w:szCs w:val="20"/>
                <w:lang w:eastAsia="en-AU"/>
              </w:rPr>
              <w:t>NSW</w:t>
            </w:r>
          </w:p>
        </w:tc>
        <w:tc>
          <w:tcPr>
            <w:tcW w:w="1028" w:type="dxa"/>
            <w:vAlign w:val="center"/>
          </w:tcPr>
          <w:p w:rsidR="00070C15" w:rsidRPr="00985952" w:rsidRDefault="00070C15" w:rsidP="00F05062">
            <w:pPr>
              <w:spacing w:before="0" w:after="0"/>
              <w:jc w:val="center"/>
              <w:rPr>
                <w:sz w:val="18"/>
                <w:szCs w:val="20"/>
                <w:lang w:eastAsia="en-AU"/>
              </w:rPr>
            </w:pPr>
            <w:r w:rsidRPr="00985952">
              <w:rPr>
                <w:sz w:val="18"/>
                <w:szCs w:val="20"/>
                <w:lang w:eastAsia="en-AU"/>
              </w:rPr>
              <w:t>12</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19.3</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80.7</w:t>
            </w:r>
          </w:p>
        </w:tc>
      </w:tr>
      <w:tr w:rsidR="00070C15" w:rsidTr="008D0421">
        <w:trPr>
          <w:trHeight w:val="227"/>
        </w:trPr>
        <w:tc>
          <w:tcPr>
            <w:tcW w:w="1047" w:type="dxa"/>
            <w:shd w:val="clear" w:color="auto" w:fill="D3DFEE"/>
            <w:vAlign w:val="center"/>
          </w:tcPr>
          <w:p w:rsidR="00070C15" w:rsidRPr="00985952" w:rsidRDefault="00070C15" w:rsidP="00F05062">
            <w:pPr>
              <w:spacing w:before="0" w:after="0"/>
              <w:jc w:val="left"/>
              <w:rPr>
                <w:sz w:val="18"/>
                <w:szCs w:val="20"/>
                <w:lang w:eastAsia="en-AU"/>
              </w:rPr>
            </w:pPr>
            <w:r w:rsidRPr="00985952">
              <w:rPr>
                <w:sz w:val="18"/>
                <w:szCs w:val="20"/>
                <w:lang w:eastAsia="en-AU"/>
              </w:rPr>
              <w:t>QLD</w:t>
            </w:r>
          </w:p>
        </w:tc>
        <w:tc>
          <w:tcPr>
            <w:tcW w:w="1028" w:type="dxa"/>
            <w:shd w:val="clear" w:color="auto" w:fill="D3DFEE"/>
            <w:vAlign w:val="center"/>
          </w:tcPr>
          <w:p w:rsidR="00070C15" w:rsidRPr="00985952" w:rsidRDefault="00070C15" w:rsidP="00F05062">
            <w:pPr>
              <w:spacing w:before="0" w:after="0"/>
              <w:jc w:val="center"/>
              <w:rPr>
                <w:sz w:val="18"/>
                <w:szCs w:val="20"/>
                <w:lang w:eastAsia="en-AU"/>
              </w:rPr>
            </w:pPr>
            <w:r w:rsidRPr="00985952">
              <w:rPr>
                <w:sz w:val="18"/>
                <w:szCs w:val="20"/>
                <w:lang w:eastAsia="en-AU"/>
              </w:rPr>
              <w:t>5</w:t>
            </w:r>
          </w:p>
        </w:tc>
        <w:tc>
          <w:tcPr>
            <w:tcW w:w="1150" w:type="dxa"/>
            <w:shd w:val="clear" w:color="auto" w:fill="D3DFEE"/>
            <w:vAlign w:val="center"/>
          </w:tcPr>
          <w:p w:rsidR="00070C15" w:rsidRPr="00985952" w:rsidRDefault="00070C15" w:rsidP="00F05062">
            <w:pPr>
              <w:spacing w:before="0" w:after="0"/>
              <w:jc w:val="right"/>
              <w:rPr>
                <w:sz w:val="18"/>
                <w:szCs w:val="20"/>
                <w:lang w:eastAsia="en-AU"/>
              </w:rPr>
            </w:pPr>
            <w:r w:rsidRPr="00985952">
              <w:rPr>
                <w:sz w:val="18"/>
                <w:szCs w:val="20"/>
                <w:lang w:eastAsia="en-AU"/>
              </w:rPr>
              <w:t>42.6</w:t>
            </w:r>
          </w:p>
        </w:tc>
        <w:tc>
          <w:tcPr>
            <w:tcW w:w="1150" w:type="dxa"/>
            <w:shd w:val="clear" w:color="auto" w:fill="D3DFEE"/>
            <w:vAlign w:val="center"/>
          </w:tcPr>
          <w:p w:rsidR="00070C15" w:rsidRPr="00985952" w:rsidRDefault="00070C15" w:rsidP="00F05062">
            <w:pPr>
              <w:spacing w:before="0" w:after="0"/>
              <w:jc w:val="right"/>
              <w:rPr>
                <w:sz w:val="18"/>
                <w:szCs w:val="20"/>
                <w:lang w:eastAsia="en-AU"/>
              </w:rPr>
            </w:pPr>
            <w:r w:rsidRPr="00985952">
              <w:rPr>
                <w:sz w:val="18"/>
                <w:szCs w:val="20"/>
                <w:lang w:eastAsia="en-AU"/>
              </w:rPr>
              <w:t>57.4</w:t>
            </w:r>
          </w:p>
        </w:tc>
      </w:tr>
      <w:tr w:rsidR="00070C15" w:rsidTr="008D0421">
        <w:trPr>
          <w:trHeight w:val="227"/>
        </w:trPr>
        <w:tc>
          <w:tcPr>
            <w:tcW w:w="1047" w:type="dxa"/>
            <w:vAlign w:val="center"/>
          </w:tcPr>
          <w:p w:rsidR="00070C15" w:rsidRPr="00985952" w:rsidRDefault="00070C15" w:rsidP="00F05062">
            <w:pPr>
              <w:spacing w:before="0" w:after="0"/>
              <w:jc w:val="left"/>
              <w:rPr>
                <w:sz w:val="18"/>
                <w:szCs w:val="20"/>
                <w:lang w:eastAsia="en-AU"/>
              </w:rPr>
            </w:pPr>
            <w:r w:rsidRPr="00985952">
              <w:rPr>
                <w:sz w:val="18"/>
                <w:szCs w:val="20"/>
                <w:lang w:eastAsia="en-AU"/>
              </w:rPr>
              <w:t>SA</w:t>
            </w:r>
          </w:p>
        </w:tc>
        <w:tc>
          <w:tcPr>
            <w:tcW w:w="1028" w:type="dxa"/>
            <w:vAlign w:val="center"/>
          </w:tcPr>
          <w:p w:rsidR="00070C15" w:rsidRPr="00985952" w:rsidRDefault="00070C15" w:rsidP="00F05062">
            <w:pPr>
              <w:spacing w:before="0" w:after="0"/>
              <w:jc w:val="center"/>
              <w:rPr>
                <w:sz w:val="18"/>
                <w:szCs w:val="20"/>
                <w:lang w:eastAsia="en-AU"/>
              </w:rPr>
            </w:pPr>
            <w:r w:rsidRPr="00985952">
              <w:rPr>
                <w:sz w:val="18"/>
                <w:szCs w:val="20"/>
                <w:lang w:eastAsia="en-AU"/>
              </w:rPr>
              <w:t>3</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20</w:t>
            </w:r>
            <w:r>
              <w:rPr>
                <w:sz w:val="18"/>
                <w:szCs w:val="20"/>
                <w:lang w:eastAsia="en-AU"/>
              </w:rPr>
              <w:t>.0</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80</w:t>
            </w:r>
            <w:r>
              <w:rPr>
                <w:sz w:val="18"/>
                <w:szCs w:val="20"/>
                <w:lang w:eastAsia="en-AU"/>
              </w:rPr>
              <w:t>.0</w:t>
            </w:r>
          </w:p>
        </w:tc>
      </w:tr>
      <w:tr w:rsidR="00070C15" w:rsidTr="008D0421">
        <w:trPr>
          <w:trHeight w:val="227"/>
        </w:trPr>
        <w:tc>
          <w:tcPr>
            <w:tcW w:w="1047" w:type="dxa"/>
            <w:shd w:val="clear" w:color="auto" w:fill="D3DFEE"/>
            <w:vAlign w:val="center"/>
          </w:tcPr>
          <w:p w:rsidR="00070C15" w:rsidRPr="00985952" w:rsidRDefault="00070C15" w:rsidP="00F05062">
            <w:pPr>
              <w:spacing w:before="0" w:after="0"/>
              <w:jc w:val="left"/>
              <w:rPr>
                <w:sz w:val="18"/>
                <w:szCs w:val="20"/>
                <w:lang w:eastAsia="en-AU"/>
              </w:rPr>
            </w:pPr>
            <w:r w:rsidRPr="00985952">
              <w:rPr>
                <w:sz w:val="18"/>
                <w:szCs w:val="20"/>
                <w:lang w:eastAsia="en-AU"/>
              </w:rPr>
              <w:t>VIC</w:t>
            </w:r>
          </w:p>
        </w:tc>
        <w:tc>
          <w:tcPr>
            <w:tcW w:w="1028" w:type="dxa"/>
            <w:shd w:val="clear" w:color="auto" w:fill="D3DFEE"/>
            <w:vAlign w:val="center"/>
          </w:tcPr>
          <w:p w:rsidR="00070C15" w:rsidRPr="00985952" w:rsidRDefault="00070C15" w:rsidP="00F05062">
            <w:pPr>
              <w:spacing w:before="0" w:after="0"/>
              <w:jc w:val="center"/>
              <w:rPr>
                <w:sz w:val="18"/>
                <w:szCs w:val="20"/>
                <w:lang w:eastAsia="en-AU"/>
              </w:rPr>
            </w:pPr>
            <w:r w:rsidRPr="00985952">
              <w:rPr>
                <w:sz w:val="18"/>
                <w:szCs w:val="20"/>
                <w:lang w:eastAsia="en-AU"/>
              </w:rPr>
              <w:t>43</w:t>
            </w:r>
          </w:p>
        </w:tc>
        <w:tc>
          <w:tcPr>
            <w:tcW w:w="1150" w:type="dxa"/>
            <w:shd w:val="clear" w:color="auto" w:fill="D3DFEE"/>
            <w:vAlign w:val="center"/>
          </w:tcPr>
          <w:p w:rsidR="00070C15" w:rsidRPr="00985952" w:rsidRDefault="00070C15" w:rsidP="00F05062">
            <w:pPr>
              <w:spacing w:before="0" w:after="0"/>
              <w:jc w:val="right"/>
              <w:rPr>
                <w:sz w:val="18"/>
                <w:szCs w:val="20"/>
                <w:lang w:eastAsia="en-AU"/>
              </w:rPr>
            </w:pPr>
            <w:r w:rsidRPr="00985952">
              <w:rPr>
                <w:sz w:val="18"/>
                <w:szCs w:val="20"/>
                <w:lang w:eastAsia="en-AU"/>
              </w:rPr>
              <w:t>23.3</w:t>
            </w:r>
          </w:p>
        </w:tc>
        <w:tc>
          <w:tcPr>
            <w:tcW w:w="1150" w:type="dxa"/>
            <w:shd w:val="clear" w:color="auto" w:fill="D3DFEE"/>
            <w:vAlign w:val="center"/>
          </w:tcPr>
          <w:p w:rsidR="00070C15" w:rsidRPr="00985952" w:rsidRDefault="00070C15" w:rsidP="00F05062">
            <w:pPr>
              <w:spacing w:before="0" w:after="0"/>
              <w:jc w:val="right"/>
              <w:rPr>
                <w:sz w:val="18"/>
                <w:szCs w:val="20"/>
                <w:lang w:eastAsia="en-AU"/>
              </w:rPr>
            </w:pPr>
            <w:r w:rsidRPr="00985952">
              <w:rPr>
                <w:sz w:val="18"/>
                <w:szCs w:val="20"/>
                <w:lang w:eastAsia="en-AU"/>
              </w:rPr>
              <w:t>76.7</w:t>
            </w:r>
          </w:p>
        </w:tc>
      </w:tr>
      <w:tr w:rsidR="00070C15" w:rsidTr="008D0421">
        <w:trPr>
          <w:trHeight w:val="227"/>
        </w:trPr>
        <w:tc>
          <w:tcPr>
            <w:tcW w:w="1047" w:type="dxa"/>
            <w:vAlign w:val="center"/>
          </w:tcPr>
          <w:p w:rsidR="00070C15" w:rsidRPr="00985952" w:rsidRDefault="00070C15" w:rsidP="00F05062">
            <w:pPr>
              <w:spacing w:before="0" w:after="0"/>
              <w:jc w:val="left"/>
              <w:rPr>
                <w:sz w:val="18"/>
                <w:szCs w:val="20"/>
                <w:lang w:eastAsia="en-AU"/>
              </w:rPr>
            </w:pPr>
            <w:r w:rsidRPr="00985952">
              <w:rPr>
                <w:sz w:val="18"/>
                <w:szCs w:val="20"/>
                <w:lang w:eastAsia="en-AU"/>
              </w:rPr>
              <w:t>WA</w:t>
            </w:r>
          </w:p>
        </w:tc>
        <w:tc>
          <w:tcPr>
            <w:tcW w:w="1028" w:type="dxa"/>
            <w:vAlign w:val="center"/>
          </w:tcPr>
          <w:p w:rsidR="00070C15" w:rsidRPr="00985952" w:rsidRDefault="00070C15" w:rsidP="00F05062">
            <w:pPr>
              <w:spacing w:before="0" w:after="0"/>
              <w:jc w:val="center"/>
              <w:rPr>
                <w:sz w:val="18"/>
                <w:szCs w:val="20"/>
                <w:lang w:eastAsia="en-AU"/>
              </w:rPr>
            </w:pPr>
            <w:r w:rsidRPr="00985952">
              <w:rPr>
                <w:sz w:val="18"/>
                <w:szCs w:val="20"/>
                <w:lang w:eastAsia="en-AU"/>
              </w:rPr>
              <w:t>3</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31.8</w:t>
            </w:r>
          </w:p>
        </w:tc>
        <w:tc>
          <w:tcPr>
            <w:tcW w:w="1150" w:type="dxa"/>
            <w:vAlign w:val="center"/>
          </w:tcPr>
          <w:p w:rsidR="00070C15" w:rsidRPr="00985952" w:rsidRDefault="00070C15" w:rsidP="00F05062">
            <w:pPr>
              <w:spacing w:before="0" w:after="0"/>
              <w:jc w:val="right"/>
              <w:rPr>
                <w:sz w:val="18"/>
                <w:szCs w:val="20"/>
                <w:lang w:eastAsia="en-AU"/>
              </w:rPr>
            </w:pPr>
            <w:r w:rsidRPr="00985952">
              <w:rPr>
                <w:sz w:val="18"/>
                <w:szCs w:val="20"/>
                <w:lang w:eastAsia="en-AU"/>
              </w:rPr>
              <w:t>68.3</w:t>
            </w:r>
          </w:p>
        </w:tc>
      </w:tr>
      <w:tr w:rsidR="00070C15" w:rsidTr="008D0421">
        <w:trPr>
          <w:trHeight w:val="227"/>
        </w:trPr>
        <w:tc>
          <w:tcPr>
            <w:tcW w:w="1047" w:type="dxa"/>
            <w:shd w:val="clear" w:color="auto" w:fill="D3DFEE"/>
            <w:vAlign w:val="center"/>
          </w:tcPr>
          <w:p w:rsidR="00070C15" w:rsidRPr="00985952" w:rsidRDefault="00070C15" w:rsidP="00F05062">
            <w:pPr>
              <w:spacing w:before="0" w:after="0"/>
              <w:jc w:val="left"/>
              <w:rPr>
                <w:b/>
                <w:bCs/>
                <w:sz w:val="18"/>
                <w:szCs w:val="20"/>
                <w:lang w:eastAsia="en-AU"/>
              </w:rPr>
            </w:pPr>
            <w:r w:rsidRPr="00985952">
              <w:rPr>
                <w:b/>
                <w:bCs/>
                <w:sz w:val="18"/>
                <w:szCs w:val="20"/>
                <w:lang w:eastAsia="en-AU"/>
              </w:rPr>
              <w:t>Total</w:t>
            </w:r>
          </w:p>
        </w:tc>
        <w:tc>
          <w:tcPr>
            <w:tcW w:w="1028" w:type="dxa"/>
            <w:shd w:val="clear" w:color="auto" w:fill="D3DFEE"/>
            <w:vAlign w:val="center"/>
          </w:tcPr>
          <w:p w:rsidR="00070C15" w:rsidRPr="00985952" w:rsidRDefault="00070C15" w:rsidP="00F05062">
            <w:pPr>
              <w:spacing w:before="0" w:after="0"/>
              <w:jc w:val="center"/>
              <w:rPr>
                <w:b/>
                <w:bCs/>
                <w:sz w:val="18"/>
                <w:szCs w:val="20"/>
                <w:lang w:eastAsia="en-AU"/>
              </w:rPr>
            </w:pPr>
            <w:r w:rsidRPr="00985952">
              <w:rPr>
                <w:b/>
                <w:bCs/>
                <w:sz w:val="18"/>
                <w:szCs w:val="20"/>
                <w:lang w:eastAsia="en-AU"/>
              </w:rPr>
              <w:t>66</w:t>
            </w:r>
          </w:p>
        </w:tc>
        <w:tc>
          <w:tcPr>
            <w:tcW w:w="1150" w:type="dxa"/>
            <w:shd w:val="clear" w:color="auto" w:fill="D3DFEE"/>
            <w:vAlign w:val="center"/>
          </w:tcPr>
          <w:p w:rsidR="00070C15" w:rsidRPr="00985952" w:rsidRDefault="00070C15" w:rsidP="00F05062">
            <w:pPr>
              <w:spacing w:before="0" w:after="0"/>
              <w:jc w:val="right"/>
              <w:rPr>
                <w:b/>
                <w:bCs/>
                <w:sz w:val="18"/>
                <w:szCs w:val="20"/>
                <w:lang w:eastAsia="en-AU"/>
              </w:rPr>
            </w:pPr>
            <w:r w:rsidRPr="00985952">
              <w:rPr>
                <w:b/>
                <w:bCs/>
                <w:sz w:val="18"/>
                <w:szCs w:val="20"/>
                <w:lang w:eastAsia="en-AU"/>
              </w:rPr>
              <w:t>24.</w:t>
            </w:r>
            <w:r>
              <w:rPr>
                <w:b/>
                <w:bCs/>
                <w:sz w:val="18"/>
                <w:szCs w:val="20"/>
                <w:lang w:eastAsia="en-AU"/>
              </w:rPr>
              <w:t>6</w:t>
            </w:r>
          </w:p>
        </w:tc>
        <w:tc>
          <w:tcPr>
            <w:tcW w:w="1150" w:type="dxa"/>
            <w:shd w:val="clear" w:color="auto" w:fill="D3DFEE"/>
            <w:vAlign w:val="center"/>
          </w:tcPr>
          <w:p w:rsidR="00070C15" w:rsidRPr="00985952" w:rsidRDefault="00070C15" w:rsidP="00F05062">
            <w:pPr>
              <w:spacing w:before="0" w:after="0"/>
              <w:jc w:val="right"/>
              <w:rPr>
                <w:b/>
                <w:bCs/>
                <w:sz w:val="18"/>
                <w:szCs w:val="20"/>
                <w:lang w:eastAsia="en-AU"/>
              </w:rPr>
            </w:pPr>
            <w:r w:rsidRPr="00985952">
              <w:rPr>
                <w:b/>
                <w:bCs/>
                <w:sz w:val="18"/>
                <w:szCs w:val="20"/>
                <w:lang w:eastAsia="en-AU"/>
              </w:rPr>
              <w:t>75.</w:t>
            </w:r>
            <w:r>
              <w:rPr>
                <w:b/>
                <w:bCs/>
                <w:sz w:val="18"/>
                <w:szCs w:val="20"/>
                <w:lang w:eastAsia="en-AU"/>
              </w:rPr>
              <w:t>4</w:t>
            </w:r>
          </w:p>
        </w:tc>
      </w:tr>
    </w:tbl>
    <w:p w:rsidR="00C60CF0" w:rsidRDefault="00C60CF0" w:rsidP="00C60CF0">
      <w:pPr>
        <w:pStyle w:val="Heading5"/>
      </w:pPr>
      <w:r>
        <w:t>Source: NHWDS, Medical practitioner, 2016</w:t>
      </w:r>
    </w:p>
    <w:p w:rsidR="00C60CF0" w:rsidRPr="00C60CF0" w:rsidRDefault="00C60CF0" w:rsidP="00C60CF0">
      <w:pPr>
        <w:sectPr w:rsidR="00C60CF0" w:rsidRPr="00C60CF0" w:rsidSect="00561EB0">
          <w:type w:val="continuous"/>
          <w:pgSz w:w="11906" w:h="16838"/>
          <w:pgMar w:top="1440" w:right="1440" w:bottom="1440" w:left="1440" w:header="709" w:footer="709" w:gutter="0"/>
          <w:cols w:num="2" w:space="708"/>
          <w:titlePg/>
          <w:docGrid w:linePitch="360"/>
        </w:sectPr>
      </w:pPr>
    </w:p>
    <w:p w:rsidR="00C60CF0" w:rsidRPr="00043BB5" w:rsidRDefault="004D2D38" w:rsidP="00C60CF0">
      <w:pPr>
        <w:pStyle w:val="Heading3"/>
      </w:pPr>
      <w:r>
        <w:lastRenderedPageBreak/>
        <w:t xml:space="preserve">Subspecialists: </w:t>
      </w:r>
      <w:r w:rsidR="00C60CF0" w:rsidRPr="00043BB5">
        <w:t>Reproductive endocrinology and infertility (REI)</w:t>
      </w:r>
    </w:p>
    <w:p w:rsidR="00985952" w:rsidRDefault="00985952" w:rsidP="00C60CF0">
      <w:pPr>
        <w:sectPr w:rsidR="00985952" w:rsidSect="00561EB0">
          <w:headerReference w:type="even" r:id="rId58"/>
          <w:headerReference w:type="default" r:id="rId59"/>
          <w:headerReference w:type="first" r:id="rId60"/>
          <w:pgSz w:w="11906" w:h="16838"/>
          <w:pgMar w:top="1247" w:right="1985" w:bottom="1247" w:left="1440" w:header="709" w:footer="709" w:gutter="0"/>
          <w:cols w:space="708"/>
          <w:titlePg/>
          <w:docGrid w:linePitch="360"/>
        </w:sectPr>
      </w:pPr>
    </w:p>
    <w:p w:rsidR="00C60CF0" w:rsidRPr="00C86C51" w:rsidRDefault="00C60CF0" w:rsidP="00C60CF0">
      <w:pPr>
        <w:rPr>
          <w:sz w:val="20"/>
        </w:rPr>
      </w:pPr>
      <w:r w:rsidRPr="00C86C51">
        <w:rPr>
          <w:sz w:val="20"/>
        </w:rPr>
        <w:lastRenderedPageBreak/>
        <w:t>A certified Reproductive Endocrinology and Infertility (REI) subspecialist has successfully completed an additional prescribed program of training in the comprehensive management of patients with reproductive endocrine disorders and infertility.</w:t>
      </w:r>
    </w:p>
    <w:p w:rsidR="00C60CF0" w:rsidRPr="00C86C51" w:rsidRDefault="00C60CF0" w:rsidP="00C60CF0">
      <w:pPr>
        <w:rPr>
          <w:sz w:val="20"/>
        </w:rPr>
      </w:pPr>
      <w:r w:rsidRPr="00C86C51">
        <w:rPr>
          <w:sz w:val="20"/>
        </w:rPr>
        <w:t>A REI subspecialist must spend at least 66 per cent of their clinical time working in the area of their specialty, the remainder being split between obstetrics and gynaecology. At least part of this work must be within a professional setting that provides a comprehensive service for patients with infertility or gynaecological endocrine disorders (this may include private units as well as public hospitals).</w:t>
      </w:r>
    </w:p>
    <w:p w:rsidR="00C60CF0" w:rsidRPr="00C86C51" w:rsidRDefault="00C60CF0" w:rsidP="00C60CF0">
      <w:pPr>
        <w:rPr>
          <w:sz w:val="20"/>
        </w:rPr>
      </w:pPr>
      <w:r w:rsidRPr="00C86C51">
        <w:rPr>
          <w:sz w:val="20"/>
        </w:rPr>
        <w:t>According to the 2016 NHWDS, there were 49 REI subspecialists who indicated they were employed and working as clinicians with the following characteristics:</w:t>
      </w:r>
    </w:p>
    <w:p w:rsidR="00C60CF0" w:rsidRPr="00870225" w:rsidRDefault="00C60CF0" w:rsidP="00C60CF0">
      <w:pPr>
        <w:pStyle w:val="Caption"/>
      </w:pPr>
      <w:bookmarkStart w:id="190" w:name="_Toc515888846"/>
      <w:r>
        <w:t>F</w:t>
      </w:r>
      <w:r w:rsidRPr="00C00103">
        <w:t xml:space="preserve">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42</w:t>
      </w:r>
      <w:r w:rsidR="00556A17">
        <w:rPr>
          <w:noProof/>
        </w:rPr>
        <w:fldChar w:fldCharType="end"/>
      </w:r>
      <w:r>
        <w:t>:</w:t>
      </w:r>
      <w:r w:rsidRPr="00C00103">
        <w:t xml:space="preserve"> Demographics of the REI </w:t>
      </w:r>
      <w:r w:rsidR="001A70A7">
        <w:t xml:space="preserve">subspecialty </w:t>
      </w:r>
      <w:r w:rsidRPr="00C00103">
        <w:t>workforce</w:t>
      </w:r>
      <w:bookmarkEnd w:id="190"/>
    </w:p>
    <w:p w:rsidR="008F1404" w:rsidRDefault="008F1404" w:rsidP="00825D70">
      <w:pPr>
        <w:rPr>
          <w:rFonts w:eastAsia="Calibri"/>
        </w:rPr>
      </w:pPr>
      <w:r>
        <w:rPr>
          <w:rFonts w:eastAsia="Calibri"/>
          <w:noProof/>
          <w:lang w:eastAsia="en-AU"/>
        </w:rPr>
        <w:drawing>
          <wp:inline distT="0" distB="0" distL="0" distR="0" wp14:anchorId="6E96D09C" wp14:editId="2ACDE93C">
            <wp:extent cx="2578735" cy="1920240"/>
            <wp:effectExtent l="0" t="0" r="0" b="3810"/>
            <wp:docPr id="710" name="Picture 710" descr="The average age of a reproductive endocrinology and infertility subspecialist was 56 years.&#10;There were 35% of reproductive endocrinology and infertility subspecialists who were female.&#10;Reproductive endocrinology and infertility subspecialists averaged 41.3 hours, with females working 38.3 hours.&#10;Reproductive endocrinology and infertility subspecialists aged 55 years and over represent 39% of the workforce, and tend to work 34.6 hours.&#10;There were 75% of reproductive endocrinology and infertility subspecialists located in NSW and VIC.&#10;There were 94% of reproductive endocrinology and infertility subspecialists located in Modified Monash Model Area 1.&#10;There were 9% of reproductive endocrinology and infertility subspecialists working in the public sector." title="Figure 42: Demographics of the REI subspecialt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735" cy="1920240"/>
                    </a:xfrm>
                    <a:prstGeom prst="rect">
                      <a:avLst/>
                    </a:prstGeom>
                    <a:noFill/>
                  </pic:spPr>
                </pic:pic>
              </a:graphicData>
            </a:graphic>
          </wp:inline>
        </w:drawing>
      </w:r>
    </w:p>
    <w:p w:rsidR="00C60CF0" w:rsidRPr="00012887" w:rsidRDefault="00C60CF0" w:rsidP="00012887">
      <w:pPr>
        <w:rPr>
          <w:i/>
          <w:color w:val="4F81BD"/>
          <w:sz w:val="16"/>
          <w:szCs w:val="16"/>
        </w:rPr>
      </w:pPr>
      <w:r w:rsidRPr="00012887">
        <w:rPr>
          <w:rFonts w:eastAsia="Calibri"/>
          <w:i/>
          <w:color w:val="4F81BD"/>
          <w:sz w:val="16"/>
          <w:szCs w:val="16"/>
        </w:rPr>
        <w:t>Source: NHWDS, Medical Practitioner 2016</w:t>
      </w:r>
    </w:p>
    <w:p w:rsidR="00C60CF0" w:rsidRPr="00A02039" w:rsidRDefault="00C60CF0" w:rsidP="00C60CF0">
      <w:pPr>
        <w:pStyle w:val="Heading4"/>
      </w:pPr>
      <w:r w:rsidRPr="00A02039">
        <w:t>Distribution</w:t>
      </w:r>
    </w:p>
    <w:p w:rsidR="00C60CF0" w:rsidRPr="00C86C51" w:rsidRDefault="002D709D" w:rsidP="00C86C51">
      <w:pPr>
        <w:rPr>
          <w:sz w:val="20"/>
        </w:rPr>
      </w:pPr>
      <w:r w:rsidRPr="00C86C51">
        <w:rPr>
          <w:sz w:val="20"/>
        </w:rPr>
        <w:fldChar w:fldCharType="begin"/>
      </w:r>
      <w:r w:rsidRPr="00C86C51">
        <w:rPr>
          <w:sz w:val="20"/>
        </w:rPr>
        <w:instrText xml:space="preserve"> REF _Ref455490360 \h </w:instrText>
      </w:r>
      <w:r>
        <w:rPr>
          <w:sz w:val="20"/>
        </w:rPr>
        <w:instrText xml:space="preserve"> \* MERGEFORMAT </w:instrText>
      </w:r>
      <w:r w:rsidRPr="00C86C51">
        <w:rPr>
          <w:sz w:val="20"/>
        </w:rPr>
      </w:r>
      <w:r w:rsidRPr="00C86C51">
        <w:rPr>
          <w:sz w:val="20"/>
        </w:rPr>
        <w:fldChar w:fldCharType="separate"/>
      </w:r>
      <w:r w:rsidR="008C7087" w:rsidRPr="008C7087">
        <w:rPr>
          <w:sz w:val="20"/>
          <w:szCs w:val="22"/>
        </w:rPr>
        <w:t xml:space="preserve">Figure </w:t>
      </w:r>
      <w:r w:rsidR="008C7087" w:rsidRPr="008C7087">
        <w:rPr>
          <w:noProof/>
          <w:sz w:val="20"/>
          <w:szCs w:val="22"/>
        </w:rPr>
        <w:t>43</w:t>
      </w:r>
      <w:r w:rsidRPr="00C86C51">
        <w:rPr>
          <w:sz w:val="20"/>
        </w:rPr>
        <w:fldChar w:fldCharType="end"/>
      </w:r>
      <w:r w:rsidRPr="00C86C51">
        <w:rPr>
          <w:sz w:val="20"/>
        </w:rPr>
        <w:t xml:space="preserve"> </w:t>
      </w:r>
      <w:r w:rsidR="00C60CF0" w:rsidRPr="00C86C51">
        <w:rPr>
          <w:sz w:val="20"/>
        </w:rPr>
        <w:t xml:space="preserve">illustrates the Modified Monash categories and density of the REI workforce within these areas. For more information on the </w:t>
      </w:r>
      <w:r w:rsidR="00865AF1">
        <w:rPr>
          <w:sz w:val="20"/>
        </w:rPr>
        <w:t>MMM</w:t>
      </w:r>
      <w:r w:rsidR="00C60CF0" w:rsidRPr="00C86C51">
        <w:rPr>
          <w:sz w:val="20"/>
        </w:rPr>
        <w:t xml:space="preserve"> please see </w:t>
      </w:r>
      <w:r w:rsidR="00C86C51" w:rsidRPr="00C86C51">
        <w:rPr>
          <w:sz w:val="20"/>
        </w:rPr>
        <w:t xml:space="preserve">NHWDS medical practitioner, 2016 distribution section, </w:t>
      </w:r>
      <w:r w:rsidR="00C60CF0" w:rsidRPr="00C86C51">
        <w:rPr>
          <w:sz w:val="20"/>
        </w:rPr>
        <w:t xml:space="preserve">page </w:t>
      </w:r>
      <w:r w:rsidR="00C60CF0" w:rsidRPr="00C86C51">
        <w:rPr>
          <w:sz w:val="20"/>
        </w:rPr>
        <w:fldChar w:fldCharType="begin"/>
      </w:r>
      <w:r w:rsidR="00C60CF0" w:rsidRPr="00C86C51">
        <w:rPr>
          <w:sz w:val="20"/>
        </w:rPr>
        <w:instrText xml:space="preserve"> PAGEREF _Ref455568508 \h </w:instrText>
      </w:r>
      <w:r w:rsidR="00C60CF0" w:rsidRPr="00C86C51">
        <w:rPr>
          <w:sz w:val="20"/>
        </w:rPr>
      </w:r>
      <w:r w:rsidR="00C60CF0" w:rsidRPr="00C86C51">
        <w:rPr>
          <w:sz w:val="20"/>
        </w:rPr>
        <w:fldChar w:fldCharType="separate"/>
      </w:r>
      <w:r w:rsidR="00B31A00">
        <w:rPr>
          <w:noProof/>
          <w:sz w:val="20"/>
        </w:rPr>
        <w:t>8</w:t>
      </w:r>
      <w:r w:rsidR="00C60CF0" w:rsidRPr="00C86C51">
        <w:rPr>
          <w:sz w:val="20"/>
        </w:rPr>
        <w:fldChar w:fldCharType="end"/>
      </w:r>
      <w:r w:rsidR="00C60CF0" w:rsidRPr="00C86C51">
        <w:rPr>
          <w:sz w:val="20"/>
        </w:rPr>
        <w:t>. As can be seen in the map, the REI workforce is located throughout Australia, except the NT and ACT, and almost exclusively concentrated in Metropolitan areas (94 per cent in M</w:t>
      </w:r>
      <w:r w:rsidR="00C86C51" w:rsidRPr="00C86C51">
        <w:rPr>
          <w:sz w:val="20"/>
        </w:rPr>
        <w:t>M</w:t>
      </w:r>
      <w:r w:rsidR="00C60CF0" w:rsidRPr="00C86C51">
        <w:rPr>
          <w:sz w:val="20"/>
        </w:rPr>
        <w:t xml:space="preserve">M1). </w:t>
      </w:r>
    </w:p>
    <w:p w:rsidR="00C60CF0" w:rsidRPr="002E41FB" w:rsidRDefault="00C60CF0" w:rsidP="00C60CF0">
      <w:pPr>
        <w:pStyle w:val="Caption"/>
        <w:keepNext/>
        <w:rPr>
          <w:szCs w:val="22"/>
        </w:rPr>
      </w:pPr>
      <w:bookmarkStart w:id="191" w:name="_Ref455490360"/>
      <w:bookmarkStart w:id="192" w:name="_Toc515888847"/>
      <w:r w:rsidRPr="002E41FB">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43</w:t>
      </w:r>
      <w:r w:rsidR="008C16B5">
        <w:rPr>
          <w:szCs w:val="22"/>
        </w:rPr>
        <w:fldChar w:fldCharType="end"/>
      </w:r>
      <w:bookmarkEnd w:id="191"/>
      <w:r>
        <w:rPr>
          <w:szCs w:val="22"/>
        </w:rPr>
        <w:t>:</w:t>
      </w:r>
      <w:r w:rsidRPr="002E41FB">
        <w:rPr>
          <w:szCs w:val="22"/>
        </w:rPr>
        <w:t xml:space="preserve"> </w:t>
      </w:r>
      <w:r>
        <w:t>REI subspecialty</w:t>
      </w:r>
      <w:r w:rsidRPr="002E41FB">
        <w:rPr>
          <w:szCs w:val="22"/>
        </w:rPr>
        <w:t xml:space="preserve"> workforce (clinicians) by</w:t>
      </w:r>
      <w:r>
        <w:rPr>
          <w:szCs w:val="22"/>
        </w:rPr>
        <w:t xml:space="preserve"> MM</w:t>
      </w:r>
      <w:r w:rsidR="00985952">
        <w:rPr>
          <w:szCs w:val="22"/>
        </w:rPr>
        <w:t>M</w:t>
      </w:r>
      <w:bookmarkEnd w:id="192"/>
    </w:p>
    <w:p w:rsidR="00C60CF0" w:rsidRDefault="00C60CF0" w:rsidP="00C60CF0">
      <w:pPr>
        <w:spacing w:before="0" w:after="0"/>
        <w:jc w:val="left"/>
        <w:rPr>
          <w:rFonts w:eastAsia="Calibri"/>
        </w:rPr>
      </w:pPr>
      <w:r>
        <w:rPr>
          <w:noProof/>
          <w:lang w:eastAsia="en-AU"/>
        </w:rPr>
        <w:drawing>
          <wp:inline distT="0" distB="0" distL="0" distR="0" wp14:anchorId="38796050" wp14:editId="2370BBC6">
            <wp:extent cx="2552008" cy="2294312"/>
            <wp:effectExtent l="0" t="0" r="1270" b="0"/>
            <wp:docPr id="729" name="Picture 729" descr="This figure illustrates the Modified Monash Model categories and density of the reproductive endocrinology infertility workforce within these areas. The map shows the reproductive endocrinology infertility workforce is located throughout Australia, except the NT and ACT, and almost exclusively concentrated in metropolitan areas (94 per cent in Modified Monash Model 1)." title="Figure 43: reproductive endocrinology infertility subspecialty workforce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56000" cy="2297901"/>
                    </a:xfrm>
                    <a:prstGeom prst="rect">
                      <a:avLst/>
                    </a:prstGeom>
                  </pic:spPr>
                </pic:pic>
              </a:graphicData>
            </a:graphic>
          </wp:inline>
        </w:drawing>
      </w:r>
    </w:p>
    <w:p w:rsidR="00C60CF0" w:rsidRPr="00CB4FB5" w:rsidRDefault="00C60CF0" w:rsidP="00C60CF0">
      <w:pPr>
        <w:spacing w:before="0" w:after="0"/>
        <w:jc w:val="left"/>
        <w:rPr>
          <w:rFonts w:eastAsia="Calibri"/>
          <w:i/>
          <w:color w:val="4F81BD" w:themeColor="accent1"/>
          <w:sz w:val="16"/>
        </w:rPr>
      </w:pPr>
      <w:r w:rsidRPr="00CB4FB5">
        <w:rPr>
          <w:rFonts w:eastAsia="Calibri"/>
          <w:i/>
          <w:color w:val="4F81BD" w:themeColor="accent1"/>
          <w:sz w:val="16"/>
        </w:rPr>
        <w:t>Source: NHWDS, Medical Practitioner 2016</w:t>
      </w:r>
    </w:p>
    <w:p w:rsidR="00C60CF0" w:rsidRPr="00A02039" w:rsidRDefault="00C60CF0" w:rsidP="00C60CF0">
      <w:pPr>
        <w:pStyle w:val="Heading4"/>
      </w:pPr>
      <w:r>
        <w:t>Hours worked</w:t>
      </w:r>
    </w:p>
    <w:p w:rsidR="00C60CF0" w:rsidRPr="00C86C51" w:rsidRDefault="00C60CF0" w:rsidP="00C60CF0">
      <w:pPr>
        <w:rPr>
          <w:sz w:val="20"/>
        </w:rPr>
      </w:pPr>
      <w:r w:rsidRPr="00C86C51">
        <w:rPr>
          <w:sz w:val="20"/>
        </w:rPr>
        <w:t>The figure below shows the difference between the hours worked by the REI workforce, by gender. Males and females work similar clinical and specialist clinical hours; however, males tend to work more total specialist hours. The difference between the total specialist (D) and specialist clinical (C) hours indicates the clinical support (non-clinical) hours of the REI workforce. On average 7 hours for males and 4 hours per week for females, is spent performing clinical support (non-clinical work) in REI.</w:t>
      </w:r>
    </w:p>
    <w:p w:rsidR="00C60CF0" w:rsidRDefault="00C60CF0" w:rsidP="00C60CF0">
      <w:pPr>
        <w:pStyle w:val="Caption"/>
        <w:keepNext/>
      </w:pPr>
      <w:bookmarkStart w:id="193" w:name="_Ref455490389"/>
      <w:bookmarkStart w:id="194" w:name="_Toc515888848"/>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44</w:t>
      </w:r>
      <w:r w:rsidR="00556A17">
        <w:rPr>
          <w:noProof/>
        </w:rPr>
        <w:fldChar w:fldCharType="end"/>
      </w:r>
      <w:bookmarkEnd w:id="193"/>
      <w:r>
        <w:t xml:space="preserve">: </w:t>
      </w:r>
      <w:r w:rsidRPr="00F23728">
        <w:t>Average hours by total, clinical</w:t>
      </w:r>
      <w:r>
        <w:t>,</w:t>
      </w:r>
      <w:r w:rsidRPr="00F23728">
        <w:t xml:space="preserve"> specialist </w:t>
      </w:r>
      <w:r>
        <w:t>clinical and total</w:t>
      </w:r>
      <w:r w:rsidRPr="00F23728">
        <w:t xml:space="preserve"> </w:t>
      </w:r>
      <w:r>
        <w:t xml:space="preserve">hours </w:t>
      </w:r>
      <w:r w:rsidRPr="00F23728">
        <w:t>worked</w:t>
      </w:r>
      <w:bookmarkEnd w:id="194"/>
    </w:p>
    <w:p w:rsidR="003D7FDC" w:rsidRDefault="003D7FDC" w:rsidP="00825D70">
      <w:pPr>
        <w:rPr>
          <w:rFonts w:eastAsia="Calibri"/>
        </w:rPr>
      </w:pPr>
      <w:r>
        <w:rPr>
          <w:rFonts w:eastAsia="Calibri"/>
          <w:noProof/>
          <w:lang w:eastAsia="en-AU"/>
        </w:rPr>
        <w:drawing>
          <wp:inline distT="0" distB="0" distL="0" distR="0" wp14:anchorId="36E0652F" wp14:editId="59969623">
            <wp:extent cx="2487295" cy="2194560"/>
            <wp:effectExtent l="0" t="0" r="8255" b="0"/>
            <wp:docPr id="713" name="Picture 713" descr="The figure shows the difference between the hours worked by the reproductive endocrinology infertility workforce, by gender. Males and females work similar clinical and specialist clinical hours; however, males tend to work more total specialist hours. The difference between the total specialist (D) and specialist clinical (C) hours indicates the clinical support (non-clinical) hours of the reproductive endocrinology infertility workforce. On average 7 hours for males and 4 hours per week for females, is spent performing clinical support (non-clinical work) in reproductive endocrinology infertility." title="Figure 44: Average hours by total, clinical, specialist clinical and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7295" cy="2194560"/>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C86C51" w:rsidRDefault="00C60CF0" w:rsidP="00C60CF0">
      <w:pPr>
        <w:rPr>
          <w:sz w:val="20"/>
        </w:rPr>
      </w:pPr>
      <w:r w:rsidRPr="00C86C51">
        <w:rPr>
          <w:sz w:val="20"/>
        </w:rPr>
        <w:t xml:space="preserve">The difference between the total specialist hours (D) and clinical specialist hours (C) by gender and age group are shown in </w:t>
      </w:r>
      <w:r w:rsidRPr="00C86C51">
        <w:rPr>
          <w:sz w:val="20"/>
        </w:rPr>
        <w:fldChar w:fldCharType="begin"/>
      </w:r>
      <w:r w:rsidRPr="00C86C51">
        <w:rPr>
          <w:sz w:val="20"/>
        </w:rPr>
        <w:instrText xml:space="preserve"> REF _Ref455490405 \h </w:instrText>
      </w:r>
      <w:r w:rsidR="00C86C51">
        <w:rPr>
          <w:sz w:val="20"/>
        </w:rPr>
        <w:instrText xml:space="preserve"> \* MERGEFORMAT </w:instrText>
      </w:r>
      <w:r w:rsidRPr="00C86C51">
        <w:rPr>
          <w:sz w:val="20"/>
        </w:rPr>
      </w:r>
      <w:r w:rsidRPr="00C86C51">
        <w:rPr>
          <w:sz w:val="20"/>
        </w:rPr>
        <w:fldChar w:fldCharType="separate"/>
      </w:r>
      <w:r w:rsidR="008C7087" w:rsidRPr="008C7087">
        <w:rPr>
          <w:sz w:val="20"/>
          <w:szCs w:val="22"/>
        </w:rPr>
        <w:t xml:space="preserve">Figure </w:t>
      </w:r>
      <w:r w:rsidR="008C7087" w:rsidRPr="008C7087">
        <w:rPr>
          <w:noProof/>
          <w:sz w:val="20"/>
          <w:szCs w:val="22"/>
        </w:rPr>
        <w:t>45</w:t>
      </w:r>
      <w:r w:rsidRPr="00C86C51">
        <w:rPr>
          <w:sz w:val="20"/>
        </w:rPr>
        <w:fldChar w:fldCharType="end"/>
      </w:r>
      <w:r w:rsidRPr="00C86C51">
        <w:rPr>
          <w:sz w:val="20"/>
        </w:rPr>
        <w:t xml:space="preserve">. The x-axis is assumed to be </w:t>
      </w:r>
      <w:r w:rsidRPr="00C86C51">
        <w:rPr>
          <w:sz w:val="20"/>
        </w:rPr>
        <w:lastRenderedPageBreak/>
        <w:t xml:space="preserve">average hours worked (40 hours) and the bars in positive or negative position show the hours worked greater or less than 40 hours by age and gender respectively. The vast majority of the age groups regardless of gender tend to work fewer than 40 hours between the ages of 55-79 years. </w:t>
      </w:r>
    </w:p>
    <w:p w:rsidR="00C60CF0" w:rsidRPr="00CC5C72" w:rsidRDefault="00C60CF0" w:rsidP="00C60CF0">
      <w:pPr>
        <w:pStyle w:val="Caption"/>
        <w:rPr>
          <w:szCs w:val="22"/>
        </w:rPr>
      </w:pPr>
      <w:bookmarkStart w:id="195" w:name="_Ref455490405"/>
      <w:bookmarkStart w:id="196" w:name="_Toc515888849"/>
      <w:r w:rsidRPr="00CC5C72">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45</w:t>
      </w:r>
      <w:r w:rsidR="008C16B5">
        <w:rPr>
          <w:szCs w:val="22"/>
        </w:rPr>
        <w:fldChar w:fldCharType="end"/>
      </w:r>
      <w:bookmarkEnd w:id="195"/>
      <w:r>
        <w:rPr>
          <w:szCs w:val="22"/>
        </w:rPr>
        <w:t>:</w:t>
      </w:r>
      <w:r w:rsidRPr="00CC5C72">
        <w:rPr>
          <w:szCs w:val="22"/>
        </w:rPr>
        <w:t xml:space="preserve"> </w:t>
      </w:r>
      <w:r>
        <w:rPr>
          <w:szCs w:val="22"/>
        </w:rPr>
        <w:t>Difference between t</w:t>
      </w:r>
      <w:r w:rsidRPr="00CC5C72">
        <w:rPr>
          <w:szCs w:val="22"/>
        </w:rPr>
        <w:t xml:space="preserve">otal specialist and clinical specialist hour’s </w:t>
      </w:r>
      <w:r>
        <w:rPr>
          <w:szCs w:val="22"/>
        </w:rPr>
        <w:t xml:space="preserve">from average hours </w:t>
      </w:r>
      <w:r w:rsidRPr="00CC5C72">
        <w:rPr>
          <w:szCs w:val="22"/>
        </w:rPr>
        <w:t xml:space="preserve">by </w:t>
      </w:r>
      <w:r>
        <w:rPr>
          <w:szCs w:val="22"/>
        </w:rPr>
        <w:t>age groups and gender</w:t>
      </w:r>
      <w:bookmarkEnd w:id="196"/>
    </w:p>
    <w:p w:rsidR="00825D70" w:rsidRDefault="00C550A8" w:rsidP="00825D70">
      <w:pPr>
        <w:rPr>
          <w:rFonts w:eastAsia="Calibri"/>
        </w:rPr>
      </w:pPr>
      <w:r>
        <w:rPr>
          <w:rFonts w:eastAsia="Calibri"/>
          <w:noProof/>
          <w:lang w:eastAsia="en-AU"/>
        </w:rPr>
        <w:drawing>
          <wp:inline distT="0" distB="0" distL="0" distR="0" wp14:anchorId="010AA34C" wp14:editId="10274147">
            <wp:extent cx="2524125" cy="2152015"/>
            <wp:effectExtent l="0" t="0" r="9525" b="635"/>
            <wp:docPr id="714" name="Picture 714" descr="This figure shows the difference between the total specialist hours (D) and clinical specialist hours (C) by gender and age group. The x-axis is assumed to be average hours worked (40 hours) and the bars in positive or negative position show the hours worked greater or less than 40 hours by age and gender respectively. The vast majority of the age groups regardless of gender tend to work fewer than 40 hours between the ages of 55-79 years. " title="Figure 45: Difference between total specialist and clinical specialist hour’s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215201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C86C51" w:rsidRDefault="00C60CF0" w:rsidP="00C60CF0">
      <w:pPr>
        <w:rPr>
          <w:sz w:val="20"/>
        </w:rPr>
      </w:pPr>
      <w:r w:rsidRPr="00C86C51">
        <w:rPr>
          <w:sz w:val="20"/>
        </w:rPr>
        <w:t>The average total specialist hours worked by states and territories is shown below (</w:t>
      </w:r>
      <w:r w:rsidRPr="00C86C51">
        <w:rPr>
          <w:sz w:val="20"/>
        </w:rPr>
        <w:fldChar w:fldCharType="begin"/>
      </w:r>
      <w:r w:rsidRPr="00C86C51">
        <w:rPr>
          <w:sz w:val="20"/>
        </w:rPr>
        <w:instrText xml:space="preserve"> REF _Ref455490426 \h </w:instrText>
      </w:r>
      <w:r w:rsidR="00C86C51">
        <w:rPr>
          <w:sz w:val="20"/>
        </w:rPr>
        <w:instrText xml:space="preserve"> \* MERGEFORMAT </w:instrText>
      </w:r>
      <w:r w:rsidRPr="00C86C51">
        <w:rPr>
          <w:sz w:val="20"/>
        </w:rPr>
      </w:r>
      <w:r w:rsidRPr="00C86C51">
        <w:rPr>
          <w:sz w:val="20"/>
        </w:rPr>
        <w:fldChar w:fldCharType="separate"/>
      </w:r>
      <w:r w:rsidR="008C7087" w:rsidRPr="008C7087">
        <w:rPr>
          <w:sz w:val="20"/>
        </w:rPr>
        <w:t xml:space="preserve">Figure </w:t>
      </w:r>
      <w:r w:rsidR="008C7087" w:rsidRPr="008C7087">
        <w:rPr>
          <w:noProof/>
          <w:sz w:val="20"/>
        </w:rPr>
        <w:t>46</w:t>
      </w:r>
      <w:r w:rsidRPr="00C86C51">
        <w:rPr>
          <w:sz w:val="20"/>
        </w:rPr>
        <w:fldChar w:fldCharType="end"/>
      </w:r>
      <w:r w:rsidRPr="00C86C51">
        <w:rPr>
          <w:sz w:val="20"/>
        </w:rPr>
        <w:t xml:space="preserve">). REI subspecialists in </w:t>
      </w:r>
      <w:r w:rsidR="004D2DDD">
        <w:rPr>
          <w:sz w:val="20"/>
        </w:rPr>
        <w:t>TAS</w:t>
      </w:r>
      <w:r w:rsidR="004D2DDD" w:rsidRPr="00C86C51">
        <w:rPr>
          <w:sz w:val="20"/>
        </w:rPr>
        <w:t xml:space="preserve"> </w:t>
      </w:r>
      <w:r w:rsidRPr="00C86C51">
        <w:rPr>
          <w:sz w:val="20"/>
        </w:rPr>
        <w:t xml:space="preserve">and </w:t>
      </w:r>
      <w:r w:rsidR="004D2DDD">
        <w:rPr>
          <w:sz w:val="20"/>
        </w:rPr>
        <w:t>VIC</w:t>
      </w:r>
      <w:r w:rsidR="004D2DDD" w:rsidRPr="00C86C51">
        <w:rPr>
          <w:sz w:val="20"/>
        </w:rPr>
        <w:t xml:space="preserve"> </w:t>
      </w:r>
      <w:r w:rsidRPr="00C86C51">
        <w:rPr>
          <w:sz w:val="20"/>
        </w:rPr>
        <w:t xml:space="preserve">tend to work more than the national average (43.7 hours), while those in </w:t>
      </w:r>
      <w:r w:rsidR="004D2DDD">
        <w:rPr>
          <w:sz w:val="20"/>
        </w:rPr>
        <w:t>QLD</w:t>
      </w:r>
      <w:r w:rsidR="004D2DDD" w:rsidRPr="00C86C51">
        <w:rPr>
          <w:sz w:val="20"/>
        </w:rPr>
        <w:t xml:space="preserve"> </w:t>
      </w:r>
      <w:r w:rsidRPr="00C86C51">
        <w:rPr>
          <w:sz w:val="20"/>
        </w:rPr>
        <w:t>tend to work less than the national average. There were no REI subspecialists in the NT or ACT.</w:t>
      </w:r>
    </w:p>
    <w:p w:rsidR="00C60CF0" w:rsidRDefault="00C60CF0" w:rsidP="00C60CF0">
      <w:pPr>
        <w:pStyle w:val="Caption"/>
        <w:keepNext/>
      </w:pPr>
      <w:bookmarkStart w:id="197" w:name="_Ref455490426"/>
      <w:bookmarkStart w:id="198" w:name="_Toc515888850"/>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46</w:t>
      </w:r>
      <w:r w:rsidR="00556A17">
        <w:rPr>
          <w:noProof/>
        </w:rPr>
        <w:fldChar w:fldCharType="end"/>
      </w:r>
      <w:bookmarkEnd w:id="197"/>
      <w:r>
        <w:t>:</w:t>
      </w:r>
      <w:r w:rsidRPr="00F23728">
        <w:t xml:space="preserve"> Average</w:t>
      </w:r>
      <w:r>
        <w:t xml:space="preserve"> total </w:t>
      </w:r>
      <w:r w:rsidRPr="00F23728">
        <w:t>specialist hours by states and territories</w:t>
      </w:r>
      <w:bookmarkEnd w:id="198"/>
    </w:p>
    <w:p w:rsidR="00C60CF0" w:rsidRDefault="00C550A8" w:rsidP="00825D70">
      <w:pPr>
        <w:pStyle w:val="Heading5"/>
        <w:rPr>
          <w:rFonts w:eastAsia="Calibri"/>
        </w:rPr>
      </w:pPr>
      <w:r>
        <w:rPr>
          <w:rFonts w:eastAsia="Calibri"/>
          <w:noProof/>
          <w:lang w:eastAsia="en-AU"/>
        </w:rPr>
        <w:drawing>
          <wp:inline distT="0" distB="0" distL="0" distR="0" wp14:anchorId="4CFFE9C8" wp14:editId="10B86A59">
            <wp:extent cx="2487295" cy="2133600"/>
            <wp:effectExtent l="0" t="0" r="8255" b="0"/>
            <wp:docPr id="715" name="Picture 715" descr="Shows the average total specialist hours worked by states and territories. Reproductive endocrinology infertility subspecialists in TAS and VIC tend to work more than the national average (43.7 hours), while those in QLD tend to work less than the national average. There were no reproductive endocrinology infertility subspecialists in the NT or ACT." title="Figure 46: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7295" cy="2133600"/>
                    </a:xfrm>
                    <a:prstGeom prst="rect">
                      <a:avLst/>
                    </a:prstGeom>
                    <a:noFill/>
                  </pic:spPr>
                </pic:pic>
              </a:graphicData>
            </a:graphic>
          </wp:inline>
        </w:drawing>
      </w:r>
      <w:r w:rsidR="00C60CF0" w:rsidRPr="00825DE5">
        <w:rPr>
          <w:rFonts w:eastAsia="Calibri"/>
        </w:rPr>
        <w:t>Source: NHWDS, Medical Pract</w:t>
      </w:r>
      <w:r w:rsidR="00C60CF0">
        <w:rPr>
          <w:rFonts w:eastAsia="Calibri"/>
        </w:rPr>
        <w:t>itioner 2016</w:t>
      </w:r>
    </w:p>
    <w:p w:rsidR="00C60CF0" w:rsidRPr="00C86C51" w:rsidRDefault="00C60CF0" w:rsidP="00C60CF0">
      <w:pPr>
        <w:rPr>
          <w:sz w:val="20"/>
        </w:rPr>
      </w:pPr>
      <w:r w:rsidRPr="00C86C51">
        <w:rPr>
          <w:sz w:val="20"/>
        </w:rPr>
        <w:t>While the majority of the REI workforce is predominately located in M</w:t>
      </w:r>
      <w:r w:rsidR="00865AF1">
        <w:rPr>
          <w:sz w:val="20"/>
        </w:rPr>
        <w:t>M</w:t>
      </w:r>
      <w:r w:rsidRPr="00C86C51">
        <w:rPr>
          <w:sz w:val="20"/>
        </w:rPr>
        <w:t>M1 (93 per cent) those located in M</w:t>
      </w:r>
      <w:r w:rsidR="00865AF1">
        <w:rPr>
          <w:sz w:val="20"/>
        </w:rPr>
        <w:t>M</w:t>
      </w:r>
      <w:r w:rsidRPr="00C86C51">
        <w:rPr>
          <w:sz w:val="20"/>
        </w:rPr>
        <w:t xml:space="preserve">M2 worked more </w:t>
      </w:r>
      <w:r w:rsidRPr="00C86C51">
        <w:rPr>
          <w:sz w:val="20"/>
        </w:rPr>
        <w:lastRenderedPageBreak/>
        <w:t>hours than the national average (</w:t>
      </w:r>
      <w:r w:rsidRPr="00C86C51">
        <w:rPr>
          <w:sz w:val="20"/>
        </w:rPr>
        <w:fldChar w:fldCharType="begin"/>
      </w:r>
      <w:r w:rsidRPr="00C86C51">
        <w:rPr>
          <w:sz w:val="20"/>
        </w:rPr>
        <w:instrText xml:space="preserve"> REF _Ref455490440 \h </w:instrText>
      </w:r>
      <w:r w:rsidR="00C86C51">
        <w:rPr>
          <w:sz w:val="20"/>
        </w:rPr>
        <w:instrText xml:space="preserve"> \* MERGEFORMAT </w:instrText>
      </w:r>
      <w:r w:rsidRPr="00C86C51">
        <w:rPr>
          <w:sz w:val="20"/>
        </w:rPr>
      </w:r>
      <w:r w:rsidRPr="00C86C51">
        <w:rPr>
          <w:sz w:val="20"/>
        </w:rPr>
        <w:fldChar w:fldCharType="separate"/>
      </w:r>
      <w:r w:rsidR="008C7087" w:rsidRPr="008C7087">
        <w:rPr>
          <w:sz w:val="20"/>
        </w:rPr>
        <w:t xml:space="preserve">Figure </w:t>
      </w:r>
      <w:r w:rsidR="008C7087" w:rsidRPr="008C7087">
        <w:rPr>
          <w:noProof/>
          <w:sz w:val="20"/>
        </w:rPr>
        <w:t>47</w:t>
      </w:r>
      <w:r w:rsidRPr="00C86C51">
        <w:rPr>
          <w:sz w:val="20"/>
        </w:rPr>
        <w:fldChar w:fldCharType="end"/>
      </w:r>
      <w:r w:rsidRPr="00C86C51">
        <w:rPr>
          <w:sz w:val="20"/>
        </w:rPr>
        <w:t>). There were no REI subspecialists in outer regional or remote areas (M</w:t>
      </w:r>
      <w:r w:rsidR="00865AF1">
        <w:rPr>
          <w:sz w:val="20"/>
        </w:rPr>
        <w:t>M</w:t>
      </w:r>
      <w:r w:rsidRPr="00C86C51">
        <w:rPr>
          <w:sz w:val="20"/>
        </w:rPr>
        <w:t>M4 - M</w:t>
      </w:r>
      <w:r w:rsidR="00865AF1">
        <w:rPr>
          <w:sz w:val="20"/>
        </w:rPr>
        <w:t>M</w:t>
      </w:r>
      <w:r w:rsidRPr="00C86C51">
        <w:rPr>
          <w:sz w:val="20"/>
        </w:rPr>
        <w:t>M7).</w:t>
      </w:r>
    </w:p>
    <w:p w:rsidR="00C60CF0" w:rsidRDefault="00C60CF0" w:rsidP="00C60CF0">
      <w:pPr>
        <w:pStyle w:val="Caption"/>
        <w:keepNext/>
      </w:pPr>
      <w:bookmarkStart w:id="199" w:name="_Ref455490440"/>
      <w:bookmarkStart w:id="200" w:name="_Toc515888851"/>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47</w:t>
      </w:r>
      <w:r w:rsidR="00556A17">
        <w:rPr>
          <w:noProof/>
        </w:rPr>
        <w:fldChar w:fldCharType="end"/>
      </w:r>
      <w:bookmarkEnd w:id="199"/>
      <w:r>
        <w:t>:</w:t>
      </w:r>
      <w:r w:rsidRPr="00F23728">
        <w:t xml:space="preserve"> Average</w:t>
      </w:r>
      <w:r>
        <w:t xml:space="preserve"> total </w:t>
      </w:r>
      <w:r w:rsidRPr="00F23728">
        <w:t>specialist hours by</w:t>
      </w:r>
      <w:r>
        <w:t xml:space="preserve"> MM</w:t>
      </w:r>
      <w:r w:rsidR="009927B3">
        <w:t>M</w:t>
      </w:r>
      <w:bookmarkEnd w:id="200"/>
    </w:p>
    <w:p w:rsidR="00E87541" w:rsidRDefault="00E87541" w:rsidP="00865AF1">
      <w:pPr>
        <w:spacing w:before="0" w:after="0"/>
      </w:pPr>
      <w:r>
        <w:rPr>
          <w:noProof/>
          <w:lang w:eastAsia="en-AU"/>
        </w:rPr>
        <w:drawing>
          <wp:inline distT="0" distB="0" distL="0" distR="0" wp14:anchorId="0DD49B8C" wp14:editId="305FFAB7">
            <wp:extent cx="2468880" cy="2030095"/>
            <wp:effectExtent l="0" t="0" r="7620" b="8255"/>
            <wp:docPr id="721" name="Picture 721" descr="While the majority of the reproductive endocrinology infertility workforce is predominately located in Modified Monash Model 1 (93 per cent) those located in Modified Monash Model 2 worked more hours than the national average. There were no reproductive endocrinology infertility subspecialists in outer regional or remote areas (MMM4 - MMM7)." title="Figure 47: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8880" cy="203009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 xml:space="preserve">Source: </w:t>
      </w:r>
      <w:r>
        <w:rPr>
          <w:rFonts w:eastAsia="Calibri"/>
        </w:rPr>
        <w:t>NHWDS, Medical Practitioner 2016</w:t>
      </w:r>
    </w:p>
    <w:p w:rsidR="00C60CF0" w:rsidRPr="00C86C51" w:rsidRDefault="00C60CF0" w:rsidP="00C60CF0">
      <w:pPr>
        <w:rPr>
          <w:sz w:val="20"/>
        </w:rPr>
      </w:pPr>
      <w:r w:rsidRPr="00C86C51">
        <w:rPr>
          <w:sz w:val="20"/>
        </w:rPr>
        <w:fldChar w:fldCharType="begin"/>
      </w:r>
      <w:r w:rsidRPr="00C86C51">
        <w:rPr>
          <w:sz w:val="20"/>
        </w:rPr>
        <w:instrText xml:space="preserve"> REF _Ref455490458 \h </w:instrText>
      </w:r>
      <w:r w:rsidR="00C86C51">
        <w:rPr>
          <w:sz w:val="20"/>
        </w:rPr>
        <w:instrText xml:space="preserve"> \* MERGEFORMAT </w:instrText>
      </w:r>
      <w:r w:rsidRPr="00C86C51">
        <w:rPr>
          <w:sz w:val="20"/>
        </w:rPr>
      </w:r>
      <w:r w:rsidRPr="00C86C51">
        <w:rPr>
          <w:sz w:val="20"/>
        </w:rPr>
        <w:fldChar w:fldCharType="separate"/>
      </w:r>
      <w:r w:rsidR="008C7087" w:rsidRPr="008C7087">
        <w:rPr>
          <w:sz w:val="20"/>
        </w:rPr>
        <w:t xml:space="preserve">Table </w:t>
      </w:r>
      <w:r w:rsidR="008C7087" w:rsidRPr="008C7087">
        <w:rPr>
          <w:noProof/>
          <w:sz w:val="20"/>
        </w:rPr>
        <w:t>18</w:t>
      </w:r>
      <w:r w:rsidRPr="00C86C51">
        <w:rPr>
          <w:sz w:val="20"/>
        </w:rPr>
        <w:fldChar w:fldCharType="end"/>
      </w:r>
      <w:r w:rsidRPr="00C86C51">
        <w:rPr>
          <w:sz w:val="20"/>
        </w:rPr>
        <w:t xml:space="preserve"> indicates REIs clinical workload between sectors and jurisdictions. The data shows nationwide the majority of REI subspecialists FTE is spent in the private sector (91 per cent) with almost nine per cent in the public sector. </w:t>
      </w:r>
      <w:r w:rsidR="004D2DDD">
        <w:rPr>
          <w:sz w:val="20"/>
        </w:rPr>
        <w:t>TAS</w:t>
      </w:r>
      <w:r w:rsidR="004D2DDD" w:rsidRPr="00C86C51">
        <w:rPr>
          <w:sz w:val="20"/>
        </w:rPr>
        <w:t xml:space="preserve"> </w:t>
      </w:r>
      <w:r w:rsidRPr="00C86C51">
        <w:rPr>
          <w:sz w:val="20"/>
        </w:rPr>
        <w:t xml:space="preserve">had the highest proportion of clinical FTE in the private sector (95 per cent) while SA had the lowest (88 per cent). The majority of REI subspecialists are located in the highly populated states of NSW and </w:t>
      </w:r>
      <w:r w:rsidR="004D2DDD">
        <w:rPr>
          <w:sz w:val="20"/>
        </w:rPr>
        <w:t>VIC</w:t>
      </w:r>
      <w:r w:rsidRPr="00C86C51">
        <w:rPr>
          <w:sz w:val="20"/>
        </w:rPr>
        <w:t>.</w:t>
      </w:r>
    </w:p>
    <w:p w:rsidR="008D0421" w:rsidRDefault="00C60CF0" w:rsidP="008D0421">
      <w:pPr>
        <w:pStyle w:val="Caption"/>
        <w:keepNext/>
      </w:pPr>
      <w:bookmarkStart w:id="201" w:name="_Ref455490458"/>
      <w:bookmarkStart w:id="202" w:name="_Toc515887839"/>
      <w:r w:rsidRPr="00F23728">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18</w:t>
      </w:r>
      <w:r w:rsidR="00556A17">
        <w:rPr>
          <w:noProof/>
        </w:rPr>
        <w:fldChar w:fldCharType="end"/>
      </w:r>
      <w:bookmarkEnd w:id="201"/>
      <w:r>
        <w:rPr>
          <w:noProof/>
        </w:rPr>
        <w:t>:</w:t>
      </w:r>
      <w:r w:rsidRPr="00F23728">
        <w:t xml:space="preserve"> </w:t>
      </w:r>
      <w:r>
        <w:t xml:space="preserve">REI </w:t>
      </w:r>
      <w:r w:rsidRPr="00F23728">
        <w:t xml:space="preserve">clinicians (headcount and sector: </w:t>
      </w:r>
      <w:r>
        <w:t xml:space="preserve">proportion of specialist clinical FTE in </w:t>
      </w:r>
      <w:r w:rsidRPr="00F23728">
        <w:t>public and private) by state and territory</w:t>
      </w:r>
      <w:bookmarkEnd w:id="202"/>
    </w:p>
    <w:tbl>
      <w:tblPr>
        <w:tblStyle w:val="TableGrid"/>
        <w:tblW w:w="0" w:type="auto"/>
        <w:tblBorders>
          <w:insideH w:val="none" w:sz="0" w:space="0" w:color="auto"/>
          <w:insideV w:val="none" w:sz="0" w:space="0" w:color="auto"/>
        </w:tblBorders>
        <w:tblLook w:val="04A0" w:firstRow="1" w:lastRow="0" w:firstColumn="1" w:lastColumn="0" w:noHBand="0" w:noVBand="1"/>
        <w:tblCaption w:val="Table 18: Reproductive endocrinology infertility clinicians (headcount and sector: proportion of specialist clinical full time equivalent in public and private) by state and territory"/>
        <w:tblDescription w:val="This table indicates reproductive endocrinology infertility subspecialist clinical workload between sectors and jurisdictions. The data shows nationwide the majority of reproductive endocrinology infertility subspecialists full time equivalent is spent in the private sector (91 per cent) with almost nine per cent in the public sector. TAS had the highest proportion of clinical full time equivalent in the private sector (95 per cent) while SA had the lowest (88 per cent). The majority of reproductive endocrinology infertility subspecialists are located in the highly populated states of NSW and VIC."/>
      </w:tblPr>
      <w:tblGrid>
        <w:gridCol w:w="933"/>
        <w:gridCol w:w="869"/>
        <w:gridCol w:w="1150"/>
        <w:gridCol w:w="1150"/>
      </w:tblGrid>
      <w:tr w:rsidR="008D0421" w:rsidTr="008D0421">
        <w:trPr>
          <w:trHeight w:val="1486"/>
          <w:tblHeader/>
        </w:trPr>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C2365E">
              <w:rPr>
                <w:b/>
                <w:color w:val="FFFFFF"/>
                <w:sz w:val="20"/>
                <w:szCs w:val="20"/>
                <w:lang w:eastAsia="en-AU"/>
              </w:rPr>
              <w:t>State and Territories</w:t>
            </w:r>
          </w:p>
        </w:tc>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171591">
              <w:rPr>
                <w:b/>
                <w:bCs/>
                <w:color w:val="FFFFFF"/>
                <w:sz w:val="20"/>
                <w:szCs w:val="20"/>
                <w:lang w:eastAsia="en-AU"/>
              </w:rPr>
              <w:t>Headcount</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Public</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Private</w:t>
            </w:r>
          </w:p>
        </w:tc>
      </w:tr>
      <w:tr w:rsidR="008D0421" w:rsidTr="008D0421">
        <w:tc>
          <w:tcPr>
            <w:tcW w:w="1025" w:type="dxa"/>
            <w:vAlign w:val="center"/>
          </w:tcPr>
          <w:p w:rsidR="008D0421" w:rsidRPr="00AD72D4" w:rsidRDefault="008D0421" w:rsidP="00F05062">
            <w:pPr>
              <w:spacing w:before="0" w:after="0"/>
              <w:jc w:val="left"/>
              <w:rPr>
                <w:sz w:val="20"/>
                <w:szCs w:val="20"/>
                <w:lang w:eastAsia="en-AU"/>
              </w:rPr>
            </w:pPr>
            <w:r w:rsidRPr="00AD72D4">
              <w:rPr>
                <w:sz w:val="20"/>
                <w:szCs w:val="20"/>
                <w:lang w:eastAsia="en-AU"/>
              </w:rPr>
              <w:t>NSW</w:t>
            </w:r>
          </w:p>
        </w:tc>
        <w:tc>
          <w:tcPr>
            <w:tcW w:w="1025"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24</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5.8</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94.</w:t>
            </w:r>
            <w:r>
              <w:rPr>
                <w:sz w:val="20"/>
                <w:szCs w:val="20"/>
                <w:lang w:eastAsia="en-AU"/>
              </w:rPr>
              <w:t>2</w:t>
            </w:r>
          </w:p>
        </w:tc>
      </w:tr>
      <w:tr w:rsidR="008D0421" w:rsidTr="008D0421">
        <w:tc>
          <w:tcPr>
            <w:tcW w:w="1025" w:type="dxa"/>
            <w:shd w:val="clear" w:color="auto" w:fill="D3DFEE"/>
            <w:vAlign w:val="center"/>
          </w:tcPr>
          <w:p w:rsidR="008D0421" w:rsidRPr="00AD72D4" w:rsidRDefault="008D0421" w:rsidP="00F05062">
            <w:pPr>
              <w:spacing w:before="0" w:after="0"/>
              <w:jc w:val="left"/>
              <w:rPr>
                <w:sz w:val="20"/>
                <w:szCs w:val="20"/>
                <w:lang w:eastAsia="en-AU"/>
              </w:rPr>
            </w:pPr>
            <w:r w:rsidRPr="00AD72D4">
              <w:rPr>
                <w:sz w:val="20"/>
                <w:szCs w:val="20"/>
                <w:lang w:eastAsia="en-AU"/>
              </w:rPr>
              <w:t>QLD</w:t>
            </w:r>
          </w:p>
        </w:tc>
        <w:tc>
          <w:tcPr>
            <w:tcW w:w="1025"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1</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24</w:t>
            </w:r>
            <w:r>
              <w:rPr>
                <w:sz w:val="20"/>
                <w:szCs w:val="20"/>
                <w:lang w:eastAsia="en-AU"/>
              </w:rPr>
              <w:t>.0</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76</w:t>
            </w:r>
            <w:r>
              <w:rPr>
                <w:sz w:val="20"/>
                <w:szCs w:val="20"/>
                <w:lang w:eastAsia="en-AU"/>
              </w:rPr>
              <w:t>.0</w:t>
            </w:r>
          </w:p>
        </w:tc>
      </w:tr>
      <w:tr w:rsidR="008D0421" w:rsidTr="008D0421">
        <w:tc>
          <w:tcPr>
            <w:tcW w:w="1025" w:type="dxa"/>
            <w:vAlign w:val="center"/>
          </w:tcPr>
          <w:p w:rsidR="008D0421" w:rsidRPr="00AD72D4" w:rsidRDefault="008D0421" w:rsidP="00F05062">
            <w:pPr>
              <w:spacing w:before="0" w:after="0"/>
              <w:jc w:val="left"/>
              <w:rPr>
                <w:sz w:val="20"/>
                <w:szCs w:val="20"/>
                <w:lang w:eastAsia="en-AU"/>
              </w:rPr>
            </w:pPr>
            <w:r w:rsidRPr="00AD72D4">
              <w:rPr>
                <w:sz w:val="20"/>
                <w:szCs w:val="20"/>
                <w:lang w:eastAsia="en-AU"/>
              </w:rPr>
              <w:t>SA</w:t>
            </w:r>
          </w:p>
        </w:tc>
        <w:tc>
          <w:tcPr>
            <w:tcW w:w="1025"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4</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3.</w:t>
            </w:r>
            <w:r>
              <w:rPr>
                <w:sz w:val="20"/>
                <w:szCs w:val="20"/>
                <w:lang w:eastAsia="en-AU"/>
              </w:rPr>
              <w:t>8</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92.</w:t>
            </w:r>
            <w:r>
              <w:rPr>
                <w:sz w:val="20"/>
                <w:szCs w:val="20"/>
                <w:lang w:eastAsia="en-AU"/>
              </w:rPr>
              <w:t>5</w:t>
            </w:r>
          </w:p>
        </w:tc>
      </w:tr>
      <w:tr w:rsidR="008D0421" w:rsidTr="008D0421">
        <w:tc>
          <w:tcPr>
            <w:tcW w:w="1025" w:type="dxa"/>
            <w:shd w:val="clear" w:color="auto" w:fill="D3DFEE"/>
            <w:vAlign w:val="center"/>
          </w:tcPr>
          <w:p w:rsidR="008D0421" w:rsidRPr="00AD72D4" w:rsidRDefault="008D0421" w:rsidP="00F05062">
            <w:pPr>
              <w:spacing w:before="0" w:after="0"/>
              <w:jc w:val="left"/>
              <w:rPr>
                <w:sz w:val="20"/>
                <w:szCs w:val="20"/>
                <w:lang w:eastAsia="en-AU"/>
              </w:rPr>
            </w:pPr>
            <w:r w:rsidRPr="00AD72D4">
              <w:rPr>
                <w:sz w:val="20"/>
                <w:szCs w:val="20"/>
                <w:lang w:eastAsia="en-AU"/>
              </w:rPr>
              <w:t>TAS</w:t>
            </w:r>
          </w:p>
        </w:tc>
        <w:tc>
          <w:tcPr>
            <w:tcW w:w="1025"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1</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5.</w:t>
            </w:r>
            <w:r>
              <w:rPr>
                <w:sz w:val="20"/>
                <w:szCs w:val="20"/>
                <w:lang w:eastAsia="en-AU"/>
              </w:rPr>
              <w:t>5</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94.</w:t>
            </w:r>
            <w:r>
              <w:rPr>
                <w:sz w:val="20"/>
                <w:szCs w:val="20"/>
                <w:lang w:eastAsia="en-AU"/>
              </w:rPr>
              <w:t>6</w:t>
            </w:r>
          </w:p>
        </w:tc>
      </w:tr>
      <w:tr w:rsidR="008D0421" w:rsidTr="008D0421">
        <w:tc>
          <w:tcPr>
            <w:tcW w:w="1025" w:type="dxa"/>
            <w:vAlign w:val="center"/>
          </w:tcPr>
          <w:p w:rsidR="008D0421" w:rsidRPr="00AD72D4" w:rsidRDefault="008D0421" w:rsidP="00F05062">
            <w:pPr>
              <w:spacing w:before="0" w:after="0"/>
              <w:jc w:val="left"/>
              <w:rPr>
                <w:sz w:val="20"/>
                <w:szCs w:val="20"/>
                <w:lang w:eastAsia="en-AU"/>
              </w:rPr>
            </w:pPr>
            <w:r w:rsidRPr="00AD72D4">
              <w:rPr>
                <w:sz w:val="20"/>
                <w:szCs w:val="20"/>
                <w:lang w:eastAsia="en-AU"/>
              </w:rPr>
              <w:t>VIC</w:t>
            </w:r>
          </w:p>
        </w:tc>
        <w:tc>
          <w:tcPr>
            <w:tcW w:w="1025"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11</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9.8</w:t>
            </w:r>
          </w:p>
        </w:tc>
        <w:tc>
          <w:tcPr>
            <w:tcW w:w="1026" w:type="dxa"/>
            <w:vAlign w:val="center"/>
          </w:tcPr>
          <w:p w:rsidR="008D0421" w:rsidRPr="00AD72D4" w:rsidRDefault="008D0421" w:rsidP="00F05062">
            <w:pPr>
              <w:spacing w:before="0" w:after="0"/>
              <w:jc w:val="right"/>
              <w:rPr>
                <w:sz w:val="20"/>
                <w:szCs w:val="20"/>
                <w:lang w:eastAsia="en-AU"/>
              </w:rPr>
            </w:pPr>
            <w:r w:rsidRPr="00AD72D4">
              <w:rPr>
                <w:sz w:val="20"/>
                <w:szCs w:val="20"/>
                <w:lang w:eastAsia="en-AU"/>
              </w:rPr>
              <w:t>89.</w:t>
            </w:r>
            <w:r>
              <w:rPr>
                <w:sz w:val="20"/>
                <w:szCs w:val="20"/>
                <w:lang w:eastAsia="en-AU"/>
              </w:rPr>
              <w:t>1</w:t>
            </w:r>
          </w:p>
        </w:tc>
      </w:tr>
      <w:tr w:rsidR="008D0421" w:rsidTr="008D0421">
        <w:tc>
          <w:tcPr>
            <w:tcW w:w="1025" w:type="dxa"/>
            <w:shd w:val="clear" w:color="auto" w:fill="D3DFEE"/>
            <w:vAlign w:val="center"/>
          </w:tcPr>
          <w:p w:rsidR="008D0421" w:rsidRPr="00AD72D4" w:rsidRDefault="008D0421" w:rsidP="00F05062">
            <w:pPr>
              <w:spacing w:before="0" w:after="0"/>
              <w:jc w:val="left"/>
              <w:rPr>
                <w:sz w:val="20"/>
                <w:szCs w:val="20"/>
                <w:lang w:eastAsia="en-AU"/>
              </w:rPr>
            </w:pPr>
            <w:r w:rsidRPr="00AD72D4">
              <w:rPr>
                <w:sz w:val="20"/>
                <w:szCs w:val="20"/>
                <w:lang w:eastAsia="en-AU"/>
              </w:rPr>
              <w:t>WA</w:t>
            </w:r>
          </w:p>
        </w:tc>
        <w:tc>
          <w:tcPr>
            <w:tcW w:w="1025"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1</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50</w:t>
            </w:r>
            <w:r>
              <w:rPr>
                <w:sz w:val="20"/>
                <w:szCs w:val="20"/>
                <w:lang w:eastAsia="en-AU"/>
              </w:rPr>
              <w:t>.0</w:t>
            </w:r>
          </w:p>
        </w:tc>
        <w:tc>
          <w:tcPr>
            <w:tcW w:w="1026" w:type="dxa"/>
            <w:shd w:val="clear" w:color="auto" w:fill="D3DFEE"/>
            <w:vAlign w:val="center"/>
          </w:tcPr>
          <w:p w:rsidR="008D0421" w:rsidRPr="00AD72D4" w:rsidRDefault="008D0421" w:rsidP="00F05062">
            <w:pPr>
              <w:spacing w:before="0" w:after="0"/>
              <w:jc w:val="right"/>
              <w:rPr>
                <w:sz w:val="20"/>
                <w:szCs w:val="20"/>
                <w:lang w:eastAsia="en-AU"/>
              </w:rPr>
            </w:pPr>
            <w:r w:rsidRPr="00AD72D4">
              <w:rPr>
                <w:sz w:val="20"/>
                <w:szCs w:val="20"/>
                <w:lang w:eastAsia="en-AU"/>
              </w:rPr>
              <w:t>50</w:t>
            </w:r>
            <w:r>
              <w:rPr>
                <w:sz w:val="20"/>
                <w:szCs w:val="20"/>
                <w:lang w:eastAsia="en-AU"/>
              </w:rPr>
              <w:t>.0</w:t>
            </w:r>
          </w:p>
        </w:tc>
      </w:tr>
      <w:tr w:rsidR="008D0421" w:rsidTr="008D0421">
        <w:tc>
          <w:tcPr>
            <w:tcW w:w="1025" w:type="dxa"/>
            <w:vAlign w:val="center"/>
          </w:tcPr>
          <w:p w:rsidR="008D0421" w:rsidRPr="00AD72D4" w:rsidRDefault="008D0421" w:rsidP="00F05062">
            <w:pPr>
              <w:spacing w:before="0" w:after="0"/>
              <w:jc w:val="left"/>
              <w:rPr>
                <w:b/>
                <w:bCs/>
                <w:sz w:val="20"/>
                <w:szCs w:val="20"/>
                <w:lang w:eastAsia="en-AU"/>
              </w:rPr>
            </w:pPr>
            <w:r w:rsidRPr="00AD72D4">
              <w:rPr>
                <w:b/>
                <w:bCs/>
                <w:sz w:val="20"/>
                <w:szCs w:val="20"/>
                <w:lang w:eastAsia="en-AU"/>
              </w:rPr>
              <w:t>Total</w:t>
            </w:r>
          </w:p>
        </w:tc>
        <w:tc>
          <w:tcPr>
            <w:tcW w:w="1025" w:type="dxa"/>
            <w:vAlign w:val="center"/>
          </w:tcPr>
          <w:p w:rsidR="008D0421" w:rsidRPr="00AD72D4" w:rsidRDefault="008D0421" w:rsidP="00F05062">
            <w:pPr>
              <w:spacing w:before="0" w:after="0"/>
              <w:jc w:val="right"/>
              <w:rPr>
                <w:b/>
                <w:bCs/>
                <w:sz w:val="20"/>
                <w:szCs w:val="20"/>
                <w:lang w:eastAsia="en-AU"/>
              </w:rPr>
            </w:pPr>
            <w:r w:rsidRPr="00AD72D4">
              <w:rPr>
                <w:b/>
                <w:bCs/>
                <w:sz w:val="20"/>
                <w:szCs w:val="20"/>
                <w:lang w:eastAsia="en-AU"/>
              </w:rPr>
              <w:t>42</w:t>
            </w:r>
          </w:p>
        </w:tc>
        <w:tc>
          <w:tcPr>
            <w:tcW w:w="1026" w:type="dxa"/>
            <w:vAlign w:val="center"/>
          </w:tcPr>
          <w:p w:rsidR="008D0421" w:rsidRPr="00AD72D4" w:rsidRDefault="008D0421" w:rsidP="00F05062">
            <w:pPr>
              <w:spacing w:before="0" w:after="0"/>
              <w:jc w:val="right"/>
              <w:rPr>
                <w:b/>
                <w:bCs/>
                <w:sz w:val="20"/>
                <w:szCs w:val="20"/>
                <w:lang w:eastAsia="en-AU"/>
              </w:rPr>
            </w:pPr>
            <w:r w:rsidRPr="00AD72D4">
              <w:rPr>
                <w:b/>
                <w:bCs/>
                <w:sz w:val="20"/>
                <w:szCs w:val="20"/>
                <w:lang w:eastAsia="en-AU"/>
              </w:rPr>
              <w:t>8.</w:t>
            </w:r>
            <w:r>
              <w:rPr>
                <w:b/>
                <w:bCs/>
                <w:sz w:val="20"/>
                <w:szCs w:val="20"/>
                <w:lang w:eastAsia="en-AU"/>
              </w:rPr>
              <w:t>5</w:t>
            </w:r>
          </w:p>
        </w:tc>
        <w:tc>
          <w:tcPr>
            <w:tcW w:w="1026" w:type="dxa"/>
            <w:vAlign w:val="center"/>
          </w:tcPr>
          <w:p w:rsidR="008D0421" w:rsidRPr="00AD72D4" w:rsidRDefault="008D0421" w:rsidP="00F05062">
            <w:pPr>
              <w:spacing w:before="0" w:after="0"/>
              <w:jc w:val="right"/>
              <w:rPr>
                <w:b/>
                <w:bCs/>
                <w:sz w:val="20"/>
                <w:szCs w:val="20"/>
                <w:lang w:eastAsia="en-AU"/>
              </w:rPr>
            </w:pPr>
            <w:r w:rsidRPr="00AD72D4">
              <w:rPr>
                <w:b/>
                <w:bCs/>
                <w:sz w:val="20"/>
                <w:szCs w:val="20"/>
                <w:lang w:eastAsia="en-AU"/>
              </w:rPr>
              <w:t>90.8</w:t>
            </w:r>
          </w:p>
        </w:tc>
      </w:tr>
    </w:tbl>
    <w:p w:rsidR="00C60CF0" w:rsidRDefault="00C60CF0" w:rsidP="00C60CF0">
      <w:pPr>
        <w:pStyle w:val="Heading5"/>
      </w:pPr>
      <w:r>
        <w:t>Source: NHWDS, Medical Practitioner 2016</w:t>
      </w:r>
    </w:p>
    <w:p w:rsidR="00985952" w:rsidRDefault="00985952" w:rsidP="00C60CF0">
      <w:pPr>
        <w:pStyle w:val="Heading3"/>
        <w:sectPr w:rsidR="00985952" w:rsidSect="00561EB0">
          <w:type w:val="continuous"/>
          <w:pgSz w:w="11906" w:h="16838"/>
          <w:pgMar w:top="1247" w:right="1985" w:bottom="1247" w:left="1440" w:header="709" w:footer="709" w:gutter="0"/>
          <w:cols w:num="2" w:space="708"/>
          <w:titlePg/>
          <w:docGrid w:linePitch="360"/>
        </w:sectPr>
      </w:pPr>
    </w:p>
    <w:p w:rsidR="00C86C51" w:rsidRDefault="00C86C51">
      <w:pPr>
        <w:spacing w:before="0" w:after="0"/>
        <w:jc w:val="left"/>
        <w:rPr>
          <w:rFonts w:cs="Arial"/>
          <w:b/>
          <w:bCs/>
          <w:color w:val="4F81BD" w:themeColor="accent1"/>
          <w:sz w:val="26"/>
          <w:szCs w:val="26"/>
        </w:rPr>
      </w:pPr>
      <w:r>
        <w:lastRenderedPageBreak/>
        <w:br w:type="page"/>
      </w:r>
    </w:p>
    <w:p w:rsidR="00C60CF0" w:rsidRPr="00043BB5" w:rsidRDefault="00C60CF0" w:rsidP="00C60CF0">
      <w:pPr>
        <w:pStyle w:val="Heading3"/>
      </w:pPr>
      <w:r>
        <w:lastRenderedPageBreak/>
        <w:t>Subspecialists: Gy</w:t>
      </w:r>
      <w:r w:rsidRPr="00043BB5">
        <w:t>naecological oncology (GO)</w:t>
      </w:r>
    </w:p>
    <w:p w:rsidR="00C86C51" w:rsidRDefault="00C86C51" w:rsidP="00C60CF0">
      <w:pPr>
        <w:sectPr w:rsidR="00C86C51" w:rsidSect="00561EB0">
          <w:type w:val="continuous"/>
          <w:pgSz w:w="11906" w:h="16838"/>
          <w:pgMar w:top="1247" w:right="1985" w:bottom="1247" w:left="1440" w:header="709" w:footer="709" w:gutter="0"/>
          <w:cols w:space="708"/>
          <w:titlePg/>
          <w:docGrid w:linePitch="360"/>
        </w:sectPr>
      </w:pPr>
    </w:p>
    <w:p w:rsidR="00C60CF0" w:rsidRPr="009927B3" w:rsidRDefault="00C60CF0" w:rsidP="00C60CF0">
      <w:pPr>
        <w:rPr>
          <w:sz w:val="20"/>
        </w:rPr>
      </w:pPr>
      <w:r w:rsidRPr="009927B3">
        <w:rPr>
          <w:sz w:val="20"/>
        </w:rPr>
        <w:lastRenderedPageBreak/>
        <w:t>A certified Gynaecological Oncologist (GO) subspecialist has successfully completed a formal training program in gynaecological cancer care and is competent in the comprehensive management of women with a genital malignancy. The subspecialist will work in gynaecology with at least 66 per cent of the time in gynaecological oncology. They will submit for recertification every three years, and only those actively practising will continue to be certified.</w:t>
      </w:r>
    </w:p>
    <w:p w:rsidR="00C60CF0" w:rsidRPr="009927B3" w:rsidRDefault="00C60CF0" w:rsidP="00C60CF0">
      <w:pPr>
        <w:rPr>
          <w:sz w:val="20"/>
        </w:rPr>
      </w:pPr>
      <w:r w:rsidRPr="009927B3">
        <w:rPr>
          <w:sz w:val="20"/>
        </w:rPr>
        <w:t>According to the 2016 NHWDS, there were 41 GO subspecialists who indicated they were employed and working as clinicians with the following characteristics:</w:t>
      </w:r>
    </w:p>
    <w:p w:rsidR="00C60CF0" w:rsidRDefault="00C60CF0" w:rsidP="00C60CF0">
      <w:pPr>
        <w:pStyle w:val="Caption"/>
      </w:pPr>
      <w:bookmarkStart w:id="203" w:name="_Toc515888852"/>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48</w:t>
      </w:r>
      <w:r w:rsidR="00556A17">
        <w:rPr>
          <w:noProof/>
        </w:rPr>
        <w:fldChar w:fldCharType="end"/>
      </w:r>
      <w:r>
        <w:t xml:space="preserve">: </w:t>
      </w:r>
      <w:r w:rsidRPr="00F23728">
        <w:t xml:space="preserve">Demographics of the </w:t>
      </w:r>
      <w:r>
        <w:t xml:space="preserve">GO </w:t>
      </w:r>
      <w:r w:rsidR="001A70A7">
        <w:t xml:space="preserve">subspecialty </w:t>
      </w:r>
      <w:r w:rsidRPr="00F23728">
        <w:t>workforce</w:t>
      </w:r>
      <w:bookmarkEnd w:id="203"/>
    </w:p>
    <w:p w:rsidR="00E87541" w:rsidRPr="00BC1F3F" w:rsidRDefault="00E87541" w:rsidP="00C60CF0">
      <w:pPr>
        <w:spacing w:before="0" w:after="0"/>
      </w:pPr>
      <w:r>
        <w:rPr>
          <w:noProof/>
          <w:lang w:eastAsia="en-AU"/>
        </w:rPr>
        <w:drawing>
          <wp:inline distT="0" distB="0" distL="0" distR="0" wp14:anchorId="6D220270" wp14:editId="4CC47939">
            <wp:extent cx="2603500" cy="1901825"/>
            <wp:effectExtent l="0" t="0" r="6350" b="3175"/>
            <wp:docPr id="723" name="Picture 723" descr="The average age of a gynaecology oncologist subspecialist was 54 years.&#10;There were 24% of gynaecology oncologist subspecialists who were female.&#10;Gynaecology oncologist subspecialists averaged 53.6 hours, with females working 38.2 hours.&#10;Gynaecology oncologist subspecialists aged 55 years and over represent 40% of the workforce, and tend to work 58.7 hours.&#10;There were 60% of gynaecology oncologist subspecialists located in NSW and VIC.&#10;There were 93% of gynaecology oncologist subspecialists located in Modified Monash Model Area 1.&#10;There were 36% of gynaecology oncologist subspecialists working in the public sector." title="Figure 48: Demographics of the gynaecological oncologist subspecialt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3500" cy="1901825"/>
                    </a:xfrm>
                    <a:prstGeom prst="rect">
                      <a:avLst/>
                    </a:prstGeom>
                    <a:noFill/>
                  </pic:spPr>
                </pic:pic>
              </a:graphicData>
            </a:graphic>
          </wp:inline>
        </w:drawing>
      </w:r>
    </w:p>
    <w:p w:rsidR="00C60CF0" w:rsidRPr="00012887" w:rsidRDefault="00C60CF0" w:rsidP="00012887">
      <w:pPr>
        <w:rPr>
          <w:i/>
          <w:color w:val="4F81BD"/>
          <w:sz w:val="16"/>
          <w:szCs w:val="16"/>
        </w:rPr>
      </w:pPr>
      <w:r w:rsidRPr="00012887">
        <w:rPr>
          <w:rFonts w:eastAsia="Calibri"/>
          <w:i/>
          <w:color w:val="4F81BD"/>
          <w:sz w:val="16"/>
          <w:szCs w:val="16"/>
        </w:rPr>
        <w:t>Source: NHWDS, Medical Practitioner 2016</w:t>
      </w:r>
    </w:p>
    <w:p w:rsidR="00C60CF0" w:rsidRPr="00A02039" w:rsidRDefault="00C60CF0" w:rsidP="00C60CF0">
      <w:pPr>
        <w:pStyle w:val="Heading4"/>
      </w:pPr>
      <w:r w:rsidRPr="00A02039">
        <w:t>Distribution</w:t>
      </w:r>
    </w:p>
    <w:p w:rsidR="00C60CF0" w:rsidRPr="009927B3" w:rsidRDefault="00D24820" w:rsidP="00C60CF0">
      <w:pPr>
        <w:rPr>
          <w:sz w:val="20"/>
        </w:rPr>
      </w:pPr>
      <w:r>
        <w:rPr>
          <w:sz w:val="20"/>
        </w:rPr>
        <w:t xml:space="preserve">Figure </w:t>
      </w:r>
      <w:r w:rsidR="002D709D">
        <w:rPr>
          <w:sz w:val="20"/>
        </w:rPr>
        <w:t>49</w:t>
      </w:r>
      <w:r w:rsidR="002D709D" w:rsidRPr="009927B3">
        <w:rPr>
          <w:sz w:val="20"/>
        </w:rPr>
        <w:t xml:space="preserve"> </w:t>
      </w:r>
      <w:r w:rsidR="00C60CF0" w:rsidRPr="009927B3">
        <w:rPr>
          <w:sz w:val="20"/>
        </w:rPr>
        <w:t xml:space="preserve">illustrates the MMM and density of the GO workforce within these areas. For more information on the MMM please see the NHWDS, medical practitioner 2016, section, page </w:t>
      </w:r>
      <w:r w:rsidR="00C60CF0" w:rsidRPr="009927B3">
        <w:rPr>
          <w:sz w:val="20"/>
        </w:rPr>
        <w:fldChar w:fldCharType="begin"/>
      </w:r>
      <w:r w:rsidR="00C60CF0" w:rsidRPr="009927B3">
        <w:rPr>
          <w:sz w:val="20"/>
        </w:rPr>
        <w:instrText xml:space="preserve"> PAGEREF _Ref455568508 \h </w:instrText>
      </w:r>
      <w:r w:rsidR="00C60CF0" w:rsidRPr="009927B3">
        <w:rPr>
          <w:sz w:val="20"/>
        </w:rPr>
      </w:r>
      <w:r w:rsidR="00C60CF0" w:rsidRPr="009927B3">
        <w:rPr>
          <w:sz w:val="20"/>
        </w:rPr>
        <w:fldChar w:fldCharType="separate"/>
      </w:r>
      <w:r w:rsidR="00B31A00">
        <w:rPr>
          <w:noProof/>
          <w:sz w:val="20"/>
        </w:rPr>
        <w:t>8</w:t>
      </w:r>
      <w:r w:rsidR="00C60CF0" w:rsidRPr="009927B3">
        <w:rPr>
          <w:sz w:val="20"/>
        </w:rPr>
        <w:fldChar w:fldCharType="end"/>
      </w:r>
      <w:r w:rsidR="00C60CF0" w:rsidRPr="009927B3">
        <w:rPr>
          <w:sz w:val="20"/>
        </w:rPr>
        <w:t xml:space="preserve">.  As can be seen in the map, the GO workforce is located throughout Australia, except the ACT, and almost exclusively concentrated in Metropolitan areas (93 per cent in MMM1). </w:t>
      </w:r>
    </w:p>
    <w:p w:rsidR="00C60CF0" w:rsidRDefault="00C60CF0" w:rsidP="00C60CF0">
      <w:pPr>
        <w:pStyle w:val="Caption"/>
        <w:keepNext/>
      </w:pPr>
      <w:bookmarkStart w:id="204" w:name="_Toc515888853"/>
      <w:r>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49</w:t>
      </w:r>
      <w:r w:rsidR="00556A17">
        <w:rPr>
          <w:noProof/>
        </w:rPr>
        <w:fldChar w:fldCharType="end"/>
      </w:r>
      <w:r>
        <w:t xml:space="preserve">: </w:t>
      </w:r>
      <w:r w:rsidRPr="004C1C75">
        <w:t>GO clinicians by M</w:t>
      </w:r>
      <w:r>
        <w:t>M</w:t>
      </w:r>
      <w:r w:rsidRPr="004C1C75">
        <w:t>M</w:t>
      </w:r>
      <w:bookmarkEnd w:id="204"/>
    </w:p>
    <w:p w:rsidR="00C60CF0" w:rsidRDefault="00C60CF0" w:rsidP="00C60CF0">
      <w:pPr>
        <w:spacing w:before="0" w:after="0"/>
        <w:rPr>
          <w:lang w:eastAsia="en-AU"/>
        </w:rPr>
      </w:pPr>
      <w:r>
        <w:rPr>
          <w:noProof/>
          <w:lang w:eastAsia="en-AU"/>
        </w:rPr>
        <w:drawing>
          <wp:inline distT="0" distB="0" distL="0" distR="0" wp14:anchorId="286B672F" wp14:editId="3B6249FF">
            <wp:extent cx="2502131" cy="2144684"/>
            <wp:effectExtent l="0" t="0" r="0" b="8255"/>
            <wp:docPr id="2" name="Picture 2" descr="This figure illustrates the Modified Monash Model and density of the gynaecological oncology workforce within these areas. The map shows the gynaecological oncology workforce is located throughout Australia, except the ACT, and almost exclusively concentrated in metropolitan areas (93 per cent in MMM1). " title="Figure 49: Gynaecological oncology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3750" cy="2154643"/>
                    </a:xfrm>
                    <a:prstGeom prst="rect">
                      <a:avLst/>
                    </a:prstGeom>
                    <a:noFill/>
                    <a:ln>
                      <a:noFill/>
                    </a:ln>
                  </pic:spPr>
                </pic:pic>
              </a:graphicData>
            </a:graphic>
          </wp:inline>
        </w:drawing>
      </w:r>
    </w:p>
    <w:p w:rsidR="00C60CF0" w:rsidRDefault="00C60CF0" w:rsidP="00C60CF0">
      <w:pPr>
        <w:pStyle w:val="Heading5"/>
      </w:pPr>
      <w:r w:rsidRPr="002E41FB">
        <w:rPr>
          <w:rFonts w:eastAsia="Calibri"/>
        </w:rPr>
        <w:t>Source: NHWDS, Medical Practitioner 201</w:t>
      </w:r>
      <w:r>
        <w:rPr>
          <w:rFonts w:eastAsia="Calibri"/>
        </w:rPr>
        <w:t>6</w:t>
      </w:r>
    </w:p>
    <w:p w:rsidR="00C60CF0" w:rsidRPr="00A02039" w:rsidRDefault="00C60CF0" w:rsidP="00C60CF0">
      <w:pPr>
        <w:pStyle w:val="Heading4"/>
      </w:pPr>
      <w:r>
        <w:t>Hours worked</w:t>
      </w:r>
    </w:p>
    <w:p w:rsidR="00C60CF0" w:rsidRPr="009927B3" w:rsidRDefault="002D709D" w:rsidP="00C60CF0">
      <w:pPr>
        <w:rPr>
          <w:sz w:val="20"/>
        </w:rPr>
      </w:pPr>
      <w:r w:rsidRPr="009927B3">
        <w:rPr>
          <w:sz w:val="20"/>
        </w:rPr>
        <w:fldChar w:fldCharType="begin"/>
      </w:r>
      <w:r w:rsidRPr="009927B3">
        <w:rPr>
          <w:sz w:val="20"/>
        </w:rPr>
        <w:instrText xml:space="preserve"> REF _Ref455490501 \h </w:instrText>
      </w:r>
      <w:r>
        <w:rPr>
          <w:sz w:val="20"/>
        </w:rPr>
        <w:instrText xml:space="preserve"> \* MERGEFORMAT </w:instrText>
      </w:r>
      <w:r w:rsidRPr="009927B3">
        <w:rPr>
          <w:sz w:val="20"/>
        </w:rPr>
      </w:r>
      <w:r w:rsidRPr="009927B3">
        <w:rPr>
          <w:sz w:val="20"/>
        </w:rPr>
        <w:fldChar w:fldCharType="separate"/>
      </w:r>
      <w:r w:rsidR="008C7087" w:rsidRPr="008C7087">
        <w:rPr>
          <w:sz w:val="20"/>
        </w:rPr>
        <w:t xml:space="preserve">Figure </w:t>
      </w:r>
      <w:r w:rsidR="008C7087" w:rsidRPr="008C7087">
        <w:rPr>
          <w:noProof/>
          <w:sz w:val="20"/>
        </w:rPr>
        <w:t>50</w:t>
      </w:r>
      <w:r w:rsidRPr="009927B3">
        <w:rPr>
          <w:sz w:val="20"/>
        </w:rPr>
        <w:fldChar w:fldCharType="end"/>
      </w:r>
      <w:r w:rsidRPr="009927B3">
        <w:rPr>
          <w:sz w:val="20"/>
        </w:rPr>
        <w:t xml:space="preserve"> </w:t>
      </w:r>
      <w:r w:rsidR="00C60CF0" w:rsidRPr="009927B3">
        <w:rPr>
          <w:sz w:val="20"/>
        </w:rPr>
        <w:t>below shows the difference between the hours worked by the GO subspecialist workforce by gender. There is a small difference between males and females; with males working fewer clinical hours and specialist clinical hours on average. The difference between the total specialist (D) and specialist clinical (C) hours indicates the clinical support (non-clinical hours) component for the GO workforce. On average 8.4 hours for males and 7.8 hours per week for females, is spent performing clinical support in GO.</w:t>
      </w:r>
    </w:p>
    <w:p w:rsidR="00C60CF0" w:rsidRDefault="00C60CF0" w:rsidP="00C60CF0">
      <w:pPr>
        <w:pStyle w:val="Caption"/>
        <w:keepNext/>
      </w:pPr>
      <w:bookmarkStart w:id="205" w:name="_Ref455490501"/>
      <w:bookmarkStart w:id="206" w:name="_Toc515888854"/>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50</w:t>
      </w:r>
      <w:r w:rsidR="00556A17">
        <w:rPr>
          <w:noProof/>
        </w:rPr>
        <w:fldChar w:fldCharType="end"/>
      </w:r>
      <w:bookmarkEnd w:id="205"/>
      <w:r>
        <w:t xml:space="preserve">: </w:t>
      </w:r>
      <w:r w:rsidRPr="00F23728">
        <w:t>Average hours by total, clinical</w:t>
      </w:r>
      <w:r>
        <w:t>,</w:t>
      </w:r>
      <w:r w:rsidRPr="00F23728">
        <w:t xml:space="preserve"> specialist </w:t>
      </w:r>
      <w:r>
        <w:t>clinical and specialist total</w:t>
      </w:r>
      <w:r w:rsidRPr="00F23728">
        <w:t xml:space="preserve"> </w:t>
      </w:r>
      <w:r>
        <w:t xml:space="preserve">hours </w:t>
      </w:r>
      <w:r w:rsidRPr="00F23728">
        <w:t>worked</w:t>
      </w:r>
      <w:bookmarkEnd w:id="206"/>
    </w:p>
    <w:p w:rsidR="00C60CF0" w:rsidRPr="00CB4FB5" w:rsidRDefault="00A52D6D" w:rsidP="00C60CF0">
      <w:pPr>
        <w:spacing w:before="0" w:after="0"/>
        <w:rPr>
          <w:rFonts w:eastAsia="Calibri"/>
          <w:i/>
          <w:color w:val="4F81BD" w:themeColor="accent1"/>
          <w:sz w:val="16"/>
        </w:rPr>
      </w:pPr>
      <w:r>
        <w:rPr>
          <w:rFonts w:eastAsia="Calibri"/>
          <w:i/>
          <w:noProof/>
          <w:color w:val="4F81BD" w:themeColor="accent1"/>
          <w:sz w:val="16"/>
          <w:lang w:eastAsia="en-AU"/>
        </w:rPr>
        <w:drawing>
          <wp:inline distT="0" distB="0" distL="0" distR="0" wp14:anchorId="44BD7FE5" wp14:editId="34E0603D">
            <wp:extent cx="2542540" cy="2225040"/>
            <wp:effectExtent l="0" t="0" r="0" b="3810"/>
            <wp:docPr id="724" name="Picture 724" descr="This figure shows the difference between the hours worked by the gynaecological oncology subspecialist workforce by gender. There is a small difference between males and females; with males working fewer clinical hours and specialist clinical hours on average. The difference between the total specialist (D) and specialist clinical (C) hours indicates the clinical support (non-clinical hours) component for the gynaecological oncology workforce. On average 8.4 hours for males and 7.8 hours per week for females, is spent performing clinical support in gynaecological oncology." title="Figure 50: Average hours by total, clinical, specialist clinical and specialist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2540" cy="2225040"/>
                    </a:xfrm>
                    <a:prstGeom prst="rect">
                      <a:avLst/>
                    </a:prstGeom>
                    <a:noFill/>
                  </pic:spPr>
                </pic:pic>
              </a:graphicData>
            </a:graphic>
          </wp:inline>
        </w:drawing>
      </w:r>
      <w:r w:rsidR="00C60CF0" w:rsidRPr="00CB4FB5">
        <w:rPr>
          <w:rFonts w:eastAsia="Calibri"/>
          <w:i/>
          <w:color w:val="4F81BD" w:themeColor="accent1"/>
          <w:sz w:val="16"/>
        </w:rPr>
        <w:t>Source: NHWDS, Medical Practitioner 2016</w:t>
      </w:r>
    </w:p>
    <w:p w:rsidR="00C60CF0" w:rsidRPr="009927B3" w:rsidRDefault="00C60CF0" w:rsidP="00C60CF0">
      <w:pPr>
        <w:rPr>
          <w:sz w:val="20"/>
        </w:rPr>
      </w:pPr>
      <w:r w:rsidRPr="009927B3">
        <w:rPr>
          <w:sz w:val="20"/>
        </w:rPr>
        <w:t xml:space="preserve">The difference between the total specialist hours (D) and clinical specialist hours (C) by gender and age group are shown in </w:t>
      </w:r>
      <w:r w:rsidRPr="009927B3">
        <w:rPr>
          <w:sz w:val="20"/>
        </w:rPr>
        <w:fldChar w:fldCharType="begin"/>
      </w:r>
      <w:r w:rsidRPr="009927B3">
        <w:rPr>
          <w:sz w:val="20"/>
        </w:rPr>
        <w:instrText xml:space="preserve"> REF _Ref455490512 \h </w:instrText>
      </w:r>
      <w:r w:rsidR="009927B3">
        <w:rPr>
          <w:sz w:val="20"/>
        </w:rPr>
        <w:instrText xml:space="preserve"> \* MERGEFORMAT </w:instrText>
      </w:r>
      <w:r w:rsidRPr="009927B3">
        <w:rPr>
          <w:sz w:val="20"/>
        </w:rPr>
      </w:r>
      <w:r w:rsidRPr="009927B3">
        <w:rPr>
          <w:sz w:val="20"/>
        </w:rPr>
        <w:fldChar w:fldCharType="separate"/>
      </w:r>
      <w:r w:rsidR="008C7087" w:rsidRPr="008C7087">
        <w:rPr>
          <w:sz w:val="20"/>
          <w:szCs w:val="22"/>
        </w:rPr>
        <w:t xml:space="preserve">Figure </w:t>
      </w:r>
      <w:r w:rsidR="008C7087" w:rsidRPr="008C7087">
        <w:rPr>
          <w:noProof/>
          <w:sz w:val="20"/>
          <w:szCs w:val="22"/>
        </w:rPr>
        <w:t>51</w:t>
      </w:r>
      <w:r w:rsidRPr="009927B3">
        <w:rPr>
          <w:sz w:val="20"/>
        </w:rPr>
        <w:fldChar w:fldCharType="end"/>
      </w:r>
      <w:r w:rsidRPr="009927B3">
        <w:rPr>
          <w:sz w:val="20"/>
        </w:rPr>
        <w:t xml:space="preserve">. The x-axis is assumed to be average hours worked (40 hours) and the bars in positive or negative position show the hours worked greater or less than 40 hours by age and gender respectively. The </w:t>
      </w:r>
      <w:r w:rsidRPr="009927B3">
        <w:rPr>
          <w:sz w:val="20"/>
        </w:rPr>
        <w:lastRenderedPageBreak/>
        <w:t xml:space="preserve">vast majority of the age groups regardless of gender tend to work more than 40 hours between the ages of 35-64 years. Whereas from the age of 65 onwards the hours begin to decrease in most instances; with the exception of males aged 70-74 that are working 50 hours per week.  </w:t>
      </w:r>
    </w:p>
    <w:p w:rsidR="00C60CF0" w:rsidRDefault="00C60CF0" w:rsidP="00C60CF0">
      <w:pPr>
        <w:pStyle w:val="Caption"/>
        <w:rPr>
          <w:szCs w:val="22"/>
        </w:rPr>
      </w:pPr>
      <w:bookmarkStart w:id="207" w:name="_Ref455490512"/>
      <w:bookmarkStart w:id="208" w:name="_Toc515888855"/>
      <w:r w:rsidRPr="00CC5C72">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51</w:t>
      </w:r>
      <w:r w:rsidR="008C16B5">
        <w:rPr>
          <w:szCs w:val="22"/>
        </w:rPr>
        <w:fldChar w:fldCharType="end"/>
      </w:r>
      <w:bookmarkEnd w:id="207"/>
      <w:r>
        <w:rPr>
          <w:szCs w:val="22"/>
        </w:rPr>
        <w:t>:</w:t>
      </w:r>
      <w:r w:rsidRPr="00CC5C72">
        <w:rPr>
          <w:szCs w:val="22"/>
        </w:rPr>
        <w:t xml:space="preserve"> </w:t>
      </w:r>
      <w:r>
        <w:rPr>
          <w:szCs w:val="22"/>
        </w:rPr>
        <w:t xml:space="preserve">Difference between </w:t>
      </w:r>
      <w:r w:rsidRPr="00CC5C72">
        <w:rPr>
          <w:szCs w:val="22"/>
        </w:rPr>
        <w:t xml:space="preserve">clinical </w:t>
      </w:r>
      <w:r>
        <w:rPr>
          <w:szCs w:val="22"/>
        </w:rPr>
        <w:t xml:space="preserve">and total </w:t>
      </w:r>
      <w:r w:rsidRPr="00CC5C72">
        <w:rPr>
          <w:szCs w:val="22"/>
        </w:rPr>
        <w:t xml:space="preserve">specialist hour’s </w:t>
      </w:r>
      <w:r>
        <w:rPr>
          <w:szCs w:val="22"/>
        </w:rPr>
        <w:t xml:space="preserve">from average hours </w:t>
      </w:r>
      <w:r w:rsidRPr="00CC5C72">
        <w:rPr>
          <w:szCs w:val="22"/>
        </w:rPr>
        <w:t xml:space="preserve">by </w:t>
      </w:r>
      <w:r>
        <w:rPr>
          <w:szCs w:val="22"/>
        </w:rPr>
        <w:t>age groups and gender</w:t>
      </w:r>
      <w:bookmarkEnd w:id="208"/>
    </w:p>
    <w:p w:rsidR="00C60CF0" w:rsidRDefault="005778DB" w:rsidP="00C60CF0">
      <w:pPr>
        <w:pStyle w:val="Caption"/>
      </w:pPr>
      <w:r>
        <w:rPr>
          <w:noProof/>
          <w:lang w:eastAsia="en-AU"/>
        </w:rPr>
        <w:drawing>
          <wp:inline distT="0" distB="0" distL="0" distR="0" wp14:anchorId="1ED8DB27" wp14:editId="005C3C97">
            <wp:extent cx="2578735" cy="2463165"/>
            <wp:effectExtent l="0" t="0" r="0" b="0"/>
            <wp:docPr id="725" name="Picture 725" descr="This figure shows the difference between the total specialist hours (D) and clinical specialist hours (C) by gender and age group. The x-axis is assumed to be average hours worked (40 hours) and the bars in positive or negative position show the hours worked greater or less than 40 hours by age and gender respectively. The vast majority of the age groups regardless of gender tend to work more than 40 hours between the ages of 35-64 years. Whereas from the age of 65 onwards the hours begin to decrease in most instances; with the exception of males aged 70-74 that are working 50 hours per week.  " title="Figure 51: Difference between clinical and total specialist hour’s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8735" cy="246316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C2365E" w:rsidRDefault="00C60CF0" w:rsidP="00C60CF0">
      <w:pPr>
        <w:rPr>
          <w:sz w:val="20"/>
        </w:rPr>
      </w:pPr>
      <w:r w:rsidRPr="00C2365E">
        <w:rPr>
          <w:sz w:val="20"/>
        </w:rPr>
        <w:t>The average total specialist hours worked by states and territories is shown below (</w:t>
      </w:r>
      <w:r w:rsidRPr="00C2365E">
        <w:rPr>
          <w:sz w:val="20"/>
        </w:rPr>
        <w:fldChar w:fldCharType="begin"/>
      </w:r>
      <w:r w:rsidRPr="00C2365E">
        <w:rPr>
          <w:sz w:val="20"/>
        </w:rPr>
        <w:instrText xml:space="preserve"> REF _Ref455490527 \h  \* MERGEFORMAT </w:instrText>
      </w:r>
      <w:r w:rsidRPr="00C2365E">
        <w:rPr>
          <w:sz w:val="20"/>
        </w:rPr>
      </w:r>
      <w:r w:rsidRPr="00C2365E">
        <w:rPr>
          <w:sz w:val="20"/>
        </w:rPr>
        <w:fldChar w:fldCharType="separate"/>
      </w:r>
      <w:r w:rsidR="008C7087" w:rsidRPr="008C7087">
        <w:rPr>
          <w:sz w:val="20"/>
        </w:rPr>
        <w:t xml:space="preserve">Figure </w:t>
      </w:r>
      <w:r w:rsidR="008C7087" w:rsidRPr="008C7087">
        <w:rPr>
          <w:noProof/>
          <w:sz w:val="20"/>
        </w:rPr>
        <w:t>52</w:t>
      </w:r>
      <w:r w:rsidRPr="00C2365E">
        <w:rPr>
          <w:sz w:val="20"/>
        </w:rPr>
        <w:fldChar w:fldCharType="end"/>
      </w:r>
      <w:r w:rsidRPr="00C2365E">
        <w:rPr>
          <w:sz w:val="20"/>
        </w:rPr>
        <w:t xml:space="preserve">). GO subspecialists in WA, NSW and </w:t>
      </w:r>
      <w:r w:rsidR="009F1BAC">
        <w:rPr>
          <w:sz w:val="20"/>
        </w:rPr>
        <w:t>QLD</w:t>
      </w:r>
      <w:r w:rsidR="009F1BAC" w:rsidRPr="00C2365E">
        <w:rPr>
          <w:sz w:val="20"/>
        </w:rPr>
        <w:t xml:space="preserve"> </w:t>
      </w:r>
      <w:r w:rsidRPr="00C2365E">
        <w:rPr>
          <w:sz w:val="20"/>
        </w:rPr>
        <w:t xml:space="preserve">tend to work more than the national average (53.6 hours), while those in </w:t>
      </w:r>
      <w:r w:rsidR="009F1BAC">
        <w:rPr>
          <w:sz w:val="20"/>
        </w:rPr>
        <w:t>VIC</w:t>
      </w:r>
      <w:r w:rsidRPr="00C2365E">
        <w:rPr>
          <w:sz w:val="20"/>
        </w:rPr>
        <w:t xml:space="preserve">, </w:t>
      </w:r>
      <w:r w:rsidR="009F1BAC">
        <w:rPr>
          <w:sz w:val="20"/>
        </w:rPr>
        <w:t>TAS</w:t>
      </w:r>
      <w:r w:rsidR="009F1BAC" w:rsidRPr="00C2365E">
        <w:rPr>
          <w:sz w:val="20"/>
        </w:rPr>
        <w:t xml:space="preserve"> </w:t>
      </w:r>
      <w:r w:rsidRPr="00C2365E">
        <w:rPr>
          <w:sz w:val="20"/>
        </w:rPr>
        <w:t xml:space="preserve">and the NT </w:t>
      </w:r>
      <w:proofErr w:type="gramStart"/>
      <w:r w:rsidRPr="00C2365E">
        <w:rPr>
          <w:sz w:val="20"/>
        </w:rPr>
        <w:t>tend</w:t>
      </w:r>
      <w:proofErr w:type="gramEnd"/>
      <w:r w:rsidRPr="00C2365E">
        <w:rPr>
          <w:sz w:val="20"/>
        </w:rPr>
        <w:t xml:space="preserve"> to work less than the national average. There were no GO subspecialists in the ACT.</w:t>
      </w:r>
    </w:p>
    <w:p w:rsidR="00C60CF0" w:rsidRDefault="00C60CF0" w:rsidP="00C60CF0">
      <w:pPr>
        <w:pStyle w:val="Caption"/>
        <w:keepNext/>
      </w:pPr>
      <w:bookmarkStart w:id="209" w:name="_Ref455490527"/>
      <w:bookmarkStart w:id="210" w:name="_Toc515888856"/>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52</w:t>
      </w:r>
      <w:r w:rsidR="00556A17">
        <w:rPr>
          <w:noProof/>
        </w:rPr>
        <w:fldChar w:fldCharType="end"/>
      </w:r>
      <w:bookmarkEnd w:id="209"/>
      <w:r>
        <w:t>:</w:t>
      </w:r>
      <w:r w:rsidRPr="00F23728">
        <w:t xml:space="preserve"> Average</w:t>
      </w:r>
      <w:r>
        <w:t xml:space="preserve"> total </w:t>
      </w:r>
      <w:r w:rsidRPr="00F23728">
        <w:t>specialist hours by states and territories</w:t>
      </w:r>
      <w:bookmarkEnd w:id="210"/>
    </w:p>
    <w:p w:rsidR="00825D70" w:rsidRDefault="005778DB" w:rsidP="00C2365E">
      <w:pPr>
        <w:pStyle w:val="Heading5"/>
        <w:rPr>
          <w:rFonts w:eastAsia="Calibri"/>
        </w:rPr>
      </w:pPr>
      <w:r>
        <w:rPr>
          <w:rFonts w:eastAsia="Calibri"/>
          <w:noProof/>
          <w:lang w:eastAsia="en-AU"/>
        </w:rPr>
        <w:drawing>
          <wp:inline distT="0" distB="0" distL="0" distR="0" wp14:anchorId="6D8D2307" wp14:editId="5A85A9E5">
            <wp:extent cx="2517775" cy="2237740"/>
            <wp:effectExtent l="0" t="0" r="0" b="0"/>
            <wp:docPr id="727" name="Picture 727" descr="This figure shows the average total specialist hours worked by states and territories. Gynaecological oncology subspecialists in WA, NSW and QLD tend to work more than the national average (53.6 hours), while those in VIC, TAS and the NT tend to work less than the national average. There were no gynaecological oncology subspecialists in the ACT." title="Figure 52: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7775" cy="2237740"/>
                    </a:xfrm>
                    <a:prstGeom prst="rect">
                      <a:avLst/>
                    </a:prstGeom>
                    <a:noFill/>
                  </pic:spPr>
                </pic:pic>
              </a:graphicData>
            </a:graphic>
          </wp:inline>
        </w:drawing>
      </w:r>
    </w:p>
    <w:p w:rsidR="00C60CF0" w:rsidRPr="00C2365E" w:rsidRDefault="00C60CF0" w:rsidP="00C2365E">
      <w:pPr>
        <w:pStyle w:val="Heading5"/>
      </w:pPr>
      <w:r w:rsidRPr="00825DE5">
        <w:rPr>
          <w:rFonts w:eastAsia="Calibri"/>
        </w:rPr>
        <w:t>Source: NHWDS, Medical Pract</w:t>
      </w:r>
      <w:r>
        <w:rPr>
          <w:rFonts w:eastAsia="Calibri"/>
        </w:rPr>
        <w:t>itioner 2016</w:t>
      </w:r>
    </w:p>
    <w:p w:rsidR="00C60CF0" w:rsidRPr="00C2365E" w:rsidRDefault="00C60CF0" w:rsidP="00C60CF0">
      <w:pPr>
        <w:rPr>
          <w:sz w:val="20"/>
          <w:szCs w:val="20"/>
        </w:rPr>
      </w:pPr>
      <w:r w:rsidRPr="00C2365E">
        <w:rPr>
          <w:sz w:val="20"/>
          <w:szCs w:val="20"/>
        </w:rPr>
        <w:fldChar w:fldCharType="begin"/>
      </w:r>
      <w:r w:rsidRPr="00C2365E">
        <w:rPr>
          <w:sz w:val="20"/>
          <w:szCs w:val="20"/>
        </w:rPr>
        <w:instrText xml:space="preserve"> REF _Ref455490540 \h  \* MERGEFORMAT </w:instrText>
      </w:r>
      <w:r w:rsidRPr="00C2365E">
        <w:rPr>
          <w:sz w:val="20"/>
          <w:szCs w:val="20"/>
        </w:rPr>
      </w:r>
      <w:r w:rsidRPr="00C2365E">
        <w:rPr>
          <w:sz w:val="20"/>
          <w:szCs w:val="20"/>
        </w:rPr>
        <w:fldChar w:fldCharType="separate"/>
      </w:r>
      <w:r w:rsidR="008C7087" w:rsidRPr="008C7087">
        <w:rPr>
          <w:sz w:val="20"/>
          <w:szCs w:val="20"/>
        </w:rPr>
        <w:t xml:space="preserve">Figure </w:t>
      </w:r>
      <w:r w:rsidR="008C7087" w:rsidRPr="008C7087">
        <w:rPr>
          <w:noProof/>
          <w:sz w:val="20"/>
          <w:szCs w:val="20"/>
        </w:rPr>
        <w:t>53</w:t>
      </w:r>
      <w:r w:rsidRPr="00C2365E">
        <w:rPr>
          <w:sz w:val="20"/>
          <w:szCs w:val="20"/>
        </w:rPr>
        <w:fldChar w:fldCharType="end"/>
      </w:r>
      <w:r w:rsidRPr="00C2365E">
        <w:rPr>
          <w:sz w:val="20"/>
          <w:szCs w:val="20"/>
        </w:rPr>
        <w:t xml:space="preserve"> shows that GO subspecialist in M</w:t>
      </w:r>
      <w:r w:rsidR="00F41B02">
        <w:rPr>
          <w:sz w:val="20"/>
          <w:szCs w:val="20"/>
        </w:rPr>
        <w:t>M</w:t>
      </w:r>
      <w:r w:rsidRPr="00C2365E">
        <w:rPr>
          <w:sz w:val="20"/>
          <w:szCs w:val="20"/>
        </w:rPr>
        <w:t>M1–M</w:t>
      </w:r>
      <w:r w:rsidR="00F41B02">
        <w:rPr>
          <w:sz w:val="20"/>
          <w:szCs w:val="20"/>
        </w:rPr>
        <w:t>M</w:t>
      </w:r>
      <w:r w:rsidRPr="00C2365E">
        <w:rPr>
          <w:sz w:val="20"/>
          <w:szCs w:val="20"/>
        </w:rPr>
        <w:t>M3; those in M</w:t>
      </w:r>
      <w:r w:rsidR="00F41B02">
        <w:rPr>
          <w:sz w:val="20"/>
          <w:szCs w:val="20"/>
        </w:rPr>
        <w:t>M</w:t>
      </w:r>
      <w:r w:rsidRPr="00C2365E">
        <w:rPr>
          <w:sz w:val="20"/>
          <w:szCs w:val="20"/>
        </w:rPr>
        <w:t xml:space="preserve">M1 worked more hours than the national average (53.6 </w:t>
      </w:r>
      <w:r w:rsidRPr="00C2365E">
        <w:rPr>
          <w:sz w:val="20"/>
          <w:szCs w:val="20"/>
        </w:rPr>
        <w:lastRenderedPageBreak/>
        <w:t>hours) than those in MM</w:t>
      </w:r>
      <w:r w:rsidR="00865AF1">
        <w:rPr>
          <w:sz w:val="20"/>
          <w:szCs w:val="20"/>
        </w:rPr>
        <w:t>M</w:t>
      </w:r>
      <w:r w:rsidRPr="00C2365E">
        <w:rPr>
          <w:sz w:val="20"/>
          <w:szCs w:val="20"/>
        </w:rPr>
        <w:t>2 and M</w:t>
      </w:r>
      <w:r w:rsidR="00865AF1">
        <w:rPr>
          <w:sz w:val="20"/>
          <w:szCs w:val="20"/>
        </w:rPr>
        <w:t>M</w:t>
      </w:r>
      <w:r w:rsidRPr="00C2365E">
        <w:rPr>
          <w:sz w:val="20"/>
          <w:szCs w:val="20"/>
        </w:rPr>
        <w:t>M3. There were no GOs outside of inner regional areas (M</w:t>
      </w:r>
      <w:r w:rsidR="00865AF1">
        <w:rPr>
          <w:sz w:val="20"/>
          <w:szCs w:val="20"/>
        </w:rPr>
        <w:t>M</w:t>
      </w:r>
      <w:r w:rsidRPr="00C2365E">
        <w:rPr>
          <w:sz w:val="20"/>
          <w:szCs w:val="20"/>
        </w:rPr>
        <w:t>M4 - M</w:t>
      </w:r>
      <w:r w:rsidR="00865AF1">
        <w:rPr>
          <w:sz w:val="20"/>
          <w:szCs w:val="20"/>
        </w:rPr>
        <w:t>M</w:t>
      </w:r>
      <w:r w:rsidRPr="00C2365E">
        <w:rPr>
          <w:sz w:val="20"/>
          <w:szCs w:val="20"/>
        </w:rPr>
        <w:t xml:space="preserve">M7). </w:t>
      </w:r>
    </w:p>
    <w:p w:rsidR="00C60CF0" w:rsidRPr="00C2365E" w:rsidRDefault="00C60CF0" w:rsidP="00C60CF0">
      <w:pPr>
        <w:pStyle w:val="Caption"/>
        <w:keepNext/>
      </w:pPr>
      <w:bookmarkStart w:id="211" w:name="_Ref455490540"/>
      <w:bookmarkStart w:id="212" w:name="_Toc515888857"/>
      <w:r w:rsidRPr="00C2365E">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53</w:t>
      </w:r>
      <w:r w:rsidR="00556A17">
        <w:rPr>
          <w:noProof/>
        </w:rPr>
        <w:fldChar w:fldCharType="end"/>
      </w:r>
      <w:bookmarkEnd w:id="211"/>
      <w:r w:rsidRPr="00C2365E">
        <w:t>: Average total specialist hours by MM</w:t>
      </w:r>
      <w:r w:rsidR="00C2365E">
        <w:t>M</w:t>
      </w:r>
      <w:bookmarkEnd w:id="212"/>
    </w:p>
    <w:p w:rsidR="00C60CF0" w:rsidRPr="00C2365E" w:rsidRDefault="005778DB" w:rsidP="00C2365E">
      <w:pPr>
        <w:spacing w:before="0" w:after="0"/>
        <w:rPr>
          <w:sz w:val="20"/>
          <w:szCs w:val="20"/>
        </w:rPr>
      </w:pPr>
      <w:r>
        <w:rPr>
          <w:noProof/>
          <w:sz w:val="20"/>
          <w:szCs w:val="20"/>
          <w:lang w:eastAsia="en-AU"/>
        </w:rPr>
        <w:drawing>
          <wp:inline distT="0" distB="0" distL="0" distR="0" wp14:anchorId="54D3A310" wp14:editId="562373BA">
            <wp:extent cx="2468880" cy="2097405"/>
            <wp:effectExtent l="0" t="0" r="7620" b="0"/>
            <wp:docPr id="734" name="Picture 734" descr="This figure shows that gynaecological oncology subspecialists in MMM1–MMM3; those in Modified Monash Model 1 worked more hours than the national average (53.6 hours) than those in Modified Monash Model 2 and Modified Monash Model 3. There were no gynaecological oncology subspecialists outside of inner regional areas (MMM4 - MMM7). " title="Figure 53: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8880" cy="2097405"/>
                    </a:xfrm>
                    <a:prstGeom prst="rect">
                      <a:avLst/>
                    </a:prstGeom>
                    <a:noFill/>
                  </pic:spPr>
                </pic:pic>
              </a:graphicData>
            </a:graphic>
          </wp:inline>
        </w:drawing>
      </w:r>
    </w:p>
    <w:p w:rsidR="00C60CF0" w:rsidRPr="00C2365E" w:rsidRDefault="00C60CF0" w:rsidP="00C60CF0">
      <w:pPr>
        <w:pStyle w:val="Heading5"/>
        <w:rPr>
          <w:rFonts w:eastAsia="Calibri"/>
          <w:szCs w:val="20"/>
        </w:rPr>
      </w:pPr>
      <w:r w:rsidRPr="00C2365E">
        <w:rPr>
          <w:rFonts w:eastAsia="Calibri"/>
          <w:szCs w:val="20"/>
        </w:rPr>
        <w:t>Source: NHWDS, Medical Practitioner 2016</w:t>
      </w:r>
    </w:p>
    <w:p w:rsidR="00C60CF0" w:rsidRPr="00C2365E" w:rsidRDefault="00C60CF0" w:rsidP="00C60CF0">
      <w:pPr>
        <w:rPr>
          <w:sz w:val="20"/>
          <w:szCs w:val="20"/>
        </w:rPr>
      </w:pPr>
      <w:r w:rsidRPr="00C2365E">
        <w:rPr>
          <w:sz w:val="20"/>
          <w:szCs w:val="20"/>
        </w:rPr>
        <w:fldChar w:fldCharType="begin"/>
      </w:r>
      <w:r w:rsidRPr="00C2365E">
        <w:rPr>
          <w:sz w:val="20"/>
          <w:szCs w:val="20"/>
        </w:rPr>
        <w:instrText xml:space="preserve"> REF _Ref455490560 \h  \* MERGEFORMAT </w:instrText>
      </w:r>
      <w:r w:rsidRPr="00C2365E">
        <w:rPr>
          <w:sz w:val="20"/>
          <w:szCs w:val="20"/>
        </w:rPr>
      </w:r>
      <w:r w:rsidRPr="00C2365E">
        <w:rPr>
          <w:sz w:val="20"/>
          <w:szCs w:val="20"/>
        </w:rPr>
        <w:fldChar w:fldCharType="separate"/>
      </w:r>
      <w:r w:rsidR="008C7087" w:rsidRPr="008C7087">
        <w:rPr>
          <w:sz w:val="20"/>
          <w:szCs w:val="20"/>
        </w:rPr>
        <w:t xml:space="preserve">Table </w:t>
      </w:r>
      <w:r w:rsidR="008C7087" w:rsidRPr="008C7087">
        <w:rPr>
          <w:noProof/>
          <w:sz w:val="20"/>
          <w:szCs w:val="20"/>
        </w:rPr>
        <w:t>19</w:t>
      </w:r>
      <w:r w:rsidRPr="00C2365E">
        <w:rPr>
          <w:sz w:val="20"/>
          <w:szCs w:val="20"/>
        </w:rPr>
        <w:fldChar w:fldCharType="end"/>
      </w:r>
      <w:r w:rsidRPr="00C2365E">
        <w:rPr>
          <w:sz w:val="20"/>
          <w:szCs w:val="20"/>
        </w:rPr>
        <w:t xml:space="preserve"> indicates GOs clinical workload between sectors and jurisdictions. The data shows nationwide, there was a relatively even split between public and private sector, however this varied between jurisdictions. Where NSW and SA had the highest proportion of clinical FTE in the private sector (greater than 65 per cent) while NT had none and </w:t>
      </w:r>
      <w:r w:rsidR="009F1BAC">
        <w:rPr>
          <w:sz w:val="20"/>
          <w:szCs w:val="20"/>
        </w:rPr>
        <w:t>TAS</w:t>
      </w:r>
      <w:r w:rsidR="009F1BAC" w:rsidRPr="00C2365E">
        <w:rPr>
          <w:sz w:val="20"/>
          <w:szCs w:val="20"/>
        </w:rPr>
        <w:t xml:space="preserve"> </w:t>
      </w:r>
      <w:r w:rsidRPr="00C2365E">
        <w:rPr>
          <w:sz w:val="20"/>
          <w:szCs w:val="20"/>
        </w:rPr>
        <w:t xml:space="preserve">had 29 per cent. The majority of GO subspecialists are located in NSW, </w:t>
      </w:r>
      <w:r w:rsidR="009F1BAC">
        <w:rPr>
          <w:sz w:val="20"/>
          <w:szCs w:val="20"/>
        </w:rPr>
        <w:t>VIC</w:t>
      </w:r>
      <w:r w:rsidR="009F1BAC" w:rsidRPr="00C2365E">
        <w:rPr>
          <w:sz w:val="20"/>
          <w:szCs w:val="20"/>
        </w:rPr>
        <w:t xml:space="preserve"> </w:t>
      </w:r>
      <w:r w:rsidRPr="00C2365E">
        <w:rPr>
          <w:sz w:val="20"/>
          <w:szCs w:val="20"/>
        </w:rPr>
        <w:t xml:space="preserve">and </w:t>
      </w:r>
      <w:r w:rsidR="009F1BAC">
        <w:rPr>
          <w:sz w:val="20"/>
          <w:szCs w:val="20"/>
        </w:rPr>
        <w:t>QLD</w:t>
      </w:r>
      <w:r w:rsidR="009F1BAC" w:rsidRPr="00C2365E">
        <w:rPr>
          <w:sz w:val="20"/>
          <w:szCs w:val="20"/>
        </w:rPr>
        <w:t xml:space="preserve"> </w:t>
      </w:r>
      <w:r w:rsidRPr="00C2365E">
        <w:rPr>
          <w:sz w:val="20"/>
          <w:szCs w:val="20"/>
        </w:rPr>
        <w:t>(78 per cent).</w:t>
      </w:r>
    </w:p>
    <w:p w:rsidR="00C60CF0" w:rsidRPr="00C2365E" w:rsidRDefault="00C60CF0" w:rsidP="00C60CF0">
      <w:pPr>
        <w:pStyle w:val="Caption"/>
        <w:keepNext/>
      </w:pPr>
      <w:bookmarkStart w:id="213" w:name="_Ref455490560"/>
      <w:bookmarkStart w:id="214" w:name="_Toc515887840"/>
      <w:r w:rsidRPr="00C2365E">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19</w:t>
      </w:r>
      <w:r w:rsidR="00556A17">
        <w:rPr>
          <w:noProof/>
        </w:rPr>
        <w:fldChar w:fldCharType="end"/>
      </w:r>
      <w:bookmarkEnd w:id="213"/>
      <w:r w:rsidRPr="00C2365E">
        <w:rPr>
          <w:noProof/>
        </w:rPr>
        <w:t>:</w:t>
      </w:r>
      <w:r w:rsidRPr="00C2365E">
        <w:t xml:space="preserve"> GO clinicians (headcount and sector: proportion of specialist clinical FTE in public and private) by state and territory</w:t>
      </w:r>
      <w:bookmarkEnd w:id="214"/>
    </w:p>
    <w:tbl>
      <w:tblPr>
        <w:tblStyle w:val="LightShading-Accent1"/>
        <w:tblW w:w="4868" w:type="pct"/>
        <w:tblInd w:w="108" w:type="dxa"/>
        <w:tblLayout w:type="fixed"/>
        <w:tblLook w:val="0420" w:firstRow="1" w:lastRow="0" w:firstColumn="0" w:lastColumn="0" w:noHBand="0" w:noVBand="1"/>
        <w:tblCaption w:val="Table 19: Gynaecological oncology clinicians (headcount and sector: proportion of specialist clinical full time equivalent in public and private) by state and territory"/>
        <w:tblDescription w:val="This table indicates gynaecological oncology subspecialist clinical workload between sectors and jurisdictions. The data shows nationwide, there was a relatively even split between public and private sector, however this varied between jurisdictions. Where NSW and SA had the highest proportion of clinical full time equivalent in the private sector (greater than 65 per cent) while NT had none and TAS had 29 per cent. The majority of gynaecological oncolgy subspecialists are located in NSW, VIC and QLD (78 per cent)."/>
      </w:tblPr>
      <w:tblGrid>
        <w:gridCol w:w="711"/>
        <w:gridCol w:w="432"/>
        <w:gridCol w:w="1269"/>
        <w:gridCol w:w="1582"/>
      </w:tblGrid>
      <w:tr w:rsidR="00D22903" w:rsidRPr="00C2365E" w:rsidTr="00D22903">
        <w:trPr>
          <w:cnfStyle w:val="100000000000" w:firstRow="1" w:lastRow="0" w:firstColumn="0" w:lastColumn="0" w:oddVBand="0" w:evenVBand="0" w:oddHBand="0" w:evenHBand="0" w:firstRowFirstColumn="0" w:firstRowLastColumn="0" w:lastRowFirstColumn="0" w:lastRowLastColumn="0"/>
          <w:cantSplit/>
          <w:trHeight w:val="1363"/>
          <w:tblHeader/>
        </w:trPr>
        <w:tc>
          <w:tcPr>
            <w:tcW w:w="889" w:type="pct"/>
            <w:tcBorders>
              <w:left w:val="single" w:sz="4" w:space="0" w:color="auto"/>
              <w:bottom w:val="single" w:sz="4" w:space="0" w:color="auto"/>
            </w:tcBorders>
            <w:shd w:val="clear" w:color="auto" w:fill="1F497D" w:themeFill="text2"/>
            <w:textDirection w:val="btLr"/>
            <w:vAlign w:val="center"/>
          </w:tcPr>
          <w:p w:rsidR="00D22903" w:rsidRPr="00D22903" w:rsidRDefault="00D22903" w:rsidP="00F05062">
            <w:pPr>
              <w:spacing w:before="0" w:after="0"/>
              <w:ind w:left="113" w:right="113"/>
              <w:jc w:val="center"/>
              <w:rPr>
                <w:bCs w:val="0"/>
                <w:color w:val="FFFFFF"/>
                <w:sz w:val="20"/>
                <w:szCs w:val="20"/>
                <w:lang w:eastAsia="en-AU"/>
              </w:rPr>
            </w:pPr>
            <w:r w:rsidRPr="00D22903">
              <w:rPr>
                <w:color w:val="FFFFFF"/>
                <w:sz w:val="20"/>
                <w:szCs w:val="20"/>
                <w:lang w:eastAsia="en-AU"/>
              </w:rPr>
              <w:t>State and Territories</w:t>
            </w:r>
          </w:p>
        </w:tc>
        <w:tc>
          <w:tcPr>
            <w:tcW w:w="541" w:type="pct"/>
            <w:tcBorders>
              <w:bottom w:val="single" w:sz="4" w:space="0" w:color="auto"/>
            </w:tcBorders>
            <w:shd w:val="clear" w:color="auto" w:fill="1F497D" w:themeFill="text2"/>
            <w:textDirection w:val="btLr"/>
            <w:vAlign w:val="center"/>
          </w:tcPr>
          <w:p w:rsidR="00D22903" w:rsidRPr="00D22903" w:rsidRDefault="00D22903" w:rsidP="00F05062">
            <w:pPr>
              <w:spacing w:before="0" w:after="0"/>
              <w:ind w:left="113" w:right="113"/>
              <w:jc w:val="center"/>
              <w:rPr>
                <w:bCs w:val="0"/>
                <w:color w:val="FFFFFF"/>
                <w:sz w:val="20"/>
                <w:szCs w:val="20"/>
                <w:lang w:eastAsia="en-AU"/>
              </w:rPr>
            </w:pPr>
            <w:r w:rsidRPr="00D22903">
              <w:rPr>
                <w:bCs w:val="0"/>
                <w:color w:val="FFFFFF"/>
                <w:sz w:val="20"/>
                <w:szCs w:val="20"/>
                <w:lang w:eastAsia="en-AU"/>
              </w:rPr>
              <w:t>Headcount</w:t>
            </w:r>
          </w:p>
        </w:tc>
        <w:tc>
          <w:tcPr>
            <w:tcW w:w="1589" w:type="pct"/>
            <w:tcBorders>
              <w:top w:val="nil"/>
              <w:bottom w:val="single" w:sz="4" w:space="0" w:color="auto"/>
            </w:tcBorders>
            <w:shd w:val="clear" w:color="auto" w:fill="1F497D" w:themeFill="text2"/>
            <w:vAlign w:val="center"/>
          </w:tcPr>
          <w:p w:rsidR="00D22903" w:rsidRPr="00D22903" w:rsidRDefault="00D22903" w:rsidP="00F05062">
            <w:pPr>
              <w:spacing w:before="0" w:after="0"/>
              <w:jc w:val="center"/>
              <w:rPr>
                <w:bCs w:val="0"/>
                <w:color w:val="FFFFFF"/>
                <w:sz w:val="20"/>
                <w:szCs w:val="20"/>
                <w:lang w:eastAsia="en-AU"/>
              </w:rPr>
            </w:pPr>
            <w:r w:rsidRPr="00D22903">
              <w:rPr>
                <w:bCs w:val="0"/>
                <w:color w:val="FFFFFF"/>
                <w:sz w:val="20"/>
                <w:szCs w:val="20"/>
                <w:lang w:eastAsia="en-AU"/>
              </w:rPr>
              <w:t>Specialist clinical FTE</w:t>
            </w:r>
          </w:p>
          <w:p w:rsidR="00D22903" w:rsidRPr="00D22903" w:rsidRDefault="00D22903" w:rsidP="00F05062">
            <w:pPr>
              <w:spacing w:before="0" w:after="0"/>
              <w:jc w:val="center"/>
              <w:rPr>
                <w:bCs w:val="0"/>
                <w:color w:val="FFFFFF"/>
                <w:sz w:val="20"/>
                <w:szCs w:val="20"/>
                <w:lang w:eastAsia="en-AU"/>
              </w:rPr>
            </w:pPr>
            <w:r w:rsidRPr="00D22903">
              <w:rPr>
                <w:bCs w:val="0"/>
                <w:color w:val="FFFFFF"/>
                <w:sz w:val="20"/>
                <w:szCs w:val="20"/>
                <w:lang w:eastAsia="en-AU"/>
              </w:rPr>
              <w:t>% Public</w:t>
            </w:r>
          </w:p>
        </w:tc>
        <w:tc>
          <w:tcPr>
            <w:tcW w:w="1982" w:type="pct"/>
            <w:tcBorders>
              <w:top w:val="nil"/>
              <w:bottom w:val="single" w:sz="4" w:space="0" w:color="auto"/>
            </w:tcBorders>
            <w:shd w:val="clear" w:color="auto" w:fill="1F497D" w:themeFill="text2"/>
            <w:noWrap/>
            <w:vAlign w:val="center"/>
          </w:tcPr>
          <w:p w:rsidR="00D22903" w:rsidRPr="00D22903" w:rsidRDefault="00D22903" w:rsidP="00F05062">
            <w:pPr>
              <w:spacing w:before="0" w:after="0"/>
              <w:jc w:val="center"/>
              <w:rPr>
                <w:bCs w:val="0"/>
                <w:color w:val="FFFFFF"/>
                <w:sz w:val="20"/>
                <w:szCs w:val="20"/>
                <w:lang w:eastAsia="en-AU"/>
              </w:rPr>
            </w:pPr>
            <w:r w:rsidRPr="00D22903">
              <w:rPr>
                <w:bCs w:val="0"/>
                <w:color w:val="FFFFFF"/>
                <w:sz w:val="20"/>
                <w:szCs w:val="20"/>
                <w:lang w:eastAsia="en-AU"/>
              </w:rPr>
              <w:t>Specialist clinical FTE</w:t>
            </w:r>
          </w:p>
          <w:p w:rsidR="00D22903" w:rsidRPr="00D22903" w:rsidRDefault="00D22903" w:rsidP="00F05062">
            <w:pPr>
              <w:spacing w:before="0" w:after="0"/>
              <w:jc w:val="center"/>
              <w:rPr>
                <w:bCs w:val="0"/>
                <w:color w:val="FFFFFF"/>
                <w:sz w:val="20"/>
                <w:szCs w:val="20"/>
                <w:lang w:eastAsia="en-AU"/>
              </w:rPr>
            </w:pPr>
            <w:r w:rsidRPr="00D22903">
              <w:rPr>
                <w:bCs w:val="0"/>
                <w:color w:val="FFFFFF"/>
                <w:sz w:val="20"/>
                <w:szCs w:val="20"/>
                <w:lang w:eastAsia="en-AU"/>
              </w:rPr>
              <w:t>% Private</w:t>
            </w:r>
          </w:p>
        </w:tc>
      </w:tr>
      <w:tr w:rsidR="00C2365E" w:rsidRPr="00C2365E" w:rsidTr="00D22903">
        <w:trPr>
          <w:cnfStyle w:val="000000100000" w:firstRow="0" w:lastRow="0" w:firstColumn="0" w:lastColumn="0" w:oddVBand="0" w:evenVBand="0" w:oddHBand="1" w:evenHBand="0" w:firstRowFirstColumn="0" w:firstRowLastColumn="0" w:lastRowFirstColumn="0" w:lastRowLastColumn="0"/>
          <w:trHeight w:val="20"/>
        </w:trPr>
        <w:tc>
          <w:tcPr>
            <w:tcW w:w="889" w:type="pct"/>
            <w:tcBorders>
              <w:top w:val="single" w:sz="4" w:space="0" w:color="auto"/>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NSW</w:t>
            </w:r>
          </w:p>
        </w:tc>
        <w:tc>
          <w:tcPr>
            <w:tcW w:w="541" w:type="pct"/>
            <w:tcBorders>
              <w:top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14</w:t>
            </w:r>
          </w:p>
        </w:tc>
        <w:tc>
          <w:tcPr>
            <w:tcW w:w="1587" w:type="pct"/>
            <w:tcBorders>
              <w:top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33.14</w:t>
            </w:r>
          </w:p>
        </w:tc>
        <w:tc>
          <w:tcPr>
            <w:tcW w:w="1983" w:type="pct"/>
            <w:tcBorders>
              <w:top w:val="single" w:sz="4" w:space="0" w:color="auto"/>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66.86</w:t>
            </w:r>
          </w:p>
        </w:tc>
      </w:tr>
      <w:tr w:rsidR="00C2365E" w:rsidRPr="00C2365E" w:rsidTr="00D22903">
        <w:trPr>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NT</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1</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100</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0</w:t>
            </w:r>
          </w:p>
        </w:tc>
      </w:tr>
      <w:tr w:rsidR="00C2365E" w:rsidRPr="00C2365E" w:rsidTr="00D22903">
        <w:trPr>
          <w:cnfStyle w:val="000000100000" w:firstRow="0" w:lastRow="0" w:firstColumn="0" w:lastColumn="0" w:oddVBand="0" w:evenVBand="0" w:oddHBand="1" w:evenHBand="0" w:firstRowFirstColumn="0" w:firstRowLastColumn="0" w:lastRowFirstColumn="0" w:lastRowLastColumn="0"/>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QLD</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7</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38.69</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61.31</w:t>
            </w:r>
          </w:p>
        </w:tc>
      </w:tr>
      <w:tr w:rsidR="00C2365E" w:rsidRPr="00C2365E" w:rsidTr="00D22903">
        <w:trPr>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SA</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3</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34.07</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65.93</w:t>
            </w:r>
          </w:p>
        </w:tc>
      </w:tr>
      <w:tr w:rsidR="00C2365E" w:rsidRPr="00C2365E" w:rsidTr="00D22903">
        <w:trPr>
          <w:cnfStyle w:val="000000100000" w:firstRow="0" w:lastRow="0" w:firstColumn="0" w:lastColumn="0" w:oddVBand="0" w:evenVBand="0" w:oddHBand="1" w:evenHBand="0" w:firstRowFirstColumn="0" w:firstRowLastColumn="0" w:lastRowFirstColumn="0" w:lastRowLastColumn="0"/>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TAS</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1</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71.43</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28.57</w:t>
            </w:r>
          </w:p>
        </w:tc>
      </w:tr>
      <w:tr w:rsidR="00C2365E" w:rsidRPr="00C2365E" w:rsidTr="00D22903">
        <w:trPr>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VIC</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10</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45.03</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54.97</w:t>
            </w:r>
          </w:p>
        </w:tc>
      </w:tr>
      <w:tr w:rsidR="00C2365E" w:rsidRPr="00C2365E" w:rsidTr="00D22903">
        <w:trPr>
          <w:cnfStyle w:val="000000100000" w:firstRow="0" w:lastRow="0" w:firstColumn="0" w:lastColumn="0" w:oddVBand="0" w:evenVBand="0" w:oddHBand="1" w:evenHBand="0" w:firstRowFirstColumn="0" w:firstRowLastColumn="0" w:lastRowFirstColumn="0" w:lastRowLastColumn="0"/>
          <w:trHeight w:val="20"/>
        </w:trPr>
        <w:tc>
          <w:tcPr>
            <w:tcW w:w="889" w:type="pct"/>
            <w:tcBorders>
              <w:left w:val="single" w:sz="4" w:space="0" w:color="auto"/>
            </w:tcBorders>
            <w:hideMark/>
          </w:tcPr>
          <w:p w:rsidR="00C60CF0" w:rsidRPr="00C2365E" w:rsidRDefault="00C60CF0" w:rsidP="008C113D">
            <w:pPr>
              <w:spacing w:before="0" w:after="0"/>
              <w:jc w:val="left"/>
              <w:rPr>
                <w:color w:val="auto"/>
                <w:sz w:val="18"/>
                <w:szCs w:val="20"/>
                <w:lang w:eastAsia="en-AU"/>
              </w:rPr>
            </w:pPr>
            <w:r w:rsidRPr="00C2365E">
              <w:rPr>
                <w:color w:val="auto"/>
                <w:sz w:val="18"/>
                <w:szCs w:val="20"/>
                <w:lang w:eastAsia="en-AU"/>
              </w:rPr>
              <w:t>WA</w:t>
            </w:r>
          </w:p>
        </w:tc>
        <w:tc>
          <w:tcPr>
            <w:tcW w:w="541"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4</w:t>
            </w:r>
          </w:p>
        </w:tc>
        <w:tc>
          <w:tcPr>
            <w:tcW w:w="1587" w:type="pct"/>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55.19</w:t>
            </w:r>
          </w:p>
        </w:tc>
        <w:tc>
          <w:tcPr>
            <w:tcW w:w="1983" w:type="pct"/>
            <w:tcBorders>
              <w:right w:val="single" w:sz="4" w:space="0" w:color="auto"/>
            </w:tcBorders>
            <w:noWrap/>
            <w:hideMark/>
          </w:tcPr>
          <w:p w:rsidR="00C60CF0" w:rsidRPr="00C2365E" w:rsidRDefault="00C60CF0" w:rsidP="008C113D">
            <w:pPr>
              <w:spacing w:before="0" w:after="0"/>
              <w:jc w:val="right"/>
              <w:rPr>
                <w:color w:val="auto"/>
                <w:sz w:val="18"/>
                <w:szCs w:val="20"/>
                <w:lang w:eastAsia="en-AU"/>
              </w:rPr>
            </w:pPr>
            <w:r w:rsidRPr="00C2365E">
              <w:rPr>
                <w:color w:val="auto"/>
                <w:sz w:val="18"/>
                <w:szCs w:val="20"/>
                <w:lang w:eastAsia="en-AU"/>
              </w:rPr>
              <w:t>44.81</w:t>
            </w:r>
          </w:p>
        </w:tc>
      </w:tr>
      <w:tr w:rsidR="00C2365E" w:rsidRPr="00C2365E" w:rsidTr="00D22903">
        <w:trPr>
          <w:trHeight w:val="20"/>
        </w:trPr>
        <w:tc>
          <w:tcPr>
            <w:tcW w:w="889" w:type="pct"/>
            <w:tcBorders>
              <w:left w:val="single" w:sz="4" w:space="0" w:color="auto"/>
              <w:bottom w:val="single" w:sz="4" w:space="0" w:color="auto"/>
            </w:tcBorders>
            <w:hideMark/>
          </w:tcPr>
          <w:p w:rsidR="00C60CF0" w:rsidRPr="00C2365E" w:rsidRDefault="00C60CF0" w:rsidP="008C113D">
            <w:pPr>
              <w:spacing w:before="0" w:after="0"/>
              <w:jc w:val="left"/>
              <w:rPr>
                <w:b/>
                <w:bCs/>
                <w:color w:val="auto"/>
                <w:sz w:val="18"/>
                <w:szCs w:val="20"/>
                <w:lang w:eastAsia="en-AU"/>
              </w:rPr>
            </w:pPr>
            <w:r w:rsidRPr="00C2365E">
              <w:rPr>
                <w:b/>
                <w:bCs/>
                <w:color w:val="auto"/>
                <w:sz w:val="18"/>
                <w:szCs w:val="20"/>
                <w:lang w:eastAsia="en-AU"/>
              </w:rPr>
              <w:t>Total</w:t>
            </w:r>
          </w:p>
        </w:tc>
        <w:tc>
          <w:tcPr>
            <w:tcW w:w="541" w:type="pct"/>
            <w:tcBorders>
              <w:bottom w:val="single" w:sz="4" w:space="0" w:color="auto"/>
            </w:tcBorders>
            <w:noWrap/>
            <w:hideMark/>
          </w:tcPr>
          <w:p w:rsidR="00C60CF0" w:rsidRPr="00C2365E" w:rsidRDefault="00C60CF0" w:rsidP="008C113D">
            <w:pPr>
              <w:spacing w:before="0" w:after="0"/>
              <w:jc w:val="right"/>
              <w:rPr>
                <w:b/>
                <w:bCs/>
                <w:color w:val="auto"/>
                <w:sz w:val="18"/>
                <w:szCs w:val="20"/>
                <w:lang w:eastAsia="en-AU"/>
              </w:rPr>
            </w:pPr>
            <w:r w:rsidRPr="00C2365E">
              <w:rPr>
                <w:b/>
                <w:bCs/>
                <w:color w:val="auto"/>
                <w:sz w:val="18"/>
                <w:szCs w:val="20"/>
                <w:lang w:eastAsia="en-AU"/>
              </w:rPr>
              <w:t>40</w:t>
            </w:r>
          </w:p>
        </w:tc>
        <w:tc>
          <w:tcPr>
            <w:tcW w:w="1587" w:type="pct"/>
            <w:tcBorders>
              <w:bottom w:val="single" w:sz="4" w:space="0" w:color="auto"/>
            </w:tcBorders>
            <w:noWrap/>
            <w:hideMark/>
          </w:tcPr>
          <w:p w:rsidR="00C60CF0" w:rsidRPr="00C2365E" w:rsidRDefault="00C60CF0" w:rsidP="008C113D">
            <w:pPr>
              <w:spacing w:before="0" w:after="0"/>
              <w:jc w:val="right"/>
              <w:rPr>
                <w:b/>
                <w:bCs/>
                <w:color w:val="auto"/>
                <w:sz w:val="18"/>
                <w:szCs w:val="20"/>
                <w:lang w:eastAsia="en-AU"/>
              </w:rPr>
            </w:pPr>
            <w:r w:rsidRPr="00C2365E">
              <w:rPr>
                <w:b/>
                <w:bCs/>
                <w:color w:val="auto"/>
                <w:sz w:val="18"/>
                <w:szCs w:val="20"/>
                <w:lang w:eastAsia="en-AU"/>
              </w:rPr>
              <w:t>41.94</w:t>
            </w:r>
          </w:p>
        </w:tc>
        <w:tc>
          <w:tcPr>
            <w:tcW w:w="1983" w:type="pct"/>
            <w:tcBorders>
              <w:bottom w:val="single" w:sz="4" w:space="0" w:color="auto"/>
              <w:right w:val="single" w:sz="4" w:space="0" w:color="auto"/>
            </w:tcBorders>
            <w:noWrap/>
            <w:hideMark/>
          </w:tcPr>
          <w:p w:rsidR="00C60CF0" w:rsidRPr="00C2365E" w:rsidRDefault="00C60CF0" w:rsidP="008C113D">
            <w:pPr>
              <w:spacing w:before="0" w:after="0"/>
              <w:jc w:val="right"/>
              <w:rPr>
                <w:b/>
                <w:bCs/>
                <w:color w:val="auto"/>
                <w:sz w:val="18"/>
                <w:szCs w:val="20"/>
                <w:lang w:eastAsia="en-AU"/>
              </w:rPr>
            </w:pPr>
            <w:r w:rsidRPr="00C2365E">
              <w:rPr>
                <w:b/>
                <w:bCs/>
                <w:color w:val="auto"/>
                <w:sz w:val="18"/>
                <w:szCs w:val="20"/>
                <w:lang w:eastAsia="en-AU"/>
              </w:rPr>
              <w:t>58.06</w:t>
            </w:r>
          </w:p>
        </w:tc>
      </w:tr>
    </w:tbl>
    <w:p w:rsidR="00C60CF0" w:rsidRPr="00C2365E" w:rsidRDefault="00C60CF0" w:rsidP="00C60CF0">
      <w:pPr>
        <w:pStyle w:val="Heading5"/>
        <w:rPr>
          <w:szCs w:val="20"/>
        </w:rPr>
      </w:pPr>
      <w:r w:rsidRPr="00C2365E">
        <w:rPr>
          <w:szCs w:val="20"/>
        </w:rPr>
        <w:t>Source: NHWDS, Medical Practitioner 2016</w:t>
      </w:r>
    </w:p>
    <w:p w:rsidR="00C86C51" w:rsidRPr="00C2365E" w:rsidRDefault="00C86C51" w:rsidP="00C60CF0">
      <w:pPr>
        <w:pStyle w:val="Heading3"/>
        <w:rPr>
          <w:sz w:val="20"/>
          <w:szCs w:val="20"/>
        </w:rPr>
        <w:sectPr w:rsidR="00C86C51" w:rsidRPr="00C2365E" w:rsidSect="00561EB0">
          <w:type w:val="continuous"/>
          <w:pgSz w:w="11906" w:h="16838"/>
          <w:pgMar w:top="1247" w:right="1985" w:bottom="1247" w:left="1440" w:header="709" w:footer="709" w:gutter="0"/>
          <w:cols w:num="2" w:space="708"/>
          <w:titlePg/>
          <w:docGrid w:linePitch="360"/>
        </w:sectPr>
      </w:pPr>
    </w:p>
    <w:p w:rsidR="00C86C51" w:rsidRDefault="00C86C51">
      <w:pPr>
        <w:spacing w:before="0" w:after="0"/>
        <w:jc w:val="left"/>
        <w:rPr>
          <w:rFonts w:cs="Arial"/>
          <w:b/>
          <w:bCs/>
          <w:color w:val="4F81BD" w:themeColor="accent1"/>
          <w:sz w:val="26"/>
          <w:szCs w:val="26"/>
        </w:rPr>
      </w:pPr>
      <w:r>
        <w:lastRenderedPageBreak/>
        <w:br w:type="page"/>
      </w:r>
    </w:p>
    <w:p w:rsidR="00C60CF0" w:rsidRPr="00043BB5" w:rsidRDefault="00C60CF0" w:rsidP="00C60CF0">
      <w:pPr>
        <w:pStyle w:val="Heading3"/>
      </w:pPr>
      <w:r>
        <w:lastRenderedPageBreak/>
        <w:t xml:space="preserve">Subspecialists: </w:t>
      </w:r>
      <w:r>
        <w:rPr>
          <w:sz w:val="24"/>
          <w:szCs w:val="22"/>
        </w:rPr>
        <w:t>Ma</w:t>
      </w:r>
      <w:r w:rsidRPr="00F86BD3">
        <w:rPr>
          <w:sz w:val="24"/>
          <w:szCs w:val="22"/>
        </w:rPr>
        <w:t>ternal-fetal medicine</w:t>
      </w:r>
      <w:r>
        <w:rPr>
          <w:sz w:val="24"/>
          <w:szCs w:val="22"/>
        </w:rPr>
        <w:t xml:space="preserve"> (MFM)</w:t>
      </w:r>
    </w:p>
    <w:p w:rsidR="00C86C51" w:rsidRDefault="00C86C51" w:rsidP="00C60CF0">
      <w:pPr>
        <w:sectPr w:rsidR="00C86C51" w:rsidSect="00561EB0">
          <w:type w:val="continuous"/>
          <w:pgSz w:w="11906" w:h="16838"/>
          <w:pgMar w:top="1247" w:right="1985" w:bottom="1247" w:left="1440" w:header="709" w:footer="709" w:gutter="0"/>
          <w:cols w:space="708"/>
          <w:titlePg/>
          <w:docGrid w:linePitch="360"/>
        </w:sectPr>
      </w:pPr>
    </w:p>
    <w:p w:rsidR="00C60CF0" w:rsidRPr="00C2365E" w:rsidRDefault="00C60CF0" w:rsidP="00C60CF0">
      <w:pPr>
        <w:rPr>
          <w:sz w:val="20"/>
        </w:rPr>
      </w:pPr>
      <w:r w:rsidRPr="00C2365E">
        <w:rPr>
          <w:sz w:val="20"/>
        </w:rPr>
        <w:lastRenderedPageBreak/>
        <w:t>A certified Maternal-Fetal Medicine (MFM) subspecialist has successfully completed an additional prescribed program of training to gain advanced knowledge of the obstetrical, medical and surgical complications of pregnancy and their effect on both the mother and the fetus. They have expertise in the most current approaches to diagnosis and treatment of patients with complicated pregnancies in settings where requisite technical support is available. MFM subspecialists have advanced knowledge of newborn adaptation which is necessary to ensure a continuum of excellence in care from the fetal to newborn periods.</w:t>
      </w:r>
    </w:p>
    <w:p w:rsidR="00C60CF0" w:rsidRPr="00C2365E" w:rsidRDefault="00C60CF0" w:rsidP="00C60CF0">
      <w:pPr>
        <w:rPr>
          <w:sz w:val="20"/>
        </w:rPr>
      </w:pPr>
      <w:r w:rsidRPr="00C2365E">
        <w:rPr>
          <w:sz w:val="20"/>
        </w:rPr>
        <w:t>According to the 2016 NHWDS, there were 32 MFM subspecialists who indicated they were employed and working as clinicians with the following characteristics:</w:t>
      </w:r>
    </w:p>
    <w:p w:rsidR="00C60CF0" w:rsidRDefault="00C60CF0" w:rsidP="00C60CF0">
      <w:pPr>
        <w:pStyle w:val="Caption"/>
      </w:pPr>
      <w:bookmarkStart w:id="215" w:name="_Toc515888858"/>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54</w:t>
      </w:r>
      <w:r w:rsidR="00556A17">
        <w:rPr>
          <w:noProof/>
        </w:rPr>
        <w:fldChar w:fldCharType="end"/>
      </w:r>
      <w:r>
        <w:t xml:space="preserve">: </w:t>
      </w:r>
      <w:r w:rsidRPr="00F23728">
        <w:t xml:space="preserve">Demographics of the </w:t>
      </w:r>
      <w:r>
        <w:t xml:space="preserve">MFM </w:t>
      </w:r>
      <w:r w:rsidR="001A70A7">
        <w:t xml:space="preserve">subspecialty </w:t>
      </w:r>
      <w:r w:rsidRPr="00F23728">
        <w:t>workforce</w:t>
      </w:r>
      <w:bookmarkEnd w:id="215"/>
    </w:p>
    <w:p w:rsidR="00A118F1" w:rsidRDefault="00A118F1" w:rsidP="001A70A7">
      <w:pPr>
        <w:spacing w:before="0" w:after="0"/>
        <w:rPr>
          <w:rFonts w:eastAsia="Calibri"/>
          <w:i/>
          <w:sz w:val="16"/>
          <w:szCs w:val="16"/>
        </w:rPr>
      </w:pPr>
      <w:r>
        <w:rPr>
          <w:rFonts w:eastAsia="Calibri"/>
          <w:i/>
          <w:noProof/>
          <w:sz w:val="16"/>
          <w:szCs w:val="16"/>
          <w:lang w:eastAsia="en-AU"/>
        </w:rPr>
        <w:drawing>
          <wp:inline distT="0" distB="0" distL="0" distR="0" wp14:anchorId="291B9B63" wp14:editId="2324DF43">
            <wp:extent cx="2573020" cy="1896110"/>
            <wp:effectExtent l="0" t="0" r="0" b="8890"/>
            <wp:docPr id="5" name="Picture 5" descr="The average age of a maternal-fetal medicine subspecialist was 53 years.&#10;There were 44% of maternal-fetal medicine subspecialists who were female.&#10;Maternal-fetal medicine subspecialists averaged 50.6 hours, with females working 48.6 hours.&#10;Maternal-fetal medicine subspecialists aged 55 years and over represent 31% of the workforce, and tend to work 51.6 hours.&#10;There were 56% of maternal-fetal medicine subspecialists located in NSW and VIC.&#10;There were 97% of maternal-fetal medicine subspecialists located in Modified Monash Model Area 1.&#10;There were 57% of maternal-fetal medicine subspecialists working in the public sector." title="Figure 54: Demographics of the MFM subspecialt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3020" cy="1896110"/>
                    </a:xfrm>
                    <a:prstGeom prst="rect">
                      <a:avLst/>
                    </a:prstGeom>
                    <a:noFill/>
                  </pic:spPr>
                </pic:pic>
              </a:graphicData>
            </a:graphic>
          </wp:inline>
        </w:drawing>
      </w:r>
    </w:p>
    <w:p w:rsidR="00C60CF0" w:rsidRPr="00012887" w:rsidRDefault="00C60CF0" w:rsidP="00012887">
      <w:pPr>
        <w:rPr>
          <w:i/>
          <w:color w:val="4F81BD"/>
          <w:sz w:val="16"/>
          <w:szCs w:val="16"/>
        </w:rPr>
      </w:pPr>
      <w:r w:rsidRPr="00012887">
        <w:rPr>
          <w:rFonts w:eastAsia="Calibri"/>
          <w:i/>
          <w:color w:val="4F81BD"/>
          <w:sz w:val="16"/>
          <w:szCs w:val="16"/>
        </w:rPr>
        <w:t>Source: NHWDS, Medical Practitioner 2016</w:t>
      </w:r>
    </w:p>
    <w:p w:rsidR="00C60CF0" w:rsidRPr="00A02039" w:rsidRDefault="00C60CF0" w:rsidP="00C60CF0">
      <w:pPr>
        <w:pStyle w:val="Heading4"/>
      </w:pPr>
      <w:r w:rsidRPr="00A02039">
        <w:t>Distribution</w:t>
      </w:r>
    </w:p>
    <w:p w:rsidR="00C60CF0" w:rsidRPr="00C2365E" w:rsidRDefault="00C60CF0" w:rsidP="00C60CF0">
      <w:pPr>
        <w:rPr>
          <w:sz w:val="20"/>
        </w:rPr>
      </w:pPr>
      <w:r w:rsidRPr="00C2365E">
        <w:rPr>
          <w:sz w:val="20"/>
        </w:rPr>
        <w:fldChar w:fldCharType="begin"/>
      </w:r>
      <w:r w:rsidRPr="00C2365E">
        <w:rPr>
          <w:sz w:val="20"/>
        </w:rPr>
        <w:instrText xml:space="preserve"> REF _Ref455490597 \h  \* MERGEFORMAT </w:instrText>
      </w:r>
      <w:r w:rsidRPr="00C2365E">
        <w:rPr>
          <w:sz w:val="20"/>
        </w:rPr>
      </w:r>
      <w:r w:rsidRPr="00C2365E">
        <w:rPr>
          <w:sz w:val="20"/>
        </w:rPr>
        <w:fldChar w:fldCharType="separate"/>
      </w:r>
      <w:r w:rsidR="008C7087" w:rsidRPr="008C7087">
        <w:rPr>
          <w:sz w:val="20"/>
        </w:rPr>
        <w:t xml:space="preserve">Figure </w:t>
      </w:r>
      <w:r w:rsidR="008C7087" w:rsidRPr="008C7087">
        <w:rPr>
          <w:noProof/>
          <w:sz w:val="20"/>
        </w:rPr>
        <w:t>55</w:t>
      </w:r>
      <w:r w:rsidRPr="00C2365E">
        <w:rPr>
          <w:sz w:val="20"/>
        </w:rPr>
        <w:fldChar w:fldCharType="end"/>
      </w:r>
      <w:r w:rsidRPr="00C2365E">
        <w:rPr>
          <w:sz w:val="20"/>
        </w:rPr>
        <w:t xml:space="preserve"> illustrates the MMM and density of the MFM workforce within these areas. For more information MMM please see NHWDS Medical practitioner section, page </w:t>
      </w:r>
      <w:r w:rsidRPr="00C2365E">
        <w:rPr>
          <w:sz w:val="20"/>
        </w:rPr>
        <w:fldChar w:fldCharType="begin"/>
      </w:r>
      <w:r w:rsidRPr="00C2365E">
        <w:rPr>
          <w:sz w:val="20"/>
        </w:rPr>
        <w:instrText xml:space="preserve"> PAGEREF _Ref455568508 \h </w:instrText>
      </w:r>
      <w:r w:rsidRPr="00C2365E">
        <w:rPr>
          <w:sz w:val="20"/>
        </w:rPr>
      </w:r>
      <w:r w:rsidRPr="00C2365E">
        <w:rPr>
          <w:sz w:val="20"/>
        </w:rPr>
        <w:fldChar w:fldCharType="separate"/>
      </w:r>
      <w:r w:rsidR="00B31A00">
        <w:rPr>
          <w:noProof/>
          <w:sz w:val="20"/>
        </w:rPr>
        <w:t>8</w:t>
      </w:r>
      <w:r w:rsidRPr="00C2365E">
        <w:rPr>
          <w:sz w:val="20"/>
        </w:rPr>
        <w:fldChar w:fldCharType="end"/>
      </w:r>
      <w:r w:rsidRPr="00C2365E">
        <w:rPr>
          <w:sz w:val="20"/>
        </w:rPr>
        <w:t>.  As can be seen in the map, the MFM workforce is located throughout Australia, except the ACT and TAS, and almost exclusively concentrated in Metropolitan areas.</w:t>
      </w:r>
    </w:p>
    <w:p w:rsidR="00C60CF0" w:rsidRPr="002E41FB" w:rsidRDefault="00C60CF0" w:rsidP="00C60CF0">
      <w:pPr>
        <w:pStyle w:val="Caption"/>
        <w:keepNext/>
        <w:rPr>
          <w:szCs w:val="22"/>
        </w:rPr>
      </w:pPr>
      <w:bookmarkStart w:id="216" w:name="_Ref455490597"/>
      <w:bookmarkStart w:id="217" w:name="_Toc515888859"/>
      <w:r w:rsidRPr="002E41FB">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55</w:t>
      </w:r>
      <w:r w:rsidR="008C16B5">
        <w:rPr>
          <w:szCs w:val="22"/>
        </w:rPr>
        <w:fldChar w:fldCharType="end"/>
      </w:r>
      <w:bookmarkEnd w:id="216"/>
      <w:r>
        <w:rPr>
          <w:szCs w:val="22"/>
        </w:rPr>
        <w:t>:</w:t>
      </w:r>
      <w:r w:rsidRPr="002E41FB">
        <w:rPr>
          <w:szCs w:val="22"/>
        </w:rPr>
        <w:t xml:space="preserve"> </w:t>
      </w:r>
      <w:r>
        <w:t>MFM subspecialty</w:t>
      </w:r>
      <w:r w:rsidRPr="002E41FB">
        <w:rPr>
          <w:szCs w:val="22"/>
        </w:rPr>
        <w:t xml:space="preserve"> workforce (clinicians) by </w:t>
      </w:r>
      <w:r>
        <w:rPr>
          <w:szCs w:val="22"/>
        </w:rPr>
        <w:t>MM</w:t>
      </w:r>
      <w:r w:rsidR="001A70A7">
        <w:rPr>
          <w:szCs w:val="22"/>
        </w:rPr>
        <w:t>M</w:t>
      </w:r>
      <w:bookmarkEnd w:id="217"/>
    </w:p>
    <w:p w:rsidR="00C60CF0" w:rsidRPr="004962AC" w:rsidRDefault="00C60CF0" w:rsidP="00C60CF0">
      <w:pPr>
        <w:rPr>
          <w:i/>
          <w:color w:val="4F81BD" w:themeColor="accent1"/>
          <w:sz w:val="16"/>
        </w:rPr>
      </w:pPr>
      <w:r>
        <w:rPr>
          <w:noProof/>
          <w:lang w:eastAsia="en-AU"/>
        </w:rPr>
        <w:drawing>
          <wp:inline distT="0" distB="0" distL="0" distR="0" wp14:anchorId="5895CCF4" wp14:editId="05E48EA7">
            <wp:extent cx="2460568" cy="1970116"/>
            <wp:effectExtent l="0" t="0" r="0" b="0"/>
            <wp:docPr id="730" name="Picture 730" descr="Illustrates the Modified Monash Model and density of the maternal-fetal medicine workforce within these areas.  The map shows the maternal-fetal medicine workforce is located throughout Australia, except the ACT and TAS, and almost exclusively concentrated in metropolitan areas." title="Figure 55: Maternal-fetal medicine subspecialty workforce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66175" cy="1974605"/>
                    </a:xfrm>
                    <a:prstGeom prst="rect">
                      <a:avLst/>
                    </a:prstGeom>
                  </pic:spPr>
                </pic:pic>
              </a:graphicData>
            </a:graphic>
          </wp:inline>
        </w:drawing>
      </w:r>
      <w:r w:rsidRPr="004962AC">
        <w:rPr>
          <w:rFonts w:eastAsia="Calibri"/>
          <w:i/>
          <w:color w:val="4F81BD" w:themeColor="accent1"/>
          <w:sz w:val="16"/>
        </w:rPr>
        <w:t>Source: NHWDS, Medical Practitioner 2016</w:t>
      </w:r>
    </w:p>
    <w:p w:rsidR="00C60CF0" w:rsidRPr="00A02039" w:rsidRDefault="00C60CF0" w:rsidP="00C60CF0">
      <w:pPr>
        <w:pStyle w:val="Heading4"/>
      </w:pPr>
      <w:r>
        <w:t>Hours worked</w:t>
      </w:r>
    </w:p>
    <w:p w:rsidR="00C60CF0" w:rsidRPr="009A7406" w:rsidRDefault="00C60CF0" w:rsidP="00C60CF0">
      <w:pPr>
        <w:rPr>
          <w:sz w:val="20"/>
        </w:rPr>
      </w:pPr>
      <w:r w:rsidRPr="009A7406">
        <w:rPr>
          <w:sz w:val="20"/>
        </w:rPr>
        <w:t>The figure below shows the difference between the hours worked by gender. There is a small difference between clinical and specialist clinical hours for males and females; although females work fewer total and total specialist hours on average. The difference between the total specialist (D) and specialist clinical (C) hours indicates the clinical support (non-clinical hours) component for the MFM workforce. On average 17.4 hours for males and 14.8 hours per week for females, is spent performing clinical support in MFM.</w:t>
      </w:r>
    </w:p>
    <w:p w:rsidR="00C60CF0" w:rsidRDefault="00C60CF0" w:rsidP="00C60CF0">
      <w:pPr>
        <w:pStyle w:val="Caption"/>
        <w:keepNext/>
      </w:pPr>
      <w:bookmarkStart w:id="218" w:name="_Ref455490605"/>
      <w:bookmarkStart w:id="219" w:name="_Toc515888860"/>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56</w:t>
      </w:r>
      <w:r w:rsidR="00556A17">
        <w:rPr>
          <w:noProof/>
        </w:rPr>
        <w:fldChar w:fldCharType="end"/>
      </w:r>
      <w:bookmarkEnd w:id="218"/>
      <w:r>
        <w:t xml:space="preserve">: </w:t>
      </w:r>
      <w:r w:rsidRPr="00F23728">
        <w:t>Average hours by total, clinical</w:t>
      </w:r>
      <w:r>
        <w:t>,</w:t>
      </w:r>
      <w:r w:rsidRPr="00F23728">
        <w:t xml:space="preserve"> specialist </w:t>
      </w:r>
      <w:r>
        <w:t>clinical and specialist total</w:t>
      </w:r>
      <w:r w:rsidRPr="00F23728">
        <w:t xml:space="preserve"> </w:t>
      </w:r>
      <w:r>
        <w:t xml:space="preserve">hours </w:t>
      </w:r>
      <w:r w:rsidRPr="00F23728">
        <w:t>worked</w:t>
      </w:r>
      <w:bookmarkEnd w:id="219"/>
    </w:p>
    <w:p w:rsidR="001340C3" w:rsidRDefault="001340C3" w:rsidP="00C60CF0">
      <w:pPr>
        <w:spacing w:before="0" w:after="0"/>
        <w:rPr>
          <w:rFonts w:eastAsia="Calibri"/>
          <w:i/>
          <w:sz w:val="16"/>
          <w:szCs w:val="16"/>
        </w:rPr>
      </w:pPr>
      <w:r>
        <w:rPr>
          <w:rFonts w:eastAsia="Calibri"/>
          <w:i/>
          <w:noProof/>
          <w:sz w:val="16"/>
          <w:szCs w:val="16"/>
          <w:lang w:eastAsia="en-AU"/>
        </w:rPr>
        <w:drawing>
          <wp:inline distT="0" distB="0" distL="0" distR="0" wp14:anchorId="2C414043" wp14:editId="5E4B0887">
            <wp:extent cx="2536190" cy="2249805"/>
            <wp:effectExtent l="0" t="0" r="0" b="0"/>
            <wp:docPr id="9" name="Picture 9" descr="Shows the difference between the hours worked by gender. There is a small difference between clinical and specialist clinical hours for males and females; although females work fewer total and total specialist hours on average. The difference between the total specialist (D) and specialist clinical (C) hours indicates the clinical support (non-clinical hours) component for the maternal-fetal medicine workforce. On average 17.4 hours for males and 14.8 hours per week for females, is spent performing clinical support in the maternal-fetal medicine." title="Figure 56: Average hours by total, clinical, specialist clinical and specialist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6190" cy="224980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9A7406" w:rsidRDefault="00C60CF0" w:rsidP="00C60CF0">
      <w:pPr>
        <w:rPr>
          <w:sz w:val="20"/>
        </w:rPr>
      </w:pPr>
      <w:r w:rsidRPr="009A7406">
        <w:rPr>
          <w:sz w:val="20"/>
        </w:rPr>
        <w:t xml:space="preserve">The difference between the total specialist hours (D) and clinical specialist hours (C) by gender and age group are shown in </w:t>
      </w:r>
      <w:r w:rsidRPr="009A7406">
        <w:rPr>
          <w:sz w:val="20"/>
        </w:rPr>
        <w:fldChar w:fldCharType="begin"/>
      </w:r>
      <w:r w:rsidRPr="009A7406">
        <w:rPr>
          <w:sz w:val="20"/>
        </w:rPr>
        <w:instrText xml:space="preserve"> REF _Ref455490615 \h </w:instrText>
      </w:r>
      <w:r w:rsidR="009A7406">
        <w:rPr>
          <w:sz w:val="20"/>
        </w:rPr>
        <w:instrText xml:space="preserve"> \* MERGEFORMAT </w:instrText>
      </w:r>
      <w:r w:rsidRPr="009A7406">
        <w:rPr>
          <w:sz w:val="20"/>
        </w:rPr>
      </w:r>
      <w:r w:rsidRPr="009A7406">
        <w:rPr>
          <w:sz w:val="20"/>
        </w:rPr>
        <w:fldChar w:fldCharType="separate"/>
      </w:r>
      <w:r w:rsidR="008C7087" w:rsidRPr="008C7087">
        <w:rPr>
          <w:sz w:val="20"/>
          <w:szCs w:val="22"/>
        </w:rPr>
        <w:t xml:space="preserve">Figure </w:t>
      </w:r>
      <w:r w:rsidR="008C7087" w:rsidRPr="008C7087">
        <w:rPr>
          <w:noProof/>
          <w:sz w:val="20"/>
          <w:szCs w:val="22"/>
        </w:rPr>
        <w:t>57</w:t>
      </w:r>
      <w:r w:rsidRPr="009A7406">
        <w:rPr>
          <w:sz w:val="20"/>
        </w:rPr>
        <w:fldChar w:fldCharType="end"/>
      </w:r>
      <w:r w:rsidRPr="009A7406">
        <w:rPr>
          <w:sz w:val="20"/>
        </w:rPr>
        <w:t xml:space="preserve">. The x-axis is assumed to be average hours worked (40 hours) and the bars in positive or negative position show the hours worked greater or less than 40 </w:t>
      </w:r>
      <w:r w:rsidRPr="009A7406">
        <w:rPr>
          <w:sz w:val="20"/>
        </w:rPr>
        <w:lastRenderedPageBreak/>
        <w:t xml:space="preserve">hours by age and gender respectively. The vast majority of the age groups regardless of gender tend to work more than 40 hours between the ages of 45-69 years, with a few exceptions in the males specialist clinical hours across the age groups that have worked less hours – on average 9 hours less than the average 40 hours. </w:t>
      </w:r>
    </w:p>
    <w:p w:rsidR="00C60CF0" w:rsidRDefault="00C60CF0" w:rsidP="00C60CF0">
      <w:pPr>
        <w:pStyle w:val="Caption"/>
        <w:rPr>
          <w:szCs w:val="22"/>
        </w:rPr>
      </w:pPr>
      <w:bookmarkStart w:id="220" w:name="_Ref455490615"/>
      <w:bookmarkStart w:id="221" w:name="_Toc515888861"/>
      <w:r w:rsidRPr="00CC5C72">
        <w:rPr>
          <w:szCs w:val="22"/>
        </w:rPr>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57</w:t>
      </w:r>
      <w:r w:rsidR="008C16B5">
        <w:rPr>
          <w:szCs w:val="22"/>
        </w:rPr>
        <w:fldChar w:fldCharType="end"/>
      </w:r>
      <w:bookmarkEnd w:id="220"/>
      <w:r>
        <w:rPr>
          <w:szCs w:val="22"/>
        </w:rPr>
        <w:t>:</w:t>
      </w:r>
      <w:r w:rsidRPr="00CC5C72">
        <w:rPr>
          <w:szCs w:val="22"/>
        </w:rPr>
        <w:t xml:space="preserve"> </w:t>
      </w:r>
      <w:r>
        <w:rPr>
          <w:szCs w:val="22"/>
        </w:rPr>
        <w:t>Difference between t</w:t>
      </w:r>
      <w:r w:rsidRPr="00CC5C72">
        <w:rPr>
          <w:szCs w:val="22"/>
        </w:rPr>
        <w:t xml:space="preserve">otal specialist and clinical specialist hour’s </w:t>
      </w:r>
      <w:r>
        <w:rPr>
          <w:szCs w:val="22"/>
        </w:rPr>
        <w:t xml:space="preserve">from average hours </w:t>
      </w:r>
      <w:r w:rsidRPr="00CC5C72">
        <w:rPr>
          <w:szCs w:val="22"/>
        </w:rPr>
        <w:t xml:space="preserve">by </w:t>
      </w:r>
      <w:r>
        <w:rPr>
          <w:szCs w:val="22"/>
        </w:rPr>
        <w:t>age groups and gender</w:t>
      </w:r>
      <w:bookmarkEnd w:id="221"/>
    </w:p>
    <w:p w:rsidR="008D26BB" w:rsidRDefault="008D26BB" w:rsidP="008D26BB">
      <w:pPr>
        <w:rPr>
          <w:rFonts w:eastAsia="Calibri"/>
          <w:b/>
          <w:i/>
          <w:color w:val="4F81BD" w:themeColor="accent1"/>
          <w:sz w:val="16"/>
        </w:rPr>
      </w:pPr>
      <w:r>
        <w:rPr>
          <w:rFonts w:eastAsia="Calibri"/>
          <w:b/>
          <w:i/>
          <w:noProof/>
          <w:color w:val="4F81BD" w:themeColor="accent1"/>
          <w:sz w:val="16"/>
          <w:lang w:eastAsia="en-AU"/>
        </w:rPr>
        <w:drawing>
          <wp:inline distT="0" distB="0" distL="0" distR="0" wp14:anchorId="7F931A1A" wp14:editId="495D4956">
            <wp:extent cx="2512060" cy="2152015"/>
            <wp:effectExtent l="0" t="0" r="2540" b="635"/>
            <wp:docPr id="7" name="Picture 7" descr="This figure shows the difference between the total specialist hours (D) and clinical specialist hours (C) by gender and age group. The x-axis is assumed to be average hours worked (40 hours) and the bars in positive or negative position show the hours worked greater or less than 40 hours by age and gender respectively. The vast majority of the age groups regardless of gender tend to work more than 40 hours between the ages of 45-69 years, with a few exceptions in the males specialist clinical hours across the age groups that have worked less hours – on average 9 hours less than the average 40 hours." title="Figure 57: Difference between total specialist and clinical specialist hour’s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2060" cy="2152015"/>
                    </a:xfrm>
                    <a:prstGeom prst="rect">
                      <a:avLst/>
                    </a:prstGeom>
                    <a:noFill/>
                  </pic:spPr>
                </pic:pic>
              </a:graphicData>
            </a:graphic>
          </wp:inline>
        </w:drawing>
      </w:r>
    </w:p>
    <w:p w:rsidR="00C60CF0" w:rsidRPr="001340C3" w:rsidRDefault="00C60CF0" w:rsidP="00C60CF0">
      <w:pPr>
        <w:pStyle w:val="Caption"/>
        <w:rPr>
          <w:rFonts w:eastAsia="Calibri"/>
        </w:rPr>
      </w:pPr>
      <w:r w:rsidRPr="004962AC">
        <w:rPr>
          <w:rFonts w:eastAsia="Calibri"/>
          <w:b w:val="0"/>
          <w:i/>
          <w:color w:val="4F81BD" w:themeColor="accent1"/>
          <w:sz w:val="16"/>
        </w:rPr>
        <w:t>Source: NHWDS, Medical Practitioner 2016</w:t>
      </w:r>
    </w:p>
    <w:p w:rsidR="00C60CF0" w:rsidRPr="009A7406" w:rsidRDefault="00C60CF0" w:rsidP="00C60CF0">
      <w:pPr>
        <w:rPr>
          <w:sz w:val="20"/>
        </w:rPr>
      </w:pPr>
      <w:r w:rsidRPr="009A7406">
        <w:rPr>
          <w:sz w:val="20"/>
        </w:rPr>
        <w:t>The average total specialist hours worked by states and territories is shown below (</w:t>
      </w:r>
      <w:r w:rsidRPr="009A7406">
        <w:rPr>
          <w:sz w:val="20"/>
        </w:rPr>
        <w:fldChar w:fldCharType="begin"/>
      </w:r>
      <w:r w:rsidRPr="009A7406">
        <w:rPr>
          <w:sz w:val="20"/>
        </w:rPr>
        <w:instrText xml:space="preserve"> REF _Ref455490629 \h </w:instrText>
      </w:r>
      <w:r w:rsidR="009A7406">
        <w:rPr>
          <w:sz w:val="20"/>
        </w:rPr>
        <w:instrText xml:space="preserve"> \* MERGEFORMAT </w:instrText>
      </w:r>
      <w:r w:rsidRPr="009A7406">
        <w:rPr>
          <w:sz w:val="20"/>
        </w:rPr>
      </w:r>
      <w:r w:rsidRPr="009A7406">
        <w:rPr>
          <w:sz w:val="20"/>
        </w:rPr>
        <w:fldChar w:fldCharType="separate"/>
      </w:r>
      <w:r w:rsidR="008C7087" w:rsidRPr="008C7087">
        <w:rPr>
          <w:sz w:val="20"/>
        </w:rPr>
        <w:t xml:space="preserve">Figure </w:t>
      </w:r>
      <w:r w:rsidR="008C7087" w:rsidRPr="008C7087">
        <w:rPr>
          <w:noProof/>
          <w:sz w:val="20"/>
        </w:rPr>
        <w:t>58</w:t>
      </w:r>
      <w:r w:rsidRPr="009A7406">
        <w:rPr>
          <w:sz w:val="20"/>
        </w:rPr>
        <w:fldChar w:fldCharType="end"/>
      </w:r>
      <w:r w:rsidRPr="009A7406">
        <w:rPr>
          <w:sz w:val="20"/>
        </w:rPr>
        <w:t xml:space="preserve">). The MFM subspecialists in the SA, WA and </w:t>
      </w:r>
      <w:r w:rsidR="009F1BAC">
        <w:rPr>
          <w:sz w:val="20"/>
        </w:rPr>
        <w:t>VIC</w:t>
      </w:r>
      <w:r w:rsidR="009F1BAC" w:rsidRPr="009A7406">
        <w:rPr>
          <w:sz w:val="20"/>
        </w:rPr>
        <w:t xml:space="preserve"> </w:t>
      </w:r>
      <w:r w:rsidRPr="009A7406">
        <w:rPr>
          <w:sz w:val="20"/>
        </w:rPr>
        <w:t xml:space="preserve">tend to work more than the national average (50.6 hours), while those in </w:t>
      </w:r>
      <w:r w:rsidR="004B7F94">
        <w:rPr>
          <w:sz w:val="20"/>
        </w:rPr>
        <w:t>QLD</w:t>
      </w:r>
      <w:r w:rsidR="004B7F94" w:rsidRPr="009A7406">
        <w:rPr>
          <w:sz w:val="20"/>
        </w:rPr>
        <w:t xml:space="preserve"> </w:t>
      </w:r>
      <w:r w:rsidRPr="009A7406">
        <w:rPr>
          <w:sz w:val="20"/>
        </w:rPr>
        <w:t xml:space="preserve">and NT work less than the national average. There were no MFM subspecialists in </w:t>
      </w:r>
      <w:r w:rsidR="004B7F94">
        <w:rPr>
          <w:sz w:val="20"/>
        </w:rPr>
        <w:t>TAS</w:t>
      </w:r>
      <w:r w:rsidR="004B7F94" w:rsidRPr="009A7406">
        <w:rPr>
          <w:sz w:val="20"/>
        </w:rPr>
        <w:t xml:space="preserve"> </w:t>
      </w:r>
      <w:r w:rsidRPr="009A7406">
        <w:rPr>
          <w:sz w:val="20"/>
        </w:rPr>
        <w:t>or the ACT in 2016.</w:t>
      </w:r>
    </w:p>
    <w:p w:rsidR="00C60CF0" w:rsidRDefault="00C60CF0" w:rsidP="00C60CF0">
      <w:pPr>
        <w:pStyle w:val="Caption"/>
        <w:keepNext/>
      </w:pPr>
      <w:bookmarkStart w:id="222" w:name="_Ref455490629"/>
      <w:bookmarkStart w:id="223" w:name="_Toc515888862"/>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58</w:t>
      </w:r>
      <w:r w:rsidR="00556A17">
        <w:rPr>
          <w:noProof/>
        </w:rPr>
        <w:fldChar w:fldCharType="end"/>
      </w:r>
      <w:bookmarkEnd w:id="222"/>
      <w:r>
        <w:t>:</w:t>
      </w:r>
      <w:r w:rsidRPr="00F23728">
        <w:t xml:space="preserve"> Average</w:t>
      </w:r>
      <w:r>
        <w:t xml:space="preserve"> total </w:t>
      </w:r>
      <w:r w:rsidRPr="00F23728">
        <w:t>specialist hours by states and territories</w:t>
      </w:r>
      <w:r>
        <w:t>, 2016</w:t>
      </w:r>
      <w:bookmarkEnd w:id="223"/>
    </w:p>
    <w:p w:rsidR="00825D70" w:rsidRDefault="001340C3" w:rsidP="00C60CF0">
      <w:pPr>
        <w:pStyle w:val="Heading5"/>
        <w:rPr>
          <w:rFonts w:eastAsia="Calibri"/>
        </w:rPr>
      </w:pPr>
      <w:r>
        <w:rPr>
          <w:rFonts w:eastAsia="Calibri"/>
          <w:noProof/>
          <w:lang w:eastAsia="en-AU"/>
        </w:rPr>
        <w:drawing>
          <wp:inline distT="0" distB="0" distL="0" distR="0" wp14:anchorId="1AD345AE" wp14:editId="3624EB18">
            <wp:extent cx="2499360" cy="2078990"/>
            <wp:effectExtent l="0" t="0" r="0" b="0"/>
            <wp:docPr id="20" name="Picture 20" descr="This figure shows the average total specialist hours worked by states and territories. The maternal-fetal medicine subspecialists in the SA, WA and VIC tend to work more than the national average (50.6 hours), while those in QLD and NT work less than the national average. There were no MFM subspecialists in TAS or the ACT in 2016." title="Figure 58: Average total specialist hours by states and territorie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9360" cy="2078990"/>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Medical Pract</w:t>
      </w:r>
      <w:r>
        <w:rPr>
          <w:rFonts w:eastAsia="Calibri"/>
        </w:rPr>
        <w:t>itioner 2016</w:t>
      </w:r>
    </w:p>
    <w:p w:rsidR="00C60CF0" w:rsidRPr="009A7406" w:rsidRDefault="00C60CF0" w:rsidP="00C60CF0">
      <w:pPr>
        <w:rPr>
          <w:sz w:val="20"/>
        </w:rPr>
      </w:pPr>
      <w:r w:rsidRPr="009A7406">
        <w:rPr>
          <w:sz w:val="20"/>
        </w:rPr>
        <w:fldChar w:fldCharType="begin"/>
      </w:r>
      <w:r w:rsidRPr="009A7406">
        <w:rPr>
          <w:sz w:val="20"/>
        </w:rPr>
        <w:instrText xml:space="preserve"> REF _Ref455490643 \h </w:instrText>
      </w:r>
      <w:r w:rsidR="009A7406">
        <w:rPr>
          <w:sz w:val="20"/>
        </w:rPr>
        <w:instrText xml:space="preserve"> \* MERGEFORMAT </w:instrText>
      </w:r>
      <w:r w:rsidRPr="009A7406">
        <w:rPr>
          <w:sz w:val="20"/>
        </w:rPr>
      </w:r>
      <w:r w:rsidRPr="009A7406">
        <w:rPr>
          <w:sz w:val="20"/>
        </w:rPr>
        <w:fldChar w:fldCharType="separate"/>
      </w:r>
      <w:r w:rsidR="008C7087" w:rsidRPr="008C7087">
        <w:rPr>
          <w:sz w:val="20"/>
        </w:rPr>
        <w:t xml:space="preserve">Figure </w:t>
      </w:r>
      <w:r w:rsidR="008C7087" w:rsidRPr="008C7087">
        <w:rPr>
          <w:noProof/>
          <w:sz w:val="20"/>
        </w:rPr>
        <w:t>59</w:t>
      </w:r>
      <w:r w:rsidRPr="009A7406">
        <w:rPr>
          <w:sz w:val="20"/>
        </w:rPr>
        <w:fldChar w:fldCharType="end"/>
      </w:r>
      <w:r w:rsidRPr="009A7406">
        <w:rPr>
          <w:sz w:val="20"/>
        </w:rPr>
        <w:t xml:space="preserve"> shows that, the MFM specialists are predominately in M</w:t>
      </w:r>
      <w:r w:rsidR="00DC1351">
        <w:rPr>
          <w:sz w:val="20"/>
        </w:rPr>
        <w:t>M</w:t>
      </w:r>
      <w:r w:rsidRPr="009A7406">
        <w:rPr>
          <w:sz w:val="20"/>
        </w:rPr>
        <w:t>M1 and M</w:t>
      </w:r>
      <w:r w:rsidR="00DC1351">
        <w:rPr>
          <w:sz w:val="20"/>
        </w:rPr>
        <w:t>M</w:t>
      </w:r>
      <w:r w:rsidRPr="009A7406">
        <w:rPr>
          <w:sz w:val="20"/>
        </w:rPr>
        <w:t xml:space="preserve">M2 </w:t>
      </w:r>
      <w:r w:rsidRPr="009A7406">
        <w:rPr>
          <w:sz w:val="20"/>
        </w:rPr>
        <w:lastRenderedPageBreak/>
        <w:t>working on average 5 to 10 hours greater than the average 40 hours per week. There were no MFM specialists outside of inner regional areas (M</w:t>
      </w:r>
      <w:r w:rsidR="009A7406" w:rsidRPr="009A7406">
        <w:rPr>
          <w:sz w:val="20"/>
        </w:rPr>
        <w:t>M</w:t>
      </w:r>
      <w:r w:rsidRPr="009A7406">
        <w:rPr>
          <w:sz w:val="20"/>
        </w:rPr>
        <w:t>M3 - M</w:t>
      </w:r>
      <w:r w:rsidR="009A7406" w:rsidRPr="009A7406">
        <w:rPr>
          <w:sz w:val="20"/>
        </w:rPr>
        <w:t>M</w:t>
      </w:r>
      <w:r w:rsidRPr="009A7406">
        <w:rPr>
          <w:sz w:val="20"/>
        </w:rPr>
        <w:t xml:space="preserve">M7). </w:t>
      </w:r>
    </w:p>
    <w:p w:rsidR="00C60CF0" w:rsidRDefault="00C60CF0" w:rsidP="00C60CF0">
      <w:pPr>
        <w:pStyle w:val="Caption"/>
        <w:keepNext/>
      </w:pPr>
      <w:bookmarkStart w:id="224" w:name="_Ref455490643"/>
      <w:bookmarkStart w:id="225" w:name="_Toc515888863"/>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59</w:t>
      </w:r>
      <w:r w:rsidR="00556A17">
        <w:rPr>
          <w:noProof/>
        </w:rPr>
        <w:fldChar w:fldCharType="end"/>
      </w:r>
      <w:bookmarkEnd w:id="224"/>
      <w:r>
        <w:t>:</w:t>
      </w:r>
      <w:r w:rsidRPr="00F23728">
        <w:t xml:space="preserve"> Average</w:t>
      </w:r>
      <w:r>
        <w:t xml:space="preserve"> total </w:t>
      </w:r>
      <w:r w:rsidRPr="00F23728">
        <w:t>specialist hours by</w:t>
      </w:r>
      <w:r>
        <w:t xml:space="preserve"> MM</w:t>
      </w:r>
      <w:r w:rsidR="00DC1351">
        <w:t>M</w:t>
      </w:r>
      <w:bookmarkEnd w:id="225"/>
    </w:p>
    <w:p w:rsidR="00711483" w:rsidRDefault="00711483" w:rsidP="00C60CF0">
      <w:pPr>
        <w:spacing w:after="0"/>
      </w:pPr>
      <w:r>
        <w:rPr>
          <w:noProof/>
          <w:lang w:eastAsia="en-AU"/>
        </w:rPr>
        <w:drawing>
          <wp:inline distT="0" distB="0" distL="0" distR="0" wp14:anchorId="415BCB1D" wp14:editId="798BF7BD">
            <wp:extent cx="2468880" cy="1792605"/>
            <wp:effectExtent l="0" t="0" r="7620" b="0"/>
            <wp:docPr id="22" name="Picture 22" descr="This figure shows that, the maternal-fetal medicine specialists are predominately in Modified Monash Model 1 and Modified Monash Model 2 working on average 5 to 10 hours greater than the average 40 hours per week. There were no maternal-fetal medicine specialists outside of inner regional areas (MMM3 - MMM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8880" cy="179260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 xml:space="preserve">Source: </w:t>
      </w:r>
      <w:r>
        <w:rPr>
          <w:rFonts w:eastAsia="Calibri"/>
        </w:rPr>
        <w:t>NHWDS, Medical Practitioner 2016</w:t>
      </w:r>
    </w:p>
    <w:p w:rsidR="00C60CF0" w:rsidRPr="009A7406" w:rsidRDefault="00C60CF0" w:rsidP="00C60CF0">
      <w:pPr>
        <w:rPr>
          <w:sz w:val="20"/>
        </w:rPr>
      </w:pPr>
      <w:r w:rsidRPr="009A7406">
        <w:rPr>
          <w:sz w:val="20"/>
        </w:rPr>
        <w:t xml:space="preserve">The table below shows the MFM specialist clinical workload between sectors and jurisdictions. The data shows nationwide the MFM specialist FTE is primarily in the public sector (61 per cent). The NT had the highest proportion of clinical FTE in the private sector (100 per cent) while SA had the lowest proportion in the private sector (22 per cent). The majority of MFM specialists are located in the highly populated states of NSW, </w:t>
      </w:r>
      <w:r w:rsidR="009F1BAC">
        <w:rPr>
          <w:sz w:val="20"/>
        </w:rPr>
        <w:t>VIC</w:t>
      </w:r>
      <w:r w:rsidR="009F1BAC" w:rsidRPr="009A7406">
        <w:rPr>
          <w:sz w:val="20"/>
        </w:rPr>
        <w:t xml:space="preserve"> </w:t>
      </w:r>
      <w:r w:rsidRPr="009A7406">
        <w:rPr>
          <w:sz w:val="20"/>
        </w:rPr>
        <w:t xml:space="preserve">and </w:t>
      </w:r>
      <w:r w:rsidR="009F1BAC">
        <w:rPr>
          <w:sz w:val="20"/>
        </w:rPr>
        <w:t>QLD</w:t>
      </w:r>
      <w:r w:rsidR="009F1BAC" w:rsidRPr="009A7406">
        <w:rPr>
          <w:sz w:val="20"/>
        </w:rPr>
        <w:t xml:space="preserve"> </w:t>
      </w:r>
      <w:r w:rsidRPr="009A7406">
        <w:rPr>
          <w:sz w:val="20"/>
        </w:rPr>
        <w:t>(66 per cent).</w:t>
      </w:r>
    </w:p>
    <w:p w:rsidR="008D0421" w:rsidRDefault="00C60CF0" w:rsidP="008D0421">
      <w:pPr>
        <w:pStyle w:val="Caption"/>
        <w:keepNext/>
      </w:pPr>
      <w:bookmarkStart w:id="226" w:name="_Ref455490660"/>
      <w:bookmarkStart w:id="227" w:name="_Toc515887841"/>
      <w:r w:rsidRPr="00F23728">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20</w:t>
      </w:r>
      <w:r w:rsidR="00556A17">
        <w:rPr>
          <w:noProof/>
        </w:rPr>
        <w:fldChar w:fldCharType="end"/>
      </w:r>
      <w:bookmarkEnd w:id="226"/>
      <w:r>
        <w:rPr>
          <w:noProof/>
        </w:rPr>
        <w:t>:</w:t>
      </w:r>
      <w:r w:rsidRPr="00F23728">
        <w:t xml:space="preserve"> </w:t>
      </w:r>
      <w:r>
        <w:t xml:space="preserve">MFM </w:t>
      </w:r>
      <w:r w:rsidRPr="00F23728">
        <w:t xml:space="preserve">clinicians (headcount and sector: </w:t>
      </w:r>
      <w:r>
        <w:t xml:space="preserve">proportion of specialist clinical FTE in </w:t>
      </w:r>
      <w:r w:rsidRPr="00F23728">
        <w:t>public and private) by state and territory</w:t>
      </w:r>
      <w:bookmarkEnd w:id="227"/>
    </w:p>
    <w:tbl>
      <w:tblPr>
        <w:tblStyle w:val="TableGrid"/>
        <w:tblW w:w="0" w:type="auto"/>
        <w:tblBorders>
          <w:insideH w:val="none" w:sz="0" w:space="0" w:color="auto"/>
          <w:insideV w:val="none" w:sz="0" w:space="0" w:color="auto"/>
        </w:tblBorders>
        <w:tblLook w:val="04A0" w:firstRow="1" w:lastRow="0" w:firstColumn="1" w:lastColumn="0" w:noHBand="0" w:noVBand="1"/>
        <w:tblCaption w:val="Table 20: Maternal-fetal medicine clinicians (headcount and sector: proportion of specialist clinical full time equivalent in public and private) by state and territory"/>
        <w:tblDescription w:val="This table shows the maternal-fetal medicine specialist clinical workload between sectors and jurisdictions. The data shows nationwide the maternal-fetal medicine specialist full time equivalent is primarily in the public sector (61 per cent). The NT had the highest proportion of clinical FTE in the private sector (100 per cent) while SA had the lowest proportion in the private sector (22 per cent). The majority of maternal-fetal medicine specialists are located in the highly populated states of NSW, VIC and QLD (66 per cent)."/>
      </w:tblPr>
      <w:tblGrid>
        <w:gridCol w:w="933"/>
        <w:gridCol w:w="869"/>
        <w:gridCol w:w="1150"/>
        <w:gridCol w:w="1150"/>
      </w:tblGrid>
      <w:tr w:rsidR="008D0421" w:rsidTr="008D0421">
        <w:trPr>
          <w:trHeight w:val="1386"/>
          <w:tblHeader/>
        </w:trPr>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C2365E">
              <w:rPr>
                <w:b/>
                <w:color w:val="FFFFFF"/>
                <w:sz w:val="20"/>
                <w:szCs w:val="20"/>
                <w:lang w:eastAsia="en-AU"/>
              </w:rPr>
              <w:t>State and Territories</w:t>
            </w:r>
          </w:p>
        </w:tc>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171591">
              <w:rPr>
                <w:b/>
                <w:bCs/>
                <w:color w:val="FFFFFF"/>
                <w:sz w:val="20"/>
                <w:szCs w:val="20"/>
                <w:lang w:eastAsia="en-AU"/>
              </w:rPr>
              <w:t>Headcount</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Public</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Private</w:t>
            </w:r>
          </w:p>
        </w:tc>
      </w:tr>
      <w:tr w:rsidR="008D0421" w:rsidTr="008D0421">
        <w:tc>
          <w:tcPr>
            <w:tcW w:w="1025" w:type="dxa"/>
            <w:vAlign w:val="center"/>
          </w:tcPr>
          <w:p w:rsidR="008D0421" w:rsidRPr="00113563" w:rsidRDefault="008D0421" w:rsidP="00F05062">
            <w:pPr>
              <w:spacing w:before="0" w:after="0"/>
              <w:jc w:val="left"/>
              <w:rPr>
                <w:sz w:val="20"/>
                <w:szCs w:val="20"/>
                <w:lang w:eastAsia="en-AU"/>
              </w:rPr>
            </w:pPr>
            <w:r w:rsidRPr="00113563">
              <w:rPr>
                <w:sz w:val="20"/>
                <w:szCs w:val="20"/>
                <w:lang w:eastAsia="en-AU"/>
              </w:rPr>
              <w:t>NSW</w:t>
            </w:r>
          </w:p>
        </w:tc>
        <w:tc>
          <w:tcPr>
            <w:tcW w:w="1025" w:type="dxa"/>
            <w:vAlign w:val="center"/>
          </w:tcPr>
          <w:p w:rsidR="008D0421" w:rsidRPr="00113563" w:rsidRDefault="008D0421" w:rsidP="00F05062">
            <w:pPr>
              <w:spacing w:before="0" w:after="0"/>
              <w:jc w:val="right"/>
              <w:rPr>
                <w:sz w:val="20"/>
                <w:szCs w:val="20"/>
                <w:lang w:eastAsia="en-AU"/>
              </w:rPr>
            </w:pPr>
            <w:r w:rsidRPr="00113563">
              <w:rPr>
                <w:sz w:val="20"/>
                <w:szCs w:val="20"/>
                <w:lang w:eastAsia="en-AU"/>
              </w:rPr>
              <w:t>7</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80.4</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19.6</w:t>
            </w:r>
          </w:p>
        </w:tc>
      </w:tr>
      <w:tr w:rsidR="008D0421" w:rsidTr="008D0421">
        <w:tc>
          <w:tcPr>
            <w:tcW w:w="1025" w:type="dxa"/>
            <w:shd w:val="clear" w:color="auto" w:fill="D3DFEE"/>
            <w:vAlign w:val="center"/>
          </w:tcPr>
          <w:p w:rsidR="008D0421" w:rsidRPr="00113563" w:rsidRDefault="008D0421" w:rsidP="00F05062">
            <w:pPr>
              <w:spacing w:before="0" w:after="0"/>
              <w:jc w:val="left"/>
              <w:rPr>
                <w:sz w:val="20"/>
                <w:szCs w:val="20"/>
                <w:lang w:eastAsia="en-AU"/>
              </w:rPr>
            </w:pPr>
            <w:r w:rsidRPr="00113563">
              <w:rPr>
                <w:sz w:val="20"/>
                <w:szCs w:val="20"/>
                <w:lang w:eastAsia="en-AU"/>
              </w:rPr>
              <w:t>NT</w:t>
            </w:r>
          </w:p>
        </w:tc>
        <w:tc>
          <w:tcPr>
            <w:tcW w:w="1025" w:type="dxa"/>
            <w:shd w:val="clear" w:color="auto" w:fill="D3DFEE"/>
            <w:vAlign w:val="center"/>
          </w:tcPr>
          <w:p w:rsidR="008D0421" w:rsidRPr="00113563" w:rsidRDefault="008D0421" w:rsidP="00F05062">
            <w:pPr>
              <w:spacing w:before="0" w:after="0"/>
              <w:jc w:val="right"/>
              <w:rPr>
                <w:sz w:val="20"/>
                <w:szCs w:val="20"/>
                <w:lang w:eastAsia="en-AU"/>
              </w:rPr>
            </w:pPr>
            <w:r w:rsidRPr="00113563">
              <w:rPr>
                <w:sz w:val="20"/>
                <w:szCs w:val="20"/>
                <w:lang w:eastAsia="en-AU"/>
              </w:rPr>
              <w:t>1</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sidRPr="00113563">
              <w:rPr>
                <w:sz w:val="20"/>
                <w:szCs w:val="20"/>
                <w:lang w:eastAsia="en-AU"/>
              </w:rPr>
              <w:t>0</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sidRPr="00113563">
              <w:rPr>
                <w:sz w:val="20"/>
                <w:szCs w:val="20"/>
                <w:lang w:eastAsia="en-AU"/>
              </w:rPr>
              <w:t>100</w:t>
            </w:r>
          </w:p>
        </w:tc>
      </w:tr>
      <w:tr w:rsidR="008D0421" w:rsidTr="008D0421">
        <w:tc>
          <w:tcPr>
            <w:tcW w:w="1025" w:type="dxa"/>
            <w:vAlign w:val="center"/>
          </w:tcPr>
          <w:p w:rsidR="008D0421" w:rsidRPr="00113563" w:rsidRDefault="008D0421" w:rsidP="00F05062">
            <w:pPr>
              <w:spacing w:before="0" w:after="0"/>
              <w:jc w:val="left"/>
              <w:rPr>
                <w:sz w:val="20"/>
                <w:szCs w:val="20"/>
                <w:lang w:eastAsia="en-AU"/>
              </w:rPr>
            </w:pPr>
            <w:r w:rsidRPr="00113563">
              <w:rPr>
                <w:sz w:val="20"/>
                <w:szCs w:val="20"/>
                <w:lang w:eastAsia="en-AU"/>
              </w:rPr>
              <w:t>QLD</w:t>
            </w:r>
          </w:p>
        </w:tc>
        <w:tc>
          <w:tcPr>
            <w:tcW w:w="1025" w:type="dxa"/>
            <w:vAlign w:val="center"/>
          </w:tcPr>
          <w:p w:rsidR="008D0421" w:rsidRPr="00113563" w:rsidRDefault="008D0421" w:rsidP="00F05062">
            <w:pPr>
              <w:spacing w:before="0" w:after="0"/>
              <w:jc w:val="right"/>
              <w:rPr>
                <w:sz w:val="20"/>
                <w:szCs w:val="20"/>
                <w:lang w:eastAsia="en-AU"/>
              </w:rPr>
            </w:pPr>
            <w:r w:rsidRPr="00113563">
              <w:rPr>
                <w:sz w:val="20"/>
                <w:szCs w:val="20"/>
                <w:lang w:eastAsia="en-AU"/>
              </w:rPr>
              <w:t>6</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32.6</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53.3</w:t>
            </w:r>
          </w:p>
        </w:tc>
      </w:tr>
      <w:tr w:rsidR="008D0421" w:rsidTr="008D0421">
        <w:tc>
          <w:tcPr>
            <w:tcW w:w="1025" w:type="dxa"/>
            <w:shd w:val="clear" w:color="auto" w:fill="D3DFEE"/>
            <w:vAlign w:val="center"/>
          </w:tcPr>
          <w:p w:rsidR="008D0421" w:rsidRPr="00113563" w:rsidRDefault="008D0421" w:rsidP="00F05062">
            <w:pPr>
              <w:spacing w:before="0" w:after="0"/>
              <w:jc w:val="left"/>
              <w:rPr>
                <w:sz w:val="20"/>
                <w:szCs w:val="20"/>
                <w:lang w:eastAsia="en-AU"/>
              </w:rPr>
            </w:pPr>
            <w:r w:rsidRPr="00113563">
              <w:rPr>
                <w:sz w:val="20"/>
                <w:szCs w:val="20"/>
                <w:lang w:eastAsia="en-AU"/>
              </w:rPr>
              <w:t>SA</w:t>
            </w:r>
          </w:p>
        </w:tc>
        <w:tc>
          <w:tcPr>
            <w:tcW w:w="1025" w:type="dxa"/>
            <w:shd w:val="clear" w:color="auto" w:fill="D3DFEE"/>
            <w:vAlign w:val="center"/>
          </w:tcPr>
          <w:p w:rsidR="008D0421" w:rsidRPr="00113563" w:rsidRDefault="008D0421" w:rsidP="00F05062">
            <w:pPr>
              <w:spacing w:before="0" w:after="0"/>
              <w:jc w:val="right"/>
              <w:rPr>
                <w:sz w:val="20"/>
                <w:szCs w:val="20"/>
                <w:lang w:eastAsia="en-AU"/>
              </w:rPr>
            </w:pPr>
            <w:r w:rsidRPr="00113563">
              <w:rPr>
                <w:sz w:val="20"/>
                <w:szCs w:val="20"/>
                <w:lang w:eastAsia="en-AU"/>
              </w:rPr>
              <w:t>1</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Pr>
                <w:sz w:val="20"/>
                <w:szCs w:val="20"/>
                <w:lang w:eastAsia="en-AU"/>
              </w:rPr>
              <w:t>78.1</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Pr>
                <w:sz w:val="20"/>
                <w:szCs w:val="20"/>
                <w:lang w:eastAsia="en-AU"/>
              </w:rPr>
              <w:t>21.8</w:t>
            </w:r>
          </w:p>
        </w:tc>
      </w:tr>
      <w:tr w:rsidR="008D0421" w:rsidTr="008D0421">
        <w:tc>
          <w:tcPr>
            <w:tcW w:w="1025" w:type="dxa"/>
            <w:vAlign w:val="center"/>
          </w:tcPr>
          <w:p w:rsidR="008D0421" w:rsidRPr="00113563" w:rsidRDefault="008D0421" w:rsidP="00F05062">
            <w:pPr>
              <w:spacing w:before="0" w:after="0"/>
              <w:jc w:val="left"/>
              <w:rPr>
                <w:sz w:val="20"/>
                <w:szCs w:val="20"/>
                <w:lang w:eastAsia="en-AU"/>
              </w:rPr>
            </w:pPr>
            <w:r w:rsidRPr="00113563">
              <w:rPr>
                <w:sz w:val="20"/>
                <w:szCs w:val="20"/>
                <w:lang w:eastAsia="en-AU"/>
              </w:rPr>
              <w:t>VIC</w:t>
            </w:r>
          </w:p>
        </w:tc>
        <w:tc>
          <w:tcPr>
            <w:tcW w:w="1025" w:type="dxa"/>
            <w:vAlign w:val="center"/>
          </w:tcPr>
          <w:p w:rsidR="008D0421" w:rsidRPr="00113563" w:rsidRDefault="008D0421" w:rsidP="00F05062">
            <w:pPr>
              <w:spacing w:before="0" w:after="0"/>
              <w:jc w:val="right"/>
              <w:rPr>
                <w:sz w:val="20"/>
                <w:szCs w:val="20"/>
                <w:lang w:eastAsia="en-AU"/>
              </w:rPr>
            </w:pPr>
            <w:r w:rsidRPr="00113563">
              <w:rPr>
                <w:sz w:val="20"/>
                <w:szCs w:val="20"/>
                <w:lang w:eastAsia="en-AU"/>
              </w:rPr>
              <w:t>8</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48.8</w:t>
            </w:r>
          </w:p>
        </w:tc>
        <w:tc>
          <w:tcPr>
            <w:tcW w:w="1026" w:type="dxa"/>
            <w:vAlign w:val="center"/>
          </w:tcPr>
          <w:p w:rsidR="008D0421" w:rsidRPr="00113563" w:rsidRDefault="008D0421" w:rsidP="00F05062">
            <w:pPr>
              <w:spacing w:before="0" w:after="0"/>
              <w:jc w:val="right"/>
              <w:rPr>
                <w:sz w:val="20"/>
                <w:szCs w:val="20"/>
                <w:lang w:eastAsia="en-AU"/>
              </w:rPr>
            </w:pPr>
            <w:r>
              <w:rPr>
                <w:sz w:val="20"/>
                <w:szCs w:val="20"/>
                <w:lang w:eastAsia="en-AU"/>
              </w:rPr>
              <w:t>51.2</w:t>
            </w:r>
          </w:p>
        </w:tc>
      </w:tr>
      <w:tr w:rsidR="008D0421" w:rsidTr="008D0421">
        <w:tc>
          <w:tcPr>
            <w:tcW w:w="1025" w:type="dxa"/>
            <w:shd w:val="clear" w:color="auto" w:fill="D3DFEE"/>
            <w:vAlign w:val="center"/>
          </w:tcPr>
          <w:p w:rsidR="008D0421" w:rsidRPr="00113563" w:rsidRDefault="008D0421" w:rsidP="00F05062">
            <w:pPr>
              <w:spacing w:before="0" w:after="0"/>
              <w:jc w:val="left"/>
              <w:rPr>
                <w:sz w:val="20"/>
                <w:szCs w:val="20"/>
                <w:lang w:eastAsia="en-AU"/>
              </w:rPr>
            </w:pPr>
            <w:r w:rsidRPr="00113563">
              <w:rPr>
                <w:sz w:val="20"/>
                <w:szCs w:val="20"/>
                <w:lang w:eastAsia="en-AU"/>
              </w:rPr>
              <w:t>WA</w:t>
            </w:r>
          </w:p>
        </w:tc>
        <w:tc>
          <w:tcPr>
            <w:tcW w:w="1025" w:type="dxa"/>
            <w:shd w:val="clear" w:color="auto" w:fill="D3DFEE"/>
            <w:vAlign w:val="center"/>
          </w:tcPr>
          <w:p w:rsidR="008D0421" w:rsidRPr="00113563" w:rsidRDefault="008D0421" w:rsidP="00F05062">
            <w:pPr>
              <w:spacing w:before="0" w:after="0"/>
              <w:jc w:val="right"/>
              <w:rPr>
                <w:sz w:val="20"/>
                <w:szCs w:val="20"/>
                <w:lang w:eastAsia="en-AU"/>
              </w:rPr>
            </w:pPr>
            <w:r w:rsidRPr="00113563">
              <w:rPr>
                <w:sz w:val="20"/>
                <w:szCs w:val="20"/>
                <w:lang w:eastAsia="en-AU"/>
              </w:rPr>
              <w:t>5</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Pr>
                <w:sz w:val="20"/>
                <w:szCs w:val="20"/>
                <w:lang w:eastAsia="en-AU"/>
              </w:rPr>
              <w:t>77.6</w:t>
            </w:r>
          </w:p>
        </w:tc>
        <w:tc>
          <w:tcPr>
            <w:tcW w:w="1026" w:type="dxa"/>
            <w:shd w:val="clear" w:color="auto" w:fill="D3DFEE"/>
            <w:vAlign w:val="center"/>
          </w:tcPr>
          <w:p w:rsidR="008D0421" w:rsidRPr="00113563" w:rsidRDefault="008D0421" w:rsidP="00F05062">
            <w:pPr>
              <w:spacing w:before="0" w:after="0"/>
              <w:jc w:val="right"/>
              <w:rPr>
                <w:sz w:val="20"/>
                <w:szCs w:val="20"/>
                <w:lang w:eastAsia="en-AU"/>
              </w:rPr>
            </w:pPr>
            <w:r>
              <w:rPr>
                <w:sz w:val="20"/>
                <w:szCs w:val="20"/>
                <w:lang w:eastAsia="en-AU"/>
              </w:rPr>
              <w:t>22.4</w:t>
            </w:r>
          </w:p>
        </w:tc>
      </w:tr>
      <w:tr w:rsidR="008D0421" w:rsidTr="008D0421">
        <w:tc>
          <w:tcPr>
            <w:tcW w:w="1025" w:type="dxa"/>
            <w:vAlign w:val="center"/>
          </w:tcPr>
          <w:p w:rsidR="008D0421" w:rsidRPr="00113563" w:rsidRDefault="008D0421" w:rsidP="00F05062">
            <w:pPr>
              <w:spacing w:before="0" w:after="0"/>
              <w:jc w:val="left"/>
              <w:rPr>
                <w:b/>
                <w:bCs/>
                <w:sz w:val="20"/>
                <w:szCs w:val="20"/>
                <w:lang w:eastAsia="en-AU"/>
              </w:rPr>
            </w:pPr>
            <w:r w:rsidRPr="00113563">
              <w:rPr>
                <w:b/>
                <w:bCs/>
                <w:sz w:val="20"/>
                <w:szCs w:val="20"/>
                <w:lang w:eastAsia="en-AU"/>
              </w:rPr>
              <w:t>Total</w:t>
            </w:r>
          </w:p>
        </w:tc>
        <w:tc>
          <w:tcPr>
            <w:tcW w:w="1025" w:type="dxa"/>
            <w:vAlign w:val="center"/>
          </w:tcPr>
          <w:p w:rsidR="008D0421" w:rsidRPr="00113563" w:rsidRDefault="008D0421" w:rsidP="00F05062">
            <w:pPr>
              <w:spacing w:before="0" w:after="0"/>
              <w:jc w:val="right"/>
              <w:rPr>
                <w:b/>
                <w:bCs/>
                <w:sz w:val="20"/>
                <w:szCs w:val="20"/>
                <w:lang w:eastAsia="en-AU"/>
              </w:rPr>
            </w:pPr>
            <w:r w:rsidRPr="00113563">
              <w:rPr>
                <w:b/>
                <w:bCs/>
                <w:sz w:val="20"/>
                <w:szCs w:val="20"/>
                <w:lang w:eastAsia="en-AU"/>
              </w:rPr>
              <w:t>32</w:t>
            </w:r>
          </w:p>
        </w:tc>
        <w:tc>
          <w:tcPr>
            <w:tcW w:w="1026" w:type="dxa"/>
            <w:vAlign w:val="center"/>
          </w:tcPr>
          <w:p w:rsidR="008D0421" w:rsidRPr="00113563" w:rsidRDefault="008D0421" w:rsidP="00F05062">
            <w:pPr>
              <w:spacing w:before="0" w:after="0"/>
              <w:jc w:val="right"/>
              <w:rPr>
                <w:b/>
                <w:bCs/>
                <w:sz w:val="20"/>
                <w:szCs w:val="20"/>
                <w:lang w:eastAsia="en-AU"/>
              </w:rPr>
            </w:pPr>
            <w:r>
              <w:rPr>
                <w:b/>
                <w:bCs/>
                <w:sz w:val="20"/>
                <w:szCs w:val="20"/>
                <w:lang w:eastAsia="en-AU"/>
              </w:rPr>
              <w:t>61.1</w:t>
            </w:r>
          </w:p>
        </w:tc>
        <w:tc>
          <w:tcPr>
            <w:tcW w:w="1026" w:type="dxa"/>
            <w:vAlign w:val="center"/>
          </w:tcPr>
          <w:p w:rsidR="008D0421" w:rsidRPr="00113563" w:rsidRDefault="008D0421" w:rsidP="00F05062">
            <w:pPr>
              <w:spacing w:before="0" w:after="0"/>
              <w:jc w:val="right"/>
              <w:rPr>
                <w:b/>
                <w:bCs/>
                <w:sz w:val="20"/>
                <w:szCs w:val="20"/>
                <w:lang w:eastAsia="en-AU"/>
              </w:rPr>
            </w:pPr>
            <w:r>
              <w:rPr>
                <w:b/>
                <w:bCs/>
                <w:sz w:val="20"/>
                <w:szCs w:val="20"/>
                <w:lang w:eastAsia="en-AU"/>
              </w:rPr>
              <w:t>38.9</w:t>
            </w:r>
          </w:p>
        </w:tc>
      </w:tr>
    </w:tbl>
    <w:p w:rsidR="00C60CF0" w:rsidRDefault="00C60CF0" w:rsidP="00C60CF0">
      <w:pPr>
        <w:pStyle w:val="Heading5"/>
      </w:pPr>
      <w:r>
        <w:t>Source: NHWDS, Medical Practitioner 2016</w:t>
      </w:r>
    </w:p>
    <w:p w:rsidR="00C86C51" w:rsidRDefault="00C86C51" w:rsidP="00C60CF0">
      <w:pPr>
        <w:pStyle w:val="Heading3"/>
        <w:sectPr w:rsidR="00C86C51" w:rsidSect="00561EB0">
          <w:type w:val="continuous"/>
          <w:pgSz w:w="11906" w:h="16838"/>
          <w:pgMar w:top="1247" w:right="1985" w:bottom="1247" w:left="1440" w:header="709" w:footer="709" w:gutter="0"/>
          <w:cols w:num="2" w:space="708"/>
          <w:titlePg/>
          <w:docGrid w:linePitch="360"/>
        </w:sectPr>
      </w:pPr>
    </w:p>
    <w:p w:rsidR="00C86C51" w:rsidRDefault="00C86C51">
      <w:pPr>
        <w:spacing w:before="0" w:after="0"/>
        <w:jc w:val="left"/>
        <w:rPr>
          <w:rFonts w:cs="Arial"/>
          <w:b/>
          <w:bCs/>
          <w:color w:val="4F81BD" w:themeColor="accent1"/>
          <w:sz w:val="26"/>
          <w:szCs w:val="26"/>
        </w:rPr>
      </w:pPr>
      <w:r>
        <w:lastRenderedPageBreak/>
        <w:br w:type="page"/>
      </w:r>
    </w:p>
    <w:p w:rsidR="00C60CF0" w:rsidRDefault="00C60CF0" w:rsidP="00C60CF0">
      <w:pPr>
        <w:pStyle w:val="Heading3"/>
        <w:rPr>
          <w:sz w:val="24"/>
          <w:szCs w:val="22"/>
        </w:rPr>
      </w:pPr>
      <w:r>
        <w:lastRenderedPageBreak/>
        <w:t xml:space="preserve">Subspecialists: </w:t>
      </w:r>
      <w:proofErr w:type="spellStart"/>
      <w:r>
        <w:rPr>
          <w:sz w:val="24"/>
          <w:szCs w:val="22"/>
        </w:rPr>
        <w:t>U</w:t>
      </w:r>
      <w:r w:rsidRPr="00F86BD3">
        <w:rPr>
          <w:sz w:val="24"/>
          <w:szCs w:val="22"/>
        </w:rPr>
        <w:t>rogynaecology</w:t>
      </w:r>
      <w:proofErr w:type="spellEnd"/>
      <w:r>
        <w:rPr>
          <w:sz w:val="24"/>
          <w:szCs w:val="22"/>
        </w:rPr>
        <w:t xml:space="preserve"> (UG)</w:t>
      </w:r>
    </w:p>
    <w:p w:rsidR="00C86C51" w:rsidRDefault="00C86C51" w:rsidP="00C60CF0">
      <w:pPr>
        <w:sectPr w:rsidR="00C86C51" w:rsidSect="00561EB0">
          <w:type w:val="continuous"/>
          <w:pgSz w:w="11906" w:h="16838"/>
          <w:pgMar w:top="1247" w:right="1985" w:bottom="1247" w:left="1440" w:header="709" w:footer="709" w:gutter="0"/>
          <w:cols w:space="708"/>
          <w:titlePg/>
          <w:docGrid w:linePitch="360"/>
        </w:sectPr>
      </w:pPr>
    </w:p>
    <w:p w:rsidR="00C60CF0" w:rsidRPr="009A7406" w:rsidRDefault="00C60CF0" w:rsidP="00C60CF0">
      <w:pPr>
        <w:rPr>
          <w:sz w:val="20"/>
        </w:rPr>
      </w:pPr>
      <w:r w:rsidRPr="009A7406">
        <w:rPr>
          <w:sz w:val="20"/>
        </w:rPr>
        <w:lastRenderedPageBreak/>
        <w:t xml:space="preserve">A certified </w:t>
      </w:r>
      <w:proofErr w:type="spellStart"/>
      <w:r w:rsidRPr="009A7406">
        <w:rPr>
          <w:sz w:val="20"/>
        </w:rPr>
        <w:t>Urogynaecology</w:t>
      </w:r>
      <w:proofErr w:type="spellEnd"/>
      <w:r w:rsidRPr="009A7406">
        <w:rPr>
          <w:sz w:val="20"/>
        </w:rPr>
        <w:t xml:space="preserve"> (UG) subspecialist has successfully completed an additional prescribed program of training in the comprehensive management of patients with </w:t>
      </w:r>
      <w:proofErr w:type="spellStart"/>
      <w:r w:rsidRPr="009A7406">
        <w:rPr>
          <w:sz w:val="20"/>
        </w:rPr>
        <w:t>urogynaecological</w:t>
      </w:r>
      <w:proofErr w:type="spellEnd"/>
      <w:r w:rsidRPr="009A7406">
        <w:rPr>
          <w:sz w:val="20"/>
        </w:rPr>
        <w:t xml:space="preserve"> disorders.</w:t>
      </w:r>
    </w:p>
    <w:p w:rsidR="00C60CF0" w:rsidRPr="009A7406" w:rsidRDefault="00C60CF0" w:rsidP="00C60CF0">
      <w:pPr>
        <w:rPr>
          <w:sz w:val="20"/>
        </w:rPr>
      </w:pPr>
      <w:r w:rsidRPr="009A7406">
        <w:rPr>
          <w:sz w:val="20"/>
        </w:rPr>
        <w:t xml:space="preserve">An </w:t>
      </w:r>
      <w:proofErr w:type="spellStart"/>
      <w:r w:rsidRPr="009A7406">
        <w:rPr>
          <w:sz w:val="20"/>
        </w:rPr>
        <w:t>urogynaecologist</w:t>
      </w:r>
      <w:proofErr w:type="spellEnd"/>
      <w:r w:rsidRPr="009A7406">
        <w:rPr>
          <w:sz w:val="20"/>
        </w:rPr>
        <w:t xml:space="preserve"> specialist must spend at least 66 per cent of their clinical time working in the area of their specialty, the remainder being split between either obstetrics or gynaecology.</w:t>
      </w:r>
    </w:p>
    <w:p w:rsidR="00C60CF0" w:rsidRPr="009A7406" w:rsidRDefault="00C60CF0" w:rsidP="00C60CF0">
      <w:pPr>
        <w:rPr>
          <w:sz w:val="20"/>
        </w:rPr>
      </w:pPr>
      <w:r w:rsidRPr="009A7406">
        <w:rPr>
          <w:sz w:val="20"/>
        </w:rPr>
        <w:t>According to the 2016 NHWDS, there were 29 UG specialists who indicated they were employed and working as clinicians with the following characteristics:</w:t>
      </w:r>
    </w:p>
    <w:p w:rsidR="00C60CF0" w:rsidRDefault="00C60CF0" w:rsidP="00C60CF0">
      <w:pPr>
        <w:pStyle w:val="Caption"/>
      </w:pPr>
      <w:bookmarkStart w:id="228" w:name="_Toc515888864"/>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60</w:t>
      </w:r>
      <w:r w:rsidR="00556A17">
        <w:rPr>
          <w:noProof/>
        </w:rPr>
        <w:fldChar w:fldCharType="end"/>
      </w:r>
      <w:r>
        <w:t xml:space="preserve">: </w:t>
      </w:r>
      <w:r w:rsidRPr="00F23728">
        <w:t xml:space="preserve">Demographics of the </w:t>
      </w:r>
      <w:r>
        <w:t>UG subspecialty</w:t>
      </w:r>
      <w:r w:rsidRPr="00F23728">
        <w:t xml:space="preserve"> workforce</w:t>
      </w:r>
      <w:bookmarkEnd w:id="228"/>
    </w:p>
    <w:p w:rsidR="00711483" w:rsidRPr="00113563" w:rsidRDefault="00711483" w:rsidP="001A70A7">
      <w:pPr>
        <w:spacing w:before="0" w:after="0"/>
      </w:pPr>
      <w:r>
        <w:rPr>
          <w:noProof/>
          <w:lang w:eastAsia="en-AU"/>
        </w:rPr>
        <w:drawing>
          <wp:inline distT="0" distB="0" distL="0" distR="0" wp14:anchorId="09AC168F" wp14:editId="29EA1A08">
            <wp:extent cx="2493645" cy="1884045"/>
            <wp:effectExtent l="0" t="0" r="1905" b="0"/>
            <wp:docPr id="31" name="Picture 31" descr="The average age of a urogynaecology subspecialist was 54 years.&#10;There were 40% of urogynaecology subspecialists who were female.&#10;Urogynaecology subspecialists averaged 51.4 hours, with females working 48.8 hours.&#10;Urogynaecology subspecialists aged 55 years and over represent 45% of the workforce, and tend to work 62.5 hours.&#10;There were 52% of urogynaecology subspecialists located in NSW and VIC.&#10;There were 90% of urogynaecology subspecialists located in Modified Monash Model Area 1.&#10;There were 28% of urogynaecology subspecialists working in the public sector." title="Figure 60: Demographics of the urogynaecology subspecialt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3645" cy="1884045"/>
                    </a:xfrm>
                    <a:prstGeom prst="rect">
                      <a:avLst/>
                    </a:prstGeom>
                    <a:noFill/>
                  </pic:spPr>
                </pic:pic>
              </a:graphicData>
            </a:graphic>
          </wp:inline>
        </w:drawing>
      </w:r>
    </w:p>
    <w:p w:rsidR="00C60CF0" w:rsidRPr="00012887" w:rsidRDefault="00C60CF0" w:rsidP="00012887">
      <w:pPr>
        <w:rPr>
          <w:i/>
          <w:color w:val="4F81BD"/>
          <w:sz w:val="16"/>
          <w:szCs w:val="16"/>
        </w:rPr>
      </w:pPr>
      <w:r w:rsidRPr="00012887">
        <w:rPr>
          <w:rFonts w:eastAsia="Calibri"/>
          <w:i/>
          <w:color w:val="4F81BD"/>
          <w:sz w:val="16"/>
          <w:szCs w:val="16"/>
        </w:rPr>
        <w:t>Source: NHWDS, Medical Practitioner 2016</w:t>
      </w:r>
    </w:p>
    <w:p w:rsidR="00C60CF0" w:rsidRPr="00A02039" w:rsidRDefault="00C60CF0" w:rsidP="001A3939">
      <w:pPr>
        <w:pStyle w:val="Heading4"/>
        <w:spacing w:before="120" w:after="0"/>
      </w:pPr>
      <w:r w:rsidRPr="00A02039">
        <w:t>Distribution</w:t>
      </w:r>
    </w:p>
    <w:p w:rsidR="00C60CF0" w:rsidRDefault="00C60CF0" w:rsidP="003747ED">
      <w:pPr>
        <w:spacing w:before="0"/>
        <w:rPr>
          <w:sz w:val="20"/>
        </w:rPr>
      </w:pPr>
      <w:r w:rsidRPr="009A7406">
        <w:rPr>
          <w:sz w:val="20"/>
        </w:rPr>
        <w:fldChar w:fldCharType="begin"/>
      </w:r>
      <w:r w:rsidRPr="009A7406">
        <w:rPr>
          <w:sz w:val="20"/>
        </w:rPr>
        <w:instrText xml:space="preserve"> REF _Ref455490687 \h </w:instrText>
      </w:r>
      <w:r w:rsidR="009A7406">
        <w:rPr>
          <w:sz w:val="20"/>
        </w:rPr>
        <w:instrText xml:space="preserve"> \* MERGEFORMAT </w:instrText>
      </w:r>
      <w:r w:rsidRPr="009A7406">
        <w:rPr>
          <w:sz w:val="20"/>
        </w:rPr>
      </w:r>
      <w:r w:rsidRPr="009A7406">
        <w:rPr>
          <w:sz w:val="20"/>
        </w:rPr>
        <w:fldChar w:fldCharType="separate"/>
      </w:r>
      <w:r w:rsidR="008C7087" w:rsidRPr="008C7087">
        <w:rPr>
          <w:sz w:val="20"/>
          <w:szCs w:val="22"/>
        </w:rPr>
        <w:t xml:space="preserve">Figure </w:t>
      </w:r>
      <w:r w:rsidR="008C7087" w:rsidRPr="008C7087">
        <w:rPr>
          <w:noProof/>
          <w:sz w:val="20"/>
          <w:szCs w:val="22"/>
        </w:rPr>
        <w:t>61</w:t>
      </w:r>
      <w:r w:rsidRPr="009A7406">
        <w:rPr>
          <w:sz w:val="20"/>
        </w:rPr>
        <w:fldChar w:fldCharType="end"/>
      </w:r>
      <w:r w:rsidRPr="009A7406">
        <w:rPr>
          <w:sz w:val="20"/>
        </w:rPr>
        <w:t xml:space="preserve"> illustrates the Modified Monash categories and density of the UG specialist workforce within these areas. For more information on the M</w:t>
      </w:r>
      <w:r w:rsidR="001A70A7">
        <w:rPr>
          <w:sz w:val="20"/>
        </w:rPr>
        <w:t>M</w:t>
      </w:r>
      <w:r w:rsidRPr="009A7406">
        <w:rPr>
          <w:sz w:val="20"/>
        </w:rPr>
        <w:t xml:space="preserve">M please see </w:t>
      </w:r>
      <w:r w:rsidR="009A7406" w:rsidRPr="009A7406">
        <w:rPr>
          <w:sz w:val="20"/>
        </w:rPr>
        <w:t xml:space="preserve">NHWDS, </w:t>
      </w:r>
      <w:r w:rsidR="004C13B9">
        <w:rPr>
          <w:sz w:val="20"/>
        </w:rPr>
        <w:t>m</w:t>
      </w:r>
      <w:r w:rsidR="009A7406" w:rsidRPr="009A7406">
        <w:rPr>
          <w:sz w:val="20"/>
        </w:rPr>
        <w:t>edical practitioner distribution section</w:t>
      </w:r>
      <w:r w:rsidRPr="009A7406">
        <w:rPr>
          <w:sz w:val="20"/>
        </w:rPr>
        <w:t xml:space="preserve">, page </w:t>
      </w:r>
      <w:r w:rsidRPr="009A7406">
        <w:rPr>
          <w:sz w:val="20"/>
        </w:rPr>
        <w:fldChar w:fldCharType="begin"/>
      </w:r>
      <w:r w:rsidRPr="009A7406">
        <w:rPr>
          <w:sz w:val="20"/>
        </w:rPr>
        <w:instrText xml:space="preserve"> PAGEREF _Ref455568508 \h </w:instrText>
      </w:r>
      <w:r w:rsidRPr="009A7406">
        <w:rPr>
          <w:sz w:val="20"/>
        </w:rPr>
      </w:r>
      <w:r w:rsidRPr="009A7406">
        <w:rPr>
          <w:sz w:val="20"/>
        </w:rPr>
        <w:fldChar w:fldCharType="separate"/>
      </w:r>
      <w:r w:rsidR="00B31A00">
        <w:rPr>
          <w:noProof/>
          <w:sz w:val="20"/>
        </w:rPr>
        <w:t>8</w:t>
      </w:r>
      <w:r w:rsidRPr="009A7406">
        <w:rPr>
          <w:sz w:val="20"/>
        </w:rPr>
        <w:fldChar w:fldCharType="end"/>
      </w:r>
      <w:r w:rsidRPr="009A7406">
        <w:rPr>
          <w:sz w:val="20"/>
        </w:rPr>
        <w:t xml:space="preserve">. As can be seen in the map, the UG specialist workforce is located throughout Australia, except the NT and </w:t>
      </w:r>
      <w:r w:rsidR="009F1BAC">
        <w:rPr>
          <w:sz w:val="20"/>
        </w:rPr>
        <w:t>TAS</w:t>
      </w:r>
      <w:r w:rsidRPr="009A7406">
        <w:rPr>
          <w:sz w:val="20"/>
        </w:rPr>
        <w:t>, and almost exclusively concentrated in Metropolitan areas (90 per cent in MM</w:t>
      </w:r>
      <w:r w:rsidR="00DC1351">
        <w:rPr>
          <w:sz w:val="20"/>
        </w:rPr>
        <w:t>M</w:t>
      </w:r>
      <w:r w:rsidRPr="009A7406">
        <w:rPr>
          <w:sz w:val="20"/>
        </w:rPr>
        <w:t xml:space="preserve">1). </w:t>
      </w:r>
    </w:p>
    <w:p w:rsidR="00C60CF0" w:rsidRPr="002E41FB" w:rsidRDefault="00C60CF0" w:rsidP="00C60CF0">
      <w:pPr>
        <w:pStyle w:val="Caption"/>
        <w:keepNext/>
        <w:rPr>
          <w:szCs w:val="22"/>
        </w:rPr>
      </w:pPr>
      <w:bookmarkStart w:id="229" w:name="_Ref455490687"/>
      <w:bookmarkStart w:id="230" w:name="_Toc515888865"/>
      <w:r w:rsidRPr="002E41FB">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61</w:t>
      </w:r>
      <w:r w:rsidR="008C16B5">
        <w:rPr>
          <w:szCs w:val="22"/>
        </w:rPr>
        <w:fldChar w:fldCharType="end"/>
      </w:r>
      <w:bookmarkEnd w:id="229"/>
      <w:r>
        <w:rPr>
          <w:szCs w:val="22"/>
        </w:rPr>
        <w:t>:</w:t>
      </w:r>
      <w:r w:rsidRPr="002E41FB">
        <w:rPr>
          <w:szCs w:val="22"/>
        </w:rPr>
        <w:t xml:space="preserve"> </w:t>
      </w:r>
      <w:r>
        <w:t>UG subspecialty</w:t>
      </w:r>
      <w:r w:rsidRPr="002E41FB">
        <w:rPr>
          <w:szCs w:val="22"/>
        </w:rPr>
        <w:t xml:space="preserve"> workforce (clin</w:t>
      </w:r>
      <w:r>
        <w:rPr>
          <w:szCs w:val="22"/>
        </w:rPr>
        <w:t>icians) by MM</w:t>
      </w:r>
      <w:r w:rsidR="009A7406">
        <w:rPr>
          <w:szCs w:val="22"/>
        </w:rPr>
        <w:t>M</w:t>
      </w:r>
      <w:bookmarkEnd w:id="230"/>
    </w:p>
    <w:p w:rsidR="00825D70" w:rsidRDefault="00C60CF0" w:rsidP="003747ED">
      <w:pPr>
        <w:pStyle w:val="Heading5"/>
        <w:rPr>
          <w:rFonts w:eastAsia="Calibri"/>
        </w:rPr>
      </w:pPr>
      <w:r>
        <w:rPr>
          <w:noProof/>
          <w:lang w:eastAsia="en-AU"/>
        </w:rPr>
        <w:drawing>
          <wp:inline distT="0" distB="0" distL="0" distR="0" wp14:anchorId="14F57395" wp14:editId="275FEA54">
            <wp:extent cx="2000250" cy="1324581"/>
            <wp:effectExtent l="0" t="0" r="0" b="9525"/>
            <wp:docPr id="731" name="Picture 731" descr="Illustrates the Modified Monash categories and density of the urogynaecology specialist workforce within these areas. The map shows the urogynaecology specialist workforce is located throughout Australia, except the NT and TAS, and almost exclusively concentrated in metropolitan areas (90 per cent in Modified Monash Model 1)." title="Figure 61: Urogynaecology subspecialty workforce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016269" cy="1335189"/>
                    </a:xfrm>
                    <a:prstGeom prst="rect">
                      <a:avLst/>
                    </a:prstGeom>
                  </pic:spPr>
                </pic:pic>
              </a:graphicData>
            </a:graphic>
          </wp:inline>
        </w:drawing>
      </w:r>
    </w:p>
    <w:p w:rsidR="00DF62BE" w:rsidRPr="003747ED" w:rsidRDefault="00C60CF0" w:rsidP="003747ED">
      <w:pPr>
        <w:pStyle w:val="Heading5"/>
        <w:rPr>
          <w:color w:val="auto"/>
          <w:lang w:eastAsia="en-AU"/>
        </w:rPr>
      </w:pPr>
      <w:r w:rsidRPr="002E41FB">
        <w:rPr>
          <w:rFonts w:eastAsia="Calibri"/>
        </w:rPr>
        <w:t xml:space="preserve">Source: NHWDS, Medical Practitioner </w:t>
      </w:r>
      <w:r>
        <w:rPr>
          <w:rFonts w:eastAsia="Calibri"/>
        </w:rPr>
        <w:t>2016</w:t>
      </w:r>
    </w:p>
    <w:p w:rsidR="00C60CF0" w:rsidRPr="001A3939" w:rsidRDefault="00C60CF0" w:rsidP="003747ED">
      <w:pPr>
        <w:pStyle w:val="Heading4"/>
        <w:spacing w:before="120"/>
      </w:pPr>
      <w:r w:rsidRPr="001A3939">
        <w:t>Hours worked</w:t>
      </w:r>
    </w:p>
    <w:p w:rsidR="00C60CF0" w:rsidRPr="009A7406" w:rsidRDefault="00C60CF0" w:rsidP="00C60CF0">
      <w:pPr>
        <w:rPr>
          <w:sz w:val="20"/>
        </w:rPr>
      </w:pPr>
      <w:r w:rsidRPr="009A7406">
        <w:rPr>
          <w:sz w:val="20"/>
        </w:rPr>
        <w:fldChar w:fldCharType="begin"/>
      </w:r>
      <w:r w:rsidRPr="009A7406">
        <w:rPr>
          <w:sz w:val="20"/>
        </w:rPr>
        <w:instrText xml:space="preserve"> REF _Ref455490697 \h </w:instrText>
      </w:r>
      <w:r w:rsidR="009A7406">
        <w:rPr>
          <w:sz w:val="20"/>
        </w:rPr>
        <w:instrText xml:space="preserve"> \* MERGEFORMAT </w:instrText>
      </w:r>
      <w:r w:rsidRPr="009A7406">
        <w:rPr>
          <w:sz w:val="20"/>
        </w:rPr>
      </w:r>
      <w:r w:rsidRPr="009A7406">
        <w:rPr>
          <w:sz w:val="20"/>
        </w:rPr>
        <w:fldChar w:fldCharType="separate"/>
      </w:r>
      <w:r w:rsidR="008C7087" w:rsidRPr="008C7087">
        <w:rPr>
          <w:sz w:val="20"/>
        </w:rPr>
        <w:t xml:space="preserve">Figure </w:t>
      </w:r>
      <w:r w:rsidR="008C7087" w:rsidRPr="008C7087">
        <w:rPr>
          <w:noProof/>
          <w:sz w:val="20"/>
        </w:rPr>
        <w:t>62</w:t>
      </w:r>
      <w:r w:rsidRPr="009A7406">
        <w:rPr>
          <w:sz w:val="20"/>
        </w:rPr>
        <w:fldChar w:fldCharType="end"/>
      </w:r>
      <w:r w:rsidRPr="009A7406">
        <w:rPr>
          <w:sz w:val="20"/>
        </w:rPr>
        <w:t xml:space="preserve"> below shows the difference between the hours worked by the UG specialist workforce, by gender. Males work more hours across the range of hour categories. The difference between the total specialist (D) and specialist clinical (C) hours indicates the clinical support (non-clinical hours) component for the UG workforce. On average 6 hours for males and 9 hours per week for females, is spent performing clinical support in UG.</w:t>
      </w:r>
    </w:p>
    <w:p w:rsidR="00C60CF0" w:rsidRDefault="00C60CF0" w:rsidP="00C60CF0">
      <w:pPr>
        <w:pStyle w:val="Caption"/>
        <w:keepNext/>
      </w:pPr>
      <w:bookmarkStart w:id="231" w:name="_Ref455490697"/>
      <w:bookmarkStart w:id="232" w:name="_Toc515888866"/>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62</w:t>
      </w:r>
      <w:r w:rsidR="00556A17">
        <w:rPr>
          <w:noProof/>
        </w:rPr>
        <w:fldChar w:fldCharType="end"/>
      </w:r>
      <w:bookmarkEnd w:id="231"/>
      <w:r>
        <w:t xml:space="preserve">: </w:t>
      </w:r>
      <w:r w:rsidRPr="00F23728">
        <w:t>Average hours by total, clinical</w:t>
      </w:r>
      <w:r>
        <w:t>,</w:t>
      </w:r>
      <w:r w:rsidRPr="00F23728">
        <w:t xml:space="preserve"> specialist </w:t>
      </w:r>
      <w:r>
        <w:t>clinical and specialist total</w:t>
      </w:r>
      <w:r w:rsidRPr="00F23728">
        <w:t xml:space="preserve"> </w:t>
      </w:r>
      <w:r>
        <w:t xml:space="preserve">hours </w:t>
      </w:r>
      <w:r w:rsidRPr="00F23728">
        <w:t>work</w:t>
      </w:r>
      <w:r w:rsidR="001A70A7">
        <w:t>ed</w:t>
      </w:r>
      <w:bookmarkEnd w:id="232"/>
    </w:p>
    <w:p w:rsidR="00B00404" w:rsidRDefault="00B00404" w:rsidP="00C60CF0">
      <w:pPr>
        <w:spacing w:before="0" w:after="0"/>
        <w:rPr>
          <w:rFonts w:eastAsia="Calibri"/>
          <w:i/>
          <w:sz w:val="16"/>
          <w:szCs w:val="16"/>
        </w:rPr>
      </w:pPr>
      <w:r>
        <w:rPr>
          <w:rFonts w:eastAsia="Calibri"/>
          <w:i/>
          <w:noProof/>
          <w:sz w:val="16"/>
          <w:szCs w:val="16"/>
          <w:lang w:eastAsia="en-AU"/>
        </w:rPr>
        <w:drawing>
          <wp:inline distT="0" distB="0" distL="0" distR="0" wp14:anchorId="25AD7222" wp14:editId="0A003F1F">
            <wp:extent cx="2512060" cy="2158365"/>
            <wp:effectExtent l="0" t="0" r="2540" b="0"/>
            <wp:docPr id="673" name="Picture 673" descr="Shows the difference between the hours worked by the urogynaecology specialist workforce, by gender. Males work more hours across the range of hour categories. The difference between the total specialist (D) and specialist clinical (C) hours indicates the clinical support (non-clinical hours) component for the urogynaecology workforce. On average 6 hours for males and 9 hours per week for females, is spent performing clinical support in urogynaecology." title="Figure 62: Average hours by total, clinical, specialist clinical and specialist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2060" cy="215836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9A7406" w:rsidRDefault="00C60CF0" w:rsidP="00C60CF0">
      <w:pPr>
        <w:rPr>
          <w:sz w:val="20"/>
        </w:rPr>
      </w:pPr>
      <w:r w:rsidRPr="009A7406">
        <w:rPr>
          <w:sz w:val="20"/>
        </w:rPr>
        <w:t xml:space="preserve">The difference between the total specialist hours (D) and clinical specialist hours (C) by gender and age group are shown in </w:t>
      </w:r>
      <w:r w:rsidR="006F7059">
        <w:rPr>
          <w:sz w:val="20"/>
        </w:rPr>
        <w:t xml:space="preserve">Figure </w:t>
      </w:r>
      <w:r w:rsidR="002D709D">
        <w:rPr>
          <w:sz w:val="20"/>
        </w:rPr>
        <w:t>63</w:t>
      </w:r>
      <w:r w:rsidR="006F7059">
        <w:rPr>
          <w:sz w:val="20"/>
        </w:rPr>
        <w:t xml:space="preserve">. </w:t>
      </w:r>
      <w:r w:rsidRPr="009A7406">
        <w:rPr>
          <w:sz w:val="20"/>
        </w:rPr>
        <w:t xml:space="preserve">The x-axis is assumed to be average hours worked (40 hours) and the bars in positive or negative position show the hours worked greater or less than 40 hours by age and gender respectively. The vast majority of the age groups regardless of gender tend to work more than 40 hours between the ages of 35-74 years, with a few exceptions in the females cohorts in the age groups of 35-39 and 45-49 years – on average seven hours less than the average 40 hours. </w:t>
      </w:r>
    </w:p>
    <w:p w:rsidR="00C60CF0" w:rsidRDefault="00C60CF0" w:rsidP="00C60CF0">
      <w:pPr>
        <w:pStyle w:val="Caption"/>
        <w:rPr>
          <w:szCs w:val="22"/>
        </w:rPr>
      </w:pPr>
      <w:bookmarkStart w:id="233" w:name="_Ref455490711"/>
      <w:bookmarkStart w:id="234" w:name="_Toc515888867"/>
      <w:r w:rsidRPr="00CC5C72">
        <w:rPr>
          <w:szCs w:val="22"/>
        </w:rPr>
        <w:lastRenderedPageBreak/>
        <w:t xml:space="preserve">Figure </w:t>
      </w:r>
      <w:r w:rsidR="008C16B5">
        <w:rPr>
          <w:szCs w:val="22"/>
        </w:rPr>
        <w:fldChar w:fldCharType="begin"/>
      </w:r>
      <w:r w:rsidR="008C16B5">
        <w:rPr>
          <w:szCs w:val="22"/>
        </w:rPr>
        <w:instrText xml:space="preserve"> SEQ Figure \* ARABIC </w:instrText>
      </w:r>
      <w:r w:rsidR="008C16B5">
        <w:rPr>
          <w:szCs w:val="22"/>
        </w:rPr>
        <w:fldChar w:fldCharType="separate"/>
      </w:r>
      <w:r w:rsidR="008C7087">
        <w:rPr>
          <w:noProof/>
          <w:szCs w:val="22"/>
        </w:rPr>
        <w:t>63</w:t>
      </w:r>
      <w:r w:rsidR="008C16B5">
        <w:rPr>
          <w:szCs w:val="22"/>
        </w:rPr>
        <w:fldChar w:fldCharType="end"/>
      </w:r>
      <w:bookmarkEnd w:id="233"/>
      <w:r>
        <w:rPr>
          <w:szCs w:val="22"/>
        </w:rPr>
        <w:t>:</w:t>
      </w:r>
      <w:r w:rsidRPr="00CC5C72">
        <w:rPr>
          <w:szCs w:val="22"/>
        </w:rPr>
        <w:t xml:space="preserve"> </w:t>
      </w:r>
      <w:r>
        <w:rPr>
          <w:szCs w:val="22"/>
        </w:rPr>
        <w:t>Difference between t</w:t>
      </w:r>
      <w:r w:rsidRPr="00CC5C72">
        <w:rPr>
          <w:szCs w:val="22"/>
        </w:rPr>
        <w:t xml:space="preserve">otal specialist and clinical specialist hour’s </w:t>
      </w:r>
      <w:r>
        <w:rPr>
          <w:szCs w:val="22"/>
        </w:rPr>
        <w:t xml:space="preserve">from average hours </w:t>
      </w:r>
      <w:r w:rsidRPr="00CC5C72">
        <w:rPr>
          <w:szCs w:val="22"/>
        </w:rPr>
        <w:t xml:space="preserve">by </w:t>
      </w:r>
      <w:r>
        <w:rPr>
          <w:szCs w:val="22"/>
        </w:rPr>
        <w:t>age groups and gender</w:t>
      </w:r>
      <w:bookmarkEnd w:id="234"/>
    </w:p>
    <w:p w:rsidR="005B2C0C" w:rsidRPr="005B2C0C" w:rsidRDefault="005B2C0C" w:rsidP="005B2C0C">
      <w:r>
        <w:rPr>
          <w:noProof/>
          <w:lang w:eastAsia="en-AU"/>
        </w:rPr>
        <w:drawing>
          <wp:inline distT="0" distB="0" distL="0" distR="0" wp14:anchorId="468247A7" wp14:editId="0F039EC6">
            <wp:extent cx="2487295" cy="2109470"/>
            <wp:effectExtent l="0" t="0" r="8255" b="5080"/>
            <wp:docPr id="674" name="Picture 674" descr="This shows the difference between the total specialist hours (D) and clinical specialist hours (C) by gender and age group. The x-axis is assumed to be average hours worked (40 hours) and the bars in positive or negative position show the hours worked greater or less than 40 hours by age and gender respectively. The vast majority of the age groups regardless of gender tend to work more than 40 hours between the ages of 35-74 years, with a few exceptions in the females cohorts in the age groups of 35-39 and 45-49 years – on average seven hours less than the average 40 hours. " title="Figure 63: Difference between total specialist and clinical specialist hour’s from average hours by age group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7295" cy="2109470"/>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w:t>
      </w:r>
      <w:r>
        <w:rPr>
          <w:rFonts w:eastAsia="Calibri"/>
        </w:rPr>
        <w:t>edical Practitioner 2016</w:t>
      </w:r>
    </w:p>
    <w:p w:rsidR="00C60CF0" w:rsidRPr="00BC29CB" w:rsidRDefault="00C60CF0" w:rsidP="00C60CF0">
      <w:pPr>
        <w:rPr>
          <w:sz w:val="20"/>
        </w:rPr>
      </w:pPr>
      <w:r w:rsidRPr="00BC29CB">
        <w:rPr>
          <w:sz w:val="20"/>
        </w:rPr>
        <w:t>The average total specialist hours worked by states and territories is shown below (</w:t>
      </w:r>
      <w:r w:rsidRPr="00BC29CB">
        <w:rPr>
          <w:sz w:val="20"/>
        </w:rPr>
        <w:fldChar w:fldCharType="begin"/>
      </w:r>
      <w:r w:rsidRPr="00BC29CB">
        <w:rPr>
          <w:sz w:val="20"/>
        </w:rPr>
        <w:instrText xml:space="preserve"> REF _Ref455490724 \h </w:instrText>
      </w:r>
      <w:r w:rsidR="00BC29CB">
        <w:rPr>
          <w:sz w:val="20"/>
        </w:rPr>
        <w:instrText xml:space="preserve"> \* MERGEFORMAT </w:instrText>
      </w:r>
      <w:r w:rsidRPr="00BC29CB">
        <w:rPr>
          <w:sz w:val="20"/>
        </w:rPr>
      </w:r>
      <w:r w:rsidRPr="00BC29CB">
        <w:rPr>
          <w:sz w:val="20"/>
        </w:rPr>
        <w:fldChar w:fldCharType="separate"/>
      </w:r>
      <w:r w:rsidR="008C7087" w:rsidRPr="008C7087">
        <w:rPr>
          <w:sz w:val="20"/>
        </w:rPr>
        <w:t xml:space="preserve">Figure </w:t>
      </w:r>
      <w:r w:rsidR="008C7087" w:rsidRPr="008C7087">
        <w:rPr>
          <w:noProof/>
          <w:sz w:val="20"/>
        </w:rPr>
        <w:t>64</w:t>
      </w:r>
      <w:r w:rsidRPr="00BC29CB">
        <w:rPr>
          <w:sz w:val="20"/>
        </w:rPr>
        <w:fldChar w:fldCharType="end"/>
      </w:r>
      <w:r w:rsidRPr="00BC29CB">
        <w:rPr>
          <w:sz w:val="20"/>
        </w:rPr>
        <w:t xml:space="preserve">). UG specialists in WA, NSW and SA work more than the national average (51.4 hours), while those in </w:t>
      </w:r>
      <w:r w:rsidR="009F1BAC">
        <w:rPr>
          <w:sz w:val="20"/>
        </w:rPr>
        <w:t>QLD</w:t>
      </w:r>
      <w:r w:rsidR="009F1BAC" w:rsidRPr="00BC29CB">
        <w:rPr>
          <w:sz w:val="20"/>
        </w:rPr>
        <w:t xml:space="preserve"> </w:t>
      </w:r>
      <w:r w:rsidRPr="00BC29CB">
        <w:rPr>
          <w:sz w:val="20"/>
        </w:rPr>
        <w:t xml:space="preserve">and ACT work less than the national average. There were no UG specialists in </w:t>
      </w:r>
      <w:r w:rsidR="009F1BAC">
        <w:rPr>
          <w:sz w:val="20"/>
        </w:rPr>
        <w:t>TAS</w:t>
      </w:r>
      <w:r w:rsidR="009F1BAC" w:rsidRPr="00BC29CB">
        <w:rPr>
          <w:sz w:val="20"/>
        </w:rPr>
        <w:t xml:space="preserve"> </w:t>
      </w:r>
      <w:r w:rsidRPr="00BC29CB">
        <w:rPr>
          <w:sz w:val="20"/>
        </w:rPr>
        <w:t>or the NT.</w:t>
      </w:r>
    </w:p>
    <w:p w:rsidR="00C60CF0" w:rsidRDefault="00C60CF0" w:rsidP="00C60CF0">
      <w:pPr>
        <w:pStyle w:val="Caption"/>
        <w:keepNext/>
      </w:pPr>
      <w:bookmarkStart w:id="235" w:name="_Ref455490724"/>
      <w:bookmarkStart w:id="236" w:name="_Toc515888868"/>
      <w:r w:rsidRPr="00F23728">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64</w:t>
      </w:r>
      <w:r w:rsidR="00556A17">
        <w:rPr>
          <w:noProof/>
        </w:rPr>
        <w:fldChar w:fldCharType="end"/>
      </w:r>
      <w:bookmarkEnd w:id="235"/>
      <w:r>
        <w:t>:</w:t>
      </w:r>
      <w:r w:rsidRPr="00F23728">
        <w:t xml:space="preserve"> Average</w:t>
      </w:r>
      <w:r>
        <w:t xml:space="preserve"> total </w:t>
      </w:r>
      <w:r w:rsidRPr="00F23728">
        <w:t>specialist hours by states and territories</w:t>
      </w:r>
      <w:bookmarkEnd w:id="236"/>
    </w:p>
    <w:p w:rsidR="005B2C0C" w:rsidRPr="00AD7810" w:rsidRDefault="005B2C0C" w:rsidP="00C60CF0">
      <w:r>
        <w:rPr>
          <w:noProof/>
          <w:lang w:eastAsia="en-AU"/>
        </w:rPr>
        <w:drawing>
          <wp:inline distT="0" distB="0" distL="0" distR="0" wp14:anchorId="18EEC1E3" wp14:editId="1A90DE89">
            <wp:extent cx="2560320" cy="2212975"/>
            <wp:effectExtent l="0" t="0" r="0" b="0"/>
            <wp:docPr id="677" name="Picture 677" descr="This shows the average total specialist hours worked by states and territories. Urogynaecology specialists in WA, NSW and SA work more than the national average (51.4 hours), while those in QLD and ACT work less than the national average. There were no urogynaecology specialists in TAS or the NT." title="Figure 64: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0320" cy="2212975"/>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Source: NHWDS, Medical Pract</w:t>
      </w:r>
      <w:r>
        <w:rPr>
          <w:rFonts w:eastAsia="Calibri"/>
        </w:rPr>
        <w:t>itioner 2016</w:t>
      </w:r>
    </w:p>
    <w:p w:rsidR="00C60CF0" w:rsidRPr="00BC29CB" w:rsidRDefault="00C60CF0" w:rsidP="00C60CF0">
      <w:pPr>
        <w:rPr>
          <w:sz w:val="20"/>
        </w:rPr>
      </w:pPr>
      <w:r w:rsidRPr="00BC29CB">
        <w:rPr>
          <w:sz w:val="20"/>
        </w:rPr>
        <w:fldChar w:fldCharType="begin"/>
      </w:r>
      <w:r w:rsidRPr="00BC29CB">
        <w:rPr>
          <w:sz w:val="20"/>
        </w:rPr>
        <w:instrText xml:space="preserve"> REF _Ref455490735 \h  \* MERGEFORMAT </w:instrText>
      </w:r>
      <w:r w:rsidRPr="00BC29CB">
        <w:rPr>
          <w:sz w:val="20"/>
        </w:rPr>
      </w:r>
      <w:r w:rsidRPr="00BC29CB">
        <w:rPr>
          <w:sz w:val="20"/>
        </w:rPr>
        <w:fldChar w:fldCharType="separate"/>
      </w:r>
      <w:r w:rsidR="008C7087" w:rsidRPr="008C7087">
        <w:rPr>
          <w:sz w:val="20"/>
        </w:rPr>
        <w:t xml:space="preserve">Figure </w:t>
      </w:r>
      <w:r w:rsidR="008C7087" w:rsidRPr="008C7087">
        <w:rPr>
          <w:noProof/>
          <w:sz w:val="20"/>
        </w:rPr>
        <w:t>65</w:t>
      </w:r>
      <w:r w:rsidRPr="00BC29CB">
        <w:rPr>
          <w:sz w:val="20"/>
        </w:rPr>
        <w:fldChar w:fldCharType="end"/>
      </w:r>
      <w:r w:rsidRPr="00BC29CB">
        <w:rPr>
          <w:sz w:val="20"/>
        </w:rPr>
        <w:t xml:space="preserve"> shows that there are UG specialists in M</w:t>
      </w:r>
      <w:r w:rsidR="00E42D79">
        <w:rPr>
          <w:sz w:val="20"/>
        </w:rPr>
        <w:t>M</w:t>
      </w:r>
      <w:r w:rsidRPr="00BC29CB">
        <w:rPr>
          <w:sz w:val="20"/>
        </w:rPr>
        <w:t>M1 and M</w:t>
      </w:r>
      <w:r w:rsidR="00E42D79">
        <w:rPr>
          <w:sz w:val="20"/>
        </w:rPr>
        <w:t>M</w:t>
      </w:r>
      <w:r w:rsidRPr="00BC29CB">
        <w:rPr>
          <w:sz w:val="20"/>
        </w:rPr>
        <w:t>M2 only, where those in M</w:t>
      </w:r>
      <w:r w:rsidR="00E42D79">
        <w:rPr>
          <w:sz w:val="20"/>
        </w:rPr>
        <w:t>M</w:t>
      </w:r>
      <w:r w:rsidRPr="00BC29CB">
        <w:rPr>
          <w:sz w:val="20"/>
        </w:rPr>
        <w:t xml:space="preserve">M1 work more hours than the national average of 51.4 hours per week.  </w:t>
      </w:r>
    </w:p>
    <w:p w:rsidR="00C60CF0" w:rsidRDefault="00C60CF0" w:rsidP="00C60CF0">
      <w:pPr>
        <w:pStyle w:val="Caption"/>
        <w:keepNext/>
      </w:pPr>
      <w:bookmarkStart w:id="237" w:name="_Ref455490735"/>
      <w:bookmarkStart w:id="238" w:name="_Toc515888869"/>
      <w:r w:rsidRPr="00F23728">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65</w:t>
      </w:r>
      <w:r w:rsidR="00556A17">
        <w:rPr>
          <w:noProof/>
        </w:rPr>
        <w:fldChar w:fldCharType="end"/>
      </w:r>
      <w:bookmarkEnd w:id="237"/>
      <w:r>
        <w:t xml:space="preserve">: </w:t>
      </w:r>
      <w:r w:rsidRPr="00F23728">
        <w:t>Average</w:t>
      </w:r>
      <w:r>
        <w:t xml:space="preserve"> total </w:t>
      </w:r>
      <w:r w:rsidRPr="00F23728">
        <w:t>specialist hours by</w:t>
      </w:r>
      <w:r>
        <w:t xml:space="preserve"> MMM</w:t>
      </w:r>
      <w:bookmarkEnd w:id="238"/>
    </w:p>
    <w:p w:rsidR="005B2C0C" w:rsidRDefault="005B2C0C" w:rsidP="00C60CF0">
      <w:pPr>
        <w:spacing w:after="0"/>
      </w:pPr>
      <w:r>
        <w:rPr>
          <w:noProof/>
          <w:lang w:eastAsia="en-AU"/>
        </w:rPr>
        <w:drawing>
          <wp:inline distT="0" distB="0" distL="0" distR="0" wp14:anchorId="42B5E2AB" wp14:editId="56C59D1A">
            <wp:extent cx="2487295" cy="2133600"/>
            <wp:effectExtent l="0" t="0" r="8255" b="0"/>
            <wp:docPr id="698" name="Picture 698" descr="This figure shows that there are urogynaecology specialists in Modified Monash Model 1 and Modified Monash Model 2 only, where those in Modified Monash Model 1 work more hours than the national average of 51.4 hours per week." title="Figure 65: Average total specialist hour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7295" cy="2133600"/>
                    </a:xfrm>
                    <a:prstGeom prst="rect">
                      <a:avLst/>
                    </a:prstGeom>
                    <a:noFill/>
                  </pic:spPr>
                </pic:pic>
              </a:graphicData>
            </a:graphic>
          </wp:inline>
        </w:drawing>
      </w:r>
    </w:p>
    <w:p w:rsidR="00C60CF0" w:rsidRDefault="00C60CF0" w:rsidP="00C60CF0">
      <w:pPr>
        <w:pStyle w:val="Heading5"/>
        <w:rPr>
          <w:rFonts w:eastAsia="Calibri"/>
        </w:rPr>
      </w:pPr>
      <w:r w:rsidRPr="00825DE5">
        <w:rPr>
          <w:rFonts w:eastAsia="Calibri"/>
        </w:rPr>
        <w:t xml:space="preserve">Source: </w:t>
      </w:r>
      <w:r>
        <w:rPr>
          <w:rFonts w:eastAsia="Calibri"/>
        </w:rPr>
        <w:t>NHWDS, Medical Practitioner 2016</w:t>
      </w:r>
    </w:p>
    <w:p w:rsidR="00C60CF0" w:rsidRPr="00BC29CB" w:rsidRDefault="006F7059" w:rsidP="00C60CF0">
      <w:pPr>
        <w:rPr>
          <w:sz w:val="20"/>
        </w:rPr>
      </w:pPr>
      <w:r>
        <w:rPr>
          <w:sz w:val="20"/>
        </w:rPr>
        <w:t>Table 2</w:t>
      </w:r>
      <w:r w:rsidR="00532393">
        <w:rPr>
          <w:sz w:val="20"/>
        </w:rPr>
        <w:t>1</w:t>
      </w:r>
      <w:r>
        <w:rPr>
          <w:sz w:val="20"/>
        </w:rPr>
        <w:t xml:space="preserve"> </w:t>
      </w:r>
      <w:r w:rsidR="00C60CF0" w:rsidRPr="00BC29CB">
        <w:rPr>
          <w:sz w:val="20"/>
        </w:rPr>
        <w:t xml:space="preserve">indicates UG specialist clinical workload between sectors and jurisdictions. The data shows nationwide the majority of UG specialists FTE is spent in the private sector (~73 per cent) with 32 per cent in the public sector. </w:t>
      </w:r>
    </w:p>
    <w:p w:rsidR="00C60CF0" w:rsidRPr="00BC29CB" w:rsidRDefault="00C60CF0" w:rsidP="00C60CF0">
      <w:pPr>
        <w:rPr>
          <w:b/>
          <w:bCs/>
          <w:sz w:val="20"/>
          <w:szCs w:val="20"/>
        </w:rPr>
      </w:pPr>
      <w:r w:rsidRPr="00BC29CB">
        <w:rPr>
          <w:sz w:val="20"/>
        </w:rPr>
        <w:t xml:space="preserve">SA only had one UG specialists that was in the private sector, while </w:t>
      </w:r>
      <w:r w:rsidR="009F1BAC">
        <w:rPr>
          <w:sz w:val="20"/>
        </w:rPr>
        <w:t>VIC</w:t>
      </w:r>
      <w:r w:rsidR="009F1BAC" w:rsidRPr="00BC29CB">
        <w:rPr>
          <w:sz w:val="20"/>
        </w:rPr>
        <w:t xml:space="preserve"> </w:t>
      </w:r>
      <w:r w:rsidRPr="00BC29CB">
        <w:rPr>
          <w:sz w:val="20"/>
        </w:rPr>
        <w:t xml:space="preserve">had the lowest (53 per cent) proportion of UG specialists in the private sector. The majority of UG specialists are located in NSW, </w:t>
      </w:r>
      <w:r w:rsidR="009F1BAC">
        <w:rPr>
          <w:sz w:val="20"/>
        </w:rPr>
        <w:t>QLD</w:t>
      </w:r>
      <w:r w:rsidR="009F1BAC" w:rsidRPr="00BC29CB">
        <w:rPr>
          <w:sz w:val="20"/>
        </w:rPr>
        <w:t xml:space="preserve"> </w:t>
      </w:r>
      <w:r w:rsidRPr="00BC29CB">
        <w:rPr>
          <w:sz w:val="20"/>
        </w:rPr>
        <w:t xml:space="preserve">and </w:t>
      </w:r>
      <w:r w:rsidR="009F1BAC">
        <w:rPr>
          <w:sz w:val="20"/>
        </w:rPr>
        <w:t>VIC</w:t>
      </w:r>
      <w:r w:rsidR="009F1BAC" w:rsidRPr="00BC29CB">
        <w:rPr>
          <w:sz w:val="20"/>
        </w:rPr>
        <w:t xml:space="preserve"> </w:t>
      </w:r>
      <w:r w:rsidRPr="00BC29CB">
        <w:rPr>
          <w:sz w:val="20"/>
        </w:rPr>
        <w:t>accounting for 79 per cent of the workforce.</w:t>
      </w:r>
      <w:bookmarkStart w:id="239" w:name="_Ref455490748"/>
    </w:p>
    <w:p w:rsidR="008D0421" w:rsidRDefault="00C60CF0" w:rsidP="008D0421">
      <w:pPr>
        <w:pStyle w:val="Caption"/>
        <w:keepNext/>
      </w:pPr>
      <w:bookmarkStart w:id="240" w:name="_Toc515887842"/>
      <w:r w:rsidRPr="00F23728">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21</w:t>
      </w:r>
      <w:r w:rsidR="00556A17">
        <w:rPr>
          <w:noProof/>
        </w:rPr>
        <w:fldChar w:fldCharType="end"/>
      </w:r>
      <w:bookmarkEnd w:id="239"/>
      <w:r>
        <w:rPr>
          <w:noProof/>
        </w:rPr>
        <w:t>:</w:t>
      </w:r>
      <w:r w:rsidRPr="00F23728">
        <w:t xml:space="preserve"> </w:t>
      </w:r>
      <w:r>
        <w:t>UG subspecialty</w:t>
      </w:r>
      <w:r w:rsidRPr="00F23728">
        <w:t xml:space="preserve"> clinicians (headcount and sector: </w:t>
      </w:r>
      <w:r>
        <w:t xml:space="preserve">proportion of specialist clinical FTE in </w:t>
      </w:r>
      <w:r w:rsidRPr="00F23728">
        <w:t>public and private) by state and territory</w:t>
      </w:r>
      <w:bookmarkEnd w:id="240"/>
    </w:p>
    <w:tbl>
      <w:tblPr>
        <w:tblStyle w:val="TableGrid"/>
        <w:tblW w:w="0" w:type="auto"/>
        <w:tblBorders>
          <w:insideH w:val="none" w:sz="0" w:space="0" w:color="auto"/>
          <w:insideV w:val="none" w:sz="0" w:space="0" w:color="auto"/>
        </w:tblBorders>
        <w:tblLook w:val="04A0" w:firstRow="1" w:lastRow="0" w:firstColumn="1" w:lastColumn="0" w:noHBand="0" w:noVBand="1"/>
        <w:tblCaption w:val="Table 21: UG subspecialty clinicians (headcount and sector: proportion of specialist clinical full time equivalent in public and private) by state and territory"/>
        <w:tblDescription w:val="This table indicates urogynaecology specialist clinical workload between sectors and jurisdictions. The data shows nationwide the majority of urogynaecology specialists full time equivalent is spent in the private sector (~73 per cent) with 32 per cent in the public sector. &#10;SA only had one urogynecology specialists that was in the private sector, while VIC had the lowest (53 per cent) proportion of urogynaecology specialists in the private sector. The majority of urogynaecology specialists are located in NSW, QLD and VIC accounting for 79 per cent of the workforce."/>
      </w:tblPr>
      <w:tblGrid>
        <w:gridCol w:w="933"/>
        <w:gridCol w:w="869"/>
        <w:gridCol w:w="1150"/>
        <w:gridCol w:w="1150"/>
      </w:tblGrid>
      <w:tr w:rsidR="008D0421" w:rsidTr="00E5607F">
        <w:trPr>
          <w:trHeight w:val="1443"/>
          <w:tblHeader/>
        </w:trPr>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C2365E">
              <w:rPr>
                <w:b/>
                <w:color w:val="FFFFFF"/>
                <w:sz w:val="20"/>
                <w:szCs w:val="20"/>
                <w:lang w:eastAsia="en-AU"/>
              </w:rPr>
              <w:t>State and Territories</w:t>
            </w:r>
          </w:p>
        </w:tc>
        <w:tc>
          <w:tcPr>
            <w:tcW w:w="1025" w:type="dxa"/>
            <w:shd w:val="clear" w:color="auto" w:fill="1F497D"/>
            <w:textDirection w:val="btLr"/>
            <w:vAlign w:val="center"/>
          </w:tcPr>
          <w:p w:rsidR="008D0421" w:rsidRPr="00171591" w:rsidRDefault="008D0421" w:rsidP="00F05062">
            <w:pPr>
              <w:spacing w:before="0" w:after="0"/>
              <w:ind w:left="113" w:right="113"/>
              <w:jc w:val="center"/>
              <w:rPr>
                <w:b/>
                <w:bCs/>
                <w:color w:val="FFFFFF"/>
                <w:sz w:val="20"/>
                <w:szCs w:val="20"/>
                <w:lang w:eastAsia="en-AU"/>
              </w:rPr>
            </w:pPr>
            <w:r w:rsidRPr="00171591">
              <w:rPr>
                <w:b/>
                <w:bCs/>
                <w:color w:val="FFFFFF"/>
                <w:sz w:val="20"/>
                <w:szCs w:val="20"/>
                <w:lang w:eastAsia="en-AU"/>
              </w:rPr>
              <w:t>Headcount</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Public</w:t>
            </w:r>
          </w:p>
        </w:tc>
        <w:tc>
          <w:tcPr>
            <w:tcW w:w="1026" w:type="dxa"/>
            <w:shd w:val="clear" w:color="auto" w:fill="1F497D"/>
            <w:vAlign w:val="center"/>
          </w:tcPr>
          <w:p w:rsidR="008D0421" w:rsidRDefault="008D0421" w:rsidP="00F05062">
            <w:pPr>
              <w:spacing w:before="0" w:after="0"/>
              <w:jc w:val="center"/>
              <w:rPr>
                <w:b/>
                <w:bCs/>
                <w:color w:val="FFFFFF"/>
                <w:sz w:val="20"/>
                <w:szCs w:val="20"/>
                <w:lang w:eastAsia="en-AU"/>
              </w:rPr>
            </w:pPr>
            <w:r w:rsidRPr="00171591">
              <w:rPr>
                <w:b/>
                <w:bCs/>
                <w:color w:val="FFFFFF"/>
                <w:sz w:val="20"/>
                <w:szCs w:val="20"/>
                <w:lang w:eastAsia="en-AU"/>
              </w:rPr>
              <w:t>Specialist clinical FTE</w:t>
            </w:r>
          </w:p>
          <w:p w:rsidR="008D0421" w:rsidRPr="00171591" w:rsidRDefault="008D0421" w:rsidP="00F05062">
            <w:pPr>
              <w:spacing w:before="0" w:after="0"/>
              <w:jc w:val="center"/>
              <w:rPr>
                <w:b/>
                <w:bCs/>
                <w:color w:val="FFFFFF"/>
                <w:sz w:val="20"/>
                <w:szCs w:val="20"/>
                <w:lang w:eastAsia="en-AU"/>
              </w:rPr>
            </w:pPr>
            <w:r w:rsidRPr="00171591">
              <w:rPr>
                <w:b/>
                <w:bCs/>
                <w:color w:val="FFFFFF"/>
                <w:sz w:val="20"/>
                <w:szCs w:val="20"/>
                <w:lang w:eastAsia="en-AU"/>
              </w:rPr>
              <w:t>% Private</w:t>
            </w:r>
          </w:p>
        </w:tc>
      </w:tr>
      <w:tr w:rsidR="008D0421" w:rsidTr="008D0421">
        <w:tc>
          <w:tcPr>
            <w:tcW w:w="1025" w:type="dxa"/>
            <w:vAlign w:val="center"/>
          </w:tcPr>
          <w:p w:rsidR="008D0421" w:rsidRPr="00171591" w:rsidRDefault="008D0421" w:rsidP="00F05062">
            <w:pPr>
              <w:spacing w:before="0" w:after="0"/>
              <w:jc w:val="left"/>
              <w:rPr>
                <w:sz w:val="20"/>
                <w:szCs w:val="20"/>
                <w:lang w:eastAsia="en-AU"/>
              </w:rPr>
            </w:pPr>
            <w:r w:rsidRPr="00171591">
              <w:rPr>
                <w:sz w:val="20"/>
                <w:szCs w:val="20"/>
                <w:lang w:eastAsia="en-AU"/>
              </w:rPr>
              <w:t>NSW</w:t>
            </w:r>
          </w:p>
        </w:tc>
        <w:tc>
          <w:tcPr>
            <w:tcW w:w="1025" w:type="dxa"/>
            <w:vAlign w:val="center"/>
          </w:tcPr>
          <w:p w:rsidR="008D0421" w:rsidRPr="00171591" w:rsidRDefault="008D0421" w:rsidP="00F05062">
            <w:pPr>
              <w:spacing w:before="0" w:after="0"/>
              <w:jc w:val="right"/>
              <w:rPr>
                <w:sz w:val="20"/>
                <w:szCs w:val="20"/>
                <w:lang w:eastAsia="en-AU"/>
              </w:rPr>
            </w:pPr>
            <w:r w:rsidRPr="00171591">
              <w:rPr>
                <w:sz w:val="20"/>
                <w:szCs w:val="20"/>
                <w:lang w:eastAsia="en-AU"/>
              </w:rPr>
              <w:t>9</w:t>
            </w:r>
          </w:p>
        </w:tc>
        <w:tc>
          <w:tcPr>
            <w:tcW w:w="1026" w:type="dxa"/>
            <w:vAlign w:val="center"/>
          </w:tcPr>
          <w:p w:rsidR="008D0421" w:rsidRPr="00171591" w:rsidRDefault="008D0421" w:rsidP="00F05062">
            <w:pPr>
              <w:spacing w:before="0" w:after="0"/>
              <w:jc w:val="right"/>
              <w:rPr>
                <w:sz w:val="20"/>
                <w:szCs w:val="20"/>
                <w:lang w:eastAsia="en-AU"/>
              </w:rPr>
            </w:pPr>
            <w:r>
              <w:rPr>
                <w:sz w:val="20"/>
                <w:szCs w:val="20"/>
                <w:lang w:eastAsia="en-AU"/>
              </w:rPr>
              <w:t>31.3</w:t>
            </w:r>
          </w:p>
        </w:tc>
        <w:tc>
          <w:tcPr>
            <w:tcW w:w="1026" w:type="dxa"/>
            <w:vAlign w:val="center"/>
          </w:tcPr>
          <w:p w:rsidR="008D0421" w:rsidRPr="00171591" w:rsidRDefault="008D0421" w:rsidP="00F05062">
            <w:pPr>
              <w:spacing w:before="0" w:after="0"/>
              <w:jc w:val="right"/>
              <w:rPr>
                <w:sz w:val="20"/>
                <w:szCs w:val="20"/>
                <w:lang w:eastAsia="en-AU"/>
              </w:rPr>
            </w:pPr>
            <w:r>
              <w:rPr>
                <w:sz w:val="20"/>
                <w:szCs w:val="20"/>
                <w:lang w:eastAsia="en-AU"/>
              </w:rPr>
              <w:t>68.7</w:t>
            </w:r>
          </w:p>
        </w:tc>
      </w:tr>
      <w:tr w:rsidR="008D0421" w:rsidTr="008D0421">
        <w:tc>
          <w:tcPr>
            <w:tcW w:w="1025" w:type="dxa"/>
            <w:shd w:val="clear" w:color="auto" w:fill="D3DFEE"/>
            <w:vAlign w:val="center"/>
          </w:tcPr>
          <w:p w:rsidR="008D0421" w:rsidRPr="00171591" w:rsidRDefault="008D0421" w:rsidP="00F05062">
            <w:pPr>
              <w:spacing w:before="0" w:after="0"/>
              <w:jc w:val="left"/>
              <w:rPr>
                <w:sz w:val="20"/>
                <w:szCs w:val="20"/>
                <w:lang w:eastAsia="en-AU"/>
              </w:rPr>
            </w:pPr>
            <w:r w:rsidRPr="00171591">
              <w:rPr>
                <w:sz w:val="20"/>
                <w:szCs w:val="20"/>
                <w:lang w:eastAsia="en-AU"/>
              </w:rPr>
              <w:t>VIC</w:t>
            </w:r>
          </w:p>
        </w:tc>
        <w:tc>
          <w:tcPr>
            <w:tcW w:w="1025" w:type="dxa"/>
            <w:shd w:val="clear" w:color="auto" w:fill="D3DFEE"/>
            <w:vAlign w:val="center"/>
          </w:tcPr>
          <w:p w:rsidR="008D0421" w:rsidRPr="00171591" w:rsidRDefault="008D0421" w:rsidP="00F05062">
            <w:pPr>
              <w:spacing w:before="0" w:after="0"/>
              <w:jc w:val="right"/>
              <w:rPr>
                <w:sz w:val="20"/>
                <w:szCs w:val="20"/>
                <w:lang w:eastAsia="en-AU"/>
              </w:rPr>
            </w:pPr>
            <w:r w:rsidRPr="00171591">
              <w:rPr>
                <w:sz w:val="20"/>
                <w:szCs w:val="20"/>
                <w:lang w:eastAsia="en-AU"/>
              </w:rPr>
              <w:t>6</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Pr>
                <w:sz w:val="20"/>
                <w:szCs w:val="20"/>
                <w:lang w:eastAsia="en-AU"/>
              </w:rPr>
              <w:t>46.7</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Pr>
                <w:sz w:val="20"/>
                <w:szCs w:val="20"/>
                <w:lang w:eastAsia="en-AU"/>
              </w:rPr>
              <w:t>53.3</w:t>
            </w:r>
          </w:p>
        </w:tc>
      </w:tr>
      <w:tr w:rsidR="008D0421" w:rsidTr="008D0421">
        <w:tc>
          <w:tcPr>
            <w:tcW w:w="1025" w:type="dxa"/>
            <w:vAlign w:val="center"/>
          </w:tcPr>
          <w:p w:rsidR="008D0421" w:rsidRPr="00171591" w:rsidRDefault="008D0421" w:rsidP="00F05062">
            <w:pPr>
              <w:spacing w:before="0" w:after="0"/>
              <w:jc w:val="left"/>
              <w:rPr>
                <w:sz w:val="20"/>
                <w:szCs w:val="20"/>
                <w:lang w:eastAsia="en-AU"/>
              </w:rPr>
            </w:pPr>
            <w:r w:rsidRPr="00171591">
              <w:rPr>
                <w:sz w:val="20"/>
                <w:szCs w:val="20"/>
                <w:lang w:eastAsia="en-AU"/>
              </w:rPr>
              <w:t>QLD</w:t>
            </w:r>
          </w:p>
        </w:tc>
        <w:tc>
          <w:tcPr>
            <w:tcW w:w="1025" w:type="dxa"/>
            <w:vAlign w:val="center"/>
          </w:tcPr>
          <w:p w:rsidR="008D0421" w:rsidRPr="00171591" w:rsidRDefault="008D0421" w:rsidP="00F05062">
            <w:pPr>
              <w:spacing w:before="0" w:after="0"/>
              <w:jc w:val="right"/>
              <w:rPr>
                <w:sz w:val="20"/>
                <w:szCs w:val="20"/>
                <w:lang w:eastAsia="en-AU"/>
              </w:rPr>
            </w:pPr>
            <w:r w:rsidRPr="00171591">
              <w:rPr>
                <w:sz w:val="20"/>
                <w:szCs w:val="20"/>
                <w:lang w:eastAsia="en-AU"/>
              </w:rPr>
              <w:t>8</w:t>
            </w:r>
          </w:p>
        </w:tc>
        <w:tc>
          <w:tcPr>
            <w:tcW w:w="1026" w:type="dxa"/>
            <w:vAlign w:val="center"/>
          </w:tcPr>
          <w:p w:rsidR="008D0421" w:rsidRPr="00171591" w:rsidRDefault="008D0421" w:rsidP="00F05062">
            <w:pPr>
              <w:spacing w:before="0" w:after="0"/>
              <w:jc w:val="right"/>
              <w:rPr>
                <w:sz w:val="20"/>
                <w:szCs w:val="20"/>
                <w:lang w:eastAsia="en-AU"/>
              </w:rPr>
            </w:pPr>
            <w:r w:rsidRPr="00171591">
              <w:rPr>
                <w:sz w:val="20"/>
                <w:szCs w:val="20"/>
                <w:lang w:eastAsia="en-AU"/>
              </w:rPr>
              <w:t>35.5</w:t>
            </w:r>
          </w:p>
        </w:tc>
        <w:tc>
          <w:tcPr>
            <w:tcW w:w="1026" w:type="dxa"/>
            <w:vAlign w:val="center"/>
          </w:tcPr>
          <w:p w:rsidR="008D0421" w:rsidRPr="00171591" w:rsidRDefault="008D0421" w:rsidP="00F05062">
            <w:pPr>
              <w:spacing w:before="0" w:after="0"/>
              <w:jc w:val="right"/>
              <w:rPr>
                <w:sz w:val="20"/>
                <w:szCs w:val="20"/>
                <w:lang w:eastAsia="en-AU"/>
              </w:rPr>
            </w:pPr>
            <w:r w:rsidRPr="00171591">
              <w:rPr>
                <w:sz w:val="20"/>
                <w:szCs w:val="20"/>
                <w:lang w:eastAsia="en-AU"/>
              </w:rPr>
              <w:t>64.5</w:t>
            </w:r>
          </w:p>
        </w:tc>
      </w:tr>
      <w:tr w:rsidR="008D0421" w:rsidTr="008D0421">
        <w:tc>
          <w:tcPr>
            <w:tcW w:w="1025" w:type="dxa"/>
            <w:shd w:val="clear" w:color="auto" w:fill="D3DFEE"/>
            <w:vAlign w:val="center"/>
          </w:tcPr>
          <w:p w:rsidR="008D0421" w:rsidRPr="00171591" w:rsidRDefault="008D0421" w:rsidP="00F05062">
            <w:pPr>
              <w:spacing w:before="0" w:after="0"/>
              <w:jc w:val="left"/>
              <w:rPr>
                <w:sz w:val="20"/>
                <w:szCs w:val="20"/>
                <w:lang w:eastAsia="en-AU"/>
              </w:rPr>
            </w:pPr>
            <w:r w:rsidRPr="00171591">
              <w:rPr>
                <w:sz w:val="20"/>
                <w:szCs w:val="20"/>
                <w:lang w:eastAsia="en-AU"/>
              </w:rPr>
              <w:t>SA</w:t>
            </w:r>
          </w:p>
        </w:tc>
        <w:tc>
          <w:tcPr>
            <w:tcW w:w="1025" w:type="dxa"/>
            <w:shd w:val="clear" w:color="auto" w:fill="D3DFEE"/>
            <w:vAlign w:val="center"/>
          </w:tcPr>
          <w:p w:rsidR="008D0421" w:rsidRPr="00171591" w:rsidRDefault="008D0421" w:rsidP="00F05062">
            <w:pPr>
              <w:spacing w:before="0" w:after="0"/>
              <w:jc w:val="right"/>
              <w:rPr>
                <w:sz w:val="20"/>
                <w:szCs w:val="20"/>
                <w:lang w:eastAsia="en-AU"/>
              </w:rPr>
            </w:pPr>
            <w:r w:rsidRPr="00171591">
              <w:rPr>
                <w:sz w:val="20"/>
                <w:szCs w:val="20"/>
                <w:lang w:eastAsia="en-AU"/>
              </w:rPr>
              <w:t>1</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sidRPr="00171591">
              <w:rPr>
                <w:sz w:val="20"/>
                <w:szCs w:val="20"/>
                <w:lang w:eastAsia="en-AU"/>
              </w:rPr>
              <w:t>0</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sidRPr="00171591">
              <w:rPr>
                <w:sz w:val="20"/>
                <w:szCs w:val="20"/>
                <w:lang w:eastAsia="en-AU"/>
              </w:rPr>
              <w:t>100</w:t>
            </w:r>
          </w:p>
        </w:tc>
      </w:tr>
      <w:tr w:rsidR="008D0421" w:rsidTr="008D0421">
        <w:tc>
          <w:tcPr>
            <w:tcW w:w="1025" w:type="dxa"/>
            <w:vAlign w:val="center"/>
          </w:tcPr>
          <w:p w:rsidR="008D0421" w:rsidRPr="00171591" w:rsidRDefault="008D0421" w:rsidP="00F05062">
            <w:pPr>
              <w:spacing w:before="0" w:after="0"/>
              <w:jc w:val="left"/>
              <w:rPr>
                <w:sz w:val="20"/>
                <w:szCs w:val="20"/>
                <w:lang w:eastAsia="en-AU"/>
              </w:rPr>
            </w:pPr>
            <w:r w:rsidRPr="00171591">
              <w:rPr>
                <w:sz w:val="20"/>
                <w:szCs w:val="20"/>
                <w:lang w:eastAsia="en-AU"/>
              </w:rPr>
              <w:t>WA</w:t>
            </w:r>
          </w:p>
        </w:tc>
        <w:tc>
          <w:tcPr>
            <w:tcW w:w="1025" w:type="dxa"/>
            <w:vAlign w:val="center"/>
          </w:tcPr>
          <w:p w:rsidR="008D0421" w:rsidRPr="00171591" w:rsidRDefault="008D0421" w:rsidP="00F05062">
            <w:pPr>
              <w:spacing w:before="0" w:after="0"/>
              <w:jc w:val="right"/>
              <w:rPr>
                <w:sz w:val="20"/>
                <w:szCs w:val="20"/>
                <w:lang w:eastAsia="en-AU"/>
              </w:rPr>
            </w:pPr>
            <w:r w:rsidRPr="00171591">
              <w:rPr>
                <w:sz w:val="20"/>
                <w:szCs w:val="20"/>
                <w:lang w:eastAsia="en-AU"/>
              </w:rPr>
              <w:t>4</w:t>
            </w:r>
          </w:p>
        </w:tc>
        <w:tc>
          <w:tcPr>
            <w:tcW w:w="1026" w:type="dxa"/>
            <w:vAlign w:val="center"/>
          </w:tcPr>
          <w:p w:rsidR="008D0421" w:rsidRPr="00171591" w:rsidRDefault="008D0421" w:rsidP="00F05062">
            <w:pPr>
              <w:spacing w:before="0" w:after="0"/>
              <w:jc w:val="right"/>
              <w:rPr>
                <w:sz w:val="20"/>
                <w:szCs w:val="20"/>
                <w:lang w:eastAsia="en-AU"/>
              </w:rPr>
            </w:pPr>
            <w:r>
              <w:rPr>
                <w:sz w:val="20"/>
                <w:szCs w:val="20"/>
                <w:lang w:eastAsia="en-AU"/>
              </w:rPr>
              <w:t>22.1</w:t>
            </w:r>
          </w:p>
        </w:tc>
        <w:tc>
          <w:tcPr>
            <w:tcW w:w="1026" w:type="dxa"/>
            <w:vAlign w:val="center"/>
          </w:tcPr>
          <w:p w:rsidR="008D0421" w:rsidRPr="00171591" w:rsidRDefault="008D0421" w:rsidP="00F05062">
            <w:pPr>
              <w:spacing w:before="0" w:after="0"/>
              <w:jc w:val="right"/>
              <w:rPr>
                <w:sz w:val="20"/>
                <w:szCs w:val="20"/>
                <w:lang w:eastAsia="en-AU"/>
              </w:rPr>
            </w:pPr>
            <w:r>
              <w:rPr>
                <w:sz w:val="20"/>
                <w:szCs w:val="20"/>
                <w:lang w:eastAsia="en-AU"/>
              </w:rPr>
              <w:t>77.9</w:t>
            </w:r>
          </w:p>
        </w:tc>
      </w:tr>
      <w:tr w:rsidR="008D0421" w:rsidTr="008D0421">
        <w:tc>
          <w:tcPr>
            <w:tcW w:w="1025" w:type="dxa"/>
            <w:shd w:val="clear" w:color="auto" w:fill="D3DFEE"/>
            <w:vAlign w:val="center"/>
          </w:tcPr>
          <w:p w:rsidR="008D0421" w:rsidRPr="00171591" w:rsidRDefault="008D0421" w:rsidP="00F05062">
            <w:pPr>
              <w:spacing w:before="0" w:after="0"/>
              <w:jc w:val="left"/>
              <w:rPr>
                <w:sz w:val="20"/>
                <w:szCs w:val="20"/>
                <w:lang w:eastAsia="en-AU"/>
              </w:rPr>
            </w:pPr>
            <w:r w:rsidRPr="00171591">
              <w:rPr>
                <w:sz w:val="20"/>
                <w:szCs w:val="20"/>
                <w:lang w:eastAsia="en-AU"/>
              </w:rPr>
              <w:t>ACT</w:t>
            </w:r>
          </w:p>
        </w:tc>
        <w:tc>
          <w:tcPr>
            <w:tcW w:w="1025" w:type="dxa"/>
            <w:shd w:val="clear" w:color="auto" w:fill="D3DFEE"/>
            <w:vAlign w:val="center"/>
          </w:tcPr>
          <w:p w:rsidR="008D0421" w:rsidRPr="00171591" w:rsidRDefault="008D0421" w:rsidP="00F05062">
            <w:pPr>
              <w:spacing w:before="0" w:after="0"/>
              <w:jc w:val="right"/>
              <w:rPr>
                <w:sz w:val="20"/>
                <w:szCs w:val="20"/>
                <w:lang w:eastAsia="en-AU"/>
              </w:rPr>
            </w:pPr>
            <w:r w:rsidRPr="00171591">
              <w:rPr>
                <w:sz w:val="20"/>
                <w:szCs w:val="20"/>
                <w:lang w:eastAsia="en-AU"/>
              </w:rPr>
              <w:t>1</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Pr>
                <w:sz w:val="20"/>
                <w:szCs w:val="20"/>
                <w:lang w:eastAsia="en-AU"/>
              </w:rPr>
              <w:t>26.7</w:t>
            </w:r>
          </w:p>
        </w:tc>
        <w:tc>
          <w:tcPr>
            <w:tcW w:w="1026" w:type="dxa"/>
            <w:shd w:val="clear" w:color="auto" w:fill="D3DFEE"/>
            <w:vAlign w:val="center"/>
          </w:tcPr>
          <w:p w:rsidR="008D0421" w:rsidRPr="00171591" w:rsidRDefault="008D0421" w:rsidP="00F05062">
            <w:pPr>
              <w:spacing w:before="0" w:after="0"/>
              <w:jc w:val="right"/>
              <w:rPr>
                <w:sz w:val="20"/>
                <w:szCs w:val="20"/>
                <w:lang w:eastAsia="en-AU"/>
              </w:rPr>
            </w:pPr>
            <w:r>
              <w:rPr>
                <w:sz w:val="20"/>
                <w:szCs w:val="20"/>
                <w:lang w:eastAsia="en-AU"/>
              </w:rPr>
              <w:t>73.3</w:t>
            </w:r>
          </w:p>
        </w:tc>
      </w:tr>
      <w:tr w:rsidR="008D0421" w:rsidTr="008D0421">
        <w:tc>
          <w:tcPr>
            <w:tcW w:w="1025" w:type="dxa"/>
            <w:vAlign w:val="center"/>
          </w:tcPr>
          <w:p w:rsidR="008D0421" w:rsidRPr="000E6AD7" w:rsidRDefault="008D0421" w:rsidP="00F05062">
            <w:pPr>
              <w:spacing w:before="0" w:after="0"/>
              <w:jc w:val="left"/>
              <w:rPr>
                <w:b/>
                <w:sz w:val="20"/>
                <w:szCs w:val="20"/>
                <w:lang w:eastAsia="en-AU"/>
              </w:rPr>
            </w:pPr>
            <w:r w:rsidRPr="000E6AD7">
              <w:rPr>
                <w:b/>
                <w:sz w:val="20"/>
                <w:szCs w:val="20"/>
                <w:lang w:eastAsia="en-AU"/>
              </w:rPr>
              <w:t>Total</w:t>
            </w:r>
          </w:p>
        </w:tc>
        <w:tc>
          <w:tcPr>
            <w:tcW w:w="1025" w:type="dxa"/>
            <w:vAlign w:val="center"/>
          </w:tcPr>
          <w:p w:rsidR="008D0421" w:rsidRPr="000E6AD7" w:rsidRDefault="008D0421" w:rsidP="00F05062">
            <w:pPr>
              <w:spacing w:before="0" w:after="0"/>
              <w:jc w:val="right"/>
              <w:rPr>
                <w:b/>
                <w:sz w:val="20"/>
                <w:szCs w:val="20"/>
                <w:lang w:eastAsia="en-AU"/>
              </w:rPr>
            </w:pPr>
            <w:r w:rsidRPr="000E6AD7">
              <w:rPr>
                <w:b/>
                <w:sz w:val="20"/>
                <w:szCs w:val="20"/>
                <w:lang w:eastAsia="en-AU"/>
              </w:rPr>
              <w:t>29</w:t>
            </w:r>
          </w:p>
        </w:tc>
        <w:tc>
          <w:tcPr>
            <w:tcW w:w="1026" w:type="dxa"/>
            <w:vAlign w:val="center"/>
          </w:tcPr>
          <w:p w:rsidR="008D0421" w:rsidRPr="000E6AD7" w:rsidRDefault="008D0421" w:rsidP="00F05062">
            <w:pPr>
              <w:spacing w:before="0" w:after="0"/>
              <w:jc w:val="right"/>
              <w:rPr>
                <w:b/>
                <w:sz w:val="20"/>
                <w:szCs w:val="20"/>
                <w:lang w:eastAsia="en-AU"/>
              </w:rPr>
            </w:pPr>
            <w:r>
              <w:rPr>
                <w:b/>
                <w:sz w:val="20"/>
                <w:szCs w:val="20"/>
                <w:lang w:eastAsia="en-AU"/>
              </w:rPr>
              <w:t>31.9</w:t>
            </w:r>
          </w:p>
        </w:tc>
        <w:tc>
          <w:tcPr>
            <w:tcW w:w="1026" w:type="dxa"/>
            <w:vAlign w:val="center"/>
          </w:tcPr>
          <w:p w:rsidR="008D0421" w:rsidRPr="000E6AD7" w:rsidRDefault="008D0421" w:rsidP="00F05062">
            <w:pPr>
              <w:spacing w:before="0" w:after="0"/>
              <w:jc w:val="right"/>
              <w:rPr>
                <w:b/>
                <w:sz w:val="20"/>
                <w:szCs w:val="20"/>
                <w:lang w:eastAsia="en-AU"/>
              </w:rPr>
            </w:pPr>
            <w:r>
              <w:rPr>
                <w:b/>
                <w:sz w:val="20"/>
                <w:szCs w:val="20"/>
                <w:lang w:eastAsia="en-AU"/>
              </w:rPr>
              <w:t>72.6</w:t>
            </w:r>
          </w:p>
        </w:tc>
      </w:tr>
    </w:tbl>
    <w:p w:rsidR="00C60CF0" w:rsidRDefault="00C60CF0" w:rsidP="00C60CF0">
      <w:pPr>
        <w:pStyle w:val="Heading5"/>
      </w:pPr>
      <w:r>
        <w:t>Source: NHWDS, Medical Practitioner 2016</w:t>
      </w:r>
    </w:p>
    <w:p w:rsidR="00C86C51" w:rsidRDefault="00C86C51" w:rsidP="002104BF">
      <w:pPr>
        <w:pStyle w:val="Heading2"/>
        <w:spacing w:before="0"/>
        <w:rPr>
          <w:rFonts w:cs="Times New Roman"/>
          <w:color w:val="4F81BD" w:themeColor="accent1"/>
        </w:rPr>
        <w:sectPr w:rsidR="00C86C51" w:rsidSect="00561EB0">
          <w:type w:val="continuous"/>
          <w:pgSz w:w="11906" w:h="16838"/>
          <w:pgMar w:top="1247" w:right="1985" w:bottom="1247" w:left="1440" w:header="709" w:footer="709" w:gutter="0"/>
          <w:cols w:num="2" w:space="708"/>
          <w:titlePg/>
          <w:docGrid w:linePitch="360"/>
        </w:sectPr>
      </w:pPr>
    </w:p>
    <w:p w:rsidR="00C60CF0" w:rsidRDefault="00C60CF0" w:rsidP="002104BF">
      <w:pPr>
        <w:pStyle w:val="Heading2"/>
        <w:spacing w:before="0"/>
        <w:rPr>
          <w:rFonts w:cs="Times New Roman"/>
          <w:color w:val="4F81BD" w:themeColor="accent1"/>
        </w:rPr>
      </w:pPr>
    </w:p>
    <w:p w:rsidR="00C86C51" w:rsidRDefault="00C86C51" w:rsidP="002104BF">
      <w:pPr>
        <w:pStyle w:val="Heading2"/>
        <w:spacing w:before="0"/>
        <w:rPr>
          <w:rFonts w:cs="Times New Roman"/>
          <w:color w:val="4F81BD" w:themeColor="accent1"/>
        </w:rPr>
        <w:sectPr w:rsidR="00C86C51" w:rsidSect="00561EB0">
          <w:type w:val="continuous"/>
          <w:pgSz w:w="11906" w:h="16838"/>
          <w:pgMar w:top="1247" w:right="1985" w:bottom="1247" w:left="1440" w:header="709" w:footer="709" w:gutter="0"/>
          <w:cols w:space="708"/>
          <w:titlePg/>
          <w:docGrid w:linePitch="360"/>
        </w:sectPr>
      </w:pPr>
    </w:p>
    <w:p w:rsidR="00012DFB" w:rsidRPr="00577982" w:rsidRDefault="00012DFB" w:rsidP="00012DFB">
      <w:pPr>
        <w:pStyle w:val="Heading2"/>
        <w:spacing w:before="0" w:after="0"/>
      </w:pPr>
      <w:bookmarkStart w:id="241" w:name="_Toc521510475"/>
      <w:bookmarkStart w:id="242" w:name="_Toc425244973"/>
      <w:bookmarkStart w:id="243" w:name="_Toc429581539"/>
      <w:r w:rsidRPr="00577982">
        <w:lastRenderedPageBreak/>
        <w:t xml:space="preserve">Appendix </w:t>
      </w:r>
      <w:r w:rsidR="0098223C" w:rsidRPr="00577982">
        <w:t>4</w:t>
      </w:r>
      <w:r w:rsidRPr="00577982">
        <w:t>: Hours worked</w:t>
      </w:r>
      <w:bookmarkEnd w:id="241"/>
    </w:p>
    <w:p w:rsidR="00012DFB" w:rsidRDefault="00012DFB" w:rsidP="00012DFB">
      <w:r>
        <w:t xml:space="preserve">The Medical Practitioner </w:t>
      </w:r>
      <w:r w:rsidR="004C13B9">
        <w:t xml:space="preserve">Workforce Survey </w:t>
      </w:r>
      <w:r>
        <w:t xml:space="preserve">(Appendix </w:t>
      </w:r>
      <w:r w:rsidR="00206AFC">
        <w:t>7</w:t>
      </w:r>
      <w:r>
        <w:t xml:space="preserve">) </w:t>
      </w:r>
      <w:r w:rsidRPr="00AE71AD">
        <w:t>capture</w:t>
      </w:r>
      <w:r>
        <w:t>s the hours worked</w:t>
      </w:r>
      <w:r w:rsidRPr="00AE71AD">
        <w:t xml:space="preserve"> at three levels</w:t>
      </w:r>
      <w:r>
        <w:t xml:space="preserve"> as shown in </w:t>
      </w:r>
      <w:r>
        <w:fldChar w:fldCharType="begin"/>
      </w:r>
      <w:r>
        <w:instrText xml:space="preserve"> REF _Ref442259178 \h  \* MERGEFORMAT </w:instrText>
      </w:r>
      <w:r>
        <w:fldChar w:fldCharType="separate"/>
      </w:r>
      <w:r w:rsidR="008C7087" w:rsidRPr="008C7087">
        <w:t>Figure 66</w:t>
      </w:r>
      <w:r>
        <w:fldChar w:fldCharType="end"/>
      </w:r>
      <w:r>
        <w:t xml:space="preserve"> below. T</w:t>
      </w:r>
      <w:r w:rsidRPr="00AE71AD">
        <w:t xml:space="preserve">he first </w:t>
      </w:r>
      <w:r>
        <w:t xml:space="preserve">row (A) </w:t>
      </w:r>
      <w:r w:rsidRPr="00AE71AD">
        <w:t xml:space="preserve">is where a practitioner identifies the </w:t>
      </w:r>
      <w:r>
        <w:t xml:space="preserve">total </w:t>
      </w:r>
      <w:r w:rsidRPr="00AE71AD">
        <w:t>hours they worked</w:t>
      </w:r>
      <w:r>
        <w:t xml:space="preserve"> in the previous week. They are asked to split their total hours into (B)</w:t>
      </w:r>
      <w:r w:rsidRPr="00AE71AD">
        <w:t xml:space="preserve"> </w:t>
      </w:r>
      <w:r>
        <w:t xml:space="preserve">time spent in </w:t>
      </w:r>
      <w:r w:rsidRPr="00AE71AD">
        <w:t>clinical role</w:t>
      </w:r>
      <w:r>
        <w:t>s</w:t>
      </w:r>
      <w:r w:rsidRPr="00AE71AD">
        <w:t xml:space="preserve"> and non-clinical role</w:t>
      </w:r>
      <w:r>
        <w:t>s. Non-clinical is defined as “including teacher, researcher, administrator and other”</w:t>
      </w:r>
      <w:r w:rsidRPr="00AE71AD">
        <w:t>. The</w:t>
      </w:r>
      <w:r>
        <w:t>y are then asked to split their</w:t>
      </w:r>
      <w:r w:rsidRPr="00AE71AD">
        <w:t xml:space="preserve"> clinical hours into</w:t>
      </w:r>
      <w:r>
        <w:t xml:space="preserve"> (C)</w:t>
      </w:r>
      <w:r w:rsidRPr="00AE71AD">
        <w:t xml:space="preserve"> </w:t>
      </w:r>
      <w:r>
        <w:t xml:space="preserve">time spent in up to </w:t>
      </w:r>
      <w:r w:rsidRPr="00AE71AD">
        <w:t xml:space="preserve">two specialities </w:t>
      </w:r>
      <w:r>
        <w:t xml:space="preserve">(clinical hours in specialty 1 and clinical hours in specialty 2). </w:t>
      </w:r>
    </w:p>
    <w:p w:rsidR="00012DFB" w:rsidRDefault="00012DFB" w:rsidP="00012DFB">
      <w:r w:rsidRPr="00B124B4">
        <w:t xml:space="preserve">For example, </w:t>
      </w:r>
      <w:r>
        <w:t>two</w:t>
      </w:r>
      <w:r w:rsidRPr="00B124B4">
        <w:t xml:space="preserve"> per</w:t>
      </w:r>
      <w:r>
        <w:t xml:space="preserve"> </w:t>
      </w:r>
      <w:r w:rsidRPr="00B124B4">
        <w:t>cent (</w:t>
      </w:r>
      <w:r>
        <w:t>28</w:t>
      </w:r>
      <w:r w:rsidRPr="00B124B4">
        <w:t xml:space="preserve">) of </w:t>
      </w:r>
      <w:r>
        <w:t xml:space="preserve">O&amp;G </w:t>
      </w:r>
      <w:r w:rsidRPr="00B124B4">
        <w:t>specialist</w:t>
      </w:r>
      <w:r>
        <w:t xml:space="preserve">s </w:t>
      </w:r>
      <w:r w:rsidRPr="00B124B4">
        <w:t>worked hours in a</w:t>
      </w:r>
      <w:r>
        <w:t>nother</w:t>
      </w:r>
      <w:r w:rsidRPr="00B124B4">
        <w:t xml:space="preserve"> specialty </w:t>
      </w:r>
      <w:r>
        <w:t>in addition to</w:t>
      </w:r>
      <w:r w:rsidRPr="00B124B4">
        <w:t xml:space="preserve"> </w:t>
      </w:r>
      <w:r>
        <w:t>O&amp;G</w:t>
      </w:r>
      <w:r w:rsidRPr="00B124B4">
        <w:t xml:space="preserve"> (most commonly </w:t>
      </w:r>
      <w:r>
        <w:t>general practice, physician, sexual health medicine and pain medicine</w:t>
      </w:r>
      <w:r w:rsidRPr="00B124B4">
        <w:t xml:space="preserve">). For this group of dual specialists, </w:t>
      </w:r>
      <w:r>
        <w:t>57</w:t>
      </w:r>
      <w:r w:rsidRPr="00B124B4">
        <w:t xml:space="preserve"> per</w:t>
      </w:r>
      <w:r>
        <w:t xml:space="preserve"> </w:t>
      </w:r>
      <w:r w:rsidRPr="00B124B4">
        <w:t xml:space="preserve">cent of their FTE was spent in </w:t>
      </w:r>
      <w:r>
        <w:t>O&amp;G</w:t>
      </w:r>
      <w:r w:rsidRPr="00B124B4">
        <w:t xml:space="preserve">, while </w:t>
      </w:r>
      <w:r>
        <w:t xml:space="preserve">43 </w:t>
      </w:r>
      <w:r w:rsidRPr="00B124B4">
        <w:t>per</w:t>
      </w:r>
      <w:r>
        <w:t xml:space="preserve"> </w:t>
      </w:r>
      <w:r w:rsidRPr="00B124B4">
        <w:t>cent was spent in their other specialty.</w:t>
      </w:r>
    </w:p>
    <w:p w:rsidR="00012DFB" w:rsidRPr="00EB0674" w:rsidRDefault="00012DFB" w:rsidP="00012DFB">
      <w:r>
        <w:t xml:space="preserve">The grey ‘unknown’ area in row (C) can occur when the hours reported in specialty 1 and </w:t>
      </w:r>
      <w:proofErr w:type="gramStart"/>
      <w:r>
        <w:t>specialty 2 do</w:t>
      </w:r>
      <w:proofErr w:type="gramEnd"/>
      <w:r>
        <w:t xml:space="preserve"> not add up to the clinical hours (B). The unknown clinical hours may be due to an error when completing the survey form (the medical practitioner miscalculates their hours) or it may represent time worked as a non-vocationally registered General Practitioner (Non-VRGP) or in a third specialty. The unknown hours were not used in the modelling inputs. Furthermore, as can been seen in the grey ‘not asked in survey’ area in row (C), the non-clinical hours worked in each specialty are not captured in </w:t>
      </w:r>
      <w:r w:rsidRPr="00EB0674">
        <w:t xml:space="preserve">the survey.  </w:t>
      </w:r>
    </w:p>
    <w:p w:rsidR="00012DFB" w:rsidRDefault="00012DFB" w:rsidP="00012DFB">
      <w:pPr>
        <w:rPr>
          <w:noProof/>
        </w:rPr>
      </w:pPr>
      <w:r>
        <w:t xml:space="preserve">Previously, specialty modelling was conducted using clinical hours. </w:t>
      </w:r>
      <w:r w:rsidRPr="00EB0674">
        <w:fldChar w:fldCharType="begin"/>
      </w:r>
      <w:r w:rsidRPr="00EB0674">
        <w:instrText xml:space="preserve"> REF _Ref442259178 \h  \* MERGEFORMAT </w:instrText>
      </w:r>
      <w:r w:rsidRPr="00EB0674">
        <w:fldChar w:fldCharType="separate"/>
      </w:r>
      <w:r w:rsidR="008C7087" w:rsidRPr="008C7087">
        <w:t>Figure 66</w:t>
      </w:r>
      <w:r w:rsidRPr="00EB0674">
        <w:fldChar w:fldCharType="end"/>
      </w:r>
      <w:r w:rsidRPr="00EB0674">
        <w:t xml:space="preserve"> </w:t>
      </w:r>
      <w:r>
        <w:t>shows</w:t>
      </w:r>
      <w:r w:rsidRPr="00EB0674">
        <w:t xml:space="preserve"> how</w:t>
      </w:r>
      <w:r>
        <w:t xml:space="preserve"> the use of clinical hours (highlighted in row B) is flawed for the purposes of modelling individual medical specialties. As can be seen, the </w:t>
      </w:r>
      <w:r w:rsidRPr="00EB0674">
        <w:t xml:space="preserve">clinical hours </w:t>
      </w:r>
      <w:r>
        <w:t xml:space="preserve">can be much higher than the individual </w:t>
      </w:r>
      <w:r w:rsidRPr="00EB0674">
        <w:t xml:space="preserve">specialist clinical hours (C) as </w:t>
      </w:r>
      <w:r>
        <w:t xml:space="preserve">total </w:t>
      </w:r>
      <w:r w:rsidRPr="00EB0674">
        <w:t xml:space="preserve">clinical hours </w:t>
      </w:r>
      <w:r>
        <w:t>comprises</w:t>
      </w:r>
      <w:r w:rsidRPr="00EB0674">
        <w:t xml:space="preserve"> hours worked in another speciality</w:t>
      </w:r>
      <w:r>
        <w:t xml:space="preserve"> (other than the one being modelled) as well as unknown clinical hours</w:t>
      </w:r>
      <w:r w:rsidRPr="00EB0674">
        <w:t xml:space="preserve">. </w:t>
      </w:r>
      <w:r>
        <w:t xml:space="preserve">This results in the FTE being overestimated. Furthermore, using clinical hours only excludes an essential component of the workforce – the time spent undertaking clinical support (non-clinical hours). </w:t>
      </w:r>
    </w:p>
    <w:p w:rsidR="00012DFB" w:rsidRPr="00466C7E" w:rsidRDefault="00012DFB" w:rsidP="00012DFB">
      <w:pPr>
        <w:pStyle w:val="Caption"/>
        <w:keepNext/>
        <w:rPr>
          <w:szCs w:val="22"/>
        </w:rPr>
      </w:pPr>
      <w:bookmarkStart w:id="244" w:name="_Ref442259178"/>
      <w:bookmarkStart w:id="245" w:name="_Ref442259140"/>
      <w:bookmarkStart w:id="246" w:name="_Toc442268273"/>
      <w:bookmarkStart w:id="247" w:name="_Toc515888870"/>
      <w:r>
        <w:rPr>
          <w:szCs w:val="22"/>
        </w:rPr>
        <w:t>F</w:t>
      </w:r>
      <w:r w:rsidRPr="00466C7E">
        <w:rPr>
          <w:szCs w:val="22"/>
        </w:rPr>
        <w:t xml:space="preserve">igure </w:t>
      </w:r>
      <w:r>
        <w:rPr>
          <w:szCs w:val="22"/>
        </w:rPr>
        <w:fldChar w:fldCharType="begin"/>
      </w:r>
      <w:r>
        <w:rPr>
          <w:szCs w:val="22"/>
        </w:rPr>
        <w:instrText xml:space="preserve"> SEQ Figure \* ARABIC </w:instrText>
      </w:r>
      <w:r>
        <w:rPr>
          <w:szCs w:val="22"/>
        </w:rPr>
        <w:fldChar w:fldCharType="separate"/>
      </w:r>
      <w:r w:rsidR="008C7087">
        <w:rPr>
          <w:noProof/>
          <w:szCs w:val="22"/>
        </w:rPr>
        <w:t>66</w:t>
      </w:r>
      <w:r>
        <w:rPr>
          <w:szCs w:val="22"/>
        </w:rPr>
        <w:fldChar w:fldCharType="end"/>
      </w:r>
      <w:bookmarkEnd w:id="244"/>
      <w:r>
        <w:rPr>
          <w:szCs w:val="22"/>
        </w:rPr>
        <w:t>:</w:t>
      </w:r>
      <w:r w:rsidRPr="00466C7E">
        <w:rPr>
          <w:szCs w:val="22"/>
        </w:rPr>
        <w:t xml:space="preserve"> Hours worked as captured in the </w:t>
      </w:r>
      <w:r>
        <w:rPr>
          <w:szCs w:val="22"/>
        </w:rPr>
        <w:t>workforce survey</w:t>
      </w:r>
      <w:r w:rsidRPr="00466C7E">
        <w:rPr>
          <w:szCs w:val="22"/>
        </w:rPr>
        <w:t>.</w:t>
      </w:r>
      <w:bookmarkEnd w:id="245"/>
      <w:bookmarkEnd w:id="246"/>
      <w:bookmarkEnd w:id="247"/>
    </w:p>
    <w:p w:rsidR="00B429C0" w:rsidRDefault="00B429C0" w:rsidP="00012DFB">
      <w:pPr>
        <w:spacing w:before="0" w:after="0"/>
      </w:pPr>
      <w:r>
        <w:rPr>
          <w:noProof/>
          <w:lang w:eastAsia="en-AU"/>
        </w:rPr>
        <w:drawing>
          <wp:inline distT="0" distB="0" distL="0" distR="0" wp14:anchorId="7628C642" wp14:editId="154ACDB0">
            <wp:extent cx="5431790" cy="2152015"/>
            <wp:effectExtent l="0" t="0" r="0" b="0"/>
            <wp:docPr id="699" name="Picture 699" descr="Row A refers to total hours, row B refers to the breakdown of these hours into clincial and non clinical hours and row C provides further breakdown of clinical hours according to specialty." title="Figure 66: Hours worked as captured in the workfor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1790" cy="2152015"/>
                    </a:xfrm>
                    <a:prstGeom prst="rect">
                      <a:avLst/>
                    </a:prstGeom>
                    <a:noFill/>
                  </pic:spPr>
                </pic:pic>
              </a:graphicData>
            </a:graphic>
          </wp:inline>
        </w:drawing>
      </w:r>
    </w:p>
    <w:p w:rsidR="00AB00D1" w:rsidRDefault="006F1988" w:rsidP="00012DFB">
      <w:r>
        <w:t>Figure 67</w:t>
      </w:r>
      <w:r w:rsidR="00012DFB">
        <w:t xml:space="preserve"> </w:t>
      </w:r>
      <w:r w:rsidR="00012DFB" w:rsidRPr="00C64474">
        <w:t xml:space="preserve">shows how the hours for individual specialties have been </w:t>
      </w:r>
      <w:r w:rsidR="00012DFB">
        <w:t>estimated</w:t>
      </w:r>
      <w:r w:rsidR="00012DFB" w:rsidRPr="00C64474">
        <w:t xml:space="preserve"> for modelling purposes</w:t>
      </w:r>
      <w:r w:rsidR="00012DFB">
        <w:t xml:space="preserve"> in this report</w:t>
      </w:r>
      <w:r w:rsidR="00012DFB" w:rsidRPr="00C64474">
        <w:t xml:space="preserve">. In order to </w:t>
      </w:r>
      <w:r w:rsidR="00012DFB">
        <w:t>calculate (D),</w:t>
      </w:r>
      <w:r w:rsidR="00012DFB" w:rsidRPr="00C64474">
        <w:t xml:space="preserve"> the total hours worked in </w:t>
      </w:r>
      <w:r w:rsidR="00012DFB">
        <w:t>O&amp;G</w:t>
      </w:r>
      <w:r w:rsidR="00012DFB" w:rsidRPr="00AE71AD">
        <w:t xml:space="preserve"> </w:t>
      </w:r>
      <w:r w:rsidR="00012DFB" w:rsidRPr="00BB7DF8">
        <w:t>(clinical and non-clinical)</w:t>
      </w:r>
      <w:r w:rsidR="00012DFB" w:rsidRPr="00C64474">
        <w:t xml:space="preserve">, </w:t>
      </w:r>
      <w:r w:rsidR="00012DFB">
        <w:t>the non-clinical hours spent in the speciality needed to be estimated (</w:t>
      </w:r>
      <w:r w:rsidR="004B7F94">
        <w:t xml:space="preserve">orange </w:t>
      </w:r>
      <w:r w:rsidR="00012DFB">
        <w:t>boxes in row D). T</w:t>
      </w:r>
      <w:r w:rsidR="00012DFB" w:rsidRPr="00C64474">
        <w:t xml:space="preserve">he proportion of the clinical hours for each of the specialities were used to attribute non-clinical hours to the specialties to give an indication of the total specialist hours (clinical and non-clinical) a practitioner is working in a given speciality. </w:t>
      </w:r>
      <w:bookmarkStart w:id="248" w:name="_Ref442259206"/>
      <w:bookmarkStart w:id="249" w:name="_Toc442268274"/>
      <w:r w:rsidR="00AB00D1">
        <w:br w:type="page"/>
      </w:r>
    </w:p>
    <w:p w:rsidR="00012DFB" w:rsidRPr="00466C7E" w:rsidRDefault="00012DFB" w:rsidP="00012DFB">
      <w:pPr>
        <w:pStyle w:val="Caption"/>
      </w:pPr>
      <w:bookmarkStart w:id="250" w:name="_Ref443642615"/>
      <w:bookmarkStart w:id="251" w:name="_Toc515888871"/>
      <w:r w:rsidRPr="00466C7E">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67</w:t>
      </w:r>
      <w:r w:rsidR="00556A17">
        <w:rPr>
          <w:noProof/>
        </w:rPr>
        <w:fldChar w:fldCharType="end"/>
      </w:r>
      <w:bookmarkEnd w:id="248"/>
      <w:bookmarkEnd w:id="250"/>
      <w:r>
        <w:t>: Estimating t</w:t>
      </w:r>
      <w:r w:rsidRPr="00466C7E">
        <w:t>otal specialty hours</w:t>
      </w:r>
      <w:bookmarkEnd w:id="249"/>
      <w:bookmarkEnd w:id="251"/>
    </w:p>
    <w:p w:rsidR="00B429C0" w:rsidRDefault="00B429C0" w:rsidP="00012DFB">
      <w:pPr>
        <w:spacing w:before="0" w:after="0"/>
      </w:pPr>
      <w:r>
        <w:rPr>
          <w:noProof/>
          <w:lang w:eastAsia="en-AU"/>
        </w:rPr>
        <w:drawing>
          <wp:inline distT="0" distB="0" distL="0" distR="0" wp14:anchorId="71C18837" wp14:editId="2893976C">
            <wp:extent cx="5401310" cy="2341245"/>
            <wp:effectExtent l="0" t="0" r="8890" b="0"/>
            <wp:docPr id="703" name="Picture 703" descr="Row A refers to total hours, row B refers to the breakdown of these hours into clincial and non clinical hours and row D provides further breakdown of clinical and non-clinical hours according to specialty." title="Figure 67: Estimating total specialt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1310" cy="2341245"/>
                    </a:xfrm>
                    <a:prstGeom prst="rect">
                      <a:avLst/>
                    </a:prstGeom>
                    <a:noFill/>
                  </pic:spPr>
                </pic:pic>
              </a:graphicData>
            </a:graphic>
          </wp:inline>
        </w:drawing>
      </w:r>
    </w:p>
    <w:p w:rsidR="00012DFB" w:rsidRPr="00692D2C" w:rsidRDefault="006F1988" w:rsidP="00012DFB">
      <w:pPr>
        <w:rPr>
          <w:szCs w:val="22"/>
        </w:rPr>
      </w:pPr>
      <w:r>
        <w:t>Figure 68</w:t>
      </w:r>
      <w:r w:rsidR="00012DFB" w:rsidRPr="00B30D1E">
        <w:t xml:space="preserve"> below shows which hours contribute to supply in the projections utilising total specialist hours (‘Total specialist hours scenario </w:t>
      </w:r>
      <w:r w:rsidR="00012DFB" w:rsidRPr="00B30D1E">
        <w:fldChar w:fldCharType="begin"/>
      </w:r>
      <w:r w:rsidR="00012DFB" w:rsidRPr="00B30D1E">
        <w:instrText xml:space="preserve"> REF _Ref443569909 \h  \* MERGEFORMAT </w:instrText>
      </w:r>
      <w:r w:rsidR="00012DFB" w:rsidRPr="00B30D1E">
        <w:fldChar w:fldCharType="separate"/>
      </w:r>
      <w:r w:rsidR="008C7087" w:rsidRPr="00090A1A">
        <w:t xml:space="preserve">Table </w:t>
      </w:r>
      <w:r w:rsidR="008C7087">
        <w:rPr>
          <w:noProof/>
        </w:rPr>
        <w:t>13</w:t>
      </w:r>
      <w:r w:rsidR="00012DFB" w:rsidRPr="00B30D1E">
        <w:fldChar w:fldCharType="end"/>
      </w:r>
      <w:r w:rsidR="00012DFB">
        <w:t xml:space="preserve">). In this example, if a practitioner indicated in specialty field 1 they worked in O&amp;G and in specialty field 2 they worked as a physician, then the clinical specialty 1 hours plus the estimated non-clinical specialty 1 </w:t>
      </w:r>
      <w:proofErr w:type="gramStart"/>
      <w:r w:rsidR="00012DFB">
        <w:t>hours</w:t>
      </w:r>
      <w:proofErr w:type="gramEnd"/>
      <w:r w:rsidR="00012DFB">
        <w:t xml:space="preserve"> (only the black boxes) are used in the modelling for O&amp;G.</w:t>
      </w:r>
      <w:bookmarkStart w:id="252" w:name="_Ref444762889"/>
    </w:p>
    <w:p w:rsidR="00012DFB" w:rsidRDefault="00012DFB" w:rsidP="00012DFB">
      <w:pPr>
        <w:pStyle w:val="Caption"/>
        <w:spacing w:before="240"/>
        <w:rPr>
          <w:bCs w:val="0"/>
          <w:szCs w:val="22"/>
        </w:rPr>
      </w:pPr>
      <w:bookmarkStart w:id="253" w:name="_Toc515888872"/>
      <w:r w:rsidRPr="00B30D1E">
        <w:rPr>
          <w:szCs w:val="22"/>
        </w:rPr>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68</w:t>
      </w:r>
      <w:r>
        <w:rPr>
          <w:szCs w:val="22"/>
        </w:rPr>
        <w:fldChar w:fldCharType="end"/>
      </w:r>
      <w:bookmarkEnd w:id="252"/>
      <w:r>
        <w:rPr>
          <w:szCs w:val="22"/>
        </w:rPr>
        <w:t>:</w:t>
      </w:r>
      <w:r w:rsidRPr="00B30D1E">
        <w:rPr>
          <w:szCs w:val="22"/>
        </w:rPr>
        <w:t xml:space="preserve"> </w:t>
      </w:r>
      <w:r w:rsidRPr="00B30D1E">
        <w:rPr>
          <w:bCs w:val="0"/>
          <w:szCs w:val="22"/>
        </w:rPr>
        <w:t xml:space="preserve">Total specialty hours used in modelling </w:t>
      </w:r>
      <w:r>
        <w:rPr>
          <w:bCs w:val="0"/>
          <w:szCs w:val="22"/>
        </w:rPr>
        <w:t>–</w:t>
      </w:r>
      <w:r w:rsidRPr="00B30D1E">
        <w:rPr>
          <w:bCs w:val="0"/>
          <w:szCs w:val="22"/>
        </w:rPr>
        <w:t xml:space="preserve"> example</w:t>
      </w:r>
      <w:bookmarkEnd w:id="253"/>
    </w:p>
    <w:p w:rsidR="00B429C0" w:rsidRPr="00F17C93" w:rsidRDefault="00B429C0" w:rsidP="00012DFB">
      <w:pPr>
        <w:spacing w:before="0" w:after="0"/>
      </w:pPr>
      <w:r>
        <w:rPr>
          <w:noProof/>
          <w:lang w:eastAsia="en-AU"/>
        </w:rPr>
        <w:drawing>
          <wp:inline distT="0" distB="0" distL="0" distR="0" wp14:anchorId="4124E439" wp14:editId="3F543E51">
            <wp:extent cx="5401310" cy="2341245"/>
            <wp:effectExtent l="0" t="0" r="8890" b="0"/>
            <wp:docPr id="705" name="Picture 705" descr="This figure shows which hours contribute to supply in the projections utilising total specialist hours. In this example, if a practitioner indicated in specialty field 1 they worked in obstetrics and gynaecology and in specialty field 2 they worked as a physician, then the clinical specialty 1 hours plus the estimated non-clinical specialty 1 hours (only the black boxes) are used in the modelling for obstetrics and gynaecology." title="Figure 68: Total specialty hours used in modelling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1310" cy="2341245"/>
                    </a:xfrm>
                    <a:prstGeom prst="rect">
                      <a:avLst/>
                    </a:prstGeom>
                    <a:noFill/>
                  </pic:spPr>
                </pic:pic>
              </a:graphicData>
            </a:graphic>
          </wp:inline>
        </w:drawing>
      </w:r>
    </w:p>
    <w:p w:rsidR="00012DFB" w:rsidRDefault="00012DFB" w:rsidP="00012DFB">
      <w:pPr>
        <w:pStyle w:val="Heading2"/>
        <w:spacing w:before="0" w:after="0"/>
        <w:rPr>
          <w:color w:val="4F81BD" w:themeColor="accent1"/>
        </w:rPr>
      </w:pPr>
    </w:p>
    <w:p w:rsidR="00012DFB" w:rsidRDefault="00012DFB" w:rsidP="00012DFB">
      <w:pPr>
        <w:pStyle w:val="Heading2"/>
        <w:spacing w:before="0" w:after="0"/>
        <w:rPr>
          <w:rStyle w:val="apple-converted-space"/>
          <w:color w:val="4F81BD" w:themeColor="accent1"/>
          <w:shd w:val="clear" w:color="auto" w:fill="FFFFFF"/>
        </w:rPr>
        <w:sectPr w:rsidR="00012DFB" w:rsidSect="00561EB0">
          <w:pgSz w:w="11906" w:h="16838"/>
          <w:pgMar w:top="1247" w:right="1985" w:bottom="1247" w:left="1440" w:header="709" w:footer="709" w:gutter="0"/>
          <w:cols w:space="708"/>
          <w:titlePg/>
          <w:docGrid w:linePitch="360"/>
        </w:sectPr>
      </w:pPr>
    </w:p>
    <w:p w:rsidR="00206AFC" w:rsidRPr="00323216" w:rsidRDefault="00206AFC" w:rsidP="00323216">
      <w:pPr>
        <w:pStyle w:val="Heading2"/>
        <w:rPr>
          <w:rStyle w:val="apple-converted-space"/>
        </w:rPr>
      </w:pPr>
      <w:bookmarkStart w:id="254" w:name="_Toc521510476"/>
      <w:r w:rsidRPr="00323216">
        <w:rPr>
          <w:rStyle w:val="apple-converted-space"/>
        </w:rPr>
        <w:lastRenderedPageBreak/>
        <w:t>Appendix 5: Trainees and Intentions</w:t>
      </w:r>
      <w:bookmarkEnd w:id="254"/>
    </w:p>
    <w:p w:rsidR="00206AFC" w:rsidRDefault="00206AFC" w:rsidP="00206AFC">
      <w:pPr>
        <w:spacing w:before="0" w:after="0"/>
      </w:pPr>
      <w:r w:rsidRPr="00510174">
        <w:t>The</w:t>
      </w:r>
      <w:r>
        <w:t xml:space="preserve"> classification of trainees and those intending to train is based on the medical workforce survey. To be classified as a trainee the medical practitioner must answer survey question 26 indicating that they’re a current anaesthesia trainee they must also be;</w:t>
      </w:r>
    </w:p>
    <w:p w:rsidR="00206AFC" w:rsidRPr="0062361B" w:rsidRDefault="00206AFC" w:rsidP="00206AFC">
      <w:pPr>
        <w:pStyle w:val="ListParagraph"/>
        <w:numPr>
          <w:ilvl w:val="0"/>
          <w:numId w:val="30"/>
        </w:numPr>
      </w:pPr>
      <w:r>
        <w:t xml:space="preserve">registered as a medical practitioner and employed as a medical practitioner (see Figure 51) </w:t>
      </w:r>
    </w:p>
    <w:p w:rsidR="00206AFC" w:rsidRPr="00C5051A" w:rsidRDefault="00206AFC" w:rsidP="00206AFC">
      <w:pPr>
        <w:pStyle w:val="ListParagraph"/>
        <w:numPr>
          <w:ilvl w:val="0"/>
          <w:numId w:val="30"/>
        </w:numPr>
        <w:spacing w:before="0" w:after="0"/>
        <w:jc w:val="left"/>
        <w:rPr>
          <w:b/>
          <w:bCs/>
          <w:szCs w:val="22"/>
        </w:rPr>
      </w:pPr>
      <w:r>
        <w:t>The only exception is if they indicate on the survey that they’re also intending to train. If they have a current training year, then they’re classified as a trainee (</w:t>
      </w:r>
      <w:r w:rsidR="006F1988">
        <w:t>Figure 69</w:t>
      </w:r>
      <w:r>
        <w:t>).</w:t>
      </w:r>
    </w:p>
    <w:p w:rsidR="00206AFC" w:rsidRDefault="00206AFC" w:rsidP="00206AFC">
      <w:pPr>
        <w:pStyle w:val="Caption"/>
        <w:rPr>
          <w:szCs w:val="22"/>
        </w:rPr>
      </w:pPr>
    </w:p>
    <w:p w:rsidR="00DC6434" w:rsidRPr="003747ED" w:rsidRDefault="00DC6434" w:rsidP="000046FB">
      <w:pPr>
        <w:sectPr w:rsidR="00DC6434" w:rsidRPr="003747ED" w:rsidSect="00561EB0">
          <w:headerReference w:type="even" r:id="rId88"/>
          <w:headerReference w:type="default" r:id="rId89"/>
          <w:headerReference w:type="first" r:id="rId90"/>
          <w:pgSz w:w="11906" w:h="16838"/>
          <w:pgMar w:top="1247" w:right="1985" w:bottom="1247" w:left="1440" w:header="709" w:footer="709" w:gutter="0"/>
          <w:cols w:space="708"/>
          <w:titlePg/>
          <w:docGrid w:linePitch="360"/>
        </w:sectPr>
      </w:pPr>
    </w:p>
    <w:p w:rsidR="00206AFC" w:rsidRPr="00787CBE" w:rsidRDefault="00206AFC" w:rsidP="00206AFC">
      <w:pPr>
        <w:pStyle w:val="Caption"/>
        <w:rPr>
          <w:szCs w:val="22"/>
        </w:rPr>
      </w:pPr>
      <w:bookmarkStart w:id="255" w:name="_Toc515888873"/>
      <w:r w:rsidRPr="00787CBE">
        <w:rPr>
          <w:szCs w:val="22"/>
        </w:rPr>
        <w:lastRenderedPageBreak/>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69</w:t>
      </w:r>
      <w:r>
        <w:rPr>
          <w:szCs w:val="22"/>
        </w:rPr>
        <w:fldChar w:fldCharType="end"/>
      </w:r>
      <w:r>
        <w:rPr>
          <w:szCs w:val="22"/>
        </w:rPr>
        <w:t>:</w:t>
      </w:r>
      <w:r w:rsidRPr="00787CBE">
        <w:rPr>
          <w:szCs w:val="22"/>
        </w:rPr>
        <w:t xml:space="preserve"> </w:t>
      </w:r>
      <w:r>
        <w:rPr>
          <w:szCs w:val="22"/>
        </w:rPr>
        <w:t xml:space="preserve"> S</w:t>
      </w:r>
      <w:r w:rsidRPr="00787CBE">
        <w:rPr>
          <w:szCs w:val="22"/>
        </w:rPr>
        <w:t>urvey question related to current specialist training</w:t>
      </w:r>
      <w:bookmarkEnd w:id="255"/>
    </w:p>
    <w:p w:rsidR="00206AFC" w:rsidRDefault="00206AFC" w:rsidP="00206AFC">
      <w:pPr>
        <w:spacing w:before="0"/>
        <w:jc w:val="left"/>
        <w:rPr>
          <w:b/>
        </w:rPr>
      </w:pPr>
      <w:r>
        <w:rPr>
          <w:noProof/>
          <w:lang w:eastAsia="en-AU"/>
        </w:rPr>
        <w:drawing>
          <wp:inline distT="0" distB="0" distL="0" distR="0" wp14:anchorId="1DE77A93" wp14:editId="54562860">
            <wp:extent cx="2715544" cy="2504661"/>
            <wp:effectExtent l="0" t="0" r="8890" b="0"/>
            <wp:docPr id="686" name="Picture 686"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se?Responders are asked to refer to specialty fields table on page five of the survey, find the relevant specialty and enter the corresponding number of each specialty field in the box.  Responders can list up to two speciality fields." title="Figure 69:  Survey question related to current specialis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29832" cy="2517840"/>
                    </a:xfrm>
                    <a:prstGeom prst="rect">
                      <a:avLst/>
                    </a:prstGeom>
                    <a:noFill/>
                    <a:ln>
                      <a:noFill/>
                    </a:ln>
                  </pic:spPr>
                </pic:pic>
              </a:graphicData>
            </a:graphic>
          </wp:inline>
        </w:drawing>
      </w:r>
    </w:p>
    <w:p w:rsidR="00206AFC" w:rsidRDefault="00206AFC" w:rsidP="00206AFC">
      <w:pPr>
        <w:pStyle w:val="Caption"/>
        <w:rPr>
          <w:szCs w:val="22"/>
        </w:rPr>
      </w:pPr>
      <w:bookmarkStart w:id="256" w:name="_Toc515888874"/>
      <w:r w:rsidRPr="00787CBE">
        <w:rPr>
          <w:szCs w:val="22"/>
        </w:rPr>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70</w:t>
      </w:r>
      <w:r>
        <w:rPr>
          <w:szCs w:val="22"/>
        </w:rPr>
        <w:fldChar w:fldCharType="end"/>
      </w:r>
      <w:r>
        <w:rPr>
          <w:szCs w:val="22"/>
        </w:rPr>
        <w:t>:</w:t>
      </w:r>
      <w:r w:rsidRPr="00787CBE">
        <w:rPr>
          <w:szCs w:val="22"/>
        </w:rPr>
        <w:t xml:space="preserve"> </w:t>
      </w:r>
      <w:r>
        <w:rPr>
          <w:szCs w:val="22"/>
        </w:rPr>
        <w:t>Survey question relating to c</w:t>
      </w:r>
      <w:r w:rsidRPr="00787CBE">
        <w:rPr>
          <w:szCs w:val="22"/>
        </w:rPr>
        <w:t>urrent year of training program</w:t>
      </w:r>
      <w:bookmarkEnd w:id="256"/>
    </w:p>
    <w:p w:rsidR="00206AFC" w:rsidRDefault="00206AFC" w:rsidP="00206AFC">
      <w:pPr>
        <w:pStyle w:val="Caption"/>
        <w:jc w:val="left"/>
        <w:rPr>
          <w:b w:val="0"/>
          <w:szCs w:val="22"/>
        </w:rPr>
      </w:pPr>
      <w:r>
        <w:rPr>
          <w:noProof/>
          <w:lang w:eastAsia="en-AU"/>
        </w:rPr>
        <w:drawing>
          <wp:inline distT="0" distB="0" distL="0" distR="0" wp14:anchorId="5B3EE391" wp14:editId="16AD0BF8">
            <wp:extent cx="2719346" cy="2510435"/>
            <wp:effectExtent l="0" t="0" r="5080" b="4445"/>
            <wp:docPr id="14" name="Picture 14" descr="Question tweny eight of survey asks What year of your training program(s) are you in?  The survey has options for two specialty fields including:&#10;Speciality Field 1, 1st year, 2nd year, 3rd year, 4th year, 5th year, 6th year, 7th year, 8th year.&#10;Speciality Field 2, 1st year, 2nd year, 3rd year, 4th year, 5th year, 6th year, 7th year, 8th year." title="Figure 70: Survey question relating to current year of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26797" cy="2517313"/>
                    </a:xfrm>
                    <a:prstGeom prst="rect">
                      <a:avLst/>
                    </a:prstGeom>
                    <a:noFill/>
                    <a:ln>
                      <a:noFill/>
                    </a:ln>
                  </pic:spPr>
                </pic:pic>
              </a:graphicData>
            </a:graphic>
          </wp:inline>
        </w:drawing>
      </w:r>
    </w:p>
    <w:p w:rsidR="00206AFC" w:rsidRDefault="00206AFC" w:rsidP="00206AFC">
      <w:pPr>
        <w:sectPr w:rsidR="00206AFC" w:rsidSect="00561EB0">
          <w:type w:val="continuous"/>
          <w:pgSz w:w="11906" w:h="16838"/>
          <w:pgMar w:top="1247" w:right="1985" w:bottom="1247" w:left="1440" w:header="709" w:footer="709" w:gutter="0"/>
          <w:cols w:num="2" w:space="708"/>
          <w:titlePg/>
          <w:docGrid w:linePitch="360"/>
        </w:sectPr>
      </w:pPr>
    </w:p>
    <w:p w:rsidR="00206AFC" w:rsidRDefault="00206AFC" w:rsidP="00206AFC">
      <w:pPr>
        <w:rPr>
          <w:b/>
        </w:rPr>
      </w:pPr>
      <w:r>
        <w:lastRenderedPageBreak/>
        <w:t xml:space="preserve">To be classified as intending to train the medical practitioner needs to answer question 16 indicating that </w:t>
      </w:r>
      <w:r w:rsidR="004B7F94">
        <w:t xml:space="preserve">they are </w:t>
      </w:r>
      <w:r>
        <w:t>intending to undertake training as a specialist and answer question 17 to indicate that they intend to train as an anaesthetists.</w:t>
      </w:r>
      <w:r>
        <w:rPr>
          <w:b/>
        </w:rPr>
        <w:t xml:space="preserve"> </w:t>
      </w:r>
    </w:p>
    <w:p w:rsidR="00206AFC" w:rsidRPr="00787CBE" w:rsidRDefault="00206AFC" w:rsidP="00206AFC">
      <w:pPr>
        <w:pStyle w:val="Caption"/>
        <w:rPr>
          <w:szCs w:val="22"/>
        </w:rPr>
      </w:pPr>
      <w:bookmarkStart w:id="257" w:name="_Toc515888875"/>
      <w:r w:rsidRPr="00787CBE">
        <w:rPr>
          <w:szCs w:val="22"/>
        </w:rPr>
        <w:t xml:space="preserve">Figure </w:t>
      </w:r>
      <w:r>
        <w:rPr>
          <w:szCs w:val="22"/>
        </w:rPr>
        <w:fldChar w:fldCharType="begin"/>
      </w:r>
      <w:r>
        <w:rPr>
          <w:szCs w:val="22"/>
        </w:rPr>
        <w:instrText xml:space="preserve"> SEQ Figure \* ARABIC </w:instrText>
      </w:r>
      <w:r>
        <w:rPr>
          <w:szCs w:val="22"/>
        </w:rPr>
        <w:fldChar w:fldCharType="separate"/>
      </w:r>
      <w:r w:rsidR="008C7087">
        <w:rPr>
          <w:noProof/>
          <w:szCs w:val="22"/>
        </w:rPr>
        <w:t>71</w:t>
      </w:r>
      <w:r>
        <w:rPr>
          <w:szCs w:val="22"/>
        </w:rPr>
        <w:fldChar w:fldCharType="end"/>
      </w:r>
      <w:r>
        <w:rPr>
          <w:szCs w:val="22"/>
        </w:rPr>
        <w:t>:</w:t>
      </w:r>
      <w:r w:rsidRPr="00787CBE">
        <w:rPr>
          <w:szCs w:val="22"/>
        </w:rPr>
        <w:t xml:space="preserve"> </w:t>
      </w:r>
      <w:r>
        <w:rPr>
          <w:szCs w:val="22"/>
        </w:rPr>
        <w:t>Survey questions relating to i</w:t>
      </w:r>
      <w:r w:rsidRPr="00787CBE">
        <w:rPr>
          <w:szCs w:val="22"/>
        </w:rPr>
        <w:t>ntending to train</w:t>
      </w:r>
      <w:bookmarkEnd w:id="257"/>
      <w:r w:rsidRPr="00787CBE">
        <w:rPr>
          <w:szCs w:val="22"/>
        </w:rPr>
        <w:t xml:space="preserve"> </w:t>
      </w:r>
    </w:p>
    <w:p w:rsidR="003A0850" w:rsidRDefault="003A0850" w:rsidP="00206AFC">
      <w:pPr>
        <w:jc w:val="left"/>
        <w:rPr>
          <w:b/>
          <w:szCs w:val="22"/>
        </w:rPr>
      </w:pPr>
      <w:r w:rsidRPr="003A0850">
        <w:rPr>
          <w:noProof/>
          <w:lang w:eastAsia="en-AU"/>
        </w:rPr>
        <w:drawing>
          <wp:inline distT="0" distB="0" distL="0" distR="0" wp14:anchorId="1B3A48B4" wp14:editId="2603EA5F">
            <wp:extent cx="3057525" cy="1905000"/>
            <wp:effectExtent l="0" t="0" r="0" b="0"/>
            <wp:docPr id="716" name="Picture 716" descr="Survey question sixteen asks Do you intend to undertake speciality training? Responder options include yes or no.&#10;To be classified as intending to train the medical practitioner needs to answer question 16 indicating that they are intending to undertake training as a specialist and answer question 17 to indicate that they intend to train as an anaesthetist." title="Figure 71: Survey questions relating to intending to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6977" r="42058"/>
                    <a:stretch/>
                  </pic:blipFill>
                  <pic:spPr bwMode="auto">
                    <a:xfrm>
                      <a:off x="0" y="0"/>
                      <a:ext cx="3057525"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206AFC" w:rsidRDefault="00206AFC" w:rsidP="00245A7F">
      <w:pPr>
        <w:pStyle w:val="Heading2"/>
        <w:spacing w:before="0" w:after="0"/>
        <w:rPr>
          <w:rFonts w:cs="Times New Roman"/>
          <w:color w:val="4F81BD" w:themeColor="accent1"/>
        </w:rPr>
        <w:sectPr w:rsidR="00206AFC" w:rsidSect="00561EB0">
          <w:pgSz w:w="11906" w:h="16838"/>
          <w:pgMar w:top="1247" w:right="1985" w:bottom="1247" w:left="1440" w:header="709" w:footer="709" w:gutter="0"/>
          <w:cols w:space="708"/>
          <w:titlePg/>
          <w:docGrid w:linePitch="360"/>
        </w:sectPr>
      </w:pPr>
    </w:p>
    <w:p w:rsidR="00323216" w:rsidRDefault="00323216">
      <w:pPr>
        <w:spacing w:before="0" w:after="0"/>
        <w:jc w:val="left"/>
        <w:rPr>
          <w:b/>
          <w:bCs/>
          <w:iCs/>
          <w:color w:val="1F497D" w:themeColor="text2"/>
          <w:sz w:val="28"/>
          <w:szCs w:val="28"/>
        </w:rPr>
      </w:pPr>
      <w:r>
        <w:lastRenderedPageBreak/>
        <w:br w:type="page"/>
      </w:r>
    </w:p>
    <w:p w:rsidR="00D55AB0" w:rsidRPr="00577982" w:rsidRDefault="00245A7F" w:rsidP="00245A7F">
      <w:pPr>
        <w:pStyle w:val="Heading2"/>
        <w:spacing w:before="0" w:after="0"/>
        <w:rPr>
          <w:rFonts w:cs="Times New Roman"/>
        </w:rPr>
      </w:pPr>
      <w:bookmarkStart w:id="258" w:name="_Toc521510477"/>
      <w:r w:rsidRPr="00577982">
        <w:rPr>
          <w:rFonts w:cs="Times New Roman"/>
        </w:rPr>
        <w:lastRenderedPageBreak/>
        <w:t xml:space="preserve">Appendix </w:t>
      </w:r>
      <w:r w:rsidR="00206AFC" w:rsidRPr="00577982">
        <w:rPr>
          <w:rFonts w:cs="Times New Roman"/>
        </w:rPr>
        <w:t>6</w:t>
      </w:r>
      <w:r w:rsidRPr="00577982">
        <w:rPr>
          <w:rFonts w:cs="Times New Roman"/>
        </w:rPr>
        <w:t xml:space="preserve">: </w:t>
      </w:r>
      <w:r w:rsidR="00D55AB0" w:rsidRPr="00577982">
        <w:rPr>
          <w:rFonts w:cs="Times New Roman"/>
        </w:rPr>
        <w:t>Assisted Reproductive Technology</w:t>
      </w:r>
      <w:bookmarkEnd w:id="258"/>
      <w:r w:rsidR="00D55AB0" w:rsidRPr="00577982">
        <w:rPr>
          <w:rFonts w:cs="Times New Roman"/>
        </w:rPr>
        <w:t xml:space="preserve"> </w:t>
      </w:r>
    </w:p>
    <w:p w:rsidR="00D55AB0" w:rsidRDefault="00D55AB0" w:rsidP="00935B89">
      <w:pPr>
        <w:pStyle w:val="Heading3"/>
      </w:pPr>
      <w:r>
        <w:t>Background</w:t>
      </w:r>
    </w:p>
    <w:p w:rsidR="00D55AB0" w:rsidRDefault="00D55AB0" w:rsidP="00D55AB0">
      <w:pPr>
        <w:rPr>
          <w:szCs w:val="22"/>
        </w:rPr>
      </w:pPr>
      <w:r>
        <w:rPr>
          <w:szCs w:val="22"/>
        </w:rPr>
        <w:t xml:space="preserve">Assisted reproductive technology (ART) </w:t>
      </w:r>
      <w:r w:rsidRPr="00571BF5">
        <w:t>services include a range of treatments to achieve pregnancy, involving laboratory or clinical techniques.</w:t>
      </w:r>
      <w:r>
        <w:t xml:space="preserve"> </w:t>
      </w:r>
      <w:r>
        <w:rPr>
          <w:szCs w:val="22"/>
        </w:rPr>
        <w:t>ART is a group of procedures that involve the in vitro (outside of body) handling of human oocytes (eggs) and sperm or embryos for the purposes of establishing a pregnancy. Each ART treatment involves a number of stages and is generally referred to as an ART treatment cycle. The embryos transferred to a women can either originate from the cycle in which they were created (fresh cycle) or be frozen and thawed before transfer (thaw cycle)</w:t>
      </w:r>
      <w:r>
        <w:rPr>
          <w:rStyle w:val="FootnoteReference"/>
          <w:szCs w:val="22"/>
        </w:rPr>
        <w:footnoteReference w:id="10"/>
      </w:r>
      <w:r>
        <w:rPr>
          <w:szCs w:val="22"/>
        </w:rPr>
        <w:t xml:space="preserve">. </w:t>
      </w:r>
    </w:p>
    <w:p w:rsidR="00D55AB0" w:rsidRDefault="00D55AB0" w:rsidP="00D55AB0">
      <w:pPr>
        <w:pStyle w:val="Default"/>
        <w:jc w:val="both"/>
        <w:rPr>
          <w:sz w:val="22"/>
          <w:szCs w:val="22"/>
        </w:rPr>
      </w:pPr>
      <w:r>
        <w:rPr>
          <w:sz w:val="22"/>
          <w:szCs w:val="22"/>
        </w:rPr>
        <w:t xml:space="preserve">For most of the analysis represented in the Assisted Reproductive Technology section of this report, the 2010 to 2015 </w:t>
      </w:r>
      <w:r w:rsidRPr="006F1988">
        <w:rPr>
          <w:sz w:val="22"/>
          <w:szCs w:val="22"/>
        </w:rPr>
        <w:t xml:space="preserve">Assisted Reproductive Technology in Australia and New Zealand </w:t>
      </w:r>
      <w:r>
        <w:rPr>
          <w:sz w:val="22"/>
          <w:szCs w:val="22"/>
        </w:rPr>
        <w:t>Annual Report’s information and data has been used. The data reported is combined for Australia and New Zealand (noting that New Zealand represent less than 10 per cent of all treatment cycles).</w:t>
      </w:r>
    </w:p>
    <w:p w:rsidR="00D55AB0" w:rsidRDefault="00D55AB0" w:rsidP="00935B89">
      <w:pPr>
        <w:pStyle w:val="Heading3"/>
      </w:pPr>
      <w:r>
        <w:t>Number of initiated ART treatment cycles</w:t>
      </w:r>
    </w:p>
    <w:p w:rsidR="00D55AB0" w:rsidRPr="0024549A" w:rsidRDefault="00D55AB0" w:rsidP="00D55AB0">
      <w:pPr>
        <w:pStyle w:val="Default"/>
        <w:jc w:val="both"/>
        <w:rPr>
          <w:sz w:val="22"/>
          <w:szCs w:val="22"/>
        </w:rPr>
      </w:pPr>
      <w:r>
        <w:rPr>
          <w:sz w:val="22"/>
          <w:szCs w:val="22"/>
        </w:rPr>
        <w:t>In 2015 there were 77,721 ART treatment cycles reported from Australian and New Zealand clinics (71,479 and 6,242 respectively) representing a 5.6 per cent increase in Australia from 2014. This represented 14.4 cycles per 1,000 women of reproductive age (15–44 years) in Australia. Women used their own oocytes or embryos (autologous cycles) in 94.5 per cent (45,995) of treatments. Embryos that had been frozen and thawed were used in 37.4 per cent (27,486) of autologous cycles</w:t>
      </w:r>
      <w:r w:rsidRPr="003A3C10">
        <w:rPr>
          <w:sz w:val="22"/>
          <w:szCs w:val="22"/>
          <w:vertAlign w:val="superscript"/>
        </w:rPr>
        <w:t>4</w:t>
      </w:r>
      <w:r>
        <w:rPr>
          <w:sz w:val="22"/>
          <w:szCs w:val="22"/>
        </w:rPr>
        <w:t>.</w:t>
      </w:r>
    </w:p>
    <w:p w:rsidR="00D55AB0" w:rsidRDefault="00D55AB0" w:rsidP="004831A3">
      <w:pPr>
        <w:pStyle w:val="Caption"/>
        <w:keepNext/>
        <w:spacing w:before="120"/>
      </w:pPr>
      <w:bookmarkStart w:id="259" w:name="_Toc515888876"/>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72</w:t>
      </w:r>
      <w:r w:rsidR="00556A17">
        <w:rPr>
          <w:noProof/>
        </w:rPr>
        <w:fldChar w:fldCharType="end"/>
      </w:r>
      <w:r>
        <w:t xml:space="preserve">: </w:t>
      </w:r>
      <w:r w:rsidRPr="00170984">
        <w:t>Number of initiated ART cycles</w:t>
      </w:r>
      <w:r>
        <w:t xml:space="preserve">, </w:t>
      </w:r>
      <w:r w:rsidRPr="00170984">
        <w:t>2010 - 2015</w:t>
      </w:r>
      <w:bookmarkEnd w:id="259"/>
    </w:p>
    <w:p w:rsidR="003A0850" w:rsidRDefault="003A0850" w:rsidP="00D55AB0">
      <w:pPr>
        <w:keepNext/>
      </w:pPr>
      <w:r>
        <w:rPr>
          <w:noProof/>
          <w:lang w:eastAsia="en-AU"/>
        </w:rPr>
        <w:drawing>
          <wp:inline distT="0" distB="0" distL="0" distR="0" wp14:anchorId="4F0307F8" wp14:editId="425592E7">
            <wp:extent cx="5541645" cy="2414270"/>
            <wp:effectExtent l="0" t="0" r="1905" b="5080"/>
            <wp:docPr id="733" name="Picture 733" descr="In 2015 there were 77,721 ART treatment cycles reported from Australian and New Zealand clinics (71,479 and 6,242 respectively) representing a 5.6 per cent increase in Australia from 2014. This represented 14.4 cycles per 1,000 women of reproductive age (15–44 years) in Australia. Women used their own oocytes or embryos (autologous cycles) in 94.5 per cent (45,995) of treatments. Embryos that had been frozen and thawed were used in 37.4 per cent (27,486) of autologous cycles." title="Figure 72: Number of initiated assisted reproductive technology cycles, 2010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p>
    <w:p w:rsidR="00D55AB0" w:rsidRDefault="00D55AB0" w:rsidP="004831A3">
      <w:pPr>
        <w:pStyle w:val="Heading3"/>
        <w:spacing w:before="120"/>
      </w:pPr>
      <w:r>
        <w:t>Autologous fresh cycles</w:t>
      </w:r>
    </w:p>
    <w:p w:rsidR="00D55AB0" w:rsidRDefault="00D55AB0" w:rsidP="00D55AB0">
      <w:pPr>
        <w:pStyle w:val="Default"/>
        <w:rPr>
          <w:sz w:val="22"/>
          <w:szCs w:val="22"/>
        </w:rPr>
      </w:pPr>
      <w:r>
        <w:rPr>
          <w:sz w:val="22"/>
          <w:szCs w:val="22"/>
        </w:rPr>
        <w:t>In 2015 there were 39,006 women who undertook 73,481 autologous fresh and/or thaw cycles in Australia and New Zealand. On average, 1.9 fresh and/or thaw cycles per woman</w:t>
      </w:r>
      <w:r w:rsidRPr="003A3C10">
        <w:rPr>
          <w:sz w:val="22"/>
          <w:szCs w:val="22"/>
          <w:vertAlign w:val="superscript"/>
        </w:rPr>
        <w:t>4</w:t>
      </w:r>
      <w:r>
        <w:rPr>
          <w:sz w:val="22"/>
          <w:szCs w:val="22"/>
        </w:rPr>
        <w:t>.</w:t>
      </w:r>
    </w:p>
    <w:p w:rsidR="00D55AB0" w:rsidRDefault="00D55AB0" w:rsidP="00935B89">
      <w:pPr>
        <w:pStyle w:val="Heading4"/>
      </w:pPr>
      <w:r>
        <w:t>Progression</w:t>
      </w:r>
    </w:p>
    <w:p w:rsidR="00D55AB0" w:rsidRDefault="00D55AB0" w:rsidP="00D55AB0">
      <w:r>
        <w:t xml:space="preserve">The following figure shows the main stage of autologous fresh cycles and the resulting treatment outcomes over the last five years. As can be ascertained from the figure the </w:t>
      </w:r>
      <w:r>
        <w:lastRenderedPageBreak/>
        <w:t xml:space="preserve">initiated cycles and cycles with Oocyte Pick-Up (OPU) have both grown at similar rates over the five year period (approximately 4.4 per cent) while the resulting treatment outcomes have seen a decline in growth (approximately 1.5 per cent). </w:t>
      </w:r>
    </w:p>
    <w:p w:rsidR="00D55AB0" w:rsidRPr="000F0E89" w:rsidRDefault="00D55AB0" w:rsidP="00D55AB0">
      <w:r>
        <w:t xml:space="preserve">In 2015, of the 45,995 initiated autologous fresh cycles, 90.8 per cent had OPU performed, 58.8 per cent had embryos transferred. 17.8 per cent resulted in a clinical pregnancy; and 13.9 per cent resulted in a live delivery. A treatment can be discontinued for a variety of reasons, including inadequate response of ovaries to medication, excessive ovarian simulation, failure to obtain oocytes, failure of oocyte fertilisation, inadequate embryo growth or patient choice. </w:t>
      </w:r>
    </w:p>
    <w:p w:rsidR="00D55AB0" w:rsidRDefault="00D55AB0" w:rsidP="00D55AB0">
      <w:pPr>
        <w:pStyle w:val="Caption"/>
        <w:keepNext/>
      </w:pPr>
      <w:bookmarkStart w:id="260" w:name="_Toc515888877"/>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73</w:t>
      </w:r>
      <w:r w:rsidR="00556A17">
        <w:rPr>
          <w:noProof/>
        </w:rPr>
        <w:fldChar w:fldCharType="end"/>
      </w:r>
      <w:r>
        <w:t>: Progression of autologous fresh cycles 2010-2015</w:t>
      </w:r>
      <w:bookmarkEnd w:id="260"/>
    </w:p>
    <w:p w:rsidR="00807A90" w:rsidRDefault="00807A90" w:rsidP="00D55AB0">
      <w:r>
        <w:rPr>
          <w:noProof/>
          <w:lang w:eastAsia="en-AU"/>
        </w:rPr>
        <w:drawing>
          <wp:inline distT="0" distB="0" distL="0" distR="0" wp14:anchorId="67F191A4" wp14:editId="396D25BB">
            <wp:extent cx="5541645" cy="2414270"/>
            <wp:effectExtent l="0" t="0" r="1905" b="5080"/>
            <wp:docPr id="735" name="Picture 735" descr="This figure shows the main stage of autologous fresh cycles and the resulting treatment outcomes over the last five years. The initiated cycles and cycles with Oocyte Pick-Up have both grown at similar rates over the five year period (approximately 4.4 per cent) while the resulting treatment outcomes have seen a decline in growth (approximately 1.5 per cent). &#10;&#10;In 2015, of the 45,995 initiated autologous fresh cycles, 90.8 per cent had Oocyte Pick-Up performed, 58.8 per cent had embryos transferred. 17.8 per cent resulted in a clinical pregnancy; and 13.9 per cent resulted in a live delivery. A treatment can be discontinued for a variety of reasons, including inadequate response of ovaries to medication, excessive ovarian simulation, failure to obtain oocytes, failure of oocyte fertilisation, inadequate embryo growth or patient choice." title="Figure 73: Progression of autologous fresh cycles 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41645" cy="2414270"/>
                    </a:xfrm>
                    <a:prstGeom prst="rect">
                      <a:avLst/>
                    </a:prstGeom>
                    <a:noFill/>
                  </pic:spPr>
                </pic:pic>
              </a:graphicData>
            </a:graphic>
          </wp:inline>
        </w:drawing>
      </w:r>
    </w:p>
    <w:p w:rsidR="00D55AB0" w:rsidRDefault="00D55AB0" w:rsidP="00935B89">
      <w:pPr>
        <w:pStyle w:val="Heading4"/>
      </w:pPr>
      <w:r>
        <w:t>Outcomes by Causes of infertility</w:t>
      </w:r>
    </w:p>
    <w:p w:rsidR="00D55AB0" w:rsidRDefault="00D55AB0" w:rsidP="00D55AB0">
      <w:pPr>
        <w:rPr>
          <w:szCs w:val="22"/>
        </w:rPr>
      </w:pPr>
      <w:r>
        <w:rPr>
          <w:szCs w:val="22"/>
        </w:rPr>
        <w:t>Infertility affects approximately 15 per cent of women of reproductive age at any given time, representing, the source of much personal suffering to millions around the world</w:t>
      </w:r>
      <w:r>
        <w:rPr>
          <w:rStyle w:val="FootnoteReference"/>
          <w:szCs w:val="22"/>
        </w:rPr>
        <w:footnoteReference w:id="11"/>
      </w:r>
      <w:r>
        <w:rPr>
          <w:szCs w:val="22"/>
        </w:rPr>
        <w:t>. The common medical definition of ‘infertility’ is the failure to achieve a clinical pregnancy after 12 or more months of regular unprotected sexual intercourse</w:t>
      </w:r>
      <w:r>
        <w:rPr>
          <w:rStyle w:val="FootnoteReference"/>
          <w:szCs w:val="22"/>
        </w:rPr>
        <w:footnoteReference w:id="12"/>
      </w:r>
      <w:r>
        <w:rPr>
          <w:szCs w:val="22"/>
        </w:rPr>
        <w:t>. Infertility is increasingly being overcome through advancements in fertility treatment, in particular ARTs. ARTs have evolved over the last four decades into a suite of mainstream medical interventions that have resulted in the birth of more than six million children worldwide</w:t>
      </w:r>
      <w:r>
        <w:rPr>
          <w:rStyle w:val="FootnoteReference"/>
          <w:szCs w:val="22"/>
        </w:rPr>
        <w:footnoteReference w:id="13"/>
      </w:r>
      <w:r>
        <w:rPr>
          <w:szCs w:val="22"/>
        </w:rPr>
        <w:t>. The most recent national estimates indicate that 4.3 per cent of all women who gave birth in Australia in 2014 received some form of ART treatment</w:t>
      </w:r>
      <w:r>
        <w:rPr>
          <w:rStyle w:val="FootnoteReference"/>
          <w:szCs w:val="22"/>
        </w:rPr>
        <w:footnoteReference w:id="14"/>
      </w:r>
      <w:r>
        <w:rPr>
          <w:szCs w:val="22"/>
        </w:rPr>
        <w:t>.</w:t>
      </w:r>
    </w:p>
    <w:p w:rsidR="00A87520" w:rsidRDefault="00D55AB0" w:rsidP="00D55AB0">
      <w:pPr>
        <w:rPr>
          <w:szCs w:val="22"/>
        </w:rPr>
      </w:pPr>
      <w:r>
        <w:rPr>
          <w:szCs w:val="22"/>
        </w:rPr>
        <w:t xml:space="preserve">The following table outlines the number of initiated cycles of autologous fresh cycles by cause of infertility. Across the five years cycles that reported with endometriosis and male factor infertility as the only cause of infertility had the greatest number of live deliveries; in 2015 this corresponded to 21 per cent and 20 per cent respectively. </w:t>
      </w:r>
    </w:p>
    <w:p w:rsidR="00A87520" w:rsidRDefault="00A87520">
      <w:pPr>
        <w:spacing w:before="0" w:after="0"/>
        <w:jc w:val="left"/>
        <w:rPr>
          <w:szCs w:val="22"/>
        </w:rPr>
      </w:pPr>
      <w:r>
        <w:rPr>
          <w:szCs w:val="22"/>
        </w:rPr>
        <w:br w:type="page"/>
      </w:r>
    </w:p>
    <w:p w:rsidR="00D55AB0" w:rsidRDefault="00D55AB0" w:rsidP="00D55AB0">
      <w:pPr>
        <w:pStyle w:val="Caption"/>
        <w:keepNext/>
      </w:pPr>
      <w:bookmarkStart w:id="261" w:name="_Toc515887843"/>
      <w:r>
        <w:lastRenderedPageBreak/>
        <w:t xml:space="preserve">Table </w:t>
      </w:r>
      <w:r w:rsidR="00556A17">
        <w:rPr>
          <w:noProof/>
        </w:rPr>
        <w:fldChar w:fldCharType="begin"/>
      </w:r>
      <w:r w:rsidR="00556A17">
        <w:rPr>
          <w:noProof/>
        </w:rPr>
        <w:instrText xml:space="preserve"> SEQ Table \* ARABIC </w:instrText>
      </w:r>
      <w:r w:rsidR="00556A17">
        <w:rPr>
          <w:noProof/>
        </w:rPr>
        <w:fldChar w:fldCharType="separate"/>
      </w:r>
      <w:r w:rsidR="008C7087">
        <w:rPr>
          <w:noProof/>
        </w:rPr>
        <w:t>22</w:t>
      </w:r>
      <w:r w:rsidR="00556A17">
        <w:rPr>
          <w:noProof/>
        </w:rPr>
        <w:fldChar w:fldCharType="end"/>
      </w:r>
      <w:r>
        <w:t>: Initiated cycles (number) of autologous fresh cycles by cause of infertility</w:t>
      </w:r>
      <w:bookmarkEnd w:id="261"/>
    </w:p>
    <w:tbl>
      <w:tblPr>
        <w:tblStyle w:val="TableGrid"/>
        <w:tblW w:w="5000" w:type="pct"/>
        <w:tblBorders>
          <w:insideH w:val="none" w:sz="0" w:space="0" w:color="auto"/>
          <w:insideV w:val="none" w:sz="0" w:space="0" w:color="auto"/>
        </w:tblBorders>
        <w:tblLook w:val="04A0" w:firstRow="1" w:lastRow="0" w:firstColumn="1" w:lastColumn="0" w:noHBand="0" w:noVBand="1"/>
        <w:tblCaption w:val="Table 22: Initiated cycles (number) of autologous fresh cycles by cause of infertility"/>
        <w:tblDescription w:val="The table outlines the number of initiated cycles of autologous fresh cycles by cause of infertility. Across the five years cycles that reported with endometriosis and male factor infertility as the only cause of infertility had the greatest number of live deliveries; in 2015 this corresponded to 21 per cent and 20 per cent respectively. "/>
      </w:tblPr>
      <w:tblGrid>
        <w:gridCol w:w="3235"/>
        <w:gridCol w:w="912"/>
        <w:gridCol w:w="911"/>
        <w:gridCol w:w="911"/>
        <w:gridCol w:w="911"/>
        <w:gridCol w:w="911"/>
        <w:gridCol w:w="906"/>
      </w:tblGrid>
      <w:tr w:rsidR="004A2BB5" w:rsidTr="004A2BB5">
        <w:trPr>
          <w:tblHeader/>
        </w:trPr>
        <w:tc>
          <w:tcPr>
            <w:tcW w:w="1859" w:type="pct"/>
            <w:shd w:val="clear" w:color="auto" w:fill="1F497D"/>
            <w:vAlign w:val="center"/>
          </w:tcPr>
          <w:p w:rsidR="004A2BB5" w:rsidRPr="00C3495D" w:rsidRDefault="004A2BB5" w:rsidP="009A38EA">
            <w:pPr>
              <w:spacing w:before="0" w:after="0"/>
              <w:jc w:val="left"/>
              <w:rPr>
                <w:rFonts w:cs="Arial"/>
                <w:b/>
                <w:bCs/>
                <w:color w:val="FFFFFF"/>
                <w:sz w:val="20"/>
                <w:szCs w:val="20"/>
                <w:lang w:eastAsia="en-AU"/>
              </w:rPr>
            </w:pPr>
            <w:r w:rsidRPr="00C3495D">
              <w:rPr>
                <w:rFonts w:cs="Arial"/>
                <w:b/>
                <w:bCs/>
                <w:color w:val="FFFFFF"/>
                <w:sz w:val="20"/>
                <w:szCs w:val="20"/>
                <w:lang w:eastAsia="en-AU"/>
              </w:rPr>
              <w:t>Cause of infertility</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2010</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2011</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2012</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2013</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2014</w:t>
            </w:r>
          </w:p>
        </w:tc>
        <w:tc>
          <w:tcPr>
            <w:tcW w:w="524" w:type="pct"/>
            <w:shd w:val="clear" w:color="auto" w:fill="1F497D"/>
            <w:vAlign w:val="center"/>
          </w:tcPr>
          <w:p w:rsidR="004A2BB5" w:rsidRPr="00C3495D" w:rsidRDefault="004A2BB5" w:rsidP="009A38EA">
            <w:pPr>
              <w:spacing w:before="0" w:after="0"/>
              <w:jc w:val="right"/>
              <w:rPr>
                <w:rFonts w:cs="Arial"/>
                <w:b/>
                <w:bCs/>
                <w:color w:val="FFFFFF"/>
                <w:sz w:val="20"/>
                <w:szCs w:val="20"/>
                <w:lang w:eastAsia="en-AU"/>
              </w:rPr>
            </w:pPr>
            <w:r w:rsidRPr="00C3495D">
              <w:rPr>
                <w:rFonts w:cs="Arial"/>
                <w:b/>
                <w:bCs/>
                <w:color w:val="FFFFFF"/>
                <w:sz w:val="20"/>
                <w:szCs w:val="20"/>
                <w:lang w:eastAsia="en-AU"/>
              </w:rPr>
              <w:t>2015</w:t>
            </w:r>
          </w:p>
        </w:tc>
      </w:tr>
      <w:tr w:rsidR="004A2BB5" w:rsidTr="004A2BB5">
        <w:tc>
          <w:tcPr>
            <w:tcW w:w="1859" w:type="pct"/>
            <w:vAlign w:val="center"/>
          </w:tcPr>
          <w:p w:rsidR="004A2BB5" w:rsidRPr="00C3495D" w:rsidRDefault="004A2BB5" w:rsidP="009A38EA">
            <w:pPr>
              <w:spacing w:before="0" w:after="0"/>
              <w:jc w:val="left"/>
              <w:rPr>
                <w:rFonts w:cs="Arial"/>
                <w:color w:val="000000"/>
                <w:sz w:val="20"/>
                <w:szCs w:val="20"/>
                <w:lang w:eastAsia="en-AU"/>
              </w:rPr>
            </w:pPr>
            <w:r w:rsidRPr="00C3495D">
              <w:rPr>
                <w:rFonts w:cs="Arial"/>
                <w:color w:val="000000"/>
                <w:sz w:val="20"/>
                <w:szCs w:val="20"/>
                <w:lang w:eastAsia="en-AU"/>
              </w:rPr>
              <w:t>Male factor only</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8,180</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9,252</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9,549</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8,941</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8,537</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7,031</w:t>
            </w:r>
          </w:p>
        </w:tc>
      </w:tr>
      <w:tr w:rsidR="004A2BB5" w:rsidTr="004A2BB5">
        <w:tc>
          <w:tcPr>
            <w:tcW w:w="1859" w:type="pct"/>
            <w:shd w:val="clear" w:color="auto" w:fill="D3DFEE"/>
            <w:vAlign w:val="center"/>
          </w:tcPr>
          <w:p w:rsidR="004A2BB5" w:rsidRPr="00C3495D" w:rsidRDefault="004A2BB5" w:rsidP="009A38EA">
            <w:pPr>
              <w:spacing w:before="0" w:after="0"/>
              <w:jc w:val="left"/>
              <w:rPr>
                <w:rFonts w:cs="Arial"/>
                <w:color w:val="000000"/>
                <w:sz w:val="20"/>
                <w:szCs w:val="20"/>
                <w:lang w:eastAsia="en-AU"/>
              </w:rPr>
            </w:pPr>
            <w:r w:rsidRPr="00C3495D">
              <w:rPr>
                <w:rFonts w:cs="Arial"/>
                <w:color w:val="000000"/>
                <w:sz w:val="20"/>
                <w:szCs w:val="20"/>
                <w:lang w:eastAsia="en-AU"/>
              </w:rPr>
              <w:t>Female factor</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13,672</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11,639</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12,158</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12,034</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13,143</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15,513</w:t>
            </w:r>
          </w:p>
        </w:tc>
      </w:tr>
      <w:tr w:rsidR="004A2BB5" w:rsidTr="004A2BB5">
        <w:tc>
          <w:tcPr>
            <w:tcW w:w="1859" w:type="pct"/>
            <w:vAlign w:val="center"/>
          </w:tcPr>
          <w:p w:rsidR="004A2BB5" w:rsidRPr="00C3495D" w:rsidRDefault="004A2BB5" w:rsidP="004A2BB5">
            <w:pPr>
              <w:spacing w:before="0" w:after="0"/>
              <w:ind w:left="170"/>
              <w:jc w:val="left"/>
              <w:rPr>
                <w:rFonts w:cs="Arial"/>
                <w:i/>
                <w:iCs/>
                <w:color w:val="000000"/>
                <w:sz w:val="20"/>
                <w:szCs w:val="20"/>
                <w:lang w:eastAsia="en-AU"/>
              </w:rPr>
            </w:pPr>
            <w:r w:rsidRPr="00C3495D">
              <w:rPr>
                <w:rFonts w:cs="Arial"/>
                <w:i/>
                <w:iCs/>
                <w:color w:val="000000"/>
                <w:sz w:val="20"/>
                <w:szCs w:val="20"/>
                <w:lang w:eastAsia="en-AU"/>
              </w:rPr>
              <w:t>Tubal disease only</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1,588</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1,678</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1,622</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1,669</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1,602</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1,755</w:t>
            </w:r>
          </w:p>
        </w:tc>
      </w:tr>
      <w:tr w:rsidR="004A2BB5" w:rsidTr="004A2BB5">
        <w:tc>
          <w:tcPr>
            <w:tcW w:w="1859" w:type="pct"/>
            <w:shd w:val="clear" w:color="auto" w:fill="D3DFEE"/>
            <w:vAlign w:val="center"/>
          </w:tcPr>
          <w:p w:rsidR="004A2BB5" w:rsidRPr="00C3495D" w:rsidRDefault="004A2BB5" w:rsidP="004A2BB5">
            <w:pPr>
              <w:spacing w:before="0" w:after="0"/>
              <w:ind w:left="170"/>
              <w:jc w:val="left"/>
              <w:rPr>
                <w:rFonts w:cs="Arial"/>
                <w:i/>
                <w:iCs/>
                <w:color w:val="000000"/>
                <w:sz w:val="20"/>
                <w:szCs w:val="20"/>
                <w:lang w:eastAsia="en-AU"/>
              </w:rPr>
            </w:pPr>
            <w:r w:rsidRPr="00C3495D">
              <w:rPr>
                <w:rFonts w:cs="Arial"/>
                <w:i/>
                <w:iCs/>
                <w:color w:val="000000"/>
                <w:sz w:val="20"/>
                <w:szCs w:val="20"/>
                <w:lang w:eastAsia="en-AU"/>
              </w:rPr>
              <w:t>Endometriosis only</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4,919</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2,327</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1,934</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2,072</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1,968</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2,321</w:t>
            </w:r>
          </w:p>
        </w:tc>
      </w:tr>
      <w:tr w:rsidR="004A2BB5" w:rsidTr="004A2BB5">
        <w:tc>
          <w:tcPr>
            <w:tcW w:w="1859" w:type="pct"/>
            <w:vAlign w:val="center"/>
          </w:tcPr>
          <w:p w:rsidR="004A2BB5" w:rsidRPr="00C3495D" w:rsidRDefault="004A2BB5" w:rsidP="004A2BB5">
            <w:pPr>
              <w:spacing w:before="0" w:after="0"/>
              <w:ind w:left="170"/>
              <w:jc w:val="left"/>
              <w:rPr>
                <w:rFonts w:cs="Arial"/>
                <w:i/>
                <w:iCs/>
                <w:color w:val="000000"/>
                <w:sz w:val="20"/>
                <w:szCs w:val="20"/>
                <w:lang w:eastAsia="en-AU"/>
              </w:rPr>
            </w:pPr>
            <w:r w:rsidRPr="00C3495D">
              <w:rPr>
                <w:rFonts w:cs="Arial"/>
                <w:i/>
                <w:iCs/>
                <w:color w:val="000000"/>
                <w:sz w:val="20"/>
                <w:szCs w:val="20"/>
                <w:lang w:eastAsia="en-AU"/>
              </w:rPr>
              <w:t>Other female factor- only</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5,806</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6,176</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7,041</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6,902</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7,968</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8,800</w:t>
            </w:r>
          </w:p>
        </w:tc>
      </w:tr>
      <w:tr w:rsidR="004A2BB5" w:rsidTr="004A2BB5">
        <w:tc>
          <w:tcPr>
            <w:tcW w:w="1859" w:type="pct"/>
            <w:shd w:val="clear" w:color="auto" w:fill="D3DFEE"/>
            <w:vAlign w:val="center"/>
          </w:tcPr>
          <w:p w:rsidR="004A2BB5" w:rsidRPr="00C3495D" w:rsidRDefault="004A2BB5" w:rsidP="004A2BB5">
            <w:pPr>
              <w:spacing w:before="0" w:after="0"/>
              <w:ind w:left="170"/>
              <w:jc w:val="left"/>
              <w:rPr>
                <w:rFonts w:cs="Arial"/>
                <w:i/>
                <w:iCs/>
                <w:color w:val="000000"/>
                <w:sz w:val="20"/>
                <w:szCs w:val="20"/>
                <w:lang w:eastAsia="en-AU"/>
              </w:rPr>
            </w:pPr>
            <w:r w:rsidRPr="00C3495D">
              <w:rPr>
                <w:rFonts w:cs="Arial"/>
                <w:i/>
                <w:iCs/>
                <w:color w:val="000000"/>
                <w:sz w:val="20"/>
                <w:szCs w:val="20"/>
                <w:lang w:eastAsia="en-AU"/>
              </w:rPr>
              <w:t>Combined female factor</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1,359</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1,458</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1,531</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1,391</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1,609</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2,637</w:t>
            </w:r>
          </w:p>
        </w:tc>
      </w:tr>
      <w:tr w:rsidR="004A2BB5" w:rsidTr="004A2BB5">
        <w:tc>
          <w:tcPr>
            <w:tcW w:w="1859" w:type="pct"/>
            <w:vAlign w:val="center"/>
          </w:tcPr>
          <w:p w:rsidR="004A2BB5" w:rsidRPr="00C3495D" w:rsidRDefault="004A2BB5" w:rsidP="009A38EA">
            <w:pPr>
              <w:spacing w:before="0" w:after="0"/>
              <w:jc w:val="left"/>
              <w:rPr>
                <w:rFonts w:cs="Arial"/>
                <w:color w:val="000000"/>
                <w:sz w:val="20"/>
                <w:szCs w:val="20"/>
                <w:lang w:eastAsia="en-AU"/>
              </w:rPr>
            </w:pPr>
            <w:r w:rsidRPr="00C3495D">
              <w:rPr>
                <w:rFonts w:cs="Arial"/>
                <w:color w:val="000000"/>
                <w:sz w:val="20"/>
                <w:szCs w:val="20"/>
                <w:lang w:eastAsia="en-AU"/>
              </w:rPr>
              <w:t>Combined male-female factors</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5,381</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62,005</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6,134</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5,861</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5,565</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4,986</w:t>
            </w:r>
          </w:p>
        </w:tc>
      </w:tr>
      <w:tr w:rsidR="004A2BB5" w:rsidTr="004A2BB5">
        <w:tc>
          <w:tcPr>
            <w:tcW w:w="1859" w:type="pct"/>
            <w:shd w:val="clear" w:color="auto" w:fill="D3DFEE"/>
            <w:vAlign w:val="center"/>
          </w:tcPr>
          <w:p w:rsidR="004A2BB5" w:rsidRPr="00C3495D" w:rsidRDefault="004A2BB5" w:rsidP="009A38EA">
            <w:pPr>
              <w:spacing w:before="0" w:after="0"/>
              <w:jc w:val="left"/>
              <w:rPr>
                <w:rFonts w:cs="Arial"/>
                <w:color w:val="000000"/>
                <w:sz w:val="20"/>
                <w:szCs w:val="20"/>
                <w:lang w:eastAsia="en-AU"/>
              </w:rPr>
            </w:pPr>
            <w:r w:rsidRPr="00C3495D">
              <w:rPr>
                <w:rFonts w:cs="Arial"/>
                <w:color w:val="000000"/>
                <w:sz w:val="20"/>
                <w:szCs w:val="20"/>
                <w:lang w:eastAsia="en-AU"/>
              </w:rPr>
              <w:t>Unexplained</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9,525</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9,201</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8,753</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9,849</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9,784</w:t>
            </w:r>
          </w:p>
        </w:tc>
        <w:tc>
          <w:tcPr>
            <w:tcW w:w="524" w:type="pct"/>
            <w:shd w:val="clear" w:color="auto" w:fill="D3DFEE"/>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11,795</w:t>
            </w:r>
          </w:p>
        </w:tc>
      </w:tr>
      <w:tr w:rsidR="004A2BB5" w:rsidTr="004A2BB5">
        <w:tc>
          <w:tcPr>
            <w:tcW w:w="1859" w:type="pct"/>
            <w:vAlign w:val="center"/>
          </w:tcPr>
          <w:p w:rsidR="004A2BB5" w:rsidRPr="00C3495D" w:rsidRDefault="004A2BB5" w:rsidP="009A38EA">
            <w:pPr>
              <w:spacing w:before="0" w:after="0"/>
              <w:jc w:val="left"/>
              <w:rPr>
                <w:rFonts w:cs="Arial"/>
                <w:color w:val="000000"/>
                <w:sz w:val="20"/>
                <w:szCs w:val="20"/>
                <w:lang w:eastAsia="en-AU"/>
              </w:rPr>
            </w:pPr>
            <w:r w:rsidRPr="00C3495D">
              <w:rPr>
                <w:rFonts w:cs="Arial"/>
                <w:color w:val="000000"/>
                <w:sz w:val="20"/>
                <w:szCs w:val="20"/>
                <w:lang w:eastAsia="en-AU"/>
              </w:rPr>
              <w:t>Not stated</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115</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4,399</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5,735</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6,399</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6,550</w:t>
            </w:r>
          </w:p>
        </w:tc>
        <w:tc>
          <w:tcPr>
            <w:tcW w:w="524" w:type="pct"/>
            <w:vAlign w:val="center"/>
          </w:tcPr>
          <w:p w:rsidR="004A2BB5" w:rsidRPr="00C3495D" w:rsidRDefault="004A2BB5" w:rsidP="009A38EA">
            <w:pPr>
              <w:spacing w:before="0" w:after="0"/>
              <w:jc w:val="right"/>
              <w:rPr>
                <w:rFonts w:cs="Arial"/>
                <w:color w:val="000000"/>
                <w:sz w:val="20"/>
                <w:szCs w:val="20"/>
                <w:lang w:eastAsia="en-AU"/>
              </w:rPr>
            </w:pPr>
            <w:r w:rsidRPr="00C3495D">
              <w:rPr>
                <w:rFonts w:cs="Arial"/>
                <w:color w:val="000000"/>
                <w:sz w:val="20"/>
                <w:szCs w:val="20"/>
                <w:lang w:eastAsia="en-AU"/>
              </w:rPr>
              <w:t>6,670</w:t>
            </w:r>
          </w:p>
        </w:tc>
      </w:tr>
      <w:tr w:rsidR="004A2BB5" w:rsidTr="004A2BB5">
        <w:tc>
          <w:tcPr>
            <w:tcW w:w="1859" w:type="pct"/>
            <w:shd w:val="clear" w:color="auto" w:fill="D3DFEE"/>
            <w:vAlign w:val="center"/>
          </w:tcPr>
          <w:p w:rsidR="004A2BB5" w:rsidRPr="00C3495D" w:rsidRDefault="004A2BB5" w:rsidP="009A38EA">
            <w:pPr>
              <w:spacing w:before="0" w:after="0"/>
              <w:jc w:val="left"/>
              <w:rPr>
                <w:rFonts w:cs="Arial"/>
                <w:b/>
                <w:bCs/>
                <w:color w:val="000000"/>
                <w:sz w:val="20"/>
                <w:szCs w:val="20"/>
                <w:lang w:eastAsia="en-AU"/>
              </w:rPr>
            </w:pPr>
            <w:r w:rsidRPr="00C3495D">
              <w:rPr>
                <w:rFonts w:cs="Arial"/>
                <w:b/>
                <w:bCs/>
                <w:color w:val="000000"/>
                <w:sz w:val="20"/>
                <w:szCs w:val="20"/>
                <w:lang w:eastAsia="en-AU"/>
              </w:rPr>
              <w:t xml:space="preserve">Total </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36,873</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40,496</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42,329</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43,084</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43,579</w:t>
            </w:r>
          </w:p>
        </w:tc>
        <w:tc>
          <w:tcPr>
            <w:tcW w:w="524" w:type="pct"/>
            <w:shd w:val="clear" w:color="auto" w:fill="D3DFEE"/>
            <w:vAlign w:val="center"/>
          </w:tcPr>
          <w:p w:rsidR="004A2BB5" w:rsidRPr="00C3495D" w:rsidRDefault="004A2BB5" w:rsidP="009A38EA">
            <w:pPr>
              <w:spacing w:before="0" w:after="0"/>
              <w:jc w:val="right"/>
              <w:rPr>
                <w:rFonts w:cs="Arial"/>
                <w:b/>
                <w:bCs/>
                <w:color w:val="000000"/>
                <w:sz w:val="20"/>
                <w:szCs w:val="20"/>
                <w:lang w:eastAsia="en-AU"/>
              </w:rPr>
            </w:pPr>
            <w:r w:rsidRPr="00C3495D">
              <w:rPr>
                <w:rFonts w:cs="Arial"/>
                <w:b/>
                <w:bCs/>
                <w:color w:val="000000"/>
                <w:sz w:val="20"/>
                <w:szCs w:val="20"/>
                <w:lang w:eastAsia="en-AU"/>
              </w:rPr>
              <w:t>45,995</w:t>
            </w:r>
          </w:p>
        </w:tc>
      </w:tr>
    </w:tbl>
    <w:p w:rsidR="00D55AB0" w:rsidRDefault="00D55AB0" w:rsidP="00935B89">
      <w:pPr>
        <w:pStyle w:val="Heading3"/>
      </w:pPr>
      <w:r>
        <w:t>Deliveries by maternal age groups</w:t>
      </w:r>
    </w:p>
    <w:p w:rsidR="00D55AB0" w:rsidRDefault="00D55AB0" w:rsidP="00D55AB0">
      <w:r>
        <w:t>The figure below shows the trend over the last five years which has remained fairly stable, where in 2012 the proportions have remained constant over the years – with 46 per cent age</w:t>
      </w:r>
      <w:r w:rsidR="004B7F94">
        <w:t>d</w:t>
      </w:r>
      <w:r>
        <w:t xml:space="preserve"> less than 35 years, 38 per cent aged 35-39 years and 16 per cent aged over 40 years. In 2015, t</w:t>
      </w:r>
      <w:r>
        <w:rPr>
          <w:szCs w:val="22"/>
        </w:rPr>
        <w:t>he average age of women at the time of delivery was 35.3 years. This is five years older than the average age (30.3 years) of women who gave birth in Australia in 2015</w:t>
      </w:r>
      <w:r>
        <w:rPr>
          <w:rStyle w:val="FootnoteReference"/>
          <w:szCs w:val="22"/>
        </w:rPr>
        <w:footnoteReference w:id="15"/>
      </w:r>
      <w:r>
        <w:rPr>
          <w:szCs w:val="22"/>
        </w:rPr>
        <w:t xml:space="preserve">. </w:t>
      </w:r>
      <w:r>
        <w:t xml:space="preserve"> </w:t>
      </w:r>
    </w:p>
    <w:p w:rsidR="00D55AB0" w:rsidRDefault="00D55AB0" w:rsidP="00D55AB0">
      <w:pPr>
        <w:rPr>
          <w:szCs w:val="22"/>
        </w:rPr>
      </w:pPr>
      <w:r>
        <w:rPr>
          <w:szCs w:val="22"/>
        </w:rPr>
        <w:t>Maternal age is one of the key factors associated with the outcomes of autologous fresh cycles. In 2015 the highest live delivery rate per embryo transfer cycle was in women aged under 30 (38.4 per cent). The rate declined with advancing women’s age, with a rate of 8.9 per cent for women aged 40–44 and 0.7 per cent for women aged 45 or older.</w:t>
      </w:r>
    </w:p>
    <w:p w:rsidR="00D55AB0" w:rsidRDefault="00D55AB0" w:rsidP="00D55AB0">
      <w:pPr>
        <w:pStyle w:val="Caption"/>
        <w:keepNext/>
      </w:pPr>
      <w:bookmarkStart w:id="262" w:name="_Toc515888878"/>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74</w:t>
      </w:r>
      <w:r w:rsidR="00556A17">
        <w:rPr>
          <w:noProof/>
        </w:rPr>
        <w:fldChar w:fldCharType="end"/>
      </w:r>
      <w:r>
        <w:t>: Deliveries by maternal age groups, 2010-2015</w:t>
      </w:r>
      <w:bookmarkEnd w:id="262"/>
    </w:p>
    <w:p w:rsidR="00111E76" w:rsidRDefault="00111E76" w:rsidP="00D55AB0">
      <w:pPr>
        <w:rPr>
          <w:szCs w:val="22"/>
        </w:rPr>
      </w:pPr>
      <w:r>
        <w:rPr>
          <w:noProof/>
          <w:szCs w:val="22"/>
          <w:lang w:eastAsia="en-AU"/>
        </w:rPr>
        <w:drawing>
          <wp:inline distT="0" distB="0" distL="0" distR="0" wp14:anchorId="2B4D5904" wp14:editId="515CBF60">
            <wp:extent cx="5547995" cy="2145665"/>
            <wp:effectExtent l="0" t="0" r="0" b="6985"/>
            <wp:docPr id="288" name="Picture 288" descr="This figure shows the trend over the last five years which has remained fairly stable, where in 2012 the proportions have remained constant over the years – with 46 per cent aged less than 35 years, 38 per cent aged 35-39 years and 16 per cent aged over 40 years. In 2015, the average age of women at the time of delivery was 35.3 years. This is five years older than the average age (30.3 years) of women who gave birth in Australia in 2015.&#10;  &#10;Maternal age is one of the key factors associated with the outcomes of autologous fresh cycles. In 2015 the highest live delivery rate per embryo transfer cycle was in women aged under 30 (38.4 per cent). The rate declined with advancing women’s age, with a rate of 8.9 per cent for women aged 40–44 and 0.7 per cent for women aged 45 or older.&#10;" title="Figure 74: Deliveries by maternal age groups, 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7995" cy="2145665"/>
                    </a:xfrm>
                    <a:prstGeom prst="rect">
                      <a:avLst/>
                    </a:prstGeom>
                    <a:noFill/>
                  </pic:spPr>
                </pic:pic>
              </a:graphicData>
            </a:graphic>
          </wp:inline>
        </w:drawing>
      </w:r>
    </w:p>
    <w:p w:rsidR="00D55AB0" w:rsidRDefault="006F1988" w:rsidP="00D55AB0">
      <w:pPr>
        <w:rPr>
          <w:szCs w:val="22"/>
        </w:rPr>
      </w:pPr>
      <w:r>
        <w:rPr>
          <w:szCs w:val="22"/>
        </w:rPr>
        <w:t>Figure 75</w:t>
      </w:r>
      <w:r w:rsidR="00D55AB0">
        <w:rPr>
          <w:szCs w:val="22"/>
        </w:rPr>
        <w:t xml:space="preserve"> shows the number of deliveries over the last five years; it can be seen that the rate of singleton deliveries (5.4 per cent) have grown at a much greater rate than the multiple deliveries (-6.8 per cent).</w:t>
      </w:r>
    </w:p>
    <w:p w:rsidR="00D55AB0" w:rsidRDefault="00D55AB0" w:rsidP="00D55AB0">
      <w:r w:rsidRPr="003C7C35">
        <w:t>Multiple delivery rates were similar across age groups, where women aged 35-39 years had the lowest multiple delivery rate (4.2</w:t>
      </w:r>
      <w:r>
        <w:t xml:space="preserve"> per cent</w:t>
      </w:r>
      <w:r w:rsidRPr="003C7C35">
        <w:t>) and women aged 40 years or over had the highest</w:t>
      </w:r>
      <w:r>
        <w:t xml:space="preserve"> multiple delivery rate (5.1 per cent).</w:t>
      </w:r>
    </w:p>
    <w:p w:rsidR="00D55AB0" w:rsidRDefault="00D55AB0" w:rsidP="00D55AB0">
      <w:pPr>
        <w:pStyle w:val="Caption"/>
        <w:keepNext/>
      </w:pPr>
      <w:bookmarkStart w:id="263" w:name="_Toc515888879"/>
      <w:r>
        <w:lastRenderedPageBreak/>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75</w:t>
      </w:r>
      <w:r w:rsidR="00556A17">
        <w:rPr>
          <w:noProof/>
        </w:rPr>
        <w:fldChar w:fldCharType="end"/>
      </w:r>
      <w:r>
        <w:t>: Deliveries by gestation between 2010 and 2015</w:t>
      </w:r>
      <w:bookmarkEnd w:id="263"/>
    </w:p>
    <w:p w:rsidR="00573E4D" w:rsidRDefault="00573E4D" w:rsidP="00D55AB0">
      <w:r>
        <w:rPr>
          <w:noProof/>
          <w:lang w:eastAsia="en-AU"/>
        </w:rPr>
        <w:drawing>
          <wp:inline distT="0" distB="0" distL="0" distR="0" wp14:anchorId="1A9F4E81">
            <wp:extent cx="5547995" cy="2097405"/>
            <wp:effectExtent l="0" t="0" r="0" b="0"/>
            <wp:docPr id="24" name="Picture 24" descr="This figure shows the number of deliveries over the last five years; it can be seen that the rate of singleton deliveries (5.4 per cent) have grown at a much greater rate than the multiple deliveries (-6.8 per cent).&#10;&#10;Multiple delivery rates were similar across age groups, where women aged 35-39 years had the lowest multiple delivery rate (4.2 per cent) and women aged 40 years or over had the highest multiple delivery rate (5.1 per cent)." title="Figure 75: Deliveries by gestation between 2010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47995" cy="2097405"/>
                    </a:xfrm>
                    <a:prstGeom prst="rect">
                      <a:avLst/>
                    </a:prstGeom>
                    <a:noFill/>
                  </pic:spPr>
                </pic:pic>
              </a:graphicData>
            </a:graphic>
          </wp:inline>
        </w:drawing>
      </w:r>
    </w:p>
    <w:p w:rsidR="00D55AB0" w:rsidRDefault="00D55AB0" w:rsidP="00935B89">
      <w:pPr>
        <w:pStyle w:val="Heading3"/>
      </w:pPr>
      <w:r>
        <w:t>Method of delivery</w:t>
      </w:r>
    </w:p>
    <w:p w:rsidR="00D55AB0" w:rsidRDefault="00D55AB0" w:rsidP="00D55AB0">
      <w:r>
        <w:t>Over the last five year nearly half (49 per cent) of deliveries following embryo transfer cycles were by caesarean section.</w:t>
      </w:r>
      <w:r w:rsidRPr="003C7C35">
        <w:t xml:space="preserve"> The rate of caesarean section</w:t>
      </w:r>
      <w:r>
        <w:t xml:space="preserve"> (growth rate of 4.7 per cent over the last five years)</w:t>
      </w:r>
      <w:r w:rsidRPr="003C7C35">
        <w:t xml:space="preserve"> following ART treatment may be related to the fact that women were five years older on average and that there were more multiple births following ART treatment.</w:t>
      </w:r>
      <w:r>
        <w:t xml:space="preserve"> In 2015, the</w:t>
      </w:r>
      <w:r w:rsidRPr="00882D28">
        <w:t xml:space="preserve"> caesarean section rate varied by plurality, with 47.7</w:t>
      </w:r>
      <w:r>
        <w:t xml:space="preserve"> per cent</w:t>
      </w:r>
      <w:r w:rsidRPr="00882D28">
        <w:t xml:space="preserve"> for singleton deli</w:t>
      </w:r>
      <w:r>
        <w:t>veries, 80 per cent</w:t>
      </w:r>
      <w:r w:rsidRPr="00882D28">
        <w:t xml:space="preserve"> for twin deliveries and 85.7</w:t>
      </w:r>
      <w:r>
        <w:t xml:space="preserve"> per cent</w:t>
      </w:r>
      <w:r w:rsidRPr="00882D28">
        <w:t xml:space="preserve"> for triplet deliveries.</w:t>
      </w:r>
    </w:p>
    <w:p w:rsidR="00D55AB0" w:rsidRDefault="00D55AB0" w:rsidP="00D55AB0">
      <w:pPr>
        <w:pStyle w:val="Caption"/>
        <w:keepNext/>
      </w:pPr>
      <w:bookmarkStart w:id="264" w:name="_Toc515888880"/>
      <w:r>
        <w:t xml:space="preserve">Figure </w:t>
      </w:r>
      <w:r w:rsidR="00556A17">
        <w:rPr>
          <w:noProof/>
        </w:rPr>
        <w:fldChar w:fldCharType="begin"/>
      </w:r>
      <w:r w:rsidR="00556A17">
        <w:rPr>
          <w:noProof/>
        </w:rPr>
        <w:instrText xml:space="preserve"> SEQ Figure \* ARABIC </w:instrText>
      </w:r>
      <w:r w:rsidR="00556A17">
        <w:rPr>
          <w:noProof/>
        </w:rPr>
        <w:fldChar w:fldCharType="separate"/>
      </w:r>
      <w:r w:rsidR="008C7087">
        <w:rPr>
          <w:noProof/>
        </w:rPr>
        <w:t>76</w:t>
      </w:r>
      <w:r w:rsidR="00556A17">
        <w:rPr>
          <w:noProof/>
        </w:rPr>
        <w:fldChar w:fldCharType="end"/>
      </w:r>
      <w:r>
        <w:rPr>
          <w:noProof/>
        </w:rPr>
        <w:t>:</w:t>
      </w:r>
      <w:r>
        <w:t xml:space="preserve"> Deliveries by method of delivery</w:t>
      </w:r>
      <w:bookmarkEnd w:id="264"/>
    </w:p>
    <w:p w:rsidR="005622CE" w:rsidRDefault="00111E76" w:rsidP="005622CE">
      <w:pPr>
        <w:rPr>
          <w:b/>
          <w:szCs w:val="22"/>
        </w:rPr>
      </w:pPr>
      <w:r>
        <w:rPr>
          <w:b/>
          <w:noProof/>
          <w:szCs w:val="22"/>
          <w:lang w:eastAsia="en-AU"/>
        </w:rPr>
        <w:drawing>
          <wp:inline distT="0" distB="0" distL="0" distR="0" wp14:anchorId="7ACF74EF" wp14:editId="03C5E406">
            <wp:extent cx="5547995" cy="2273935"/>
            <wp:effectExtent l="0" t="0" r="0" b="0"/>
            <wp:docPr id="291" name="Picture 291" descr="Over the last five year nearly half (49 per cent) of deliveries following embryo transfer cycles were by caesarean section. The rate of caesarean section (growth rate of 4.7 per cent over the last five years) following ART treatment may be related to the fact that women were five years older on average and that there were more multiple births following ART treatment. In 2015, the caesarean section rate varied by plurality, with 47.7 per cent for singleton deliveries, 80 per cent for twin deliveries and 85.7 per cent for triplet deliveries." title="Figure 76: Deliveries by method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7995" cy="2273935"/>
                    </a:xfrm>
                    <a:prstGeom prst="rect">
                      <a:avLst/>
                    </a:prstGeom>
                    <a:noFill/>
                  </pic:spPr>
                </pic:pic>
              </a:graphicData>
            </a:graphic>
          </wp:inline>
        </w:drawing>
      </w:r>
    </w:p>
    <w:p w:rsidR="00BD4215" w:rsidRPr="00577982" w:rsidRDefault="00BD4215" w:rsidP="00BD4215">
      <w:pPr>
        <w:pStyle w:val="Heading2"/>
        <w:spacing w:before="0" w:after="0"/>
        <w:rPr>
          <w:rStyle w:val="apple-converted-space"/>
          <w:shd w:val="clear" w:color="auto" w:fill="FFFFFF"/>
        </w:rPr>
      </w:pPr>
      <w:bookmarkStart w:id="265" w:name="_Toc521510478"/>
      <w:bookmarkEnd w:id="242"/>
      <w:bookmarkEnd w:id="243"/>
      <w:r w:rsidRPr="00577982">
        <w:lastRenderedPageBreak/>
        <w:t xml:space="preserve">Appendix </w:t>
      </w:r>
      <w:r w:rsidR="00D55AB0" w:rsidRPr="00577982">
        <w:t>7</w:t>
      </w:r>
      <w:r w:rsidRPr="00577982">
        <w:t xml:space="preserve">: </w:t>
      </w:r>
      <w:r w:rsidRPr="00577982">
        <w:rPr>
          <w:rStyle w:val="apple-converted-space"/>
          <w:shd w:val="clear" w:color="auto" w:fill="FFFFFF"/>
        </w:rPr>
        <w:t xml:space="preserve">Medical Practitioners </w:t>
      </w:r>
      <w:r w:rsidR="004C13B9">
        <w:rPr>
          <w:rStyle w:val="apple-converted-space"/>
          <w:shd w:val="clear" w:color="auto" w:fill="FFFFFF"/>
        </w:rPr>
        <w:t>S</w:t>
      </w:r>
      <w:r w:rsidR="004C13B9" w:rsidRPr="00577982">
        <w:rPr>
          <w:rStyle w:val="apple-converted-space"/>
          <w:shd w:val="clear" w:color="auto" w:fill="FFFFFF"/>
        </w:rPr>
        <w:t xml:space="preserve">urvey </w:t>
      </w:r>
      <w:r w:rsidRPr="00577982">
        <w:rPr>
          <w:rStyle w:val="apple-converted-space"/>
          <w:shd w:val="clear" w:color="auto" w:fill="FFFFFF"/>
        </w:rPr>
        <w:t>201</w:t>
      </w:r>
      <w:r w:rsidR="005C26A0" w:rsidRPr="00577982">
        <w:rPr>
          <w:rStyle w:val="apple-converted-space"/>
          <w:shd w:val="clear" w:color="auto" w:fill="FFFFFF"/>
        </w:rPr>
        <w:t>6</w:t>
      </w:r>
      <w:bookmarkEnd w:id="265"/>
    </w:p>
    <w:p w:rsidR="00BD4215" w:rsidRDefault="006C1FDF" w:rsidP="00BD4215">
      <w:r>
        <w:rPr>
          <w:noProof/>
          <w:lang w:eastAsia="en-AU"/>
        </w:rPr>
        <w:drawing>
          <wp:inline distT="0" distB="0" distL="0" distR="0" wp14:anchorId="59C95C92" wp14:editId="1CF13531">
            <wp:extent cx="6071698" cy="8568000"/>
            <wp:effectExtent l="0" t="0" r="5715" b="5080"/>
            <wp:docPr id="16" name="Picture 16" descr="Appendix 7: Medical Practitioners survey 20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1698" cy="8568000"/>
                    </a:xfrm>
                    <a:prstGeom prst="rect">
                      <a:avLst/>
                    </a:prstGeom>
                    <a:noFill/>
                    <a:ln>
                      <a:noFill/>
                    </a:ln>
                  </pic:spPr>
                </pic:pic>
              </a:graphicData>
            </a:graphic>
          </wp:inline>
        </w:drawing>
      </w:r>
    </w:p>
    <w:p w:rsidR="006C1FDF" w:rsidRDefault="006C1FDF" w:rsidP="00BD4215">
      <w:r>
        <w:rPr>
          <w:noProof/>
          <w:lang w:eastAsia="en-AU"/>
        </w:rPr>
        <w:lastRenderedPageBreak/>
        <w:drawing>
          <wp:inline distT="0" distB="0" distL="0" distR="0" wp14:anchorId="6C925EB5" wp14:editId="464831A7">
            <wp:extent cx="6085814" cy="8568000"/>
            <wp:effectExtent l="0" t="0" r="0" b="5080"/>
            <wp:docPr id="18" name="Picture 18" descr="Appendix 7: Medical Practitioners survey 20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5814" cy="8568000"/>
                    </a:xfrm>
                    <a:prstGeom prst="rect">
                      <a:avLst/>
                    </a:prstGeom>
                    <a:noFill/>
                    <a:ln>
                      <a:noFill/>
                    </a:ln>
                  </pic:spPr>
                </pic:pic>
              </a:graphicData>
            </a:graphic>
          </wp:inline>
        </w:drawing>
      </w:r>
    </w:p>
    <w:p w:rsidR="006C1FDF" w:rsidRDefault="006C1FDF" w:rsidP="00BD4215">
      <w:r>
        <w:rPr>
          <w:noProof/>
          <w:lang w:eastAsia="en-AU"/>
        </w:rPr>
        <w:lastRenderedPageBreak/>
        <w:drawing>
          <wp:inline distT="0" distB="0" distL="0" distR="0" wp14:anchorId="5AA59CB9" wp14:editId="1E7A42DF">
            <wp:extent cx="6082831" cy="8568000"/>
            <wp:effectExtent l="0" t="0" r="0" b="5080"/>
            <wp:docPr id="21" name="Picture 21" descr="Appendix 7: Medical Practitioners survey 20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82831" cy="8568000"/>
                    </a:xfrm>
                    <a:prstGeom prst="rect">
                      <a:avLst/>
                    </a:prstGeom>
                    <a:noFill/>
                    <a:ln>
                      <a:noFill/>
                    </a:ln>
                  </pic:spPr>
                </pic:pic>
              </a:graphicData>
            </a:graphic>
          </wp:inline>
        </w:drawing>
      </w:r>
    </w:p>
    <w:p w:rsidR="006C1FDF" w:rsidRDefault="006C1FDF" w:rsidP="00BD4215">
      <w:r>
        <w:rPr>
          <w:noProof/>
          <w:lang w:eastAsia="en-AU"/>
        </w:rPr>
        <w:lastRenderedPageBreak/>
        <w:drawing>
          <wp:inline distT="0" distB="0" distL="0" distR="0" wp14:anchorId="53641A6F" wp14:editId="425701B8">
            <wp:extent cx="6091562" cy="8568000"/>
            <wp:effectExtent l="0" t="0" r="4445" b="5080"/>
            <wp:docPr id="676" name="Picture 676" descr="Appendix 7: Medical Practitioners survey 2016,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1562" cy="8568000"/>
                    </a:xfrm>
                    <a:prstGeom prst="rect">
                      <a:avLst/>
                    </a:prstGeom>
                    <a:noFill/>
                    <a:ln>
                      <a:noFill/>
                    </a:ln>
                  </pic:spPr>
                </pic:pic>
              </a:graphicData>
            </a:graphic>
          </wp:inline>
        </w:drawing>
      </w:r>
    </w:p>
    <w:p w:rsidR="00245A7F" w:rsidRDefault="006C1FDF" w:rsidP="006C1FDF">
      <w:pPr>
        <w:jc w:val="center"/>
      </w:pPr>
      <w:r>
        <w:rPr>
          <w:noProof/>
          <w:lang w:eastAsia="en-AU"/>
        </w:rPr>
        <w:lastRenderedPageBreak/>
        <w:drawing>
          <wp:inline distT="0" distB="0" distL="0" distR="0" wp14:anchorId="1EE9D12E" wp14:editId="0B0A8351">
            <wp:extent cx="6082830" cy="8568000"/>
            <wp:effectExtent l="0" t="0" r="0" b="5080"/>
            <wp:docPr id="692" name="Picture 692" descr="Appendix 7: Medical Practitioners survey 2016,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2830" cy="8568000"/>
                    </a:xfrm>
                    <a:prstGeom prst="rect">
                      <a:avLst/>
                    </a:prstGeom>
                    <a:noFill/>
                    <a:ln>
                      <a:noFill/>
                    </a:ln>
                  </pic:spPr>
                </pic:pic>
              </a:graphicData>
            </a:graphic>
          </wp:inline>
        </w:drawing>
      </w:r>
    </w:p>
    <w:p w:rsidR="00245A7F" w:rsidRPr="00245A7F" w:rsidRDefault="00245A7F" w:rsidP="00245A7F"/>
    <w:sectPr w:rsidR="00245A7F" w:rsidRPr="00245A7F" w:rsidSect="00561EB0">
      <w:headerReference w:type="even" r:id="rId103"/>
      <w:headerReference w:type="default" r:id="rId104"/>
      <w:headerReference w:type="first" r:id="rId105"/>
      <w:type w:val="continuous"/>
      <w:pgSz w:w="11906" w:h="16838"/>
      <w:pgMar w:top="1247" w:right="1985" w:bottom="1247"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032D2A" w15:done="0"/>
  <w15:commentEx w15:paraId="208C92AA" w15:done="0"/>
  <w15:commentEx w15:paraId="6B2F3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032D2A" w16cid:durableId="1ED61D6B"/>
  <w16cid:commentId w16cid:paraId="208C92AA" w16cid:durableId="1ED62A50"/>
  <w16cid:commentId w16cid:paraId="6B2F324C" w16cid:durableId="1ED631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0FB" w:rsidRDefault="008670FB" w:rsidP="00787645">
      <w:r>
        <w:separator/>
      </w:r>
    </w:p>
  </w:endnote>
  <w:endnote w:type="continuationSeparator" w:id="0">
    <w:p w:rsidR="008670FB" w:rsidRDefault="008670FB" w:rsidP="0078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ertAlign w:val="superscript"/>
      </w:rPr>
      <w:id w:val="-447538595"/>
      <w:docPartObj>
        <w:docPartGallery w:val="Page Numbers (Bottom of Page)"/>
        <w:docPartUnique/>
      </w:docPartObj>
    </w:sdtPr>
    <w:sdtEndPr/>
    <w:sdtContent>
      <w:sdt>
        <w:sdtPr>
          <w:id w:val="-1641796820"/>
          <w:docPartObj>
            <w:docPartGallery w:val="Page Numbers (Bottom of Page)"/>
            <w:docPartUnique/>
          </w:docPartObj>
        </w:sdtPr>
        <w:sdtEndPr>
          <w:rPr>
            <w:color w:val="808080" w:themeColor="background1" w:themeShade="80"/>
            <w:spacing w:val="60"/>
            <w:sz w:val="20"/>
          </w:rPr>
        </w:sdtEndPr>
        <w:sdtContent>
          <w:p w:rsidR="008670FB" w:rsidRPr="00DD07BE" w:rsidRDefault="008670FB" w:rsidP="00DD07BE">
            <w:pPr>
              <w:pStyle w:val="Footer"/>
              <w:pBdr>
                <w:top w:val="single" w:sz="4" w:space="1" w:color="D9D9D9" w:themeColor="background1" w:themeShade="D9"/>
              </w:pBdr>
              <w:jc w:val="right"/>
              <w:rPr>
                <w:sz w:val="20"/>
              </w:rPr>
            </w:pPr>
            <w:r w:rsidRPr="00837D4A">
              <w:rPr>
                <w:sz w:val="20"/>
              </w:rPr>
              <w:fldChar w:fldCharType="begin"/>
            </w:r>
            <w:r w:rsidRPr="00837D4A">
              <w:rPr>
                <w:sz w:val="20"/>
              </w:rPr>
              <w:instrText xml:space="preserve"> PAGE   \* MERGEFORMAT </w:instrText>
            </w:r>
            <w:r w:rsidRPr="00837D4A">
              <w:rPr>
                <w:sz w:val="20"/>
              </w:rPr>
              <w:fldChar w:fldCharType="separate"/>
            </w:r>
            <w:r w:rsidR="00740D24">
              <w:rPr>
                <w:noProof/>
                <w:sz w:val="20"/>
              </w:rPr>
              <w:t>v</w:t>
            </w:r>
            <w:r w:rsidRPr="00837D4A">
              <w:rPr>
                <w:noProof/>
                <w:sz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Default="008670FB">
    <w:pPr>
      <w:pStyle w:val="Footer"/>
      <w:jc w:val="right"/>
    </w:pPr>
  </w:p>
  <w:p w:rsidR="008670FB" w:rsidRDefault="008670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ertAlign w:val="superscript"/>
      </w:rPr>
      <w:id w:val="-1809769271"/>
      <w:docPartObj>
        <w:docPartGallery w:val="Page Numbers (Bottom of Page)"/>
        <w:docPartUnique/>
      </w:docPartObj>
    </w:sdtPr>
    <w:sdtEndPr/>
    <w:sdtContent>
      <w:sdt>
        <w:sdtPr>
          <w:id w:val="-1992469721"/>
          <w:docPartObj>
            <w:docPartGallery w:val="Page Numbers (Bottom of Page)"/>
            <w:docPartUnique/>
          </w:docPartObj>
        </w:sdtPr>
        <w:sdtEndPr>
          <w:rPr>
            <w:color w:val="808080" w:themeColor="background1" w:themeShade="80"/>
            <w:spacing w:val="60"/>
            <w:sz w:val="20"/>
          </w:rPr>
        </w:sdtEndPr>
        <w:sdtContent>
          <w:p w:rsidR="008670FB" w:rsidRPr="00DD07BE" w:rsidRDefault="008670FB" w:rsidP="00DD07BE">
            <w:pPr>
              <w:pStyle w:val="Footer"/>
              <w:pBdr>
                <w:top w:val="single" w:sz="4" w:space="1" w:color="D9D9D9" w:themeColor="background1" w:themeShade="D9"/>
              </w:pBdr>
              <w:jc w:val="right"/>
              <w:rPr>
                <w:sz w:val="20"/>
              </w:rPr>
            </w:pPr>
            <w:r w:rsidRPr="00837D4A">
              <w:rPr>
                <w:sz w:val="20"/>
              </w:rPr>
              <w:fldChar w:fldCharType="begin"/>
            </w:r>
            <w:r w:rsidRPr="00837D4A">
              <w:rPr>
                <w:sz w:val="20"/>
              </w:rPr>
              <w:instrText xml:space="preserve"> PAGE   \* MERGEFORMAT </w:instrText>
            </w:r>
            <w:r w:rsidRPr="00837D4A">
              <w:rPr>
                <w:sz w:val="20"/>
              </w:rPr>
              <w:fldChar w:fldCharType="separate"/>
            </w:r>
            <w:r w:rsidR="00740D24">
              <w:rPr>
                <w:noProof/>
                <w:sz w:val="20"/>
              </w:rPr>
              <w:t>69</w:t>
            </w:r>
            <w:r w:rsidRPr="00837D4A">
              <w:rPr>
                <w:noProof/>
                <w:sz w:val="20"/>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841434"/>
      <w:docPartObj>
        <w:docPartGallery w:val="Page Numbers (Bottom of Page)"/>
        <w:docPartUnique/>
      </w:docPartObj>
    </w:sdtPr>
    <w:sdtEndPr>
      <w:rPr>
        <w:color w:val="808080" w:themeColor="background1" w:themeShade="80"/>
        <w:spacing w:val="60"/>
        <w:sz w:val="20"/>
      </w:rPr>
    </w:sdtEndPr>
    <w:sdtContent>
      <w:p w:rsidR="008670FB" w:rsidRPr="00837D4A" w:rsidRDefault="008670FB" w:rsidP="00DD07BE">
        <w:pPr>
          <w:pStyle w:val="Footer"/>
          <w:pBdr>
            <w:top w:val="single" w:sz="4" w:space="1" w:color="D9D9D9" w:themeColor="background1" w:themeShade="D9"/>
          </w:pBdr>
          <w:jc w:val="right"/>
          <w:rPr>
            <w:sz w:val="20"/>
          </w:rPr>
        </w:pPr>
        <w:r w:rsidRPr="00837D4A">
          <w:rPr>
            <w:sz w:val="20"/>
          </w:rPr>
          <w:fldChar w:fldCharType="begin"/>
        </w:r>
        <w:r w:rsidRPr="00837D4A">
          <w:rPr>
            <w:sz w:val="20"/>
          </w:rPr>
          <w:instrText xml:space="preserve"> PAGE   \* MERGEFORMAT </w:instrText>
        </w:r>
        <w:r w:rsidRPr="00837D4A">
          <w:rPr>
            <w:sz w:val="20"/>
          </w:rPr>
          <w:fldChar w:fldCharType="separate"/>
        </w:r>
        <w:r w:rsidR="00740D24">
          <w:rPr>
            <w:noProof/>
            <w:sz w:val="20"/>
          </w:rPr>
          <w:t>60</w:t>
        </w:r>
        <w:r w:rsidRPr="00837D4A">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0FB" w:rsidRDefault="008670FB" w:rsidP="00787645">
      <w:r>
        <w:separator/>
      </w:r>
    </w:p>
  </w:footnote>
  <w:footnote w:type="continuationSeparator" w:id="0">
    <w:p w:rsidR="008670FB" w:rsidRDefault="008670FB" w:rsidP="00787645">
      <w:r>
        <w:continuationSeparator/>
      </w:r>
    </w:p>
  </w:footnote>
  <w:footnote w:id="1">
    <w:p w:rsidR="008670FB" w:rsidRDefault="008670FB" w:rsidP="00862C58">
      <w:pPr>
        <w:pStyle w:val="FootnoteText"/>
        <w:rPr>
          <w:sz w:val="18"/>
          <w:szCs w:val="18"/>
          <w:lang w:val="en-US"/>
        </w:rPr>
      </w:pPr>
      <w:r>
        <w:rPr>
          <w:rStyle w:val="FootnoteReference"/>
          <w:sz w:val="18"/>
          <w:szCs w:val="18"/>
        </w:rPr>
        <w:footnoteRef/>
      </w:r>
      <w:r>
        <w:rPr>
          <w:sz w:val="18"/>
          <w:szCs w:val="18"/>
        </w:rPr>
        <w:t xml:space="preserve"> </w:t>
      </w:r>
      <w:hyperlink r:id="rId1" w:history="1">
        <w:r>
          <w:rPr>
            <w:rStyle w:val="Hyperlink"/>
            <w:sz w:val="18"/>
            <w:szCs w:val="18"/>
          </w:rPr>
          <w:t>The Royal Australian and New Zealand College of Obstetricians and Gynaecologists</w:t>
        </w:r>
      </w:hyperlink>
      <w:r>
        <w:rPr>
          <w:sz w:val="18"/>
          <w:szCs w:val="18"/>
        </w:rPr>
        <w:t xml:space="preserve"> </w:t>
      </w:r>
    </w:p>
  </w:footnote>
  <w:footnote w:id="2">
    <w:p w:rsidR="008670FB" w:rsidRPr="00073DE5" w:rsidRDefault="008670FB" w:rsidP="006063CF">
      <w:pPr>
        <w:pStyle w:val="FootnoteText"/>
        <w:rPr>
          <w:sz w:val="16"/>
        </w:rPr>
      </w:pPr>
      <w:r w:rsidRPr="00073DE5">
        <w:rPr>
          <w:rStyle w:val="FootnoteReference"/>
          <w:sz w:val="16"/>
        </w:rPr>
        <w:footnoteRef/>
      </w:r>
      <w:r w:rsidRPr="00073DE5">
        <w:rPr>
          <w:sz w:val="16"/>
        </w:rPr>
        <w:t xml:space="preserve"> </w:t>
      </w:r>
      <w:hyperlink r:id="rId2" w:history="1">
        <w:r>
          <w:rPr>
            <w:rStyle w:val="Hyperlink"/>
            <w:sz w:val="16"/>
          </w:rPr>
          <w:t>Medical Board of Australia</w:t>
        </w:r>
      </w:hyperlink>
      <w:r w:rsidRPr="00073DE5">
        <w:rPr>
          <w:sz w:val="16"/>
        </w:rPr>
        <w:t xml:space="preserve"> </w:t>
      </w:r>
    </w:p>
  </w:footnote>
  <w:footnote w:id="3">
    <w:p w:rsidR="008670FB" w:rsidRDefault="008670FB">
      <w:pPr>
        <w:pStyle w:val="FootnoteText"/>
      </w:pPr>
      <w:r>
        <w:rPr>
          <w:rStyle w:val="FootnoteReference"/>
        </w:rPr>
        <w:footnoteRef/>
      </w:r>
      <w:r>
        <w:t xml:space="preserve"> </w:t>
      </w:r>
      <w:r w:rsidRPr="00810827">
        <w:t>https://www.ranzcog.edu.au/education-a-training/certificate-diploma-training.html</w:t>
      </w:r>
    </w:p>
  </w:footnote>
  <w:footnote w:id="4">
    <w:p w:rsidR="008670FB" w:rsidRDefault="008670FB">
      <w:pPr>
        <w:pStyle w:val="FootnoteText"/>
      </w:pPr>
      <w:r>
        <w:rPr>
          <w:rStyle w:val="FootnoteReference"/>
        </w:rPr>
        <w:footnoteRef/>
      </w:r>
      <w:r>
        <w:t xml:space="preserve"> </w:t>
      </w:r>
      <w:r w:rsidRPr="003844E5">
        <w:t>http://www.health.gov.au/internet/otd/Publishing.nsf/Content/RA-intro</w:t>
      </w:r>
    </w:p>
  </w:footnote>
  <w:footnote w:id="5">
    <w:p w:rsidR="008670FB" w:rsidRPr="00426E94" w:rsidRDefault="008670FB" w:rsidP="00426E94">
      <w:pPr>
        <w:rPr>
          <w:sz w:val="16"/>
          <w:szCs w:val="16"/>
        </w:rPr>
      </w:pPr>
      <w:r>
        <w:rPr>
          <w:rStyle w:val="FootnoteReference"/>
        </w:rPr>
        <w:footnoteRef/>
      </w:r>
      <w:r>
        <w:t xml:space="preserve"> </w:t>
      </w:r>
      <w:r w:rsidRPr="00426E94">
        <w:rPr>
          <w:sz w:val="16"/>
          <w:szCs w:val="16"/>
        </w:rPr>
        <w:t>Private Healthcare Australia, Submission: ACCC report to the Senate 2015-16, 17 March 2017</w:t>
      </w:r>
    </w:p>
  </w:footnote>
  <w:footnote w:id="6">
    <w:p w:rsidR="008670FB" w:rsidRPr="00426E94" w:rsidRDefault="008670FB" w:rsidP="00426E94">
      <w:pPr>
        <w:rPr>
          <w:sz w:val="16"/>
          <w:szCs w:val="16"/>
        </w:rPr>
      </w:pPr>
      <w:r w:rsidRPr="00426E94">
        <w:rPr>
          <w:rStyle w:val="FootnoteReference"/>
          <w:sz w:val="16"/>
          <w:szCs w:val="16"/>
        </w:rPr>
        <w:footnoteRef/>
      </w:r>
      <w:r w:rsidRPr="00426E94">
        <w:rPr>
          <w:sz w:val="16"/>
          <w:szCs w:val="16"/>
        </w:rPr>
        <w:t xml:space="preserve"> ABS,</w:t>
      </w:r>
      <w:r w:rsidRPr="00426E94">
        <w:rPr>
          <w:sz w:val="16"/>
          <w:szCs w:val="16"/>
          <w:lang w:val="en"/>
        </w:rPr>
        <w:t xml:space="preserve"> 4839.0.55.001 - Health Services: Patient Experiences in Australia, 2009  </w:t>
      </w:r>
    </w:p>
  </w:footnote>
  <w:footnote w:id="7">
    <w:p w:rsidR="008670FB" w:rsidRPr="00D30F05" w:rsidRDefault="008670FB" w:rsidP="00426E94">
      <w:pPr>
        <w:rPr>
          <w:b/>
          <w:lang w:val="en"/>
        </w:rPr>
      </w:pPr>
      <w:r w:rsidRPr="00426E94">
        <w:rPr>
          <w:rStyle w:val="FootnoteReference"/>
          <w:sz w:val="16"/>
          <w:szCs w:val="16"/>
        </w:rPr>
        <w:footnoteRef/>
      </w:r>
      <w:r w:rsidRPr="00426E94">
        <w:rPr>
          <w:sz w:val="16"/>
          <w:szCs w:val="16"/>
        </w:rPr>
        <w:t xml:space="preserve"> Leslie Russell, </w:t>
      </w:r>
      <w:r w:rsidRPr="00426E94">
        <w:rPr>
          <w:rStyle w:val="Strong"/>
          <w:rFonts w:eastAsiaTheme="majorEastAsia"/>
          <w:b w:val="0"/>
          <w:bCs w:val="0"/>
          <w:sz w:val="16"/>
          <w:szCs w:val="16"/>
          <w:lang w:val="en"/>
        </w:rPr>
        <w:t xml:space="preserve">The debate we’re yet to have about private health insurance, The Conversation, </w:t>
      </w:r>
      <w:r w:rsidRPr="00426E94">
        <w:rPr>
          <w:sz w:val="16"/>
          <w:szCs w:val="16"/>
          <w:lang w:val="en"/>
        </w:rPr>
        <w:t>April 2, 2015</w:t>
      </w:r>
    </w:p>
  </w:footnote>
  <w:footnote w:id="8">
    <w:p w:rsidR="008670FB" w:rsidRPr="004A1E78" w:rsidRDefault="008670FB">
      <w:pPr>
        <w:pStyle w:val="FootnoteText"/>
        <w:rPr>
          <w:sz w:val="16"/>
        </w:rPr>
      </w:pPr>
      <w:r>
        <w:rPr>
          <w:rStyle w:val="FootnoteReference"/>
        </w:rPr>
        <w:footnoteRef/>
      </w:r>
      <w:r>
        <w:t xml:space="preserve"> </w:t>
      </w:r>
      <w:r w:rsidRPr="004A1E78">
        <w:rPr>
          <w:sz w:val="16"/>
        </w:rPr>
        <w:t>Australian Institute of Health and Welfare, Australia’s mothers and babies 2006 to 2015, Perinatal statistics series, Canberra: AIHW</w:t>
      </w:r>
    </w:p>
  </w:footnote>
  <w:footnote w:id="9">
    <w:p w:rsidR="008670FB" w:rsidRPr="00FF5313" w:rsidRDefault="008670FB" w:rsidP="00A20964">
      <w:pPr>
        <w:pStyle w:val="FootnoteText"/>
        <w:rPr>
          <w:sz w:val="16"/>
        </w:rPr>
      </w:pPr>
      <w:r w:rsidRPr="00FF5313">
        <w:rPr>
          <w:rStyle w:val="FootnoteReference"/>
          <w:sz w:val="16"/>
        </w:rPr>
        <w:footnoteRef/>
      </w:r>
      <w:r w:rsidRPr="00FF5313">
        <w:rPr>
          <w:sz w:val="16"/>
        </w:rPr>
        <w:t xml:space="preserve"> </w:t>
      </w:r>
      <w:r>
        <w:rPr>
          <w:rFonts w:cs="Arial"/>
          <w:sz w:val="16"/>
          <w:szCs w:val="22"/>
          <w:lang w:eastAsia="en-AU"/>
        </w:rPr>
        <w:t>F</w:t>
      </w:r>
      <w:r w:rsidRPr="00FF5313">
        <w:rPr>
          <w:rFonts w:cs="Arial"/>
          <w:sz w:val="16"/>
          <w:szCs w:val="22"/>
          <w:lang w:eastAsia="en-AU"/>
        </w:rPr>
        <w:t xml:space="preserve">orecast services use ABS catalogue 3222 </w:t>
      </w:r>
      <w:r>
        <w:rPr>
          <w:rFonts w:cs="Arial"/>
          <w:sz w:val="16"/>
          <w:szCs w:val="22"/>
          <w:lang w:eastAsia="en-AU"/>
        </w:rPr>
        <w:t>Population Projections S</w:t>
      </w:r>
      <w:r w:rsidRPr="00FF5313">
        <w:rPr>
          <w:rFonts w:cs="Arial"/>
          <w:sz w:val="16"/>
          <w:szCs w:val="22"/>
          <w:lang w:eastAsia="en-AU"/>
        </w:rPr>
        <w:t>eries B</w:t>
      </w:r>
      <w:r>
        <w:rPr>
          <w:rFonts w:cs="Arial"/>
          <w:sz w:val="16"/>
          <w:szCs w:val="22"/>
          <w:lang w:eastAsia="en-AU"/>
        </w:rPr>
        <w:t>.</w:t>
      </w:r>
    </w:p>
  </w:footnote>
  <w:footnote w:id="10">
    <w:p w:rsidR="008670FB" w:rsidRDefault="008670FB" w:rsidP="00D55AB0">
      <w:pPr>
        <w:pStyle w:val="FootnoteText"/>
      </w:pPr>
      <w:r>
        <w:rPr>
          <w:rStyle w:val="FootnoteReference"/>
        </w:rPr>
        <w:footnoteRef/>
      </w:r>
      <w:r>
        <w:t xml:space="preserve"> </w:t>
      </w:r>
      <w:r w:rsidRPr="00AB6315">
        <w:rPr>
          <w:sz w:val="16"/>
        </w:rPr>
        <w:t xml:space="preserve">Fitzgerald O, Harris K, Paul RC, Chambers GM 2017. </w:t>
      </w:r>
      <w:proofErr w:type="gramStart"/>
      <w:r w:rsidRPr="00AB6315">
        <w:rPr>
          <w:sz w:val="16"/>
        </w:rPr>
        <w:t>Assisted reproductive technology in Australia and New Zealand 2015.</w:t>
      </w:r>
      <w:proofErr w:type="gramEnd"/>
      <w:r w:rsidRPr="00AB6315">
        <w:rPr>
          <w:sz w:val="16"/>
        </w:rPr>
        <w:t xml:space="preserve"> Sydney: National Perinatal Epidemiology and Statistics Unit, the University of New South Wales Sydney.</w:t>
      </w:r>
    </w:p>
  </w:footnote>
  <w:footnote w:id="11">
    <w:p w:rsidR="008670FB" w:rsidRPr="00A6765A" w:rsidRDefault="008670FB" w:rsidP="00D55AB0">
      <w:pPr>
        <w:pStyle w:val="FootnoteText"/>
        <w:spacing w:before="0" w:after="0"/>
        <w:rPr>
          <w:rFonts w:cs="Arial"/>
          <w:sz w:val="16"/>
          <w:szCs w:val="16"/>
        </w:rPr>
      </w:pPr>
      <w:r w:rsidRPr="00F74593">
        <w:rPr>
          <w:rStyle w:val="FootnoteReference"/>
          <w:rFonts w:cs="Arial"/>
        </w:rPr>
        <w:footnoteRef/>
      </w:r>
      <w:r w:rsidRPr="00F74593">
        <w:rPr>
          <w:rFonts w:cs="Arial"/>
        </w:rPr>
        <w:t xml:space="preserve"> </w:t>
      </w:r>
      <w:proofErr w:type="gramStart"/>
      <w:r w:rsidRPr="00F74593">
        <w:rPr>
          <w:rFonts w:cs="Arial"/>
          <w:sz w:val="16"/>
          <w:szCs w:val="22"/>
        </w:rPr>
        <w:t>World Health Organization 2010</w:t>
      </w:r>
      <w:r w:rsidRPr="00A6765A">
        <w:rPr>
          <w:rFonts w:cs="Arial"/>
          <w:sz w:val="16"/>
          <w:szCs w:val="16"/>
        </w:rPr>
        <w:t>.</w:t>
      </w:r>
      <w:proofErr w:type="gramEnd"/>
      <w:r w:rsidRPr="00A6765A">
        <w:rPr>
          <w:rFonts w:cs="Arial"/>
          <w:sz w:val="16"/>
          <w:szCs w:val="16"/>
        </w:rPr>
        <w:t xml:space="preserve"> </w:t>
      </w:r>
      <w:r w:rsidRPr="00A6765A">
        <w:rPr>
          <w:sz w:val="16"/>
          <w:szCs w:val="16"/>
        </w:rPr>
        <w:t xml:space="preserve">Mother or nothing: the agony of infertility. </w:t>
      </w:r>
      <w:proofErr w:type="gramStart"/>
      <w:r w:rsidRPr="00A6765A">
        <w:rPr>
          <w:sz w:val="16"/>
          <w:szCs w:val="16"/>
        </w:rPr>
        <w:t>Bulletin of the World Health Organization.</w:t>
      </w:r>
      <w:proofErr w:type="gramEnd"/>
      <w:r w:rsidRPr="00A6765A">
        <w:rPr>
          <w:sz w:val="16"/>
          <w:szCs w:val="16"/>
        </w:rPr>
        <w:t xml:space="preserve"> Volume 88, Number 12, December 2010, 877-953.</w:t>
      </w:r>
    </w:p>
  </w:footnote>
  <w:footnote w:id="12">
    <w:p w:rsidR="008670FB" w:rsidRDefault="008670FB" w:rsidP="00D55AB0">
      <w:pPr>
        <w:pStyle w:val="Heading4"/>
        <w:shd w:val="clear" w:color="auto" w:fill="FFFFFF"/>
        <w:spacing w:before="0" w:after="0" w:line="270" w:lineRule="atLeast"/>
      </w:pPr>
      <w:r w:rsidRPr="00F74593">
        <w:rPr>
          <w:rStyle w:val="FootnoteReference"/>
          <w:rFonts w:cs="Arial"/>
          <w:b w:val="0"/>
          <w:bCs w:val="0"/>
          <w:color w:val="auto"/>
          <w:sz w:val="20"/>
          <w:szCs w:val="20"/>
        </w:rPr>
        <w:footnoteRef/>
      </w:r>
      <w:r w:rsidRPr="00F74593">
        <w:rPr>
          <w:rFonts w:cs="Arial"/>
        </w:rPr>
        <w:t xml:space="preserve"> </w:t>
      </w:r>
      <w:r w:rsidRPr="00916688">
        <w:rPr>
          <w:rFonts w:cs="Arial"/>
          <w:b w:val="0"/>
          <w:bCs w:val="0"/>
          <w:color w:val="000000"/>
          <w:sz w:val="16"/>
          <w:szCs w:val="16"/>
        </w:rPr>
        <w:t xml:space="preserve">The International Glossary on Infertility and Fertility Care, 2017, </w:t>
      </w:r>
      <w:proofErr w:type="spellStart"/>
      <w:r w:rsidRPr="00916688">
        <w:rPr>
          <w:rFonts w:cs="Arial"/>
          <w:b w:val="0"/>
          <w:color w:val="000000"/>
          <w:sz w:val="16"/>
          <w:szCs w:val="16"/>
        </w:rPr>
        <w:t>Zegers-Hochschild</w:t>
      </w:r>
      <w:proofErr w:type="spellEnd"/>
      <w:r w:rsidRPr="00916688">
        <w:rPr>
          <w:rFonts w:cs="Arial"/>
          <w:b w:val="0"/>
          <w:color w:val="000000"/>
          <w:sz w:val="16"/>
          <w:szCs w:val="16"/>
        </w:rPr>
        <w:t>, Fernando et al., Fertility and Sterility, Volume 108, Issue 3, 393 - 406</w:t>
      </w:r>
    </w:p>
  </w:footnote>
  <w:footnote w:id="13">
    <w:p w:rsidR="008670FB" w:rsidRDefault="008670FB" w:rsidP="00D55AB0">
      <w:pPr>
        <w:pStyle w:val="FootnoteText"/>
        <w:spacing w:before="0" w:after="0"/>
      </w:pPr>
      <w:r>
        <w:rPr>
          <w:rStyle w:val="FootnoteReference"/>
        </w:rPr>
        <w:footnoteRef/>
      </w:r>
      <w:r>
        <w:t xml:space="preserve"> </w:t>
      </w:r>
      <w:proofErr w:type="gramStart"/>
      <w:r w:rsidRPr="00A6765A">
        <w:rPr>
          <w:sz w:val="16"/>
          <w:szCs w:val="16"/>
        </w:rPr>
        <w:t>ICMART (International Committee for Monitoring Assisted Reproductive Technology) 2015.</w:t>
      </w:r>
      <w:proofErr w:type="gramEnd"/>
      <w:r w:rsidRPr="00A6765A">
        <w:rPr>
          <w:sz w:val="16"/>
          <w:szCs w:val="16"/>
        </w:rPr>
        <w:t xml:space="preserve"> </w:t>
      </w:r>
      <w:proofErr w:type="gramStart"/>
      <w:r w:rsidRPr="00A6765A">
        <w:rPr>
          <w:sz w:val="16"/>
          <w:szCs w:val="16"/>
        </w:rPr>
        <w:t>Preliminary global assisted reproductive technology (ART) data for 2011.</w:t>
      </w:r>
      <w:proofErr w:type="gramEnd"/>
      <w:r w:rsidRPr="00A6765A">
        <w:rPr>
          <w:sz w:val="16"/>
          <w:szCs w:val="16"/>
        </w:rPr>
        <w:t xml:space="preserve"> Available at: http://cm.eshre.eu/Presentations/ESHRE2015/O-134/default.aspx. European Society of Human Embryology and Reproduction (ESHRE) Annual Scientific Meeting Lisbon, Portugal 14-17 June 2015</w:t>
      </w:r>
      <w:r>
        <w:rPr>
          <w:sz w:val="22"/>
          <w:szCs w:val="22"/>
        </w:rPr>
        <w:t>.</w:t>
      </w:r>
    </w:p>
  </w:footnote>
  <w:footnote w:id="14">
    <w:p w:rsidR="008670FB" w:rsidRDefault="008670FB" w:rsidP="00D55AB0">
      <w:pPr>
        <w:pStyle w:val="FootnoteText"/>
        <w:spacing w:before="0" w:after="0"/>
      </w:pPr>
      <w:r>
        <w:rPr>
          <w:rStyle w:val="FootnoteReference"/>
        </w:rPr>
        <w:footnoteRef/>
      </w:r>
      <w:r>
        <w:t xml:space="preserve"> </w:t>
      </w:r>
      <w:proofErr w:type="gramStart"/>
      <w:r w:rsidRPr="00E85E29">
        <w:rPr>
          <w:sz w:val="16"/>
          <w:szCs w:val="16"/>
        </w:rPr>
        <w:t>AIHW 2016.</w:t>
      </w:r>
      <w:proofErr w:type="gramEnd"/>
      <w:r w:rsidRPr="00E85E29">
        <w:rPr>
          <w:sz w:val="16"/>
          <w:szCs w:val="16"/>
        </w:rPr>
        <w:t xml:space="preserve"> </w:t>
      </w:r>
      <w:proofErr w:type="gramStart"/>
      <w:r w:rsidRPr="00E85E29">
        <w:rPr>
          <w:sz w:val="16"/>
          <w:szCs w:val="16"/>
        </w:rPr>
        <w:t>Australia's mothers and babies 2014—in brief.</w:t>
      </w:r>
      <w:proofErr w:type="gramEnd"/>
      <w:r w:rsidRPr="00E85E29">
        <w:rPr>
          <w:sz w:val="16"/>
          <w:szCs w:val="16"/>
        </w:rPr>
        <w:t xml:space="preserve"> </w:t>
      </w:r>
      <w:proofErr w:type="gramStart"/>
      <w:r w:rsidRPr="00E85E29">
        <w:rPr>
          <w:sz w:val="16"/>
          <w:szCs w:val="16"/>
        </w:rPr>
        <w:t>Perinatal statistics series no. 32.</w:t>
      </w:r>
      <w:proofErr w:type="gramEnd"/>
      <w:r w:rsidRPr="00E85E29">
        <w:rPr>
          <w:sz w:val="16"/>
          <w:szCs w:val="16"/>
        </w:rPr>
        <w:t xml:space="preserve"> Cat. </w:t>
      </w:r>
      <w:proofErr w:type="gramStart"/>
      <w:r w:rsidRPr="00E85E29">
        <w:rPr>
          <w:sz w:val="16"/>
          <w:szCs w:val="16"/>
        </w:rPr>
        <w:t>no</w:t>
      </w:r>
      <w:proofErr w:type="gramEnd"/>
      <w:r w:rsidRPr="00E85E29">
        <w:rPr>
          <w:sz w:val="16"/>
          <w:szCs w:val="16"/>
        </w:rPr>
        <w:t xml:space="preserve">. </w:t>
      </w:r>
      <w:proofErr w:type="gramStart"/>
      <w:r w:rsidRPr="00E85E29">
        <w:rPr>
          <w:sz w:val="16"/>
          <w:szCs w:val="16"/>
        </w:rPr>
        <w:t>PER 87.</w:t>
      </w:r>
      <w:proofErr w:type="gramEnd"/>
      <w:r w:rsidRPr="00E85E29">
        <w:rPr>
          <w:sz w:val="16"/>
          <w:szCs w:val="16"/>
        </w:rPr>
        <w:t xml:space="preserve"> Canberra: AIHW.</w:t>
      </w:r>
    </w:p>
  </w:footnote>
  <w:footnote w:id="15">
    <w:p w:rsidR="008670FB" w:rsidRDefault="008670FB" w:rsidP="00D55AB0">
      <w:pPr>
        <w:pStyle w:val="FootnoteText"/>
      </w:pPr>
      <w:r>
        <w:rPr>
          <w:rStyle w:val="FootnoteReference"/>
        </w:rPr>
        <w:footnoteRef/>
      </w:r>
      <w:r>
        <w:t xml:space="preserve"> </w:t>
      </w:r>
      <w:proofErr w:type="gramStart"/>
      <w:r w:rsidRPr="00A56EB1">
        <w:rPr>
          <w:sz w:val="16"/>
          <w:szCs w:val="16"/>
        </w:rPr>
        <w:t>Australian Institute of Health and Welfare 2017.</w:t>
      </w:r>
      <w:proofErr w:type="gramEnd"/>
      <w:r w:rsidRPr="00A56EB1">
        <w:rPr>
          <w:sz w:val="16"/>
          <w:szCs w:val="16"/>
        </w:rPr>
        <w:t xml:space="preserve"> </w:t>
      </w:r>
      <w:proofErr w:type="gramStart"/>
      <w:r w:rsidRPr="00A56EB1">
        <w:rPr>
          <w:sz w:val="16"/>
          <w:szCs w:val="16"/>
        </w:rPr>
        <w:t>Australia’s mothers and babies 2015—in brief.</w:t>
      </w:r>
      <w:proofErr w:type="gramEnd"/>
      <w:r w:rsidRPr="00A56EB1">
        <w:rPr>
          <w:sz w:val="16"/>
          <w:szCs w:val="16"/>
        </w:rPr>
        <w:t xml:space="preserve"> </w:t>
      </w:r>
      <w:proofErr w:type="gramStart"/>
      <w:r w:rsidRPr="00A56EB1">
        <w:rPr>
          <w:sz w:val="16"/>
          <w:szCs w:val="16"/>
        </w:rPr>
        <w:t>Perinatal statistics series no. 33.</w:t>
      </w:r>
      <w:proofErr w:type="gramEnd"/>
      <w:r w:rsidRPr="00A56EB1">
        <w:rPr>
          <w:sz w:val="16"/>
          <w:szCs w:val="16"/>
        </w:rPr>
        <w:t xml:space="preserve"> Cat no. </w:t>
      </w:r>
      <w:proofErr w:type="gramStart"/>
      <w:r w:rsidRPr="00A56EB1">
        <w:rPr>
          <w:sz w:val="16"/>
          <w:szCs w:val="16"/>
        </w:rPr>
        <w:t>PER 91.</w:t>
      </w:r>
      <w:proofErr w:type="gramEnd"/>
      <w:r w:rsidRPr="00A56EB1">
        <w:rPr>
          <w:sz w:val="16"/>
          <w:szCs w:val="16"/>
        </w:rPr>
        <w:t xml:space="preserve"> Canberra: AIHW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Default="008670FB">
    <w:pPr>
      <w:pStyle w:val="Header"/>
    </w:pPr>
    <w:r>
      <w:rPr>
        <w:noProof/>
        <w:lang w:eastAsia="en-AU"/>
      </w:rPr>
      <mc:AlternateContent>
        <mc:Choice Requires="wps">
          <w:drawing>
            <wp:anchor distT="0" distB="0" distL="114300" distR="114300" simplePos="0" relativeHeight="251657216" behindDoc="1" locked="0" layoutInCell="0" allowOverlap="1" wp14:anchorId="69B0C170" wp14:editId="3CF9E0CC">
              <wp:simplePos x="0" y="0"/>
              <wp:positionH relativeFrom="margin">
                <wp:align>center</wp:align>
              </wp:positionH>
              <wp:positionV relativeFrom="margin">
                <wp:align>center</wp:align>
              </wp:positionV>
              <wp:extent cx="7383145" cy="1342390"/>
              <wp:effectExtent l="0" t="0" r="0" b="0"/>
              <wp:wrapNone/>
              <wp:docPr id="1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342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0FB" w:rsidRDefault="008670FB" w:rsidP="005B4D0E">
                          <w:pPr>
                            <w:pStyle w:val="NormalWeb"/>
                            <w:spacing w:before="0" w:beforeAutospacing="0" w:after="0" w:afterAutospacing="0"/>
                            <w:jc w:val="center"/>
                          </w:pPr>
                          <w:r>
                            <w:rPr>
                              <w:color w:val="C0C0C0"/>
                              <w:sz w:val="2"/>
                              <w:szCs w:val="2"/>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581.35pt;height:105.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" o:allowincell="f" filled="f" stroked="f">
              <v:stroke joinstyle="round"/>
              <o:lock v:ext="edit" shapetype="t"/>
              <v:textbox style="mso-fit-shape-to-text:t">
                <w:txbxContent>
                  <w:p w:rsidR="008670FB" w:rsidRDefault="008670FB" w:rsidP="005B4D0E">
                    <w:pPr>
                      <w:pStyle w:val="NormalWeb"/>
                      <w:spacing w:before="0" w:beforeAutospacing="0" w:after="0" w:afterAutospacing="0"/>
                      <w:jc w:val="center"/>
                    </w:pPr>
                    <w:r>
                      <w:rPr>
                        <w:color w:val="C0C0C0"/>
                        <w:sz w:val="2"/>
                        <w:szCs w:val="2"/>
                      </w:rPr>
                      <w:t>FINAL 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206AFC" w:rsidRDefault="008670FB" w:rsidP="00206AF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DD07BE" w:rsidRDefault="008670FB" w:rsidP="00206AF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DD07BE" w:rsidRDefault="008670FB" w:rsidP="00DD07BE">
    <w:pPr>
      <w:pStyle w:val="Header"/>
      <w:pBdr>
        <w:bottom w:val="single" w:sz="2" w:space="1" w:color="1F497D" w:themeColor="text2"/>
      </w:pBdr>
      <w:jc w:val="right"/>
      <w:rPr>
        <w:color w:val="8DB3E2" w:themeColor="text2" w:themeTint="66"/>
        <w:sz w:val="16"/>
        <w:szCs w:val="16"/>
      </w:rPr>
    </w:pPr>
    <w:r w:rsidRPr="00DD07BE">
      <w:rPr>
        <w:color w:val="8DB3E2" w:themeColor="text2" w:themeTint="66"/>
        <w:sz w:val="16"/>
        <w:szCs w:val="16"/>
      </w:rPr>
      <w:t xml:space="preserve"> </w:t>
    </w: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Default="008670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98223C" w:rsidRDefault="008670FB" w:rsidP="0098223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DD07BE" w:rsidRDefault="008670FB" w:rsidP="0098223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Default="008670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206AFC" w:rsidRDefault="008670FB" w:rsidP="00206AF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Pr="00DD07BE" w:rsidRDefault="008670FB" w:rsidP="00206AFC">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Obstetrics and Gynaecology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0FB" w:rsidRDefault="008670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01FD"/>
    <w:multiLevelType w:val="hybridMultilevel"/>
    <w:tmpl w:val="07162ADA"/>
    <w:lvl w:ilvl="0" w:tplc="0C090001">
      <w:start w:val="1"/>
      <w:numFmt w:val="bullet"/>
      <w:lvlText w:val=""/>
      <w:lvlJc w:val="left"/>
      <w:pPr>
        <w:ind w:left="502"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3275D"/>
    <w:multiLevelType w:val="hybridMultilevel"/>
    <w:tmpl w:val="8A08EC1E"/>
    <w:lvl w:ilvl="0" w:tplc="0C09000F">
      <w:start w:val="1"/>
      <w:numFmt w:val="decimal"/>
      <w:lvlText w:val="%1."/>
      <w:lvlJc w:val="left"/>
      <w:pPr>
        <w:ind w:left="36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
    <w:nsid w:val="03766309"/>
    <w:multiLevelType w:val="hybridMultilevel"/>
    <w:tmpl w:val="2B9EC2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2D3E2A04">
      <w:start w:val="1"/>
      <w:numFmt w:val="bullet"/>
      <w:lvlText w:val="-"/>
      <w:lvlJc w:val="left"/>
      <w:pPr>
        <w:ind w:left="1800" w:hanging="360"/>
      </w:pPr>
      <w:rPr>
        <w:rFonts w:ascii="Agency FB" w:hAnsi="Agency FB"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555535"/>
    <w:multiLevelType w:val="hybridMultilevel"/>
    <w:tmpl w:val="49C22D5E"/>
    <w:lvl w:ilvl="0" w:tplc="0C090001">
      <w:start w:val="1"/>
      <w:numFmt w:val="bullet"/>
      <w:lvlText w:val=""/>
      <w:lvlJc w:val="left"/>
      <w:pPr>
        <w:ind w:left="502"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DB5D8D"/>
    <w:multiLevelType w:val="hybridMultilevel"/>
    <w:tmpl w:val="31EA30A2"/>
    <w:lvl w:ilvl="0" w:tplc="35C63F18">
      <w:start w:val="1"/>
      <w:numFmt w:val="decimal"/>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300054"/>
    <w:multiLevelType w:val="hybridMultilevel"/>
    <w:tmpl w:val="77601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6CB5CF4"/>
    <w:multiLevelType w:val="hybridMultilevel"/>
    <w:tmpl w:val="BC769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6F92A7D"/>
    <w:multiLevelType w:val="hybridMultilevel"/>
    <w:tmpl w:val="78C0FB0E"/>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7A213B5"/>
    <w:multiLevelType w:val="hybridMultilevel"/>
    <w:tmpl w:val="8110C13E"/>
    <w:lvl w:ilvl="0" w:tplc="541E67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9F810D0"/>
    <w:multiLevelType w:val="hybridMultilevel"/>
    <w:tmpl w:val="570E2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D860DDF"/>
    <w:multiLevelType w:val="hybridMultilevel"/>
    <w:tmpl w:val="B4CEE0DA"/>
    <w:lvl w:ilvl="0" w:tplc="353473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3C1311"/>
    <w:multiLevelType w:val="hybridMultilevel"/>
    <w:tmpl w:val="25DA7028"/>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0C21B0D"/>
    <w:multiLevelType w:val="hybridMultilevel"/>
    <w:tmpl w:val="E676B9F8"/>
    <w:lvl w:ilvl="0" w:tplc="7158D7EA">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0FD7633"/>
    <w:multiLevelType w:val="hybridMultilevel"/>
    <w:tmpl w:val="9F10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801000"/>
    <w:multiLevelType w:val="hybridMultilevel"/>
    <w:tmpl w:val="EC503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29F0AA3"/>
    <w:multiLevelType w:val="hybridMultilevel"/>
    <w:tmpl w:val="820CA5B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8C044F6"/>
    <w:multiLevelType w:val="hybridMultilevel"/>
    <w:tmpl w:val="589E298C"/>
    <w:lvl w:ilvl="0" w:tplc="0C090001">
      <w:start w:val="1"/>
      <w:numFmt w:val="bullet"/>
      <w:lvlText w:val=""/>
      <w:lvlJc w:val="left"/>
      <w:pPr>
        <w:ind w:left="720" w:hanging="360"/>
      </w:pPr>
      <w:rPr>
        <w:rFonts w:ascii="Symbol" w:hAnsi="Symbol" w:hint="default"/>
      </w:rPr>
    </w:lvl>
    <w:lvl w:ilvl="1" w:tplc="353473E6">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7D0364"/>
    <w:multiLevelType w:val="hybridMultilevel"/>
    <w:tmpl w:val="872C0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AF30A15"/>
    <w:multiLevelType w:val="hybridMultilevel"/>
    <w:tmpl w:val="25EA0E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1E111A6A"/>
    <w:multiLevelType w:val="hybridMultilevel"/>
    <w:tmpl w:val="F270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746D50"/>
    <w:multiLevelType w:val="hybridMultilevel"/>
    <w:tmpl w:val="DDFA7E18"/>
    <w:lvl w:ilvl="0" w:tplc="541E67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1">
    <w:nsid w:val="1F0B324A"/>
    <w:multiLevelType w:val="hybridMultilevel"/>
    <w:tmpl w:val="16CAC6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1F287296"/>
    <w:multiLevelType w:val="hybridMultilevel"/>
    <w:tmpl w:val="790421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468610D"/>
    <w:multiLevelType w:val="hybridMultilevel"/>
    <w:tmpl w:val="1174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4BF6296"/>
    <w:multiLevelType w:val="hybridMultilevel"/>
    <w:tmpl w:val="C690F9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4ED504C"/>
    <w:multiLevelType w:val="hybridMultilevel"/>
    <w:tmpl w:val="CE4CA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55F6138"/>
    <w:multiLevelType w:val="hybridMultilevel"/>
    <w:tmpl w:val="FBFA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59631DA"/>
    <w:multiLevelType w:val="hybridMultilevel"/>
    <w:tmpl w:val="47DEA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6F77C21"/>
    <w:multiLevelType w:val="hybridMultilevel"/>
    <w:tmpl w:val="AB50A4A0"/>
    <w:lvl w:ilvl="0" w:tplc="106C3F68">
      <w:start w:val="1"/>
      <w:numFmt w:val="bullet"/>
      <w:lvlText w:val=""/>
      <w:lvlJc w:val="left"/>
      <w:pPr>
        <w:ind w:left="856" w:hanging="360"/>
      </w:pPr>
      <w:rPr>
        <w:rFonts w:ascii="Symbol" w:hAnsi="Symbol" w:hint="default"/>
        <w:b w:val="0"/>
        <w:i w:val="0"/>
        <w:color w:val="auto"/>
      </w:rPr>
    </w:lvl>
    <w:lvl w:ilvl="1" w:tplc="0C090003" w:tentative="1">
      <w:start w:val="1"/>
      <w:numFmt w:val="bullet"/>
      <w:lvlText w:val="o"/>
      <w:lvlJc w:val="left"/>
      <w:pPr>
        <w:ind w:left="1576" w:hanging="360"/>
      </w:pPr>
      <w:rPr>
        <w:rFonts w:ascii="Courier New" w:hAnsi="Courier New" w:cs="Courier New" w:hint="default"/>
      </w:rPr>
    </w:lvl>
    <w:lvl w:ilvl="2" w:tplc="0C090005" w:tentative="1">
      <w:start w:val="1"/>
      <w:numFmt w:val="bullet"/>
      <w:lvlText w:val=""/>
      <w:lvlJc w:val="left"/>
      <w:pPr>
        <w:ind w:left="2296" w:hanging="360"/>
      </w:pPr>
      <w:rPr>
        <w:rFonts w:ascii="Wingdings" w:hAnsi="Wingdings" w:hint="default"/>
      </w:rPr>
    </w:lvl>
    <w:lvl w:ilvl="3" w:tplc="0C090001" w:tentative="1">
      <w:start w:val="1"/>
      <w:numFmt w:val="bullet"/>
      <w:lvlText w:val=""/>
      <w:lvlJc w:val="left"/>
      <w:pPr>
        <w:ind w:left="3016" w:hanging="360"/>
      </w:pPr>
      <w:rPr>
        <w:rFonts w:ascii="Symbol" w:hAnsi="Symbol" w:hint="default"/>
      </w:rPr>
    </w:lvl>
    <w:lvl w:ilvl="4" w:tplc="0C090003" w:tentative="1">
      <w:start w:val="1"/>
      <w:numFmt w:val="bullet"/>
      <w:lvlText w:val="o"/>
      <w:lvlJc w:val="left"/>
      <w:pPr>
        <w:ind w:left="3736" w:hanging="360"/>
      </w:pPr>
      <w:rPr>
        <w:rFonts w:ascii="Courier New" w:hAnsi="Courier New" w:cs="Courier New" w:hint="default"/>
      </w:rPr>
    </w:lvl>
    <w:lvl w:ilvl="5" w:tplc="0C090005" w:tentative="1">
      <w:start w:val="1"/>
      <w:numFmt w:val="bullet"/>
      <w:lvlText w:val=""/>
      <w:lvlJc w:val="left"/>
      <w:pPr>
        <w:ind w:left="4456" w:hanging="360"/>
      </w:pPr>
      <w:rPr>
        <w:rFonts w:ascii="Wingdings" w:hAnsi="Wingdings" w:hint="default"/>
      </w:rPr>
    </w:lvl>
    <w:lvl w:ilvl="6" w:tplc="0C090001" w:tentative="1">
      <w:start w:val="1"/>
      <w:numFmt w:val="bullet"/>
      <w:lvlText w:val=""/>
      <w:lvlJc w:val="left"/>
      <w:pPr>
        <w:ind w:left="5176" w:hanging="360"/>
      </w:pPr>
      <w:rPr>
        <w:rFonts w:ascii="Symbol" w:hAnsi="Symbol" w:hint="default"/>
      </w:rPr>
    </w:lvl>
    <w:lvl w:ilvl="7" w:tplc="0C090003" w:tentative="1">
      <w:start w:val="1"/>
      <w:numFmt w:val="bullet"/>
      <w:lvlText w:val="o"/>
      <w:lvlJc w:val="left"/>
      <w:pPr>
        <w:ind w:left="5896" w:hanging="360"/>
      </w:pPr>
      <w:rPr>
        <w:rFonts w:ascii="Courier New" w:hAnsi="Courier New" w:cs="Courier New" w:hint="default"/>
      </w:rPr>
    </w:lvl>
    <w:lvl w:ilvl="8" w:tplc="0C090005" w:tentative="1">
      <w:start w:val="1"/>
      <w:numFmt w:val="bullet"/>
      <w:lvlText w:val=""/>
      <w:lvlJc w:val="left"/>
      <w:pPr>
        <w:ind w:left="6616" w:hanging="360"/>
      </w:pPr>
      <w:rPr>
        <w:rFonts w:ascii="Wingdings" w:hAnsi="Wingdings" w:hint="default"/>
      </w:rPr>
    </w:lvl>
  </w:abstractNum>
  <w:abstractNum w:abstractNumId="29">
    <w:nsid w:val="273D7DFA"/>
    <w:multiLevelType w:val="hybridMultilevel"/>
    <w:tmpl w:val="58B22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A9F4E2D"/>
    <w:multiLevelType w:val="multilevel"/>
    <w:tmpl w:val="4DFAE0F0"/>
    <w:lvl w:ilvl="0">
      <w:start w:val="1"/>
      <w:numFmt w:val="bullet"/>
      <w:lvlText w:val="-"/>
      <w:lvlJc w:val="left"/>
      <w:pPr>
        <w:tabs>
          <w:tab w:val="num" w:pos="360"/>
        </w:tabs>
        <w:ind w:left="360" w:hanging="360"/>
      </w:pPr>
      <w:rPr>
        <w:rFonts w:ascii="Agency FB" w:hAnsi="Agency FB" w:hint="default"/>
        <w:sz w:val="20"/>
      </w:rPr>
    </w:lvl>
    <w:lvl w:ilvl="1">
      <w:start w:val="1"/>
      <w:numFmt w:val="decimal"/>
      <w:lvlText w:val="%2."/>
      <w:lvlJc w:val="left"/>
      <w:pPr>
        <w:ind w:left="1080" w:hanging="360"/>
      </w:pPr>
      <w:rPr>
        <w:rFonts w:hint="default"/>
        <w:color w:val="auto"/>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2E430560"/>
    <w:multiLevelType w:val="hybridMultilevel"/>
    <w:tmpl w:val="3B8E416E"/>
    <w:lvl w:ilvl="0" w:tplc="93F80F6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32983EE9"/>
    <w:multiLevelType w:val="hybridMultilevel"/>
    <w:tmpl w:val="43489F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6D2674A"/>
    <w:multiLevelType w:val="hybridMultilevel"/>
    <w:tmpl w:val="D04EBC9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78F1D05"/>
    <w:multiLevelType w:val="hybridMultilevel"/>
    <w:tmpl w:val="12B4D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87E7D0E"/>
    <w:multiLevelType w:val="hybridMultilevel"/>
    <w:tmpl w:val="97365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8F55B91"/>
    <w:multiLevelType w:val="hybridMultilevel"/>
    <w:tmpl w:val="4850961C"/>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2D3E2A04">
      <w:start w:val="1"/>
      <w:numFmt w:val="bullet"/>
      <w:lvlText w:val="-"/>
      <w:lvlJc w:val="left"/>
      <w:pPr>
        <w:ind w:left="1800" w:hanging="360"/>
      </w:pPr>
      <w:rPr>
        <w:rFonts w:ascii="Agency FB" w:hAnsi="Agency FB"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AA64470"/>
    <w:multiLevelType w:val="hybridMultilevel"/>
    <w:tmpl w:val="A4060522"/>
    <w:lvl w:ilvl="0" w:tplc="2D3E2A04">
      <w:start w:val="1"/>
      <w:numFmt w:val="bullet"/>
      <w:lvlText w:val="-"/>
      <w:lvlJc w:val="left"/>
      <w:pPr>
        <w:ind w:left="6" w:hanging="360"/>
      </w:pPr>
      <w:rPr>
        <w:rFonts w:ascii="Agency FB" w:hAnsi="Agency FB"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8">
    <w:nsid w:val="3F851C49"/>
    <w:multiLevelType w:val="hybridMultilevel"/>
    <w:tmpl w:val="A8E83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40DD11AE"/>
    <w:multiLevelType w:val="hybridMultilevel"/>
    <w:tmpl w:val="0096F716"/>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806549F"/>
    <w:multiLevelType w:val="hybridMultilevel"/>
    <w:tmpl w:val="2794AD6A"/>
    <w:lvl w:ilvl="0" w:tplc="2D3E2A04">
      <w:start w:val="1"/>
      <w:numFmt w:val="bullet"/>
      <w:lvlText w:val="-"/>
      <w:lvlJc w:val="left"/>
      <w:pPr>
        <w:ind w:left="502"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48D71921"/>
    <w:multiLevelType w:val="hybridMultilevel"/>
    <w:tmpl w:val="FFEA82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D3E2A04">
      <w:start w:val="1"/>
      <w:numFmt w:val="bullet"/>
      <w:lvlText w:val="-"/>
      <w:lvlJc w:val="left"/>
      <w:pPr>
        <w:ind w:left="1800" w:hanging="360"/>
      </w:pPr>
      <w:rPr>
        <w:rFonts w:ascii="Agency FB" w:hAnsi="Agency FB"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12123F3"/>
    <w:multiLevelType w:val="hybridMultilevel"/>
    <w:tmpl w:val="877C4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3890615"/>
    <w:multiLevelType w:val="hybridMultilevel"/>
    <w:tmpl w:val="9C1A1A7C"/>
    <w:lvl w:ilvl="0" w:tplc="7D64087A">
      <w:start w:val="1"/>
      <w:numFmt w:val="decimal"/>
      <w:lvlText w:val="%1."/>
      <w:lvlJc w:val="left"/>
      <w:pPr>
        <w:ind w:left="360" w:hanging="360"/>
      </w:pPr>
      <w:rPr>
        <w:b/>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53CB52E6"/>
    <w:multiLevelType w:val="hybridMultilevel"/>
    <w:tmpl w:val="2924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3CB67B0"/>
    <w:multiLevelType w:val="hybridMultilevel"/>
    <w:tmpl w:val="4F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40F0305"/>
    <w:multiLevelType w:val="hybridMultilevel"/>
    <w:tmpl w:val="0A6C4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670541C"/>
    <w:multiLevelType w:val="hybridMultilevel"/>
    <w:tmpl w:val="018ED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577736F0"/>
    <w:multiLevelType w:val="hybridMultilevel"/>
    <w:tmpl w:val="C3AADFAE"/>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57BA3B80"/>
    <w:multiLevelType w:val="multilevel"/>
    <w:tmpl w:val="DCF422C0"/>
    <w:lvl w:ilvl="0">
      <w:start w:val="1"/>
      <w:numFmt w:val="bullet"/>
      <w:lvlText w:val="-"/>
      <w:lvlJc w:val="left"/>
      <w:pPr>
        <w:tabs>
          <w:tab w:val="num" w:pos="360"/>
        </w:tabs>
        <w:ind w:left="360" w:hanging="360"/>
      </w:pPr>
      <w:rPr>
        <w:rFonts w:ascii="Agency FB" w:hAnsi="Agency FB"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587A0DB6"/>
    <w:multiLevelType w:val="hybridMultilevel"/>
    <w:tmpl w:val="619E7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9140CF1"/>
    <w:multiLevelType w:val="hybridMultilevel"/>
    <w:tmpl w:val="4CE66560"/>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5B5C2230"/>
    <w:multiLevelType w:val="hybridMultilevel"/>
    <w:tmpl w:val="9F96E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2C4C9B"/>
    <w:multiLevelType w:val="hybridMultilevel"/>
    <w:tmpl w:val="31002AA6"/>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FDD7307"/>
    <w:multiLevelType w:val="hybridMultilevel"/>
    <w:tmpl w:val="2B187D26"/>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0137829"/>
    <w:multiLevelType w:val="hybridMultilevel"/>
    <w:tmpl w:val="0298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41C50D4"/>
    <w:multiLevelType w:val="hybridMultilevel"/>
    <w:tmpl w:val="5276E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4902CA8"/>
    <w:multiLevelType w:val="hybridMultilevel"/>
    <w:tmpl w:val="CA64E14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747495C"/>
    <w:multiLevelType w:val="hybridMultilevel"/>
    <w:tmpl w:val="429E2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4F5CE4"/>
    <w:multiLevelType w:val="hybridMultilevel"/>
    <w:tmpl w:val="AF283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68E97299"/>
    <w:multiLevelType w:val="hybridMultilevel"/>
    <w:tmpl w:val="734EE25A"/>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6CA378C5"/>
    <w:multiLevelType w:val="hybridMultilevel"/>
    <w:tmpl w:val="F8C2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6CB82657"/>
    <w:multiLevelType w:val="hybridMultilevel"/>
    <w:tmpl w:val="1752EC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6D925917"/>
    <w:multiLevelType w:val="hybridMultilevel"/>
    <w:tmpl w:val="22461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6EC2499A"/>
    <w:multiLevelType w:val="hybridMultilevel"/>
    <w:tmpl w:val="478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6F573767"/>
    <w:multiLevelType w:val="hybridMultilevel"/>
    <w:tmpl w:val="62269F5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F640EC1"/>
    <w:multiLevelType w:val="hybridMultilevel"/>
    <w:tmpl w:val="8EB8AB60"/>
    <w:lvl w:ilvl="0" w:tplc="2D3E2A04">
      <w:start w:val="1"/>
      <w:numFmt w:val="bullet"/>
      <w:lvlText w:val="-"/>
      <w:lvlJc w:val="left"/>
      <w:pPr>
        <w:ind w:left="720" w:hanging="360"/>
      </w:pPr>
      <w:rPr>
        <w:rFonts w:ascii="Agency FB" w:hAnsi="Agency F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2E930D2"/>
    <w:multiLevelType w:val="hybridMultilevel"/>
    <w:tmpl w:val="4B9C10BC"/>
    <w:lvl w:ilvl="0" w:tplc="2D3E2A04">
      <w:start w:val="1"/>
      <w:numFmt w:val="bullet"/>
      <w:lvlText w:val="-"/>
      <w:lvlJc w:val="left"/>
      <w:pPr>
        <w:ind w:left="360" w:hanging="360"/>
      </w:pPr>
      <w:rPr>
        <w:rFonts w:ascii="Agency FB" w:hAnsi="Agency FB"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7ABE0B4C"/>
    <w:multiLevelType w:val="hybridMultilevel"/>
    <w:tmpl w:val="D4847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7C4360F8"/>
    <w:multiLevelType w:val="hybridMultilevel"/>
    <w:tmpl w:val="A496BE12"/>
    <w:lvl w:ilvl="0" w:tplc="0C090001">
      <w:start w:val="1"/>
      <w:numFmt w:val="bullet"/>
      <w:lvlText w:val=""/>
      <w:lvlJc w:val="left"/>
      <w:pPr>
        <w:ind w:left="360" w:hanging="360"/>
      </w:pPr>
      <w:rPr>
        <w:rFonts w:ascii="Symbol" w:hAnsi="Symbol" w:hint="default"/>
      </w:rPr>
    </w:lvl>
    <w:lvl w:ilvl="1" w:tplc="541E6784">
      <w:start w:val="1"/>
      <w:numFmt w:val="bullet"/>
      <w:lvlText w:val=""/>
      <w:lvlJc w:val="left"/>
      <w:pPr>
        <w:ind w:left="1080" w:hanging="360"/>
      </w:pPr>
      <w:rPr>
        <w:rFonts w:ascii="Symbol" w:hAnsi="Symbol"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7D590B70"/>
    <w:multiLevelType w:val="hybridMultilevel"/>
    <w:tmpl w:val="0B58B130"/>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19"/>
  </w:num>
  <w:num w:numId="3">
    <w:abstractNumId w:val="55"/>
  </w:num>
  <w:num w:numId="4">
    <w:abstractNumId w:val="61"/>
  </w:num>
  <w:num w:numId="5">
    <w:abstractNumId w:val="45"/>
  </w:num>
  <w:num w:numId="6">
    <w:abstractNumId w:val="62"/>
  </w:num>
  <w:num w:numId="7">
    <w:abstractNumId w:val="26"/>
  </w:num>
  <w:num w:numId="8">
    <w:abstractNumId w:val="24"/>
  </w:num>
  <w:num w:numId="9">
    <w:abstractNumId w:val="9"/>
  </w:num>
  <w:num w:numId="10">
    <w:abstractNumId w:val="33"/>
  </w:num>
  <w:num w:numId="11">
    <w:abstractNumId w:val="41"/>
  </w:num>
  <w:num w:numId="12">
    <w:abstractNumId w:val="12"/>
  </w:num>
  <w:num w:numId="13">
    <w:abstractNumId w:val="69"/>
  </w:num>
  <w:num w:numId="14">
    <w:abstractNumId w:val="2"/>
  </w:num>
  <w:num w:numId="15">
    <w:abstractNumId w:val="15"/>
  </w:num>
  <w:num w:numId="16">
    <w:abstractNumId w:val="54"/>
  </w:num>
  <w:num w:numId="17">
    <w:abstractNumId w:val="51"/>
  </w:num>
  <w:num w:numId="18">
    <w:abstractNumId w:val="70"/>
  </w:num>
  <w:num w:numId="19">
    <w:abstractNumId w:val="57"/>
  </w:num>
  <w:num w:numId="20">
    <w:abstractNumId w:val="48"/>
  </w:num>
  <w:num w:numId="21">
    <w:abstractNumId w:val="65"/>
  </w:num>
  <w:num w:numId="22">
    <w:abstractNumId w:val="39"/>
  </w:num>
  <w:num w:numId="23">
    <w:abstractNumId w:val="37"/>
  </w:num>
  <w:num w:numId="24">
    <w:abstractNumId w:val="60"/>
  </w:num>
  <w:num w:numId="25">
    <w:abstractNumId w:val="36"/>
  </w:num>
  <w:num w:numId="26">
    <w:abstractNumId w:val="3"/>
  </w:num>
  <w:num w:numId="27">
    <w:abstractNumId w:val="40"/>
  </w:num>
  <w:num w:numId="28">
    <w:abstractNumId w:val="0"/>
  </w:num>
  <w:num w:numId="29">
    <w:abstractNumId w:val="67"/>
  </w:num>
  <w:num w:numId="30">
    <w:abstractNumId w:val="53"/>
  </w:num>
  <w:num w:numId="31">
    <w:abstractNumId w:val="18"/>
  </w:num>
  <w:num w:numId="32">
    <w:abstractNumId w:val="4"/>
  </w:num>
  <w:num w:numId="33">
    <w:abstractNumId w:val="14"/>
  </w:num>
  <w:num w:numId="34">
    <w:abstractNumId w:val="44"/>
  </w:num>
  <w:num w:numId="35">
    <w:abstractNumId w:val="13"/>
  </w:num>
  <w:num w:numId="36">
    <w:abstractNumId w:val="46"/>
  </w:num>
  <w:num w:numId="37">
    <w:abstractNumId w:val="10"/>
  </w:num>
  <w:num w:numId="38">
    <w:abstractNumId w:val="23"/>
  </w:num>
  <w:num w:numId="39">
    <w:abstractNumId w:val="52"/>
  </w:num>
  <w:num w:numId="40">
    <w:abstractNumId w:val="58"/>
  </w:num>
  <w:num w:numId="41">
    <w:abstractNumId w:val="16"/>
  </w:num>
  <w:num w:numId="42">
    <w:abstractNumId w:val="59"/>
  </w:num>
  <w:num w:numId="43">
    <w:abstractNumId w:val="27"/>
  </w:num>
  <w:num w:numId="44">
    <w:abstractNumId w:val="17"/>
  </w:num>
  <w:num w:numId="45">
    <w:abstractNumId w:val="11"/>
  </w:num>
  <w:num w:numId="46">
    <w:abstractNumId w:val="20"/>
  </w:num>
  <w:num w:numId="47">
    <w:abstractNumId w:val="8"/>
  </w:num>
  <w:num w:numId="48">
    <w:abstractNumId w:val="7"/>
  </w:num>
  <w:num w:numId="49">
    <w:abstractNumId w:val="66"/>
  </w:num>
  <w:num w:numId="50">
    <w:abstractNumId w:val="30"/>
  </w:num>
  <w:num w:numId="51">
    <w:abstractNumId w:val="49"/>
  </w:num>
  <w:num w:numId="52">
    <w:abstractNumId w:val="63"/>
  </w:num>
  <w:num w:numId="53">
    <w:abstractNumId w:val="5"/>
  </w:num>
  <w:num w:numId="54">
    <w:abstractNumId w:val="35"/>
  </w:num>
  <w:num w:numId="55">
    <w:abstractNumId w:val="42"/>
  </w:num>
  <w:num w:numId="56">
    <w:abstractNumId w:val="34"/>
  </w:num>
  <w:num w:numId="57">
    <w:abstractNumId w:val="29"/>
  </w:num>
  <w:num w:numId="58">
    <w:abstractNumId w:val="56"/>
  </w:num>
  <w:num w:numId="59">
    <w:abstractNumId w:val="38"/>
  </w:num>
  <w:num w:numId="60">
    <w:abstractNumId w:val="50"/>
  </w:num>
  <w:num w:numId="61">
    <w:abstractNumId w:val="6"/>
  </w:num>
  <w:num w:numId="62">
    <w:abstractNumId w:val="25"/>
  </w:num>
  <w:num w:numId="63">
    <w:abstractNumId w:val="64"/>
  </w:num>
  <w:num w:numId="64">
    <w:abstractNumId w:val="68"/>
  </w:num>
  <w:num w:numId="65">
    <w:abstractNumId w:val="47"/>
  </w:num>
  <w:num w:numId="66">
    <w:abstractNumId w:val="28"/>
  </w:num>
  <w:num w:numId="67">
    <w:abstractNumId w:val="21"/>
  </w:num>
  <w:num w:numId="68">
    <w:abstractNumId w:val="43"/>
  </w:num>
  <w:num w:numId="69">
    <w:abstractNumId w:val="31"/>
  </w:num>
  <w:num w:numId="70">
    <w:abstractNumId w:val="1"/>
  </w:num>
  <w:num w:numId="71">
    <w:abstractNumId w:val="22"/>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earne">
    <w15:presenceInfo w15:providerId="Windows Live" w15:userId="83915abf06b85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B1"/>
    <w:rsid w:val="00001004"/>
    <w:rsid w:val="000024D0"/>
    <w:rsid w:val="00002AE5"/>
    <w:rsid w:val="000032CB"/>
    <w:rsid w:val="00003743"/>
    <w:rsid w:val="000046FB"/>
    <w:rsid w:val="0000744A"/>
    <w:rsid w:val="00010539"/>
    <w:rsid w:val="000106A3"/>
    <w:rsid w:val="00010D96"/>
    <w:rsid w:val="00011211"/>
    <w:rsid w:val="00011A5A"/>
    <w:rsid w:val="00012432"/>
    <w:rsid w:val="00012887"/>
    <w:rsid w:val="00012A2C"/>
    <w:rsid w:val="00012DFB"/>
    <w:rsid w:val="00013272"/>
    <w:rsid w:val="00013BC8"/>
    <w:rsid w:val="0001567A"/>
    <w:rsid w:val="00015945"/>
    <w:rsid w:val="00016EE3"/>
    <w:rsid w:val="00021D65"/>
    <w:rsid w:val="0002233D"/>
    <w:rsid w:val="00022DA8"/>
    <w:rsid w:val="000231CA"/>
    <w:rsid w:val="000232EA"/>
    <w:rsid w:val="00023E29"/>
    <w:rsid w:val="00024730"/>
    <w:rsid w:val="00025838"/>
    <w:rsid w:val="00030941"/>
    <w:rsid w:val="00031BCF"/>
    <w:rsid w:val="00032B52"/>
    <w:rsid w:val="0003321B"/>
    <w:rsid w:val="00033B67"/>
    <w:rsid w:val="00033C1A"/>
    <w:rsid w:val="00033C7D"/>
    <w:rsid w:val="000409BD"/>
    <w:rsid w:val="00040A60"/>
    <w:rsid w:val="00041F95"/>
    <w:rsid w:val="00042340"/>
    <w:rsid w:val="00043601"/>
    <w:rsid w:val="000437F1"/>
    <w:rsid w:val="00043BB5"/>
    <w:rsid w:val="000468B8"/>
    <w:rsid w:val="000502E2"/>
    <w:rsid w:val="000522FE"/>
    <w:rsid w:val="000524D0"/>
    <w:rsid w:val="00055F47"/>
    <w:rsid w:val="00056443"/>
    <w:rsid w:val="00056A6D"/>
    <w:rsid w:val="00061673"/>
    <w:rsid w:val="00061DEC"/>
    <w:rsid w:val="00061FCE"/>
    <w:rsid w:val="0006337F"/>
    <w:rsid w:val="000633BE"/>
    <w:rsid w:val="00063A9E"/>
    <w:rsid w:val="000648D7"/>
    <w:rsid w:val="000651FB"/>
    <w:rsid w:val="000655CB"/>
    <w:rsid w:val="00067456"/>
    <w:rsid w:val="00067C93"/>
    <w:rsid w:val="000706B4"/>
    <w:rsid w:val="0007078F"/>
    <w:rsid w:val="00070C15"/>
    <w:rsid w:val="00073DE5"/>
    <w:rsid w:val="0007411C"/>
    <w:rsid w:val="00077700"/>
    <w:rsid w:val="0008123B"/>
    <w:rsid w:val="00082384"/>
    <w:rsid w:val="000831FF"/>
    <w:rsid w:val="0008419A"/>
    <w:rsid w:val="00086D80"/>
    <w:rsid w:val="000909FD"/>
    <w:rsid w:val="00090A1A"/>
    <w:rsid w:val="00091268"/>
    <w:rsid w:val="00091647"/>
    <w:rsid w:val="00091741"/>
    <w:rsid w:val="00092BF1"/>
    <w:rsid w:val="000931AC"/>
    <w:rsid w:val="0009445A"/>
    <w:rsid w:val="0009595A"/>
    <w:rsid w:val="000A054B"/>
    <w:rsid w:val="000A2011"/>
    <w:rsid w:val="000A408C"/>
    <w:rsid w:val="000A606A"/>
    <w:rsid w:val="000A7AA4"/>
    <w:rsid w:val="000B0793"/>
    <w:rsid w:val="000B10DA"/>
    <w:rsid w:val="000B17BD"/>
    <w:rsid w:val="000B238C"/>
    <w:rsid w:val="000B3B7E"/>
    <w:rsid w:val="000B4460"/>
    <w:rsid w:val="000B4C96"/>
    <w:rsid w:val="000B6168"/>
    <w:rsid w:val="000B6CA8"/>
    <w:rsid w:val="000C2036"/>
    <w:rsid w:val="000C2745"/>
    <w:rsid w:val="000C285C"/>
    <w:rsid w:val="000C2D08"/>
    <w:rsid w:val="000C73E7"/>
    <w:rsid w:val="000C77DB"/>
    <w:rsid w:val="000D20BD"/>
    <w:rsid w:val="000D2CCC"/>
    <w:rsid w:val="000D341F"/>
    <w:rsid w:val="000D519B"/>
    <w:rsid w:val="000D5961"/>
    <w:rsid w:val="000D7F85"/>
    <w:rsid w:val="000E17A0"/>
    <w:rsid w:val="000E2E12"/>
    <w:rsid w:val="000E4A12"/>
    <w:rsid w:val="000E6AD7"/>
    <w:rsid w:val="000F0E89"/>
    <w:rsid w:val="000F109F"/>
    <w:rsid w:val="000F1A26"/>
    <w:rsid w:val="000F21B1"/>
    <w:rsid w:val="000F3EF5"/>
    <w:rsid w:val="000F4F2D"/>
    <w:rsid w:val="000F5DBE"/>
    <w:rsid w:val="000F6A1A"/>
    <w:rsid w:val="000F6E87"/>
    <w:rsid w:val="000F7109"/>
    <w:rsid w:val="000F72BD"/>
    <w:rsid w:val="000F774A"/>
    <w:rsid w:val="00101967"/>
    <w:rsid w:val="00101B9E"/>
    <w:rsid w:val="00101D89"/>
    <w:rsid w:val="00102085"/>
    <w:rsid w:val="00102D10"/>
    <w:rsid w:val="001032CD"/>
    <w:rsid w:val="0010376F"/>
    <w:rsid w:val="001062F3"/>
    <w:rsid w:val="00106763"/>
    <w:rsid w:val="00106E27"/>
    <w:rsid w:val="00106E2A"/>
    <w:rsid w:val="00110C31"/>
    <w:rsid w:val="00111E76"/>
    <w:rsid w:val="00113563"/>
    <w:rsid w:val="00113DD5"/>
    <w:rsid w:val="00113F7F"/>
    <w:rsid w:val="00114CA6"/>
    <w:rsid w:val="00114DEC"/>
    <w:rsid w:val="00121428"/>
    <w:rsid w:val="001219A5"/>
    <w:rsid w:val="00121ED7"/>
    <w:rsid w:val="00122BE2"/>
    <w:rsid w:val="00122C0A"/>
    <w:rsid w:val="00122F13"/>
    <w:rsid w:val="00122F42"/>
    <w:rsid w:val="00123C0E"/>
    <w:rsid w:val="00124226"/>
    <w:rsid w:val="00125D26"/>
    <w:rsid w:val="00126342"/>
    <w:rsid w:val="001268C6"/>
    <w:rsid w:val="00126F40"/>
    <w:rsid w:val="00127327"/>
    <w:rsid w:val="00127968"/>
    <w:rsid w:val="00130A87"/>
    <w:rsid w:val="00130E6D"/>
    <w:rsid w:val="001310E8"/>
    <w:rsid w:val="0013159D"/>
    <w:rsid w:val="001317CF"/>
    <w:rsid w:val="00133EA9"/>
    <w:rsid w:val="001340C3"/>
    <w:rsid w:val="001362FD"/>
    <w:rsid w:val="001369ED"/>
    <w:rsid w:val="00136B89"/>
    <w:rsid w:val="0013773E"/>
    <w:rsid w:val="00137C25"/>
    <w:rsid w:val="00140FBC"/>
    <w:rsid w:val="001432B3"/>
    <w:rsid w:val="00145CDD"/>
    <w:rsid w:val="001463EF"/>
    <w:rsid w:val="001469C1"/>
    <w:rsid w:val="00147023"/>
    <w:rsid w:val="001501D9"/>
    <w:rsid w:val="00150E7F"/>
    <w:rsid w:val="001512AC"/>
    <w:rsid w:val="001525E8"/>
    <w:rsid w:val="00154E2E"/>
    <w:rsid w:val="001566A3"/>
    <w:rsid w:val="0015672A"/>
    <w:rsid w:val="001578FC"/>
    <w:rsid w:val="00157CCE"/>
    <w:rsid w:val="00161308"/>
    <w:rsid w:val="001625AA"/>
    <w:rsid w:val="00162B77"/>
    <w:rsid w:val="00163B0F"/>
    <w:rsid w:val="00164C27"/>
    <w:rsid w:val="0016673E"/>
    <w:rsid w:val="00171031"/>
    <w:rsid w:val="00171591"/>
    <w:rsid w:val="001765D4"/>
    <w:rsid w:val="0017704E"/>
    <w:rsid w:val="00180EC4"/>
    <w:rsid w:val="0018132D"/>
    <w:rsid w:val="00181F8B"/>
    <w:rsid w:val="001831AA"/>
    <w:rsid w:val="00183D7F"/>
    <w:rsid w:val="00184543"/>
    <w:rsid w:val="0018481F"/>
    <w:rsid w:val="00184CBE"/>
    <w:rsid w:val="001850F0"/>
    <w:rsid w:val="001856A7"/>
    <w:rsid w:val="00185CD6"/>
    <w:rsid w:val="00186BB1"/>
    <w:rsid w:val="00187886"/>
    <w:rsid w:val="00190E7A"/>
    <w:rsid w:val="00191F07"/>
    <w:rsid w:val="00192480"/>
    <w:rsid w:val="001944C8"/>
    <w:rsid w:val="00194806"/>
    <w:rsid w:val="0019613D"/>
    <w:rsid w:val="0019660B"/>
    <w:rsid w:val="001A1A2F"/>
    <w:rsid w:val="001A1C20"/>
    <w:rsid w:val="001A1D34"/>
    <w:rsid w:val="001A2BCC"/>
    <w:rsid w:val="001A30A3"/>
    <w:rsid w:val="001A3939"/>
    <w:rsid w:val="001A512D"/>
    <w:rsid w:val="001A675B"/>
    <w:rsid w:val="001A70A7"/>
    <w:rsid w:val="001B00A3"/>
    <w:rsid w:val="001B0C30"/>
    <w:rsid w:val="001B0D16"/>
    <w:rsid w:val="001B240D"/>
    <w:rsid w:val="001B30C3"/>
    <w:rsid w:val="001B3443"/>
    <w:rsid w:val="001B404F"/>
    <w:rsid w:val="001B45F7"/>
    <w:rsid w:val="001B7349"/>
    <w:rsid w:val="001B7C59"/>
    <w:rsid w:val="001C22E1"/>
    <w:rsid w:val="001C2411"/>
    <w:rsid w:val="001C2CBE"/>
    <w:rsid w:val="001C3747"/>
    <w:rsid w:val="001C50D6"/>
    <w:rsid w:val="001C56E1"/>
    <w:rsid w:val="001C57F7"/>
    <w:rsid w:val="001C736D"/>
    <w:rsid w:val="001D2F1A"/>
    <w:rsid w:val="001D3825"/>
    <w:rsid w:val="001D4619"/>
    <w:rsid w:val="001D658C"/>
    <w:rsid w:val="001D77A4"/>
    <w:rsid w:val="001D7F5A"/>
    <w:rsid w:val="001E0E68"/>
    <w:rsid w:val="001E37E7"/>
    <w:rsid w:val="001E42F2"/>
    <w:rsid w:val="001E57A4"/>
    <w:rsid w:val="001E5C6C"/>
    <w:rsid w:val="001E64C7"/>
    <w:rsid w:val="001E6BAA"/>
    <w:rsid w:val="001E6BCF"/>
    <w:rsid w:val="001E75EF"/>
    <w:rsid w:val="001F0378"/>
    <w:rsid w:val="001F0A59"/>
    <w:rsid w:val="001F15F5"/>
    <w:rsid w:val="001F2162"/>
    <w:rsid w:val="001F6002"/>
    <w:rsid w:val="001F6A84"/>
    <w:rsid w:val="001F6D14"/>
    <w:rsid w:val="001F7A6D"/>
    <w:rsid w:val="0020041F"/>
    <w:rsid w:val="00200FC0"/>
    <w:rsid w:val="0020286A"/>
    <w:rsid w:val="0020308B"/>
    <w:rsid w:val="0020322F"/>
    <w:rsid w:val="00203F88"/>
    <w:rsid w:val="00204763"/>
    <w:rsid w:val="00204E48"/>
    <w:rsid w:val="0020639F"/>
    <w:rsid w:val="00206AFC"/>
    <w:rsid w:val="002104BF"/>
    <w:rsid w:val="002106DA"/>
    <w:rsid w:val="0021073C"/>
    <w:rsid w:val="0021089E"/>
    <w:rsid w:val="00211065"/>
    <w:rsid w:val="0021107B"/>
    <w:rsid w:val="00212012"/>
    <w:rsid w:val="00213E59"/>
    <w:rsid w:val="00214A3A"/>
    <w:rsid w:val="00215583"/>
    <w:rsid w:val="00216CB4"/>
    <w:rsid w:val="002200D4"/>
    <w:rsid w:val="002201CB"/>
    <w:rsid w:val="002209C4"/>
    <w:rsid w:val="00220E6C"/>
    <w:rsid w:val="00221EE5"/>
    <w:rsid w:val="00222E7D"/>
    <w:rsid w:val="0022333A"/>
    <w:rsid w:val="00225471"/>
    <w:rsid w:val="00225C2B"/>
    <w:rsid w:val="00230009"/>
    <w:rsid w:val="002311C3"/>
    <w:rsid w:val="0023198F"/>
    <w:rsid w:val="002322A7"/>
    <w:rsid w:val="00233AFF"/>
    <w:rsid w:val="00233D6D"/>
    <w:rsid w:val="002348F6"/>
    <w:rsid w:val="00234AA7"/>
    <w:rsid w:val="002350A9"/>
    <w:rsid w:val="00236742"/>
    <w:rsid w:val="0023794B"/>
    <w:rsid w:val="00240EF4"/>
    <w:rsid w:val="002442BB"/>
    <w:rsid w:val="002443A2"/>
    <w:rsid w:val="0024549A"/>
    <w:rsid w:val="0024597D"/>
    <w:rsid w:val="00245A17"/>
    <w:rsid w:val="00245A28"/>
    <w:rsid w:val="00245A7F"/>
    <w:rsid w:val="002464CA"/>
    <w:rsid w:val="00246A4D"/>
    <w:rsid w:val="00250108"/>
    <w:rsid w:val="00251035"/>
    <w:rsid w:val="00251C8A"/>
    <w:rsid w:val="00251F6B"/>
    <w:rsid w:val="0025256B"/>
    <w:rsid w:val="00254490"/>
    <w:rsid w:val="00255592"/>
    <w:rsid w:val="002563E1"/>
    <w:rsid w:val="00256B6B"/>
    <w:rsid w:val="00257769"/>
    <w:rsid w:val="00257F35"/>
    <w:rsid w:val="00261B94"/>
    <w:rsid w:val="0026214A"/>
    <w:rsid w:val="0026253A"/>
    <w:rsid w:val="00264DE7"/>
    <w:rsid w:val="002660AB"/>
    <w:rsid w:val="00266FB0"/>
    <w:rsid w:val="00273007"/>
    <w:rsid w:val="00273111"/>
    <w:rsid w:val="00273157"/>
    <w:rsid w:val="002741ED"/>
    <w:rsid w:val="002769BF"/>
    <w:rsid w:val="00276D04"/>
    <w:rsid w:val="00282C4D"/>
    <w:rsid w:val="00283ABF"/>
    <w:rsid w:val="0028419F"/>
    <w:rsid w:val="00284620"/>
    <w:rsid w:val="00285125"/>
    <w:rsid w:val="00287453"/>
    <w:rsid w:val="0028799A"/>
    <w:rsid w:val="00287D18"/>
    <w:rsid w:val="0029095C"/>
    <w:rsid w:val="00290CFD"/>
    <w:rsid w:val="002912E4"/>
    <w:rsid w:val="00293017"/>
    <w:rsid w:val="00294F07"/>
    <w:rsid w:val="00297719"/>
    <w:rsid w:val="00297C69"/>
    <w:rsid w:val="002A1B44"/>
    <w:rsid w:val="002A35B8"/>
    <w:rsid w:val="002A3F1C"/>
    <w:rsid w:val="002A51B3"/>
    <w:rsid w:val="002A68F8"/>
    <w:rsid w:val="002A6D47"/>
    <w:rsid w:val="002A7E38"/>
    <w:rsid w:val="002B01EE"/>
    <w:rsid w:val="002B1B6E"/>
    <w:rsid w:val="002B2125"/>
    <w:rsid w:val="002B30DA"/>
    <w:rsid w:val="002B3E72"/>
    <w:rsid w:val="002B3EA4"/>
    <w:rsid w:val="002B4029"/>
    <w:rsid w:val="002B4435"/>
    <w:rsid w:val="002B4BF5"/>
    <w:rsid w:val="002B57CF"/>
    <w:rsid w:val="002B5B5E"/>
    <w:rsid w:val="002B6DB7"/>
    <w:rsid w:val="002B6E6C"/>
    <w:rsid w:val="002B73E3"/>
    <w:rsid w:val="002C2504"/>
    <w:rsid w:val="002C59E7"/>
    <w:rsid w:val="002C68DD"/>
    <w:rsid w:val="002C7447"/>
    <w:rsid w:val="002D4660"/>
    <w:rsid w:val="002D46E9"/>
    <w:rsid w:val="002D705B"/>
    <w:rsid w:val="002D709D"/>
    <w:rsid w:val="002D79CD"/>
    <w:rsid w:val="002E0029"/>
    <w:rsid w:val="002E0323"/>
    <w:rsid w:val="002E2922"/>
    <w:rsid w:val="002E41FB"/>
    <w:rsid w:val="002E4345"/>
    <w:rsid w:val="002E5DE5"/>
    <w:rsid w:val="002E7A43"/>
    <w:rsid w:val="002E7D28"/>
    <w:rsid w:val="002F0558"/>
    <w:rsid w:val="002F1BD4"/>
    <w:rsid w:val="002F22A5"/>
    <w:rsid w:val="002F3517"/>
    <w:rsid w:val="002F3DA8"/>
    <w:rsid w:val="002F4350"/>
    <w:rsid w:val="002F4513"/>
    <w:rsid w:val="002F4CD7"/>
    <w:rsid w:val="002F516C"/>
    <w:rsid w:val="002F7E5A"/>
    <w:rsid w:val="00302D77"/>
    <w:rsid w:val="00303099"/>
    <w:rsid w:val="003035EE"/>
    <w:rsid w:val="0030734F"/>
    <w:rsid w:val="0030786C"/>
    <w:rsid w:val="003117CE"/>
    <w:rsid w:val="00315E5C"/>
    <w:rsid w:val="00316F04"/>
    <w:rsid w:val="00321690"/>
    <w:rsid w:val="003226DF"/>
    <w:rsid w:val="003227B4"/>
    <w:rsid w:val="00323186"/>
    <w:rsid w:val="00323216"/>
    <w:rsid w:val="00323EB8"/>
    <w:rsid w:val="00323F7F"/>
    <w:rsid w:val="00324484"/>
    <w:rsid w:val="0032497B"/>
    <w:rsid w:val="00324CD3"/>
    <w:rsid w:val="003255E2"/>
    <w:rsid w:val="003262A2"/>
    <w:rsid w:val="003301F3"/>
    <w:rsid w:val="003304E1"/>
    <w:rsid w:val="00330C14"/>
    <w:rsid w:val="00332BF9"/>
    <w:rsid w:val="00333969"/>
    <w:rsid w:val="003401C2"/>
    <w:rsid w:val="003404A0"/>
    <w:rsid w:val="00340529"/>
    <w:rsid w:val="00340ED6"/>
    <w:rsid w:val="00342EF0"/>
    <w:rsid w:val="0034385C"/>
    <w:rsid w:val="00344E57"/>
    <w:rsid w:val="00345910"/>
    <w:rsid w:val="003461A1"/>
    <w:rsid w:val="003467ED"/>
    <w:rsid w:val="00347324"/>
    <w:rsid w:val="00347BED"/>
    <w:rsid w:val="00352A17"/>
    <w:rsid w:val="003548F8"/>
    <w:rsid w:val="00356ECC"/>
    <w:rsid w:val="00357F0F"/>
    <w:rsid w:val="0036410A"/>
    <w:rsid w:val="00364E56"/>
    <w:rsid w:val="00365B43"/>
    <w:rsid w:val="00365FE2"/>
    <w:rsid w:val="0037099E"/>
    <w:rsid w:val="00371104"/>
    <w:rsid w:val="0037263A"/>
    <w:rsid w:val="00373080"/>
    <w:rsid w:val="00373963"/>
    <w:rsid w:val="0037467B"/>
    <w:rsid w:val="003747ED"/>
    <w:rsid w:val="003749F8"/>
    <w:rsid w:val="003766AE"/>
    <w:rsid w:val="0038080C"/>
    <w:rsid w:val="00380ABC"/>
    <w:rsid w:val="00380E28"/>
    <w:rsid w:val="00381F96"/>
    <w:rsid w:val="00382301"/>
    <w:rsid w:val="00382CF7"/>
    <w:rsid w:val="003832A0"/>
    <w:rsid w:val="00383417"/>
    <w:rsid w:val="003844E5"/>
    <w:rsid w:val="0038469D"/>
    <w:rsid w:val="00384EAA"/>
    <w:rsid w:val="003858D9"/>
    <w:rsid w:val="003877AC"/>
    <w:rsid w:val="00387B86"/>
    <w:rsid w:val="00390314"/>
    <w:rsid w:val="00391BCD"/>
    <w:rsid w:val="00391F87"/>
    <w:rsid w:val="0039644D"/>
    <w:rsid w:val="003965A3"/>
    <w:rsid w:val="00396C90"/>
    <w:rsid w:val="00397917"/>
    <w:rsid w:val="00397A36"/>
    <w:rsid w:val="003A0850"/>
    <w:rsid w:val="003A13B6"/>
    <w:rsid w:val="003A3C10"/>
    <w:rsid w:val="003A53EE"/>
    <w:rsid w:val="003A79B1"/>
    <w:rsid w:val="003B1E9F"/>
    <w:rsid w:val="003B279B"/>
    <w:rsid w:val="003B341C"/>
    <w:rsid w:val="003B5254"/>
    <w:rsid w:val="003B5C45"/>
    <w:rsid w:val="003B7509"/>
    <w:rsid w:val="003B7BF9"/>
    <w:rsid w:val="003C03C8"/>
    <w:rsid w:val="003C088C"/>
    <w:rsid w:val="003C1503"/>
    <w:rsid w:val="003C150B"/>
    <w:rsid w:val="003C2234"/>
    <w:rsid w:val="003C2358"/>
    <w:rsid w:val="003C38CA"/>
    <w:rsid w:val="003C49EF"/>
    <w:rsid w:val="003C59F4"/>
    <w:rsid w:val="003C5B7A"/>
    <w:rsid w:val="003C7C35"/>
    <w:rsid w:val="003D0BA4"/>
    <w:rsid w:val="003D17F9"/>
    <w:rsid w:val="003D2172"/>
    <w:rsid w:val="003D23F6"/>
    <w:rsid w:val="003D26F1"/>
    <w:rsid w:val="003D3870"/>
    <w:rsid w:val="003D6C16"/>
    <w:rsid w:val="003D7FDC"/>
    <w:rsid w:val="003E07E5"/>
    <w:rsid w:val="003E12F9"/>
    <w:rsid w:val="003E2295"/>
    <w:rsid w:val="003E2A01"/>
    <w:rsid w:val="003E464A"/>
    <w:rsid w:val="003E4C10"/>
    <w:rsid w:val="003E4C69"/>
    <w:rsid w:val="003E5D6E"/>
    <w:rsid w:val="003E635A"/>
    <w:rsid w:val="003E7461"/>
    <w:rsid w:val="003E7651"/>
    <w:rsid w:val="003F0FE9"/>
    <w:rsid w:val="003F18F4"/>
    <w:rsid w:val="003F1D4C"/>
    <w:rsid w:val="003F2036"/>
    <w:rsid w:val="003F20EB"/>
    <w:rsid w:val="003F2C9E"/>
    <w:rsid w:val="003F38BA"/>
    <w:rsid w:val="003F454C"/>
    <w:rsid w:val="003F6FCB"/>
    <w:rsid w:val="004001E9"/>
    <w:rsid w:val="004008C5"/>
    <w:rsid w:val="0040173E"/>
    <w:rsid w:val="00401B2D"/>
    <w:rsid w:val="00401EF8"/>
    <w:rsid w:val="004027EA"/>
    <w:rsid w:val="00402936"/>
    <w:rsid w:val="00403505"/>
    <w:rsid w:val="0040431A"/>
    <w:rsid w:val="0040433D"/>
    <w:rsid w:val="0040497C"/>
    <w:rsid w:val="00404AB9"/>
    <w:rsid w:val="004052B7"/>
    <w:rsid w:val="00405F8D"/>
    <w:rsid w:val="004066DB"/>
    <w:rsid w:val="0040742D"/>
    <w:rsid w:val="00410B64"/>
    <w:rsid w:val="00411262"/>
    <w:rsid w:val="00413A3F"/>
    <w:rsid w:val="00413D0F"/>
    <w:rsid w:val="00413E82"/>
    <w:rsid w:val="00415030"/>
    <w:rsid w:val="00415246"/>
    <w:rsid w:val="00417733"/>
    <w:rsid w:val="004200F6"/>
    <w:rsid w:val="004220DE"/>
    <w:rsid w:val="00422DFD"/>
    <w:rsid w:val="00423C59"/>
    <w:rsid w:val="00423D51"/>
    <w:rsid w:val="00426CA5"/>
    <w:rsid w:val="00426E94"/>
    <w:rsid w:val="00427EAF"/>
    <w:rsid w:val="00431D90"/>
    <w:rsid w:val="004327BA"/>
    <w:rsid w:val="00432F53"/>
    <w:rsid w:val="004366C4"/>
    <w:rsid w:val="0043671E"/>
    <w:rsid w:val="004408B1"/>
    <w:rsid w:val="0044172D"/>
    <w:rsid w:val="004423CA"/>
    <w:rsid w:val="00442495"/>
    <w:rsid w:val="004450FD"/>
    <w:rsid w:val="00445696"/>
    <w:rsid w:val="00445DBF"/>
    <w:rsid w:val="004460C9"/>
    <w:rsid w:val="00446787"/>
    <w:rsid w:val="00450A72"/>
    <w:rsid w:val="004536D6"/>
    <w:rsid w:val="00455A0B"/>
    <w:rsid w:val="0045749A"/>
    <w:rsid w:val="00457755"/>
    <w:rsid w:val="00457F54"/>
    <w:rsid w:val="00461440"/>
    <w:rsid w:val="00461DD3"/>
    <w:rsid w:val="004628E8"/>
    <w:rsid w:val="00463A04"/>
    <w:rsid w:val="00463A0C"/>
    <w:rsid w:val="00466C7E"/>
    <w:rsid w:val="004676F6"/>
    <w:rsid w:val="004706C3"/>
    <w:rsid w:val="00471401"/>
    <w:rsid w:val="00472829"/>
    <w:rsid w:val="00472CCA"/>
    <w:rsid w:val="00473A34"/>
    <w:rsid w:val="00473F26"/>
    <w:rsid w:val="00474F5E"/>
    <w:rsid w:val="00475DC1"/>
    <w:rsid w:val="00475DCF"/>
    <w:rsid w:val="00476A2C"/>
    <w:rsid w:val="004776C9"/>
    <w:rsid w:val="00480DA9"/>
    <w:rsid w:val="004829BC"/>
    <w:rsid w:val="004831A3"/>
    <w:rsid w:val="0048460C"/>
    <w:rsid w:val="00484A94"/>
    <w:rsid w:val="004856C8"/>
    <w:rsid w:val="004867E2"/>
    <w:rsid w:val="004868FF"/>
    <w:rsid w:val="00487F98"/>
    <w:rsid w:val="00490886"/>
    <w:rsid w:val="00490FDC"/>
    <w:rsid w:val="004938CD"/>
    <w:rsid w:val="00494178"/>
    <w:rsid w:val="004946C7"/>
    <w:rsid w:val="00494730"/>
    <w:rsid w:val="0049607D"/>
    <w:rsid w:val="004962AC"/>
    <w:rsid w:val="00496877"/>
    <w:rsid w:val="00496978"/>
    <w:rsid w:val="004972E4"/>
    <w:rsid w:val="00497E1A"/>
    <w:rsid w:val="00497EBC"/>
    <w:rsid w:val="004A02B3"/>
    <w:rsid w:val="004A1E78"/>
    <w:rsid w:val="004A2854"/>
    <w:rsid w:val="004A2BB5"/>
    <w:rsid w:val="004A3741"/>
    <w:rsid w:val="004A55B8"/>
    <w:rsid w:val="004A5639"/>
    <w:rsid w:val="004A6A8F"/>
    <w:rsid w:val="004A6F09"/>
    <w:rsid w:val="004A7F1D"/>
    <w:rsid w:val="004B0955"/>
    <w:rsid w:val="004B0CAD"/>
    <w:rsid w:val="004B18B4"/>
    <w:rsid w:val="004B3323"/>
    <w:rsid w:val="004B3539"/>
    <w:rsid w:val="004B3682"/>
    <w:rsid w:val="004B3B00"/>
    <w:rsid w:val="004B49C6"/>
    <w:rsid w:val="004B5216"/>
    <w:rsid w:val="004B5AC1"/>
    <w:rsid w:val="004B7F94"/>
    <w:rsid w:val="004C082E"/>
    <w:rsid w:val="004C13B9"/>
    <w:rsid w:val="004C1856"/>
    <w:rsid w:val="004C1BA3"/>
    <w:rsid w:val="004D2222"/>
    <w:rsid w:val="004D29A3"/>
    <w:rsid w:val="004D2B57"/>
    <w:rsid w:val="004D2D38"/>
    <w:rsid w:val="004D2DDD"/>
    <w:rsid w:val="004E3106"/>
    <w:rsid w:val="004E3226"/>
    <w:rsid w:val="004E3C12"/>
    <w:rsid w:val="004E3EEC"/>
    <w:rsid w:val="004E4879"/>
    <w:rsid w:val="004E4ECD"/>
    <w:rsid w:val="004E64D2"/>
    <w:rsid w:val="004E65E5"/>
    <w:rsid w:val="004E7DD7"/>
    <w:rsid w:val="004F1124"/>
    <w:rsid w:val="004F2BDD"/>
    <w:rsid w:val="004F5A6C"/>
    <w:rsid w:val="004F6268"/>
    <w:rsid w:val="004F69A9"/>
    <w:rsid w:val="00502E14"/>
    <w:rsid w:val="00502E54"/>
    <w:rsid w:val="00503420"/>
    <w:rsid w:val="00503B57"/>
    <w:rsid w:val="00504672"/>
    <w:rsid w:val="00505023"/>
    <w:rsid w:val="00507043"/>
    <w:rsid w:val="00510174"/>
    <w:rsid w:val="00510A30"/>
    <w:rsid w:val="00510B3C"/>
    <w:rsid w:val="00511B65"/>
    <w:rsid w:val="00511CE5"/>
    <w:rsid w:val="0051365B"/>
    <w:rsid w:val="00514F62"/>
    <w:rsid w:val="00516224"/>
    <w:rsid w:val="00516334"/>
    <w:rsid w:val="00516BF3"/>
    <w:rsid w:val="00517A30"/>
    <w:rsid w:val="0052074C"/>
    <w:rsid w:val="00520AD6"/>
    <w:rsid w:val="005233BF"/>
    <w:rsid w:val="00523944"/>
    <w:rsid w:val="0052408D"/>
    <w:rsid w:val="00524833"/>
    <w:rsid w:val="00525904"/>
    <w:rsid w:val="00532393"/>
    <w:rsid w:val="00532F98"/>
    <w:rsid w:val="00533468"/>
    <w:rsid w:val="0053361F"/>
    <w:rsid w:val="00534752"/>
    <w:rsid w:val="00536E6F"/>
    <w:rsid w:val="00536EA8"/>
    <w:rsid w:val="005374AE"/>
    <w:rsid w:val="00537D7E"/>
    <w:rsid w:val="005413A9"/>
    <w:rsid w:val="005413C6"/>
    <w:rsid w:val="00541B89"/>
    <w:rsid w:val="00541DB2"/>
    <w:rsid w:val="00542823"/>
    <w:rsid w:val="00544360"/>
    <w:rsid w:val="00544C52"/>
    <w:rsid w:val="00545FAB"/>
    <w:rsid w:val="00546092"/>
    <w:rsid w:val="0054707C"/>
    <w:rsid w:val="00550B5F"/>
    <w:rsid w:val="00550DAD"/>
    <w:rsid w:val="00551C46"/>
    <w:rsid w:val="0055263F"/>
    <w:rsid w:val="00553A9D"/>
    <w:rsid w:val="00554B2C"/>
    <w:rsid w:val="00556A17"/>
    <w:rsid w:val="00556BFA"/>
    <w:rsid w:val="00556D61"/>
    <w:rsid w:val="00560253"/>
    <w:rsid w:val="00560313"/>
    <w:rsid w:val="0056114B"/>
    <w:rsid w:val="005611CD"/>
    <w:rsid w:val="00561A92"/>
    <w:rsid w:val="00561EB0"/>
    <w:rsid w:val="00562100"/>
    <w:rsid w:val="005622CE"/>
    <w:rsid w:val="0056433E"/>
    <w:rsid w:val="00564DEB"/>
    <w:rsid w:val="00564EEA"/>
    <w:rsid w:val="005654A9"/>
    <w:rsid w:val="005672DA"/>
    <w:rsid w:val="005679D8"/>
    <w:rsid w:val="00567C57"/>
    <w:rsid w:val="00567E26"/>
    <w:rsid w:val="00570418"/>
    <w:rsid w:val="0057129F"/>
    <w:rsid w:val="00571BF5"/>
    <w:rsid w:val="00571C4E"/>
    <w:rsid w:val="00572429"/>
    <w:rsid w:val="00572525"/>
    <w:rsid w:val="00572AF5"/>
    <w:rsid w:val="00573B17"/>
    <w:rsid w:val="00573E4D"/>
    <w:rsid w:val="0057634C"/>
    <w:rsid w:val="005778DB"/>
    <w:rsid w:val="00577982"/>
    <w:rsid w:val="0058169B"/>
    <w:rsid w:val="00581A2F"/>
    <w:rsid w:val="00582A44"/>
    <w:rsid w:val="00583EC4"/>
    <w:rsid w:val="00584273"/>
    <w:rsid w:val="00584884"/>
    <w:rsid w:val="00585AE1"/>
    <w:rsid w:val="0058752F"/>
    <w:rsid w:val="00587ACE"/>
    <w:rsid w:val="00587F16"/>
    <w:rsid w:val="005901FE"/>
    <w:rsid w:val="0059177C"/>
    <w:rsid w:val="00594356"/>
    <w:rsid w:val="00596E55"/>
    <w:rsid w:val="00597189"/>
    <w:rsid w:val="0059747E"/>
    <w:rsid w:val="00597CC5"/>
    <w:rsid w:val="005A44BC"/>
    <w:rsid w:val="005A4651"/>
    <w:rsid w:val="005A51AE"/>
    <w:rsid w:val="005A52F7"/>
    <w:rsid w:val="005A5F4D"/>
    <w:rsid w:val="005A7397"/>
    <w:rsid w:val="005B181C"/>
    <w:rsid w:val="005B1D31"/>
    <w:rsid w:val="005B212D"/>
    <w:rsid w:val="005B2760"/>
    <w:rsid w:val="005B2B40"/>
    <w:rsid w:val="005B2C0C"/>
    <w:rsid w:val="005B41D8"/>
    <w:rsid w:val="005B4D0E"/>
    <w:rsid w:val="005B4E18"/>
    <w:rsid w:val="005B57EF"/>
    <w:rsid w:val="005B5A5B"/>
    <w:rsid w:val="005B6560"/>
    <w:rsid w:val="005B748B"/>
    <w:rsid w:val="005B7759"/>
    <w:rsid w:val="005C1475"/>
    <w:rsid w:val="005C180A"/>
    <w:rsid w:val="005C26A0"/>
    <w:rsid w:val="005C4BF8"/>
    <w:rsid w:val="005C57A0"/>
    <w:rsid w:val="005C5E4D"/>
    <w:rsid w:val="005C6681"/>
    <w:rsid w:val="005C6CAF"/>
    <w:rsid w:val="005C6D0E"/>
    <w:rsid w:val="005D0290"/>
    <w:rsid w:val="005D1852"/>
    <w:rsid w:val="005D4B41"/>
    <w:rsid w:val="005D50AA"/>
    <w:rsid w:val="005E1272"/>
    <w:rsid w:val="005E38E5"/>
    <w:rsid w:val="005E391D"/>
    <w:rsid w:val="005E71CA"/>
    <w:rsid w:val="005F0173"/>
    <w:rsid w:val="005F09B9"/>
    <w:rsid w:val="005F1175"/>
    <w:rsid w:val="005F2F57"/>
    <w:rsid w:val="005F4931"/>
    <w:rsid w:val="005F6E01"/>
    <w:rsid w:val="0060033A"/>
    <w:rsid w:val="006063CF"/>
    <w:rsid w:val="006066B8"/>
    <w:rsid w:val="00606B27"/>
    <w:rsid w:val="00610660"/>
    <w:rsid w:val="0061069A"/>
    <w:rsid w:val="006124B6"/>
    <w:rsid w:val="00612F06"/>
    <w:rsid w:val="006135CB"/>
    <w:rsid w:val="006167AE"/>
    <w:rsid w:val="00617D29"/>
    <w:rsid w:val="0062361B"/>
    <w:rsid w:val="00623A10"/>
    <w:rsid w:val="00624A76"/>
    <w:rsid w:val="00625188"/>
    <w:rsid w:val="006257E5"/>
    <w:rsid w:val="00626476"/>
    <w:rsid w:val="0062782A"/>
    <w:rsid w:val="00627BAB"/>
    <w:rsid w:val="006308B9"/>
    <w:rsid w:val="00632234"/>
    <w:rsid w:val="00633F41"/>
    <w:rsid w:val="00634696"/>
    <w:rsid w:val="006348E7"/>
    <w:rsid w:val="00634BAD"/>
    <w:rsid w:val="00635A7D"/>
    <w:rsid w:val="006375CB"/>
    <w:rsid w:val="00637C08"/>
    <w:rsid w:val="0064027C"/>
    <w:rsid w:val="006405C9"/>
    <w:rsid w:val="00640BDB"/>
    <w:rsid w:val="0064105F"/>
    <w:rsid w:val="00642B5E"/>
    <w:rsid w:val="00642CB3"/>
    <w:rsid w:val="00646250"/>
    <w:rsid w:val="006512B1"/>
    <w:rsid w:val="00651377"/>
    <w:rsid w:val="00652055"/>
    <w:rsid w:val="0065243B"/>
    <w:rsid w:val="006528DC"/>
    <w:rsid w:val="00653BCB"/>
    <w:rsid w:val="00655203"/>
    <w:rsid w:val="00655CF0"/>
    <w:rsid w:val="00656418"/>
    <w:rsid w:val="00657197"/>
    <w:rsid w:val="00657336"/>
    <w:rsid w:val="00661D92"/>
    <w:rsid w:val="006632A1"/>
    <w:rsid w:val="00663BAD"/>
    <w:rsid w:val="006653EA"/>
    <w:rsid w:val="006724B9"/>
    <w:rsid w:val="006732F6"/>
    <w:rsid w:val="0067517C"/>
    <w:rsid w:val="00676DD9"/>
    <w:rsid w:val="00681103"/>
    <w:rsid w:val="00682074"/>
    <w:rsid w:val="00682EE7"/>
    <w:rsid w:val="006867F9"/>
    <w:rsid w:val="00687041"/>
    <w:rsid w:val="00692C47"/>
    <w:rsid w:val="00692D2C"/>
    <w:rsid w:val="00693D19"/>
    <w:rsid w:val="0069730D"/>
    <w:rsid w:val="0069763B"/>
    <w:rsid w:val="006A2405"/>
    <w:rsid w:val="006A27DD"/>
    <w:rsid w:val="006A395F"/>
    <w:rsid w:val="006A4D8A"/>
    <w:rsid w:val="006A584C"/>
    <w:rsid w:val="006B0F2F"/>
    <w:rsid w:val="006B1114"/>
    <w:rsid w:val="006B2F6B"/>
    <w:rsid w:val="006B3644"/>
    <w:rsid w:val="006B4E2B"/>
    <w:rsid w:val="006B5771"/>
    <w:rsid w:val="006B631D"/>
    <w:rsid w:val="006B686A"/>
    <w:rsid w:val="006B74F0"/>
    <w:rsid w:val="006C0FB7"/>
    <w:rsid w:val="006C1B31"/>
    <w:rsid w:val="006C1DE5"/>
    <w:rsid w:val="006C1FDF"/>
    <w:rsid w:val="006C3E7A"/>
    <w:rsid w:val="006C4959"/>
    <w:rsid w:val="006C5C3F"/>
    <w:rsid w:val="006C5E8D"/>
    <w:rsid w:val="006C6D08"/>
    <w:rsid w:val="006C7249"/>
    <w:rsid w:val="006D0187"/>
    <w:rsid w:val="006D55AE"/>
    <w:rsid w:val="006D784D"/>
    <w:rsid w:val="006E0551"/>
    <w:rsid w:val="006E0CD3"/>
    <w:rsid w:val="006E22F3"/>
    <w:rsid w:val="006E237F"/>
    <w:rsid w:val="006E33BC"/>
    <w:rsid w:val="006E3B30"/>
    <w:rsid w:val="006E43D1"/>
    <w:rsid w:val="006E4E43"/>
    <w:rsid w:val="006E5DA3"/>
    <w:rsid w:val="006F1988"/>
    <w:rsid w:val="006F24C5"/>
    <w:rsid w:val="006F3317"/>
    <w:rsid w:val="006F3318"/>
    <w:rsid w:val="006F3A92"/>
    <w:rsid w:val="006F6147"/>
    <w:rsid w:val="006F6EDE"/>
    <w:rsid w:val="006F7059"/>
    <w:rsid w:val="006F7BA3"/>
    <w:rsid w:val="006F7BED"/>
    <w:rsid w:val="007000D3"/>
    <w:rsid w:val="00702AF8"/>
    <w:rsid w:val="00703978"/>
    <w:rsid w:val="00704C05"/>
    <w:rsid w:val="007058F5"/>
    <w:rsid w:val="00705F62"/>
    <w:rsid w:val="00706642"/>
    <w:rsid w:val="0070664F"/>
    <w:rsid w:val="0070678A"/>
    <w:rsid w:val="00707344"/>
    <w:rsid w:val="0071071D"/>
    <w:rsid w:val="0071088E"/>
    <w:rsid w:val="00710977"/>
    <w:rsid w:val="00711483"/>
    <w:rsid w:val="007136B3"/>
    <w:rsid w:val="00713949"/>
    <w:rsid w:val="00713D1F"/>
    <w:rsid w:val="007155E0"/>
    <w:rsid w:val="007162A5"/>
    <w:rsid w:val="00722BC0"/>
    <w:rsid w:val="0072392A"/>
    <w:rsid w:val="00723F5F"/>
    <w:rsid w:val="0072472E"/>
    <w:rsid w:val="007248B5"/>
    <w:rsid w:val="00724E73"/>
    <w:rsid w:val="0072539D"/>
    <w:rsid w:val="00726AE6"/>
    <w:rsid w:val="007323C7"/>
    <w:rsid w:val="00734353"/>
    <w:rsid w:val="007349DF"/>
    <w:rsid w:val="007350B3"/>
    <w:rsid w:val="00735EA5"/>
    <w:rsid w:val="00737CAF"/>
    <w:rsid w:val="007404D5"/>
    <w:rsid w:val="00740C8F"/>
    <w:rsid w:val="00740D24"/>
    <w:rsid w:val="00741345"/>
    <w:rsid w:val="00742751"/>
    <w:rsid w:val="00743AA4"/>
    <w:rsid w:val="007442D7"/>
    <w:rsid w:val="00744A34"/>
    <w:rsid w:val="00745510"/>
    <w:rsid w:val="007457DF"/>
    <w:rsid w:val="0074672C"/>
    <w:rsid w:val="00751150"/>
    <w:rsid w:val="0075162D"/>
    <w:rsid w:val="007536EC"/>
    <w:rsid w:val="007544E1"/>
    <w:rsid w:val="00757D99"/>
    <w:rsid w:val="007613D7"/>
    <w:rsid w:val="0076248F"/>
    <w:rsid w:val="00762693"/>
    <w:rsid w:val="00763830"/>
    <w:rsid w:val="0076383C"/>
    <w:rsid w:val="00763C61"/>
    <w:rsid w:val="00763DD8"/>
    <w:rsid w:val="00764124"/>
    <w:rsid w:val="00764734"/>
    <w:rsid w:val="00765716"/>
    <w:rsid w:val="00766669"/>
    <w:rsid w:val="00766984"/>
    <w:rsid w:val="00767A38"/>
    <w:rsid w:val="00770C6D"/>
    <w:rsid w:val="007714CF"/>
    <w:rsid w:val="007733ED"/>
    <w:rsid w:val="0077506C"/>
    <w:rsid w:val="00776028"/>
    <w:rsid w:val="0077631C"/>
    <w:rsid w:val="00784932"/>
    <w:rsid w:val="007864D3"/>
    <w:rsid w:val="0078686A"/>
    <w:rsid w:val="00787645"/>
    <w:rsid w:val="00787CBE"/>
    <w:rsid w:val="00791F69"/>
    <w:rsid w:val="007953C1"/>
    <w:rsid w:val="007975A3"/>
    <w:rsid w:val="007A0526"/>
    <w:rsid w:val="007A105E"/>
    <w:rsid w:val="007A1290"/>
    <w:rsid w:val="007A28BC"/>
    <w:rsid w:val="007A2B22"/>
    <w:rsid w:val="007A47F9"/>
    <w:rsid w:val="007A5513"/>
    <w:rsid w:val="007A7767"/>
    <w:rsid w:val="007B0B05"/>
    <w:rsid w:val="007B29CD"/>
    <w:rsid w:val="007B2DAE"/>
    <w:rsid w:val="007B39DE"/>
    <w:rsid w:val="007B46C2"/>
    <w:rsid w:val="007C09A9"/>
    <w:rsid w:val="007C1F45"/>
    <w:rsid w:val="007C2EF5"/>
    <w:rsid w:val="007C329F"/>
    <w:rsid w:val="007C3443"/>
    <w:rsid w:val="007C44B9"/>
    <w:rsid w:val="007C4E70"/>
    <w:rsid w:val="007D1020"/>
    <w:rsid w:val="007D2E67"/>
    <w:rsid w:val="007D3E4F"/>
    <w:rsid w:val="007D5317"/>
    <w:rsid w:val="007D57B1"/>
    <w:rsid w:val="007D5E61"/>
    <w:rsid w:val="007D6704"/>
    <w:rsid w:val="007D7175"/>
    <w:rsid w:val="007D76CA"/>
    <w:rsid w:val="007E08B6"/>
    <w:rsid w:val="007E2024"/>
    <w:rsid w:val="007E2B2A"/>
    <w:rsid w:val="007E2BFC"/>
    <w:rsid w:val="007E4229"/>
    <w:rsid w:val="007E5AE7"/>
    <w:rsid w:val="007E5CB2"/>
    <w:rsid w:val="007E5E30"/>
    <w:rsid w:val="007E5EC6"/>
    <w:rsid w:val="007E6092"/>
    <w:rsid w:val="007E69BA"/>
    <w:rsid w:val="007E7883"/>
    <w:rsid w:val="007F0FBD"/>
    <w:rsid w:val="007F2137"/>
    <w:rsid w:val="007F2D06"/>
    <w:rsid w:val="007F318D"/>
    <w:rsid w:val="007F3878"/>
    <w:rsid w:val="007F389F"/>
    <w:rsid w:val="007F3F46"/>
    <w:rsid w:val="007F41A2"/>
    <w:rsid w:val="007F61ED"/>
    <w:rsid w:val="007F73E6"/>
    <w:rsid w:val="007F7658"/>
    <w:rsid w:val="00800994"/>
    <w:rsid w:val="00801566"/>
    <w:rsid w:val="008016DF"/>
    <w:rsid w:val="00802E1F"/>
    <w:rsid w:val="00802E20"/>
    <w:rsid w:val="00804C55"/>
    <w:rsid w:val="00807A90"/>
    <w:rsid w:val="00807E07"/>
    <w:rsid w:val="00810328"/>
    <w:rsid w:val="00810827"/>
    <w:rsid w:val="00810CCF"/>
    <w:rsid w:val="008130C2"/>
    <w:rsid w:val="0081413A"/>
    <w:rsid w:val="008160DE"/>
    <w:rsid w:val="00821494"/>
    <w:rsid w:val="00824D43"/>
    <w:rsid w:val="00825D70"/>
    <w:rsid w:val="00825DE5"/>
    <w:rsid w:val="008264EB"/>
    <w:rsid w:val="0082718C"/>
    <w:rsid w:val="00831995"/>
    <w:rsid w:val="00831E9C"/>
    <w:rsid w:val="00833D6D"/>
    <w:rsid w:val="00833FBD"/>
    <w:rsid w:val="008369E7"/>
    <w:rsid w:val="00836B0F"/>
    <w:rsid w:val="00837923"/>
    <w:rsid w:val="00841208"/>
    <w:rsid w:val="00844EA3"/>
    <w:rsid w:val="008458BB"/>
    <w:rsid w:val="00847292"/>
    <w:rsid w:val="0084776A"/>
    <w:rsid w:val="00847831"/>
    <w:rsid w:val="00850006"/>
    <w:rsid w:val="00850E2F"/>
    <w:rsid w:val="00851130"/>
    <w:rsid w:val="00854CAD"/>
    <w:rsid w:val="00854E50"/>
    <w:rsid w:val="00855F6B"/>
    <w:rsid w:val="00856167"/>
    <w:rsid w:val="00856240"/>
    <w:rsid w:val="0085625D"/>
    <w:rsid w:val="008600B4"/>
    <w:rsid w:val="00860AEA"/>
    <w:rsid w:val="008622BB"/>
    <w:rsid w:val="00862C58"/>
    <w:rsid w:val="00865AF1"/>
    <w:rsid w:val="00865D04"/>
    <w:rsid w:val="008670FB"/>
    <w:rsid w:val="00867316"/>
    <w:rsid w:val="00870225"/>
    <w:rsid w:val="00871623"/>
    <w:rsid w:val="008724C2"/>
    <w:rsid w:val="0087311B"/>
    <w:rsid w:val="00874700"/>
    <w:rsid w:val="00874AF5"/>
    <w:rsid w:val="00877B48"/>
    <w:rsid w:val="00877EE0"/>
    <w:rsid w:val="00882D28"/>
    <w:rsid w:val="0088651D"/>
    <w:rsid w:val="00886DAA"/>
    <w:rsid w:val="00887146"/>
    <w:rsid w:val="0088752F"/>
    <w:rsid w:val="00890FC0"/>
    <w:rsid w:val="00891B05"/>
    <w:rsid w:val="0089499F"/>
    <w:rsid w:val="00895DCD"/>
    <w:rsid w:val="00896765"/>
    <w:rsid w:val="00896EEE"/>
    <w:rsid w:val="00897216"/>
    <w:rsid w:val="008A1187"/>
    <w:rsid w:val="008A359A"/>
    <w:rsid w:val="008A7347"/>
    <w:rsid w:val="008A7EC7"/>
    <w:rsid w:val="008B02F3"/>
    <w:rsid w:val="008B1279"/>
    <w:rsid w:val="008B2084"/>
    <w:rsid w:val="008B308A"/>
    <w:rsid w:val="008B5575"/>
    <w:rsid w:val="008B6A75"/>
    <w:rsid w:val="008B7E17"/>
    <w:rsid w:val="008C033D"/>
    <w:rsid w:val="008C0891"/>
    <w:rsid w:val="008C1004"/>
    <w:rsid w:val="008C113D"/>
    <w:rsid w:val="008C15CE"/>
    <w:rsid w:val="008C16B5"/>
    <w:rsid w:val="008C1C2B"/>
    <w:rsid w:val="008C1CC4"/>
    <w:rsid w:val="008C7087"/>
    <w:rsid w:val="008D0421"/>
    <w:rsid w:val="008D048D"/>
    <w:rsid w:val="008D26BB"/>
    <w:rsid w:val="008D32B7"/>
    <w:rsid w:val="008D597C"/>
    <w:rsid w:val="008D75AC"/>
    <w:rsid w:val="008E2774"/>
    <w:rsid w:val="008E38DB"/>
    <w:rsid w:val="008E5617"/>
    <w:rsid w:val="008E6F20"/>
    <w:rsid w:val="008E70A0"/>
    <w:rsid w:val="008E7E74"/>
    <w:rsid w:val="008F108A"/>
    <w:rsid w:val="008F1404"/>
    <w:rsid w:val="008F2488"/>
    <w:rsid w:val="008F250A"/>
    <w:rsid w:val="008F4086"/>
    <w:rsid w:val="008F5621"/>
    <w:rsid w:val="008F5F66"/>
    <w:rsid w:val="00900891"/>
    <w:rsid w:val="00900DC9"/>
    <w:rsid w:val="00900F80"/>
    <w:rsid w:val="0090140C"/>
    <w:rsid w:val="00903A5B"/>
    <w:rsid w:val="00903C3D"/>
    <w:rsid w:val="00905C19"/>
    <w:rsid w:val="00906F36"/>
    <w:rsid w:val="0091099F"/>
    <w:rsid w:val="0091123C"/>
    <w:rsid w:val="00911933"/>
    <w:rsid w:val="00913194"/>
    <w:rsid w:val="0091418E"/>
    <w:rsid w:val="0091527B"/>
    <w:rsid w:val="00916688"/>
    <w:rsid w:val="00917816"/>
    <w:rsid w:val="00917910"/>
    <w:rsid w:val="009206BE"/>
    <w:rsid w:val="009206E5"/>
    <w:rsid w:val="00921C68"/>
    <w:rsid w:val="00921E6D"/>
    <w:rsid w:val="00922FF2"/>
    <w:rsid w:val="009256B5"/>
    <w:rsid w:val="00927A3A"/>
    <w:rsid w:val="00930A26"/>
    <w:rsid w:val="009313F0"/>
    <w:rsid w:val="0093177B"/>
    <w:rsid w:val="009318C7"/>
    <w:rsid w:val="009319F4"/>
    <w:rsid w:val="00931C28"/>
    <w:rsid w:val="0093228F"/>
    <w:rsid w:val="00932B16"/>
    <w:rsid w:val="009344AC"/>
    <w:rsid w:val="00935B89"/>
    <w:rsid w:val="009370B9"/>
    <w:rsid w:val="0093768B"/>
    <w:rsid w:val="00937956"/>
    <w:rsid w:val="009410E9"/>
    <w:rsid w:val="0094123E"/>
    <w:rsid w:val="00941242"/>
    <w:rsid w:val="009415D7"/>
    <w:rsid w:val="00942F7E"/>
    <w:rsid w:val="0094309A"/>
    <w:rsid w:val="00943C05"/>
    <w:rsid w:val="00944808"/>
    <w:rsid w:val="00945039"/>
    <w:rsid w:val="00945FAF"/>
    <w:rsid w:val="0094712C"/>
    <w:rsid w:val="009473BC"/>
    <w:rsid w:val="00947749"/>
    <w:rsid w:val="009478A3"/>
    <w:rsid w:val="0095133B"/>
    <w:rsid w:val="00951F54"/>
    <w:rsid w:val="00953065"/>
    <w:rsid w:val="0095343A"/>
    <w:rsid w:val="00954959"/>
    <w:rsid w:val="009572D3"/>
    <w:rsid w:val="00957982"/>
    <w:rsid w:val="00962BCF"/>
    <w:rsid w:val="00962E78"/>
    <w:rsid w:val="00962FA8"/>
    <w:rsid w:val="00963FC8"/>
    <w:rsid w:val="00965772"/>
    <w:rsid w:val="00966CD3"/>
    <w:rsid w:val="00966FEB"/>
    <w:rsid w:val="00967B38"/>
    <w:rsid w:val="00970439"/>
    <w:rsid w:val="009704B2"/>
    <w:rsid w:val="00970590"/>
    <w:rsid w:val="00970C9B"/>
    <w:rsid w:val="009774EE"/>
    <w:rsid w:val="009775F0"/>
    <w:rsid w:val="00980959"/>
    <w:rsid w:val="009811C2"/>
    <w:rsid w:val="00981DC3"/>
    <w:rsid w:val="0098223C"/>
    <w:rsid w:val="00982E73"/>
    <w:rsid w:val="00983C75"/>
    <w:rsid w:val="00983E9C"/>
    <w:rsid w:val="009853BF"/>
    <w:rsid w:val="00985952"/>
    <w:rsid w:val="00985C54"/>
    <w:rsid w:val="00986F62"/>
    <w:rsid w:val="00987F95"/>
    <w:rsid w:val="00991264"/>
    <w:rsid w:val="009927B3"/>
    <w:rsid w:val="00992C70"/>
    <w:rsid w:val="00992D6A"/>
    <w:rsid w:val="009932D7"/>
    <w:rsid w:val="00994125"/>
    <w:rsid w:val="009945BC"/>
    <w:rsid w:val="009A13A8"/>
    <w:rsid w:val="009A38EA"/>
    <w:rsid w:val="009A59C8"/>
    <w:rsid w:val="009A6598"/>
    <w:rsid w:val="009A72E8"/>
    <w:rsid w:val="009A7406"/>
    <w:rsid w:val="009A7BA7"/>
    <w:rsid w:val="009A7D8A"/>
    <w:rsid w:val="009B1360"/>
    <w:rsid w:val="009B1FD8"/>
    <w:rsid w:val="009B1FE8"/>
    <w:rsid w:val="009B364F"/>
    <w:rsid w:val="009B4E6D"/>
    <w:rsid w:val="009B5A92"/>
    <w:rsid w:val="009B62E9"/>
    <w:rsid w:val="009B6475"/>
    <w:rsid w:val="009B7CF1"/>
    <w:rsid w:val="009B7F8D"/>
    <w:rsid w:val="009C1462"/>
    <w:rsid w:val="009C18B7"/>
    <w:rsid w:val="009C19B5"/>
    <w:rsid w:val="009C250D"/>
    <w:rsid w:val="009C3715"/>
    <w:rsid w:val="009C509C"/>
    <w:rsid w:val="009C5980"/>
    <w:rsid w:val="009C5DFC"/>
    <w:rsid w:val="009C6B77"/>
    <w:rsid w:val="009C727F"/>
    <w:rsid w:val="009D0B59"/>
    <w:rsid w:val="009D0F6C"/>
    <w:rsid w:val="009D19C7"/>
    <w:rsid w:val="009D20C2"/>
    <w:rsid w:val="009D239A"/>
    <w:rsid w:val="009D2938"/>
    <w:rsid w:val="009D2D1F"/>
    <w:rsid w:val="009D3406"/>
    <w:rsid w:val="009D3ED5"/>
    <w:rsid w:val="009D4A23"/>
    <w:rsid w:val="009D4CD6"/>
    <w:rsid w:val="009D5B19"/>
    <w:rsid w:val="009D6E5B"/>
    <w:rsid w:val="009D725B"/>
    <w:rsid w:val="009D7D45"/>
    <w:rsid w:val="009E0B9D"/>
    <w:rsid w:val="009E15F8"/>
    <w:rsid w:val="009E25F4"/>
    <w:rsid w:val="009E3319"/>
    <w:rsid w:val="009E3CC2"/>
    <w:rsid w:val="009E4FE9"/>
    <w:rsid w:val="009E5797"/>
    <w:rsid w:val="009E6D22"/>
    <w:rsid w:val="009E744B"/>
    <w:rsid w:val="009E7AB2"/>
    <w:rsid w:val="009E7CF0"/>
    <w:rsid w:val="009F0A92"/>
    <w:rsid w:val="009F0C53"/>
    <w:rsid w:val="009F1BAC"/>
    <w:rsid w:val="009F1E34"/>
    <w:rsid w:val="009F265C"/>
    <w:rsid w:val="009F3092"/>
    <w:rsid w:val="009F364D"/>
    <w:rsid w:val="009F58B0"/>
    <w:rsid w:val="009F6E25"/>
    <w:rsid w:val="00A00E60"/>
    <w:rsid w:val="00A015D1"/>
    <w:rsid w:val="00A02039"/>
    <w:rsid w:val="00A027C9"/>
    <w:rsid w:val="00A03893"/>
    <w:rsid w:val="00A03C43"/>
    <w:rsid w:val="00A060F6"/>
    <w:rsid w:val="00A07297"/>
    <w:rsid w:val="00A118F1"/>
    <w:rsid w:val="00A12DFC"/>
    <w:rsid w:val="00A13D0D"/>
    <w:rsid w:val="00A14354"/>
    <w:rsid w:val="00A16D06"/>
    <w:rsid w:val="00A1727C"/>
    <w:rsid w:val="00A202DF"/>
    <w:rsid w:val="00A20964"/>
    <w:rsid w:val="00A21B08"/>
    <w:rsid w:val="00A21CC5"/>
    <w:rsid w:val="00A22B9D"/>
    <w:rsid w:val="00A2350F"/>
    <w:rsid w:val="00A25692"/>
    <w:rsid w:val="00A258E2"/>
    <w:rsid w:val="00A25D5D"/>
    <w:rsid w:val="00A26FF2"/>
    <w:rsid w:val="00A27590"/>
    <w:rsid w:val="00A27C9C"/>
    <w:rsid w:val="00A322B3"/>
    <w:rsid w:val="00A327C7"/>
    <w:rsid w:val="00A32AAB"/>
    <w:rsid w:val="00A348E9"/>
    <w:rsid w:val="00A34918"/>
    <w:rsid w:val="00A3574E"/>
    <w:rsid w:val="00A36AAA"/>
    <w:rsid w:val="00A40B29"/>
    <w:rsid w:val="00A41D66"/>
    <w:rsid w:val="00A41E39"/>
    <w:rsid w:val="00A42345"/>
    <w:rsid w:val="00A43431"/>
    <w:rsid w:val="00A43435"/>
    <w:rsid w:val="00A43B49"/>
    <w:rsid w:val="00A4427C"/>
    <w:rsid w:val="00A4512D"/>
    <w:rsid w:val="00A47616"/>
    <w:rsid w:val="00A50069"/>
    <w:rsid w:val="00A52D6D"/>
    <w:rsid w:val="00A52DFC"/>
    <w:rsid w:val="00A538E8"/>
    <w:rsid w:val="00A5438F"/>
    <w:rsid w:val="00A545DD"/>
    <w:rsid w:val="00A55DF1"/>
    <w:rsid w:val="00A55E5F"/>
    <w:rsid w:val="00A56093"/>
    <w:rsid w:val="00A567BC"/>
    <w:rsid w:val="00A56EB1"/>
    <w:rsid w:val="00A57442"/>
    <w:rsid w:val="00A574E3"/>
    <w:rsid w:val="00A60ADB"/>
    <w:rsid w:val="00A610B2"/>
    <w:rsid w:val="00A6221C"/>
    <w:rsid w:val="00A649B0"/>
    <w:rsid w:val="00A64AA8"/>
    <w:rsid w:val="00A64C5B"/>
    <w:rsid w:val="00A6650F"/>
    <w:rsid w:val="00A66874"/>
    <w:rsid w:val="00A66BC2"/>
    <w:rsid w:val="00A6731D"/>
    <w:rsid w:val="00A6765A"/>
    <w:rsid w:val="00A679B2"/>
    <w:rsid w:val="00A67AE6"/>
    <w:rsid w:val="00A705AF"/>
    <w:rsid w:val="00A71093"/>
    <w:rsid w:val="00A711D9"/>
    <w:rsid w:val="00A71BDA"/>
    <w:rsid w:val="00A740C0"/>
    <w:rsid w:val="00A74AC4"/>
    <w:rsid w:val="00A75A6D"/>
    <w:rsid w:val="00A771A8"/>
    <w:rsid w:val="00A777C6"/>
    <w:rsid w:val="00A83891"/>
    <w:rsid w:val="00A83E0F"/>
    <w:rsid w:val="00A85074"/>
    <w:rsid w:val="00A850C7"/>
    <w:rsid w:val="00A857F5"/>
    <w:rsid w:val="00A8671F"/>
    <w:rsid w:val="00A87520"/>
    <w:rsid w:val="00A877AE"/>
    <w:rsid w:val="00A90AEC"/>
    <w:rsid w:val="00A9291A"/>
    <w:rsid w:val="00A92CCA"/>
    <w:rsid w:val="00A92FD3"/>
    <w:rsid w:val="00A96A56"/>
    <w:rsid w:val="00A97F8A"/>
    <w:rsid w:val="00AA0537"/>
    <w:rsid w:val="00AA1D17"/>
    <w:rsid w:val="00AA308B"/>
    <w:rsid w:val="00AA4FF9"/>
    <w:rsid w:val="00AA6613"/>
    <w:rsid w:val="00AA7D6D"/>
    <w:rsid w:val="00AB00D1"/>
    <w:rsid w:val="00AB17D2"/>
    <w:rsid w:val="00AB1C7C"/>
    <w:rsid w:val="00AB1DAF"/>
    <w:rsid w:val="00AB1FDE"/>
    <w:rsid w:val="00AB3315"/>
    <w:rsid w:val="00AB3495"/>
    <w:rsid w:val="00AB5839"/>
    <w:rsid w:val="00AB6315"/>
    <w:rsid w:val="00AB6BD4"/>
    <w:rsid w:val="00AC078E"/>
    <w:rsid w:val="00AC139A"/>
    <w:rsid w:val="00AC26CE"/>
    <w:rsid w:val="00AC36D5"/>
    <w:rsid w:val="00AC4C58"/>
    <w:rsid w:val="00AC5227"/>
    <w:rsid w:val="00AC76CD"/>
    <w:rsid w:val="00AD0522"/>
    <w:rsid w:val="00AD24A1"/>
    <w:rsid w:val="00AD4E69"/>
    <w:rsid w:val="00AD5C38"/>
    <w:rsid w:val="00AD674D"/>
    <w:rsid w:val="00AD67B1"/>
    <w:rsid w:val="00AD6DD5"/>
    <w:rsid w:val="00AD71BA"/>
    <w:rsid w:val="00AD72D4"/>
    <w:rsid w:val="00AD751B"/>
    <w:rsid w:val="00AD7751"/>
    <w:rsid w:val="00AD7810"/>
    <w:rsid w:val="00AE0228"/>
    <w:rsid w:val="00AE1AE5"/>
    <w:rsid w:val="00AE27F8"/>
    <w:rsid w:val="00AE3370"/>
    <w:rsid w:val="00AE39D1"/>
    <w:rsid w:val="00AE3B07"/>
    <w:rsid w:val="00AE47A2"/>
    <w:rsid w:val="00AE51DB"/>
    <w:rsid w:val="00AE565C"/>
    <w:rsid w:val="00AE6ED3"/>
    <w:rsid w:val="00AE71AD"/>
    <w:rsid w:val="00AF1C1A"/>
    <w:rsid w:val="00AF3936"/>
    <w:rsid w:val="00AF412F"/>
    <w:rsid w:val="00AF4699"/>
    <w:rsid w:val="00AF4E7C"/>
    <w:rsid w:val="00AF53C4"/>
    <w:rsid w:val="00AF671E"/>
    <w:rsid w:val="00B00404"/>
    <w:rsid w:val="00B00725"/>
    <w:rsid w:val="00B00E6A"/>
    <w:rsid w:val="00B019CB"/>
    <w:rsid w:val="00B01FDB"/>
    <w:rsid w:val="00B02BF3"/>
    <w:rsid w:val="00B03816"/>
    <w:rsid w:val="00B048E8"/>
    <w:rsid w:val="00B06775"/>
    <w:rsid w:val="00B113B1"/>
    <w:rsid w:val="00B124B4"/>
    <w:rsid w:val="00B125F3"/>
    <w:rsid w:val="00B12682"/>
    <w:rsid w:val="00B12C8C"/>
    <w:rsid w:val="00B13563"/>
    <w:rsid w:val="00B13C19"/>
    <w:rsid w:val="00B14EA1"/>
    <w:rsid w:val="00B15CEC"/>
    <w:rsid w:val="00B2130C"/>
    <w:rsid w:val="00B216B8"/>
    <w:rsid w:val="00B21964"/>
    <w:rsid w:val="00B21F4D"/>
    <w:rsid w:val="00B22892"/>
    <w:rsid w:val="00B22C70"/>
    <w:rsid w:val="00B23FD9"/>
    <w:rsid w:val="00B2651B"/>
    <w:rsid w:val="00B3010A"/>
    <w:rsid w:val="00B30D1E"/>
    <w:rsid w:val="00B31A00"/>
    <w:rsid w:val="00B32412"/>
    <w:rsid w:val="00B33736"/>
    <w:rsid w:val="00B352B5"/>
    <w:rsid w:val="00B368F9"/>
    <w:rsid w:val="00B4005A"/>
    <w:rsid w:val="00B400C1"/>
    <w:rsid w:val="00B4024D"/>
    <w:rsid w:val="00B4039D"/>
    <w:rsid w:val="00B4045C"/>
    <w:rsid w:val="00B425E3"/>
    <w:rsid w:val="00B42851"/>
    <w:rsid w:val="00B429C0"/>
    <w:rsid w:val="00B43186"/>
    <w:rsid w:val="00B43CAB"/>
    <w:rsid w:val="00B44178"/>
    <w:rsid w:val="00B4504F"/>
    <w:rsid w:val="00B45114"/>
    <w:rsid w:val="00B47607"/>
    <w:rsid w:val="00B508F4"/>
    <w:rsid w:val="00B511F0"/>
    <w:rsid w:val="00B5257F"/>
    <w:rsid w:val="00B5258F"/>
    <w:rsid w:val="00B52A16"/>
    <w:rsid w:val="00B531E6"/>
    <w:rsid w:val="00B531F8"/>
    <w:rsid w:val="00B54C5C"/>
    <w:rsid w:val="00B54C73"/>
    <w:rsid w:val="00B555FC"/>
    <w:rsid w:val="00B5618E"/>
    <w:rsid w:val="00B57575"/>
    <w:rsid w:val="00B57D43"/>
    <w:rsid w:val="00B57F14"/>
    <w:rsid w:val="00B60214"/>
    <w:rsid w:val="00B604C4"/>
    <w:rsid w:val="00B61739"/>
    <w:rsid w:val="00B62F74"/>
    <w:rsid w:val="00B70107"/>
    <w:rsid w:val="00B70194"/>
    <w:rsid w:val="00B71CD4"/>
    <w:rsid w:val="00B72A04"/>
    <w:rsid w:val="00B72F80"/>
    <w:rsid w:val="00B736DA"/>
    <w:rsid w:val="00B73C8E"/>
    <w:rsid w:val="00B741C7"/>
    <w:rsid w:val="00B759F4"/>
    <w:rsid w:val="00B7680B"/>
    <w:rsid w:val="00B76C31"/>
    <w:rsid w:val="00B76E55"/>
    <w:rsid w:val="00B80222"/>
    <w:rsid w:val="00B80298"/>
    <w:rsid w:val="00B80999"/>
    <w:rsid w:val="00B80B2C"/>
    <w:rsid w:val="00B80E49"/>
    <w:rsid w:val="00B8167F"/>
    <w:rsid w:val="00B81D86"/>
    <w:rsid w:val="00B81DC1"/>
    <w:rsid w:val="00B82434"/>
    <w:rsid w:val="00B838B4"/>
    <w:rsid w:val="00B83947"/>
    <w:rsid w:val="00B847CD"/>
    <w:rsid w:val="00B849FF"/>
    <w:rsid w:val="00B86366"/>
    <w:rsid w:val="00B865B0"/>
    <w:rsid w:val="00B86C31"/>
    <w:rsid w:val="00B907D5"/>
    <w:rsid w:val="00B91A75"/>
    <w:rsid w:val="00B91D02"/>
    <w:rsid w:val="00B9212A"/>
    <w:rsid w:val="00B947D6"/>
    <w:rsid w:val="00B95049"/>
    <w:rsid w:val="00B95871"/>
    <w:rsid w:val="00B96810"/>
    <w:rsid w:val="00BA0182"/>
    <w:rsid w:val="00BA23C0"/>
    <w:rsid w:val="00BA3AFB"/>
    <w:rsid w:val="00BA4650"/>
    <w:rsid w:val="00BA4988"/>
    <w:rsid w:val="00BB0684"/>
    <w:rsid w:val="00BB1A8B"/>
    <w:rsid w:val="00BB27C0"/>
    <w:rsid w:val="00BB2A54"/>
    <w:rsid w:val="00BB3B71"/>
    <w:rsid w:val="00BB48D7"/>
    <w:rsid w:val="00BB58A2"/>
    <w:rsid w:val="00BB5A0D"/>
    <w:rsid w:val="00BB6315"/>
    <w:rsid w:val="00BB63D2"/>
    <w:rsid w:val="00BB653F"/>
    <w:rsid w:val="00BC04BB"/>
    <w:rsid w:val="00BC0AD1"/>
    <w:rsid w:val="00BC188A"/>
    <w:rsid w:val="00BC1F3F"/>
    <w:rsid w:val="00BC257E"/>
    <w:rsid w:val="00BC29CB"/>
    <w:rsid w:val="00BC560F"/>
    <w:rsid w:val="00BD1F5D"/>
    <w:rsid w:val="00BD204B"/>
    <w:rsid w:val="00BD4215"/>
    <w:rsid w:val="00BD5CAA"/>
    <w:rsid w:val="00BD63C5"/>
    <w:rsid w:val="00BD69A1"/>
    <w:rsid w:val="00BD6AF9"/>
    <w:rsid w:val="00BD764A"/>
    <w:rsid w:val="00BE0CB3"/>
    <w:rsid w:val="00BE2013"/>
    <w:rsid w:val="00BE2416"/>
    <w:rsid w:val="00BE2E9C"/>
    <w:rsid w:val="00BE32CA"/>
    <w:rsid w:val="00BE33BC"/>
    <w:rsid w:val="00BE4867"/>
    <w:rsid w:val="00BE5DF3"/>
    <w:rsid w:val="00BE61B2"/>
    <w:rsid w:val="00BF0746"/>
    <w:rsid w:val="00BF18B3"/>
    <w:rsid w:val="00BF3B81"/>
    <w:rsid w:val="00BF58A3"/>
    <w:rsid w:val="00BF66B1"/>
    <w:rsid w:val="00BF7CD4"/>
    <w:rsid w:val="00C00103"/>
    <w:rsid w:val="00C058B4"/>
    <w:rsid w:val="00C06590"/>
    <w:rsid w:val="00C06CA8"/>
    <w:rsid w:val="00C0717E"/>
    <w:rsid w:val="00C07A92"/>
    <w:rsid w:val="00C07B58"/>
    <w:rsid w:val="00C111F1"/>
    <w:rsid w:val="00C11225"/>
    <w:rsid w:val="00C149B7"/>
    <w:rsid w:val="00C20D65"/>
    <w:rsid w:val="00C22010"/>
    <w:rsid w:val="00C22D74"/>
    <w:rsid w:val="00C23080"/>
    <w:rsid w:val="00C2365E"/>
    <w:rsid w:val="00C254EF"/>
    <w:rsid w:val="00C25A13"/>
    <w:rsid w:val="00C25BED"/>
    <w:rsid w:val="00C26D29"/>
    <w:rsid w:val="00C27A10"/>
    <w:rsid w:val="00C313AB"/>
    <w:rsid w:val="00C339D6"/>
    <w:rsid w:val="00C34120"/>
    <w:rsid w:val="00C3495D"/>
    <w:rsid w:val="00C353C8"/>
    <w:rsid w:val="00C35EDF"/>
    <w:rsid w:val="00C3758D"/>
    <w:rsid w:val="00C40A9B"/>
    <w:rsid w:val="00C4260F"/>
    <w:rsid w:val="00C4462A"/>
    <w:rsid w:val="00C46A59"/>
    <w:rsid w:val="00C46E78"/>
    <w:rsid w:val="00C5051A"/>
    <w:rsid w:val="00C5145F"/>
    <w:rsid w:val="00C517F2"/>
    <w:rsid w:val="00C51852"/>
    <w:rsid w:val="00C550A8"/>
    <w:rsid w:val="00C60CF0"/>
    <w:rsid w:val="00C634AA"/>
    <w:rsid w:val="00C638EA"/>
    <w:rsid w:val="00C64474"/>
    <w:rsid w:val="00C64F6E"/>
    <w:rsid w:val="00C658E3"/>
    <w:rsid w:val="00C65FC7"/>
    <w:rsid w:val="00C6649C"/>
    <w:rsid w:val="00C67F66"/>
    <w:rsid w:val="00C703E4"/>
    <w:rsid w:val="00C706E9"/>
    <w:rsid w:val="00C733BF"/>
    <w:rsid w:val="00C73D98"/>
    <w:rsid w:val="00C73E57"/>
    <w:rsid w:val="00C7448A"/>
    <w:rsid w:val="00C76590"/>
    <w:rsid w:val="00C77709"/>
    <w:rsid w:val="00C80424"/>
    <w:rsid w:val="00C81D02"/>
    <w:rsid w:val="00C82A91"/>
    <w:rsid w:val="00C83410"/>
    <w:rsid w:val="00C84793"/>
    <w:rsid w:val="00C84E66"/>
    <w:rsid w:val="00C85D04"/>
    <w:rsid w:val="00C86C51"/>
    <w:rsid w:val="00C86CBD"/>
    <w:rsid w:val="00C87117"/>
    <w:rsid w:val="00C87A15"/>
    <w:rsid w:val="00C90AA2"/>
    <w:rsid w:val="00C91D04"/>
    <w:rsid w:val="00C935AB"/>
    <w:rsid w:val="00C93CFE"/>
    <w:rsid w:val="00C94722"/>
    <w:rsid w:val="00C95952"/>
    <w:rsid w:val="00C95F2D"/>
    <w:rsid w:val="00C9636B"/>
    <w:rsid w:val="00CA050B"/>
    <w:rsid w:val="00CA1732"/>
    <w:rsid w:val="00CA1D1D"/>
    <w:rsid w:val="00CA2BAD"/>
    <w:rsid w:val="00CA4524"/>
    <w:rsid w:val="00CA4AFC"/>
    <w:rsid w:val="00CA70F9"/>
    <w:rsid w:val="00CB117D"/>
    <w:rsid w:val="00CB2C71"/>
    <w:rsid w:val="00CB2C91"/>
    <w:rsid w:val="00CB4A5B"/>
    <w:rsid w:val="00CB4B3C"/>
    <w:rsid w:val="00CB4F35"/>
    <w:rsid w:val="00CB4FB5"/>
    <w:rsid w:val="00CB52FF"/>
    <w:rsid w:val="00CB545B"/>
    <w:rsid w:val="00CB5B1A"/>
    <w:rsid w:val="00CC1C8A"/>
    <w:rsid w:val="00CC5A40"/>
    <w:rsid w:val="00CC5C72"/>
    <w:rsid w:val="00CC5EDD"/>
    <w:rsid w:val="00CC7363"/>
    <w:rsid w:val="00CD1830"/>
    <w:rsid w:val="00CD3145"/>
    <w:rsid w:val="00CD7D3F"/>
    <w:rsid w:val="00CE17B4"/>
    <w:rsid w:val="00CE3683"/>
    <w:rsid w:val="00CE3F3F"/>
    <w:rsid w:val="00CE67E5"/>
    <w:rsid w:val="00CE6816"/>
    <w:rsid w:val="00CF0CF7"/>
    <w:rsid w:val="00CF233D"/>
    <w:rsid w:val="00CF24BC"/>
    <w:rsid w:val="00CF25A3"/>
    <w:rsid w:val="00CF403C"/>
    <w:rsid w:val="00CF5252"/>
    <w:rsid w:val="00CF58BD"/>
    <w:rsid w:val="00CF6233"/>
    <w:rsid w:val="00D06DFF"/>
    <w:rsid w:val="00D0759B"/>
    <w:rsid w:val="00D079D2"/>
    <w:rsid w:val="00D102AD"/>
    <w:rsid w:val="00D10825"/>
    <w:rsid w:val="00D1336F"/>
    <w:rsid w:val="00D13E3C"/>
    <w:rsid w:val="00D17D24"/>
    <w:rsid w:val="00D203FA"/>
    <w:rsid w:val="00D22309"/>
    <w:rsid w:val="00D227A0"/>
    <w:rsid w:val="00D22903"/>
    <w:rsid w:val="00D22DFE"/>
    <w:rsid w:val="00D2382C"/>
    <w:rsid w:val="00D23CAB"/>
    <w:rsid w:val="00D24820"/>
    <w:rsid w:val="00D24DC3"/>
    <w:rsid w:val="00D2542F"/>
    <w:rsid w:val="00D2738D"/>
    <w:rsid w:val="00D27776"/>
    <w:rsid w:val="00D278D7"/>
    <w:rsid w:val="00D30F05"/>
    <w:rsid w:val="00D315F3"/>
    <w:rsid w:val="00D31C36"/>
    <w:rsid w:val="00D32625"/>
    <w:rsid w:val="00D37632"/>
    <w:rsid w:val="00D37E18"/>
    <w:rsid w:val="00D40C80"/>
    <w:rsid w:val="00D42554"/>
    <w:rsid w:val="00D42837"/>
    <w:rsid w:val="00D43DAE"/>
    <w:rsid w:val="00D454F3"/>
    <w:rsid w:val="00D46E0D"/>
    <w:rsid w:val="00D47A36"/>
    <w:rsid w:val="00D502DA"/>
    <w:rsid w:val="00D5126D"/>
    <w:rsid w:val="00D51E4B"/>
    <w:rsid w:val="00D52C10"/>
    <w:rsid w:val="00D530EF"/>
    <w:rsid w:val="00D5377A"/>
    <w:rsid w:val="00D538FB"/>
    <w:rsid w:val="00D53DF4"/>
    <w:rsid w:val="00D55532"/>
    <w:rsid w:val="00D55AB0"/>
    <w:rsid w:val="00D55E39"/>
    <w:rsid w:val="00D57B11"/>
    <w:rsid w:val="00D60464"/>
    <w:rsid w:val="00D6085E"/>
    <w:rsid w:val="00D60AC9"/>
    <w:rsid w:val="00D62FAE"/>
    <w:rsid w:val="00D63A77"/>
    <w:rsid w:val="00D63B56"/>
    <w:rsid w:val="00D63E0D"/>
    <w:rsid w:val="00D6484F"/>
    <w:rsid w:val="00D64AF1"/>
    <w:rsid w:val="00D660BB"/>
    <w:rsid w:val="00D67043"/>
    <w:rsid w:val="00D72857"/>
    <w:rsid w:val="00D74411"/>
    <w:rsid w:val="00D74BA6"/>
    <w:rsid w:val="00D81176"/>
    <w:rsid w:val="00D816AA"/>
    <w:rsid w:val="00D82712"/>
    <w:rsid w:val="00D83E67"/>
    <w:rsid w:val="00D86223"/>
    <w:rsid w:val="00D87525"/>
    <w:rsid w:val="00D90ADE"/>
    <w:rsid w:val="00D9345F"/>
    <w:rsid w:val="00D939EF"/>
    <w:rsid w:val="00D940C0"/>
    <w:rsid w:val="00D94739"/>
    <w:rsid w:val="00D97CAE"/>
    <w:rsid w:val="00DA147D"/>
    <w:rsid w:val="00DA259F"/>
    <w:rsid w:val="00DA25DF"/>
    <w:rsid w:val="00DA294F"/>
    <w:rsid w:val="00DA3C18"/>
    <w:rsid w:val="00DA44CB"/>
    <w:rsid w:val="00DA4BE8"/>
    <w:rsid w:val="00DB0720"/>
    <w:rsid w:val="00DB0D77"/>
    <w:rsid w:val="00DB12EA"/>
    <w:rsid w:val="00DB3F6A"/>
    <w:rsid w:val="00DB6410"/>
    <w:rsid w:val="00DB74AE"/>
    <w:rsid w:val="00DC1351"/>
    <w:rsid w:val="00DC13A1"/>
    <w:rsid w:val="00DC315A"/>
    <w:rsid w:val="00DC5339"/>
    <w:rsid w:val="00DC6434"/>
    <w:rsid w:val="00DC6ED7"/>
    <w:rsid w:val="00DC7142"/>
    <w:rsid w:val="00DC7BFD"/>
    <w:rsid w:val="00DD07BE"/>
    <w:rsid w:val="00DD1DB3"/>
    <w:rsid w:val="00DD26AA"/>
    <w:rsid w:val="00DD2848"/>
    <w:rsid w:val="00DD42C4"/>
    <w:rsid w:val="00DD436B"/>
    <w:rsid w:val="00DD5213"/>
    <w:rsid w:val="00DE05DE"/>
    <w:rsid w:val="00DE0CEB"/>
    <w:rsid w:val="00DE1925"/>
    <w:rsid w:val="00DE4DC1"/>
    <w:rsid w:val="00DE6124"/>
    <w:rsid w:val="00DE7B26"/>
    <w:rsid w:val="00DF0FA5"/>
    <w:rsid w:val="00DF3FDE"/>
    <w:rsid w:val="00DF4178"/>
    <w:rsid w:val="00DF62BE"/>
    <w:rsid w:val="00DF7AC7"/>
    <w:rsid w:val="00E003CE"/>
    <w:rsid w:val="00E01E75"/>
    <w:rsid w:val="00E03027"/>
    <w:rsid w:val="00E03535"/>
    <w:rsid w:val="00E04797"/>
    <w:rsid w:val="00E07C3F"/>
    <w:rsid w:val="00E07F5E"/>
    <w:rsid w:val="00E11D25"/>
    <w:rsid w:val="00E12456"/>
    <w:rsid w:val="00E13807"/>
    <w:rsid w:val="00E150DB"/>
    <w:rsid w:val="00E153E6"/>
    <w:rsid w:val="00E161CE"/>
    <w:rsid w:val="00E17203"/>
    <w:rsid w:val="00E1755E"/>
    <w:rsid w:val="00E209F0"/>
    <w:rsid w:val="00E2224B"/>
    <w:rsid w:val="00E24041"/>
    <w:rsid w:val="00E24332"/>
    <w:rsid w:val="00E245CF"/>
    <w:rsid w:val="00E249F1"/>
    <w:rsid w:val="00E2773D"/>
    <w:rsid w:val="00E30357"/>
    <w:rsid w:val="00E30FF9"/>
    <w:rsid w:val="00E342F3"/>
    <w:rsid w:val="00E3443B"/>
    <w:rsid w:val="00E371B6"/>
    <w:rsid w:val="00E37497"/>
    <w:rsid w:val="00E37690"/>
    <w:rsid w:val="00E4150E"/>
    <w:rsid w:val="00E42D79"/>
    <w:rsid w:val="00E43369"/>
    <w:rsid w:val="00E439C5"/>
    <w:rsid w:val="00E43A9F"/>
    <w:rsid w:val="00E4498F"/>
    <w:rsid w:val="00E452F1"/>
    <w:rsid w:val="00E453EF"/>
    <w:rsid w:val="00E45982"/>
    <w:rsid w:val="00E473C0"/>
    <w:rsid w:val="00E4751E"/>
    <w:rsid w:val="00E50843"/>
    <w:rsid w:val="00E50955"/>
    <w:rsid w:val="00E55B51"/>
    <w:rsid w:val="00E55FD0"/>
    <w:rsid w:val="00E5607F"/>
    <w:rsid w:val="00E609F9"/>
    <w:rsid w:val="00E636D1"/>
    <w:rsid w:val="00E646B5"/>
    <w:rsid w:val="00E64A42"/>
    <w:rsid w:val="00E64DD0"/>
    <w:rsid w:val="00E65934"/>
    <w:rsid w:val="00E668F8"/>
    <w:rsid w:val="00E70ADA"/>
    <w:rsid w:val="00E70E57"/>
    <w:rsid w:val="00E71CA2"/>
    <w:rsid w:val="00E80407"/>
    <w:rsid w:val="00E808AB"/>
    <w:rsid w:val="00E80FC7"/>
    <w:rsid w:val="00E833E8"/>
    <w:rsid w:val="00E83B9E"/>
    <w:rsid w:val="00E83F91"/>
    <w:rsid w:val="00E84A53"/>
    <w:rsid w:val="00E853A3"/>
    <w:rsid w:val="00E855CF"/>
    <w:rsid w:val="00E85E29"/>
    <w:rsid w:val="00E86DB1"/>
    <w:rsid w:val="00E87541"/>
    <w:rsid w:val="00E87750"/>
    <w:rsid w:val="00E92209"/>
    <w:rsid w:val="00E934E0"/>
    <w:rsid w:val="00E94F6C"/>
    <w:rsid w:val="00E9508F"/>
    <w:rsid w:val="00E9573E"/>
    <w:rsid w:val="00E97346"/>
    <w:rsid w:val="00E974F6"/>
    <w:rsid w:val="00EA0D51"/>
    <w:rsid w:val="00EA10F2"/>
    <w:rsid w:val="00EA1896"/>
    <w:rsid w:val="00EA44F8"/>
    <w:rsid w:val="00EA5186"/>
    <w:rsid w:val="00EB0674"/>
    <w:rsid w:val="00EB47E3"/>
    <w:rsid w:val="00EB48FF"/>
    <w:rsid w:val="00EB590E"/>
    <w:rsid w:val="00EC0440"/>
    <w:rsid w:val="00EC181E"/>
    <w:rsid w:val="00EC28F0"/>
    <w:rsid w:val="00EC2FF1"/>
    <w:rsid w:val="00EC427C"/>
    <w:rsid w:val="00EC56A8"/>
    <w:rsid w:val="00EC7340"/>
    <w:rsid w:val="00ED1E3F"/>
    <w:rsid w:val="00ED451C"/>
    <w:rsid w:val="00ED48B0"/>
    <w:rsid w:val="00ED5422"/>
    <w:rsid w:val="00EE050B"/>
    <w:rsid w:val="00EE2167"/>
    <w:rsid w:val="00EE2C81"/>
    <w:rsid w:val="00EE2EEC"/>
    <w:rsid w:val="00EE34C6"/>
    <w:rsid w:val="00EE3DEE"/>
    <w:rsid w:val="00EE40B4"/>
    <w:rsid w:val="00EE49F3"/>
    <w:rsid w:val="00EE67CD"/>
    <w:rsid w:val="00EF08AC"/>
    <w:rsid w:val="00EF233E"/>
    <w:rsid w:val="00EF2EE2"/>
    <w:rsid w:val="00EF3CE7"/>
    <w:rsid w:val="00EF3FA5"/>
    <w:rsid w:val="00EF4558"/>
    <w:rsid w:val="00EF4AFF"/>
    <w:rsid w:val="00EF617F"/>
    <w:rsid w:val="00EF651B"/>
    <w:rsid w:val="00EF69A4"/>
    <w:rsid w:val="00EF77F3"/>
    <w:rsid w:val="00EF7978"/>
    <w:rsid w:val="00F006CC"/>
    <w:rsid w:val="00F01511"/>
    <w:rsid w:val="00F01954"/>
    <w:rsid w:val="00F03181"/>
    <w:rsid w:val="00F05062"/>
    <w:rsid w:val="00F05A88"/>
    <w:rsid w:val="00F0628D"/>
    <w:rsid w:val="00F065FF"/>
    <w:rsid w:val="00F076DB"/>
    <w:rsid w:val="00F1120F"/>
    <w:rsid w:val="00F1124C"/>
    <w:rsid w:val="00F114A4"/>
    <w:rsid w:val="00F12040"/>
    <w:rsid w:val="00F126D8"/>
    <w:rsid w:val="00F15785"/>
    <w:rsid w:val="00F159DC"/>
    <w:rsid w:val="00F17B30"/>
    <w:rsid w:val="00F17C93"/>
    <w:rsid w:val="00F212C0"/>
    <w:rsid w:val="00F2356D"/>
    <w:rsid w:val="00F23728"/>
    <w:rsid w:val="00F24B45"/>
    <w:rsid w:val="00F25487"/>
    <w:rsid w:val="00F269C6"/>
    <w:rsid w:val="00F26D2B"/>
    <w:rsid w:val="00F27243"/>
    <w:rsid w:val="00F274C1"/>
    <w:rsid w:val="00F27F37"/>
    <w:rsid w:val="00F33348"/>
    <w:rsid w:val="00F33DC9"/>
    <w:rsid w:val="00F33F9D"/>
    <w:rsid w:val="00F34C70"/>
    <w:rsid w:val="00F355F9"/>
    <w:rsid w:val="00F35A23"/>
    <w:rsid w:val="00F372B0"/>
    <w:rsid w:val="00F3748F"/>
    <w:rsid w:val="00F374B2"/>
    <w:rsid w:val="00F41B02"/>
    <w:rsid w:val="00F4443B"/>
    <w:rsid w:val="00F45F71"/>
    <w:rsid w:val="00F46364"/>
    <w:rsid w:val="00F5099C"/>
    <w:rsid w:val="00F50CC1"/>
    <w:rsid w:val="00F519FC"/>
    <w:rsid w:val="00F51E01"/>
    <w:rsid w:val="00F51E48"/>
    <w:rsid w:val="00F51E4D"/>
    <w:rsid w:val="00F53B5D"/>
    <w:rsid w:val="00F53F3E"/>
    <w:rsid w:val="00F54835"/>
    <w:rsid w:val="00F54BC6"/>
    <w:rsid w:val="00F54D6E"/>
    <w:rsid w:val="00F56A31"/>
    <w:rsid w:val="00F6282A"/>
    <w:rsid w:val="00F63C8A"/>
    <w:rsid w:val="00F64B3C"/>
    <w:rsid w:val="00F64DB7"/>
    <w:rsid w:val="00F65375"/>
    <w:rsid w:val="00F65B43"/>
    <w:rsid w:val="00F6792C"/>
    <w:rsid w:val="00F67B83"/>
    <w:rsid w:val="00F70277"/>
    <w:rsid w:val="00F7043C"/>
    <w:rsid w:val="00F707FB"/>
    <w:rsid w:val="00F70890"/>
    <w:rsid w:val="00F712F5"/>
    <w:rsid w:val="00F72A45"/>
    <w:rsid w:val="00F72FF5"/>
    <w:rsid w:val="00F73885"/>
    <w:rsid w:val="00F738D5"/>
    <w:rsid w:val="00F74593"/>
    <w:rsid w:val="00F7529F"/>
    <w:rsid w:val="00F762E2"/>
    <w:rsid w:val="00F7694E"/>
    <w:rsid w:val="00F76AFE"/>
    <w:rsid w:val="00F80707"/>
    <w:rsid w:val="00F812A2"/>
    <w:rsid w:val="00F817D5"/>
    <w:rsid w:val="00F838A0"/>
    <w:rsid w:val="00F83C3B"/>
    <w:rsid w:val="00F845A2"/>
    <w:rsid w:val="00F84FA1"/>
    <w:rsid w:val="00F85814"/>
    <w:rsid w:val="00F862A0"/>
    <w:rsid w:val="00F90CFA"/>
    <w:rsid w:val="00F931DB"/>
    <w:rsid w:val="00F943B3"/>
    <w:rsid w:val="00F95062"/>
    <w:rsid w:val="00FA1696"/>
    <w:rsid w:val="00FA21BD"/>
    <w:rsid w:val="00FA3D25"/>
    <w:rsid w:val="00FA5910"/>
    <w:rsid w:val="00FA5CCB"/>
    <w:rsid w:val="00FA5FB3"/>
    <w:rsid w:val="00FA739F"/>
    <w:rsid w:val="00FB000F"/>
    <w:rsid w:val="00FB0609"/>
    <w:rsid w:val="00FB26A3"/>
    <w:rsid w:val="00FB4B5F"/>
    <w:rsid w:val="00FB6BC1"/>
    <w:rsid w:val="00FC100C"/>
    <w:rsid w:val="00FC1243"/>
    <w:rsid w:val="00FC265F"/>
    <w:rsid w:val="00FC47E6"/>
    <w:rsid w:val="00FC4D7C"/>
    <w:rsid w:val="00FC59EE"/>
    <w:rsid w:val="00FC5E0B"/>
    <w:rsid w:val="00FC6BFF"/>
    <w:rsid w:val="00FC6F12"/>
    <w:rsid w:val="00FC7A1D"/>
    <w:rsid w:val="00FC7B75"/>
    <w:rsid w:val="00FC7D86"/>
    <w:rsid w:val="00FD17D1"/>
    <w:rsid w:val="00FD1CF7"/>
    <w:rsid w:val="00FD2C13"/>
    <w:rsid w:val="00FD4B29"/>
    <w:rsid w:val="00FD4BB9"/>
    <w:rsid w:val="00FD7584"/>
    <w:rsid w:val="00FD7CFC"/>
    <w:rsid w:val="00FE00DC"/>
    <w:rsid w:val="00FE20CD"/>
    <w:rsid w:val="00FE20D7"/>
    <w:rsid w:val="00FE3762"/>
    <w:rsid w:val="00FE4F6B"/>
    <w:rsid w:val="00FE4FA5"/>
    <w:rsid w:val="00FE4FCE"/>
    <w:rsid w:val="00FE63E6"/>
    <w:rsid w:val="00FF04A9"/>
    <w:rsid w:val="00FF0535"/>
    <w:rsid w:val="00FF2446"/>
    <w:rsid w:val="00FF5313"/>
    <w:rsid w:val="00FF6456"/>
    <w:rsid w:val="00FF7128"/>
    <w:rsid w:val="00FF77CB"/>
    <w:rsid w:val="00FF7CA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5C5E4D"/>
    <w:pPr>
      <w:spacing w:before="120" w:after="120"/>
      <w:jc w:val="both"/>
    </w:pPr>
    <w:rPr>
      <w:rFonts w:ascii="Arial" w:hAnsi="Arial"/>
      <w:sz w:val="22"/>
      <w:lang w:eastAsia="en-US"/>
    </w:rPr>
  </w:style>
  <w:style w:type="paragraph" w:styleId="Heading1">
    <w:name w:val="heading 1"/>
    <w:basedOn w:val="Normal"/>
    <w:next w:val="Normal"/>
    <w:link w:val="Heading1Char"/>
    <w:autoRedefine/>
    <w:qFormat/>
    <w:rsid w:val="00426E94"/>
    <w:pPr>
      <w:keepNext/>
      <w:outlineLvl w:val="0"/>
    </w:pPr>
    <w:rPr>
      <w:rFonts w:cs="Arial"/>
      <w:b/>
      <w:bCs/>
      <w:color w:val="1F497D"/>
      <w:kern w:val="28"/>
      <w:sz w:val="32"/>
      <w:szCs w:val="32"/>
    </w:rPr>
  </w:style>
  <w:style w:type="paragraph" w:styleId="Heading2">
    <w:name w:val="heading 2"/>
    <w:basedOn w:val="Normal"/>
    <w:next w:val="Normal"/>
    <w:link w:val="Heading2Char"/>
    <w:qFormat/>
    <w:rsid w:val="00985952"/>
    <w:pPr>
      <w:keepNext/>
      <w:spacing w:before="240"/>
      <w:outlineLvl w:val="1"/>
    </w:pPr>
    <w:rPr>
      <w:rFonts w:cs="Arial"/>
      <w:b/>
      <w:bCs/>
      <w:iCs/>
      <w:color w:val="1F497D" w:themeColor="text2"/>
      <w:sz w:val="28"/>
      <w:szCs w:val="28"/>
    </w:rPr>
  </w:style>
  <w:style w:type="paragraph" w:styleId="Heading3">
    <w:name w:val="heading 3"/>
    <w:basedOn w:val="Normal"/>
    <w:next w:val="Normal"/>
    <w:link w:val="Heading3Char"/>
    <w:qFormat/>
    <w:rsid w:val="00577982"/>
    <w:pPr>
      <w:keepNext/>
      <w:spacing w:before="240"/>
      <w:outlineLvl w:val="2"/>
    </w:pPr>
    <w:rPr>
      <w:rFonts w:cs="Arial"/>
      <w:b/>
      <w:bCs/>
      <w:color w:val="1F497D" w:themeColor="text2"/>
      <w:sz w:val="26"/>
      <w:szCs w:val="26"/>
    </w:rPr>
  </w:style>
  <w:style w:type="paragraph" w:styleId="Heading4">
    <w:name w:val="heading 4"/>
    <w:basedOn w:val="Normal"/>
    <w:next w:val="Normal"/>
    <w:qFormat/>
    <w:rsid w:val="00577982"/>
    <w:pPr>
      <w:keepNext/>
      <w:spacing w:before="240" w:after="60"/>
      <w:outlineLvl w:val="3"/>
    </w:pPr>
    <w:rPr>
      <w:b/>
      <w:bCs/>
      <w:color w:val="1F497D" w:themeColor="text2"/>
      <w:szCs w:val="22"/>
    </w:rPr>
  </w:style>
  <w:style w:type="paragraph" w:styleId="Heading5">
    <w:name w:val="heading 5"/>
    <w:basedOn w:val="Normal"/>
    <w:next w:val="Normal"/>
    <w:qFormat/>
    <w:rsid w:val="009A13A8"/>
    <w:pPr>
      <w:keepNext/>
      <w:spacing w:before="0" w:after="0"/>
      <w:outlineLvl w:val="4"/>
    </w:pPr>
    <w:rPr>
      <w:bCs/>
      <w:i/>
      <w:iCs/>
      <w:color w:val="4F81BD" w:themeColor="accent1"/>
      <w:sz w:val="16"/>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eastAsiaTheme="majorEastAsia"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eastAsia="Calibri"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eastAsia="Cambria"/>
      <w:b/>
      <w:sz w:val="25"/>
      <w:lang w:val="en-US"/>
    </w:rPr>
  </w:style>
  <w:style w:type="paragraph" w:styleId="Caption">
    <w:name w:val="caption"/>
    <w:basedOn w:val="Normal"/>
    <w:next w:val="Normal"/>
    <w:uiPriority w:val="35"/>
    <w:qFormat/>
    <w:rsid w:val="00B80222"/>
    <w:pPr>
      <w:spacing w:before="0" w:after="0"/>
    </w:pPr>
    <w:rPr>
      <w:b/>
      <w:bCs/>
      <w:color w:val="1F497D" w:themeColor="text2"/>
      <w:sz w:val="20"/>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3747ED"/>
    <w:pPr>
      <w:tabs>
        <w:tab w:val="right" w:leader="dot" w:pos="9072"/>
      </w:tabs>
      <w:spacing w:after="100"/>
    </w:pPr>
    <w:rPr>
      <w:rFonts w:eastAsia="Calibri"/>
      <w:noProof/>
    </w:rPr>
  </w:style>
  <w:style w:type="paragraph" w:styleId="TOC2">
    <w:name w:val="toc 2"/>
    <w:basedOn w:val="Normal"/>
    <w:next w:val="Normal"/>
    <w:autoRedefine/>
    <w:uiPriority w:val="39"/>
    <w:qFormat/>
    <w:rsid w:val="00AF1C1A"/>
    <w:pPr>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985952"/>
    <w:rPr>
      <w:rFonts w:ascii="Arial" w:hAnsi="Arial" w:cs="Arial"/>
      <w:b/>
      <w:bCs/>
      <w:iCs/>
      <w:color w:val="1F497D" w:themeColor="text2"/>
      <w:sz w:val="28"/>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426E94"/>
    <w:rPr>
      <w:rFonts w:ascii="Arial" w:hAnsi="Arial" w:cs="Arial"/>
      <w:b/>
      <w:bCs/>
      <w:color w:val="1F497D"/>
      <w:kern w:val="28"/>
      <w:sz w:val="32"/>
      <w:szCs w:val="32"/>
      <w:lang w:eastAsia="en-US"/>
    </w:rPr>
  </w:style>
  <w:style w:type="character" w:customStyle="1" w:styleId="Heading3Char">
    <w:name w:val="Heading 3 Char"/>
    <w:basedOn w:val="DefaultParagraphFont"/>
    <w:link w:val="Heading3"/>
    <w:rsid w:val="00577982"/>
    <w:rPr>
      <w:rFonts w:ascii="Arial" w:hAnsi="Arial" w:cs="Arial"/>
      <w:b/>
      <w:bCs/>
      <w:color w:val="1F497D" w:themeColor="text2"/>
      <w:sz w:val="26"/>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C2"/>
    <w:rPr>
      <w:rFonts w:asciiTheme="minorHAnsi" w:hAnsiTheme="minorHAnsi"/>
      <w:sz w:val="22"/>
      <w:szCs w:val="24"/>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link w:val="TableofFiguresChar"/>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paragraph" w:customStyle="1" w:styleId="Style1">
    <w:name w:val="Style1"/>
    <w:basedOn w:val="TableofFigures"/>
    <w:link w:val="Style1Char"/>
    <w:qFormat/>
    <w:rsid w:val="00E974F6"/>
    <w:pPr>
      <w:tabs>
        <w:tab w:val="right" w:leader="dot" w:pos="8471"/>
      </w:tabs>
    </w:pPr>
    <w:rPr>
      <w:rFonts w:ascii="Times New Roman" w:hAnsi="Times New Roman"/>
      <w:b w:val="0"/>
      <w:noProof/>
      <w:sz w:val="22"/>
    </w:rPr>
  </w:style>
  <w:style w:type="character" w:customStyle="1" w:styleId="TableofFiguresChar">
    <w:name w:val="Table of Figures Char"/>
    <w:basedOn w:val="DefaultParagraphFont"/>
    <w:link w:val="TableofFigures"/>
    <w:uiPriority w:val="99"/>
    <w:rsid w:val="00E974F6"/>
    <w:rPr>
      <w:rFonts w:asciiTheme="minorHAnsi" w:hAnsiTheme="minorHAnsi"/>
      <w:b/>
      <w:bCs/>
      <w:sz w:val="20"/>
      <w:szCs w:val="20"/>
      <w:lang w:eastAsia="en-US"/>
    </w:rPr>
  </w:style>
  <w:style w:type="character" w:customStyle="1" w:styleId="Style1Char">
    <w:name w:val="Style1 Char"/>
    <w:basedOn w:val="TableofFiguresChar"/>
    <w:link w:val="Style1"/>
    <w:rsid w:val="00E974F6"/>
    <w:rPr>
      <w:rFonts w:asciiTheme="minorHAnsi" w:hAnsiTheme="minorHAnsi"/>
      <w:b w:val="0"/>
      <w:bCs/>
      <w:noProof/>
      <w:sz w:val="22"/>
      <w:szCs w:val="20"/>
      <w:lang w:eastAsia="en-US"/>
    </w:rPr>
  </w:style>
  <w:style w:type="paragraph" w:styleId="EndnoteText">
    <w:name w:val="endnote text"/>
    <w:basedOn w:val="Normal"/>
    <w:link w:val="EndnoteTextChar"/>
    <w:semiHidden/>
    <w:unhideWhenUsed/>
    <w:rsid w:val="00810827"/>
    <w:pPr>
      <w:spacing w:before="0" w:after="0"/>
    </w:pPr>
    <w:rPr>
      <w:sz w:val="20"/>
      <w:szCs w:val="20"/>
    </w:rPr>
  </w:style>
  <w:style w:type="character" w:customStyle="1" w:styleId="EndnoteTextChar">
    <w:name w:val="Endnote Text Char"/>
    <w:basedOn w:val="DefaultParagraphFont"/>
    <w:link w:val="EndnoteText"/>
    <w:semiHidden/>
    <w:rsid w:val="00810827"/>
    <w:rPr>
      <w:sz w:val="20"/>
      <w:szCs w:val="20"/>
      <w:lang w:eastAsia="en-US"/>
    </w:rPr>
  </w:style>
  <w:style w:type="character" w:styleId="EndnoteReference">
    <w:name w:val="endnote reference"/>
    <w:basedOn w:val="DefaultParagraphFont"/>
    <w:semiHidden/>
    <w:unhideWhenUsed/>
    <w:rsid w:val="00810827"/>
    <w:rPr>
      <w:vertAlign w:val="superscript"/>
    </w:rPr>
  </w:style>
  <w:style w:type="table" w:styleId="LightShading">
    <w:name w:val="Light Shading"/>
    <w:basedOn w:val="TableNormal"/>
    <w:rsid w:val="007B0B0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2A3F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Shading-Accent1">
    <w:name w:val="Colorful Shading Accent 1"/>
    <w:basedOn w:val="TableNormal"/>
    <w:rsid w:val="00DD436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rsid w:val="00DD436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rsid w:val="00DD436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Shading-Accent1">
    <w:name w:val="Light Shading Accent 1"/>
    <w:basedOn w:val="TableNormal"/>
    <w:rsid w:val="00DD436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294F07"/>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GridTable5Dark-Accent31">
    <w:name w:val="Grid Table 5 Dark - Accent 31"/>
    <w:basedOn w:val="TableNormal"/>
    <w:uiPriority w:val="50"/>
    <w:rsid w:val="00A545D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TableNormal"/>
    <w:next w:val="TableGrid"/>
    <w:rsid w:val="009657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5C5E4D"/>
    <w:pPr>
      <w:spacing w:before="120" w:after="120"/>
      <w:jc w:val="both"/>
    </w:pPr>
    <w:rPr>
      <w:rFonts w:ascii="Arial" w:hAnsi="Arial"/>
      <w:sz w:val="22"/>
      <w:lang w:eastAsia="en-US"/>
    </w:rPr>
  </w:style>
  <w:style w:type="paragraph" w:styleId="Heading1">
    <w:name w:val="heading 1"/>
    <w:basedOn w:val="Normal"/>
    <w:next w:val="Normal"/>
    <w:link w:val="Heading1Char"/>
    <w:autoRedefine/>
    <w:qFormat/>
    <w:rsid w:val="00426E94"/>
    <w:pPr>
      <w:keepNext/>
      <w:outlineLvl w:val="0"/>
    </w:pPr>
    <w:rPr>
      <w:rFonts w:cs="Arial"/>
      <w:b/>
      <w:bCs/>
      <w:color w:val="1F497D"/>
      <w:kern w:val="28"/>
      <w:sz w:val="32"/>
      <w:szCs w:val="32"/>
    </w:rPr>
  </w:style>
  <w:style w:type="paragraph" w:styleId="Heading2">
    <w:name w:val="heading 2"/>
    <w:basedOn w:val="Normal"/>
    <w:next w:val="Normal"/>
    <w:link w:val="Heading2Char"/>
    <w:qFormat/>
    <w:rsid w:val="00985952"/>
    <w:pPr>
      <w:keepNext/>
      <w:spacing w:before="240"/>
      <w:outlineLvl w:val="1"/>
    </w:pPr>
    <w:rPr>
      <w:rFonts w:cs="Arial"/>
      <w:b/>
      <w:bCs/>
      <w:iCs/>
      <w:color w:val="1F497D" w:themeColor="text2"/>
      <w:sz w:val="28"/>
      <w:szCs w:val="28"/>
    </w:rPr>
  </w:style>
  <w:style w:type="paragraph" w:styleId="Heading3">
    <w:name w:val="heading 3"/>
    <w:basedOn w:val="Normal"/>
    <w:next w:val="Normal"/>
    <w:link w:val="Heading3Char"/>
    <w:qFormat/>
    <w:rsid w:val="00577982"/>
    <w:pPr>
      <w:keepNext/>
      <w:spacing w:before="240"/>
      <w:outlineLvl w:val="2"/>
    </w:pPr>
    <w:rPr>
      <w:rFonts w:cs="Arial"/>
      <w:b/>
      <w:bCs/>
      <w:color w:val="1F497D" w:themeColor="text2"/>
      <w:sz w:val="26"/>
      <w:szCs w:val="26"/>
    </w:rPr>
  </w:style>
  <w:style w:type="paragraph" w:styleId="Heading4">
    <w:name w:val="heading 4"/>
    <w:basedOn w:val="Normal"/>
    <w:next w:val="Normal"/>
    <w:qFormat/>
    <w:rsid w:val="00577982"/>
    <w:pPr>
      <w:keepNext/>
      <w:spacing w:before="240" w:after="60"/>
      <w:outlineLvl w:val="3"/>
    </w:pPr>
    <w:rPr>
      <w:b/>
      <w:bCs/>
      <w:color w:val="1F497D" w:themeColor="text2"/>
      <w:szCs w:val="22"/>
    </w:rPr>
  </w:style>
  <w:style w:type="paragraph" w:styleId="Heading5">
    <w:name w:val="heading 5"/>
    <w:basedOn w:val="Normal"/>
    <w:next w:val="Normal"/>
    <w:qFormat/>
    <w:rsid w:val="009A13A8"/>
    <w:pPr>
      <w:keepNext/>
      <w:spacing w:before="0" w:after="0"/>
      <w:outlineLvl w:val="4"/>
    </w:pPr>
    <w:rPr>
      <w:bCs/>
      <w:i/>
      <w:iCs/>
      <w:color w:val="4F81BD" w:themeColor="accent1"/>
      <w:sz w:val="16"/>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eastAsiaTheme="majorEastAsia"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eastAsia="Calibri"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eastAsia="Cambria"/>
      <w:b/>
      <w:sz w:val="25"/>
      <w:lang w:val="en-US"/>
    </w:rPr>
  </w:style>
  <w:style w:type="paragraph" w:styleId="Caption">
    <w:name w:val="caption"/>
    <w:basedOn w:val="Normal"/>
    <w:next w:val="Normal"/>
    <w:uiPriority w:val="35"/>
    <w:qFormat/>
    <w:rsid w:val="00B80222"/>
    <w:pPr>
      <w:spacing w:before="0" w:after="0"/>
    </w:pPr>
    <w:rPr>
      <w:b/>
      <w:bCs/>
      <w:color w:val="1F497D" w:themeColor="text2"/>
      <w:sz w:val="20"/>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3747ED"/>
    <w:pPr>
      <w:tabs>
        <w:tab w:val="right" w:leader="dot" w:pos="9072"/>
      </w:tabs>
      <w:spacing w:after="100"/>
    </w:pPr>
    <w:rPr>
      <w:rFonts w:eastAsia="Calibri"/>
      <w:noProof/>
    </w:rPr>
  </w:style>
  <w:style w:type="paragraph" w:styleId="TOC2">
    <w:name w:val="toc 2"/>
    <w:basedOn w:val="Normal"/>
    <w:next w:val="Normal"/>
    <w:autoRedefine/>
    <w:uiPriority w:val="39"/>
    <w:qFormat/>
    <w:rsid w:val="00AF1C1A"/>
    <w:pPr>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985952"/>
    <w:rPr>
      <w:rFonts w:ascii="Arial" w:hAnsi="Arial" w:cs="Arial"/>
      <w:b/>
      <w:bCs/>
      <w:iCs/>
      <w:color w:val="1F497D" w:themeColor="text2"/>
      <w:sz w:val="28"/>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426E94"/>
    <w:rPr>
      <w:rFonts w:ascii="Arial" w:hAnsi="Arial" w:cs="Arial"/>
      <w:b/>
      <w:bCs/>
      <w:color w:val="1F497D"/>
      <w:kern w:val="28"/>
      <w:sz w:val="32"/>
      <w:szCs w:val="32"/>
      <w:lang w:eastAsia="en-US"/>
    </w:rPr>
  </w:style>
  <w:style w:type="character" w:customStyle="1" w:styleId="Heading3Char">
    <w:name w:val="Heading 3 Char"/>
    <w:basedOn w:val="DefaultParagraphFont"/>
    <w:link w:val="Heading3"/>
    <w:rsid w:val="00577982"/>
    <w:rPr>
      <w:rFonts w:ascii="Arial" w:hAnsi="Arial" w:cs="Arial"/>
      <w:b/>
      <w:bCs/>
      <w:color w:val="1F497D" w:themeColor="text2"/>
      <w:sz w:val="26"/>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C2"/>
    <w:rPr>
      <w:rFonts w:asciiTheme="minorHAnsi" w:hAnsiTheme="minorHAnsi"/>
      <w:sz w:val="22"/>
      <w:szCs w:val="24"/>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link w:val="TableofFiguresChar"/>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paragraph" w:customStyle="1" w:styleId="Style1">
    <w:name w:val="Style1"/>
    <w:basedOn w:val="TableofFigures"/>
    <w:link w:val="Style1Char"/>
    <w:qFormat/>
    <w:rsid w:val="00E974F6"/>
    <w:pPr>
      <w:tabs>
        <w:tab w:val="right" w:leader="dot" w:pos="8471"/>
      </w:tabs>
    </w:pPr>
    <w:rPr>
      <w:rFonts w:ascii="Times New Roman" w:hAnsi="Times New Roman"/>
      <w:b w:val="0"/>
      <w:noProof/>
      <w:sz w:val="22"/>
    </w:rPr>
  </w:style>
  <w:style w:type="character" w:customStyle="1" w:styleId="TableofFiguresChar">
    <w:name w:val="Table of Figures Char"/>
    <w:basedOn w:val="DefaultParagraphFont"/>
    <w:link w:val="TableofFigures"/>
    <w:uiPriority w:val="99"/>
    <w:rsid w:val="00E974F6"/>
    <w:rPr>
      <w:rFonts w:asciiTheme="minorHAnsi" w:hAnsiTheme="minorHAnsi"/>
      <w:b/>
      <w:bCs/>
      <w:sz w:val="20"/>
      <w:szCs w:val="20"/>
      <w:lang w:eastAsia="en-US"/>
    </w:rPr>
  </w:style>
  <w:style w:type="character" w:customStyle="1" w:styleId="Style1Char">
    <w:name w:val="Style1 Char"/>
    <w:basedOn w:val="TableofFiguresChar"/>
    <w:link w:val="Style1"/>
    <w:rsid w:val="00E974F6"/>
    <w:rPr>
      <w:rFonts w:asciiTheme="minorHAnsi" w:hAnsiTheme="minorHAnsi"/>
      <w:b w:val="0"/>
      <w:bCs/>
      <w:noProof/>
      <w:sz w:val="22"/>
      <w:szCs w:val="20"/>
      <w:lang w:eastAsia="en-US"/>
    </w:rPr>
  </w:style>
  <w:style w:type="paragraph" w:styleId="EndnoteText">
    <w:name w:val="endnote text"/>
    <w:basedOn w:val="Normal"/>
    <w:link w:val="EndnoteTextChar"/>
    <w:semiHidden/>
    <w:unhideWhenUsed/>
    <w:rsid w:val="00810827"/>
    <w:pPr>
      <w:spacing w:before="0" w:after="0"/>
    </w:pPr>
    <w:rPr>
      <w:sz w:val="20"/>
      <w:szCs w:val="20"/>
    </w:rPr>
  </w:style>
  <w:style w:type="character" w:customStyle="1" w:styleId="EndnoteTextChar">
    <w:name w:val="Endnote Text Char"/>
    <w:basedOn w:val="DefaultParagraphFont"/>
    <w:link w:val="EndnoteText"/>
    <w:semiHidden/>
    <w:rsid w:val="00810827"/>
    <w:rPr>
      <w:sz w:val="20"/>
      <w:szCs w:val="20"/>
      <w:lang w:eastAsia="en-US"/>
    </w:rPr>
  </w:style>
  <w:style w:type="character" w:styleId="EndnoteReference">
    <w:name w:val="endnote reference"/>
    <w:basedOn w:val="DefaultParagraphFont"/>
    <w:semiHidden/>
    <w:unhideWhenUsed/>
    <w:rsid w:val="00810827"/>
    <w:rPr>
      <w:vertAlign w:val="superscript"/>
    </w:rPr>
  </w:style>
  <w:style w:type="table" w:styleId="LightShading">
    <w:name w:val="Light Shading"/>
    <w:basedOn w:val="TableNormal"/>
    <w:rsid w:val="007B0B0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2A3F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Shading-Accent1">
    <w:name w:val="Colorful Shading Accent 1"/>
    <w:basedOn w:val="TableNormal"/>
    <w:rsid w:val="00DD436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rsid w:val="00DD436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rsid w:val="00DD436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Shading-Accent1">
    <w:name w:val="Light Shading Accent 1"/>
    <w:basedOn w:val="TableNormal"/>
    <w:rsid w:val="00DD436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294F07"/>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GridTable5Dark-Accent31">
    <w:name w:val="Grid Table 5 Dark - Accent 31"/>
    <w:basedOn w:val="TableNormal"/>
    <w:uiPriority w:val="50"/>
    <w:rsid w:val="00A545D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TableNormal"/>
    <w:next w:val="TableGrid"/>
    <w:rsid w:val="009657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7071">
      <w:bodyDiv w:val="1"/>
      <w:marLeft w:val="0"/>
      <w:marRight w:val="0"/>
      <w:marTop w:val="0"/>
      <w:marBottom w:val="0"/>
      <w:divBdr>
        <w:top w:val="none" w:sz="0" w:space="0" w:color="auto"/>
        <w:left w:val="none" w:sz="0" w:space="0" w:color="auto"/>
        <w:bottom w:val="none" w:sz="0" w:space="0" w:color="auto"/>
        <w:right w:val="none" w:sz="0" w:space="0" w:color="auto"/>
      </w:divBdr>
      <w:divsChild>
        <w:div w:id="1417484710">
          <w:marLeft w:val="0"/>
          <w:marRight w:val="0"/>
          <w:marTop w:val="0"/>
          <w:marBottom w:val="0"/>
          <w:divBdr>
            <w:top w:val="none" w:sz="0" w:space="0" w:color="auto"/>
            <w:left w:val="none" w:sz="0" w:space="0" w:color="auto"/>
            <w:bottom w:val="none" w:sz="0" w:space="0" w:color="auto"/>
            <w:right w:val="none" w:sz="0" w:space="0" w:color="auto"/>
          </w:divBdr>
          <w:divsChild>
            <w:div w:id="1483041888">
              <w:marLeft w:val="0"/>
              <w:marRight w:val="0"/>
              <w:marTop w:val="0"/>
              <w:marBottom w:val="0"/>
              <w:divBdr>
                <w:top w:val="none" w:sz="0" w:space="0" w:color="auto"/>
                <w:left w:val="none" w:sz="0" w:space="0" w:color="auto"/>
                <w:bottom w:val="none" w:sz="0" w:space="0" w:color="auto"/>
                <w:right w:val="none" w:sz="0" w:space="0" w:color="auto"/>
              </w:divBdr>
              <w:divsChild>
                <w:div w:id="319576633">
                  <w:marLeft w:val="0"/>
                  <w:marRight w:val="0"/>
                  <w:marTop w:val="0"/>
                  <w:marBottom w:val="0"/>
                  <w:divBdr>
                    <w:top w:val="none" w:sz="0" w:space="0" w:color="auto"/>
                    <w:left w:val="none" w:sz="0" w:space="0" w:color="auto"/>
                    <w:bottom w:val="none" w:sz="0" w:space="0" w:color="auto"/>
                    <w:right w:val="none" w:sz="0" w:space="0" w:color="auto"/>
                  </w:divBdr>
                  <w:divsChild>
                    <w:div w:id="424770929">
                      <w:marLeft w:val="0"/>
                      <w:marRight w:val="0"/>
                      <w:marTop w:val="0"/>
                      <w:marBottom w:val="0"/>
                      <w:divBdr>
                        <w:top w:val="none" w:sz="0" w:space="0" w:color="auto"/>
                        <w:left w:val="none" w:sz="0" w:space="0" w:color="auto"/>
                        <w:bottom w:val="none" w:sz="0" w:space="0" w:color="auto"/>
                        <w:right w:val="none" w:sz="0" w:space="0" w:color="auto"/>
                      </w:divBdr>
                      <w:divsChild>
                        <w:div w:id="116069268">
                          <w:marLeft w:val="0"/>
                          <w:marRight w:val="0"/>
                          <w:marTop w:val="0"/>
                          <w:marBottom w:val="0"/>
                          <w:divBdr>
                            <w:top w:val="none" w:sz="0" w:space="0" w:color="auto"/>
                            <w:left w:val="none" w:sz="0" w:space="0" w:color="auto"/>
                            <w:bottom w:val="none" w:sz="0" w:space="0" w:color="auto"/>
                            <w:right w:val="none" w:sz="0" w:space="0" w:color="auto"/>
                          </w:divBdr>
                          <w:divsChild>
                            <w:div w:id="1333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8641">
      <w:bodyDiv w:val="1"/>
      <w:marLeft w:val="0"/>
      <w:marRight w:val="0"/>
      <w:marTop w:val="0"/>
      <w:marBottom w:val="0"/>
      <w:divBdr>
        <w:top w:val="none" w:sz="0" w:space="0" w:color="auto"/>
        <w:left w:val="none" w:sz="0" w:space="0" w:color="auto"/>
        <w:bottom w:val="none" w:sz="0" w:space="0" w:color="auto"/>
        <w:right w:val="none" w:sz="0" w:space="0" w:color="auto"/>
      </w:divBdr>
    </w:div>
    <w:div w:id="63190950">
      <w:bodyDiv w:val="1"/>
      <w:marLeft w:val="0"/>
      <w:marRight w:val="0"/>
      <w:marTop w:val="0"/>
      <w:marBottom w:val="0"/>
      <w:divBdr>
        <w:top w:val="none" w:sz="0" w:space="0" w:color="auto"/>
        <w:left w:val="none" w:sz="0" w:space="0" w:color="auto"/>
        <w:bottom w:val="none" w:sz="0" w:space="0" w:color="auto"/>
        <w:right w:val="none" w:sz="0" w:space="0" w:color="auto"/>
      </w:divBdr>
    </w:div>
    <w:div w:id="89090420">
      <w:bodyDiv w:val="1"/>
      <w:marLeft w:val="0"/>
      <w:marRight w:val="0"/>
      <w:marTop w:val="0"/>
      <w:marBottom w:val="0"/>
      <w:divBdr>
        <w:top w:val="none" w:sz="0" w:space="0" w:color="auto"/>
        <w:left w:val="none" w:sz="0" w:space="0" w:color="auto"/>
        <w:bottom w:val="none" w:sz="0" w:space="0" w:color="auto"/>
        <w:right w:val="none" w:sz="0" w:space="0" w:color="auto"/>
      </w:divBdr>
    </w:div>
    <w:div w:id="109008890">
      <w:bodyDiv w:val="1"/>
      <w:marLeft w:val="0"/>
      <w:marRight w:val="0"/>
      <w:marTop w:val="0"/>
      <w:marBottom w:val="0"/>
      <w:divBdr>
        <w:top w:val="none" w:sz="0" w:space="0" w:color="auto"/>
        <w:left w:val="none" w:sz="0" w:space="0" w:color="auto"/>
        <w:bottom w:val="none" w:sz="0" w:space="0" w:color="auto"/>
        <w:right w:val="none" w:sz="0" w:space="0" w:color="auto"/>
      </w:divBdr>
    </w:div>
    <w:div w:id="124004474">
      <w:bodyDiv w:val="1"/>
      <w:marLeft w:val="0"/>
      <w:marRight w:val="0"/>
      <w:marTop w:val="0"/>
      <w:marBottom w:val="0"/>
      <w:divBdr>
        <w:top w:val="none" w:sz="0" w:space="0" w:color="auto"/>
        <w:left w:val="none" w:sz="0" w:space="0" w:color="auto"/>
        <w:bottom w:val="none" w:sz="0" w:space="0" w:color="auto"/>
        <w:right w:val="none" w:sz="0" w:space="0" w:color="auto"/>
      </w:divBdr>
    </w:div>
    <w:div w:id="126751804">
      <w:bodyDiv w:val="1"/>
      <w:marLeft w:val="0"/>
      <w:marRight w:val="0"/>
      <w:marTop w:val="0"/>
      <w:marBottom w:val="0"/>
      <w:divBdr>
        <w:top w:val="none" w:sz="0" w:space="0" w:color="auto"/>
        <w:left w:val="none" w:sz="0" w:space="0" w:color="auto"/>
        <w:bottom w:val="none" w:sz="0" w:space="0" w:color="auto"/>
        <w:right w:val="none" w:sz="0" w:space="0" w:color="auto"/>
      </w:divBdr>
    </w:div>
    <w:div w:id="127356767">
      <w:bodyDiv w:val="1"/>
      <w:marLeft w:val="0"/>
      <w:marRight w:val="0"/>
      <w:marTop w:val="0"/>
      <w:marBottom w:val="0"/>
      <w:divBdr>
        <w:top w:val="none" w:sz="0" w:space="0" w:color="auto"/>
        <w:left w:val="none" w:sz="0" w:space="0" w:color="auto"/>
        <w:bottom w:val="none" w:sz="0" w:space="0" w:color="auto"/>
        <w:right w:val="none" w:sz="0" w:space="0" w:color="auto"/>
      </w:divBdr>
    </w:div>
    <w:div w:id="133448336">
      <w:bodyDiv w:val="1"/>
      <w:marLeft w:val="0"/>
      <w:marRight w:val="0"/>
      <w:marTop w:val="0"/>
      <w:marBottom w:val="0"/>
      <w:divBdr>
        <w:top w:val="none" w:sz="0" w:space="0" w:color="auto"/>
        <w:left w:val="none" w:sz="0" w:space="0" w:color="auto"/>
        <w:bottom w:val="none" w:sz="0" w:space="0" w:color="auto"/>
        <w:right w:val="none" w:sz="0" w:space="0" w:color="auto"/>
      </w:divBdr>
    </w:div>
    <w:div w:id="139464543">
      <w:bodyDiv w:val="1"/>
      <w:marLeft w:val="0"/>
      <w:marRight w:val="0"/>
      <w:marTop w:val="0"/>
      <w:marBottom w:val="0"/>
      <w:divBdr>
        <w:top w:val="none" w:sz="0" w:space="0" w:color="auto"/>
        <w:left w:val="none" w:sz="0" w:space="0" w:color="auto"/>
        <w:bottom w:val="none" w:sz="0" w:space="0" w:color="auto"/>
        <w:right w:val="none" w:sz="0" w:space="0" w:color="auto"/>
      </w:divBdr>
    </w:div>
    <w:div w:id="152067447">
      <w:bodyDiv w:val="1"/>
      <w:marLeft w:val="0"/>
      <w:marRight w:val="0"/>
      <w:marTop w:val="0"/>
      <w:marBottom w:val="0"/>
      <w:divBdr>
        <w:top w:val="none" w:sz="0" w:space="0" w:color="auto"/>
        <w:left w:val="none" w:sz="0" w:space="0" w:color="auto"/>
        <w:bottom w:val="none" w:sz="0" w:space="0" w:color="auto"/>
        <w:right w:val="none" w:sz="0" w:space="0" w:color="auto"/>
      </w:divBdr>
    </w:div>
    <w:div w:id="153029972">
      <w:bodyDiv w:val="1"/>
      <w:marLeft w:val="0"/>
      <w:marRight w:val="0"/>
      <w:marTop w:val="0"/>
      <w:marBottom w:val="0"/>
      <w:divBdr>
        <w:top w:val="none" w:sz="0" w:space="0" w:color="auto"/>
        <w:left w:val="none" w:sz="0" w:space="0" w:color="auto"/>
        <w:bottom w:val="none" w:sz="0" w:space="0" w:color="auto"/>
        <w:right w:val="none" w:sz="0" w:space="0" w:color="auto"/>
      </w:divBdr>
    </w:div>
    <w:div w:id="161700432">
      <w:bodyDiv w:val="1"/>
      <w:marLeft w:val="0"/>
      <w:marRight w:val="0"/>
      <w:marTop w:val="0"/>
      <w:marBottom w:val="0"/>
      <w:divBdr>
        <w:top w:val="none" w:sz="0" w:space="0" w:color="auto"/>
        <w:left w:val="none" w:sz="0" w:space="0" w:color="auto"/>
        <w:bottom w:val="none" w:sz="0" w:space="0" w:color="auto"/>
        <w:right w:val="none" w:sz="0" w:space="0" w:color="auto"/>
      </w:divBdr>
    </w:div>
    <w:div w:id="179589428">
      <w:bodyDiv w:val="1"/>
      <w:marLeft w:val="0"/>
      <w:marRight w:val="0"/>
      <w:marTop w:val="0"/>
      <w:marBottom w:val="0"/>
      <w:divBdr>
        <w:top w:val="none" w:sz="0" w:space="0" w:color="auto"/>
        <w:left w:val="none" w:sz="0" w:space="0" w:color="auto"/>
        <w:bottom w:val="none" w:sz="0" w:space="0" w:color="auto"/>
        <w:right w:val="none" w:sz="0" w:space="0" w:color="auto"/>
      </w:divBdr>
    </w:div>
    <w:div w:id="195125529">
      <w:bodyDiv w:val="1"/>
      <w:marLeft w:val="0"/>
      <w:marRight w:val="0"/>
      <w:marTop w:val="0"/>
      <w:marBottom w:val="0"/>
      <w:divBdr>
        <w:top w:val="none" w:sz="0" w:space="0" w:color="auto"/>
        <w:left w:val="none" w:sz="0" w:space="0" w:color="auto"/>
        <w:bottom w:val="none" w:sz="0" w:space="0" w:color="auto"/>
        <w:right w:val="none" w:sz="0" w:space="0" w:color="auto"/>
      </w:divBdr>
    </w:div>
    <w:div w:id="195973056">
      <w:bodyDiv w:val="1"/>
      <w:marLeft w:val="0"/>
      <w:marRight w:val="0"/>
      <w:marTop w:val="0"/>
      <w:marBottom w:val="0"/>
      <w:divBdr>
        <w:top w:val="none" w:sz="0" w:space="0" w:color="auto"/>
        <w:left w:val="none" w:sz="0" w:space="0" w:color="auto"/>
        <w:bottom w:val="none" w:sz="0" w:space="0" w:color="auto"/>
        <w:right w:val="none" w:sz="0" w:space="0" w:color="auto"/>
      </w:divBdr>
    </w:div>
    <w:div w:id="201290449">
      <w:bodyDiv w:val="1"/>
      <w:marLeft w:val="0"/>
      <w:marRight w:val="0"/>
      <w:marTop w:val="0"/>
      <w:marBottom w:val="0"/>
      <w:divBdr>
        <w:top w:val="none" w:sz="0" w:space="0" w:color="auto"/>
        <w:left w:val="none" w:sz="0" w:space="0" w:color="auto"/>
        <w:bottom w:val="none" w:sz="0" w:space="0" w:color="auto"/>
        <w:right w:val="none" w:sz="0" w:space="0" w:color="auto"/>
      </w:divBdr>
    </w:div>
    <w:div w:id="207181394">
      <w:bodyDiv w:val="1"/>
      <w:marLeft w:val="0"/>
      <w:marRight w:val="0"/>
      <w:marTop w:val="0"/>
      <w:marBottom w:val="0"/>
      <w:divBdr>
        <w:top w:val="none" w:sz="0" w:space="0" w:color="auto"/>
        <w:left w:val="none" w:sz="0" w:space="0" w:color="auto"/>
        <w:bottom w:val="none" w:sz="0" w:space="0" w:color="auto"/>
        <w:right w:val="none" w:sz="0" w:space="0" w:color="auto"/>
      </w:divBdr>
    </w:div>
    <w:div w:id="255598776">
      <w:bodyDiv w:val="1"/>
      <w:marLeft w:val="0"/>
      <w:marRight w:val="0"/>
      <w:marTop w:val="0"/>
      <w:marBottom w:val="0"/>
      <w:divBdr>
        <w:top w:val="none" w:sz="0" w:space="0" w:color="auto"/>
        <w:left w:val="none" w:sz="0" w:space="0" w:color="auto"/>
        <w:bottom w:val="none" w:sz="0" w:space="0" w:color="auto"/>
        <w:right w:val="none" w:sz="0" w:space="0" w:color="auto"/>
      </w:divBdr>
    </w:div>
    <w:div w:id="271472507">
      <w:bodyDiv w:val="1"/>
      <w:marLeft w:val="0"/>
      <w:marRight w:val="0"/>
      <w:marTop w:val="0"/>
      <w:marBottom w:val="0"/>
      <w:divBdr>
        <w:top w:val="none" w:sz="0" w:space="0" w:color="auto"/>
        <w:left w:val="none" w:sz="0" w:space="0" w:color="auto"/>
        <w:bottom w:val="none" w:sz="0" w:space="0" w:color="auto"/>
        <w:right w:val="none" w:sz="0" w:space="0" w:color="auto"/>
      </w:divBdr>
    </w:div>
    <w:div w:id="277033681">
      <w:bodyDiv w:val="1"/>
      <w:marLeft w:val="0"/>
      <w:marRight w:val="0"/>
      <w:marTop w:val="0"/>
      <w:marBottom w:val="0"/>
      <w:divBdr>
        <w:top w:val="none" w:sz="0" w:space="0" w:color="auto"/>
        <w:left w:val="none" w:sz="0" w:space="0" w:color="auto"/>
        <w:bottom w:val="none" w:sz="0" w:space="0" w:color="auto"/>
        <w:right w:val="none" w:sz="0" w:space="0" w:color="auto"/>
      </w:divBdr>
    </w:div>
    <w:div w:id="291327486">
      <w:bodyDiv w:val="1"/>
      <w:marLeft w:val="0"/>
      <w:marRight w:val="0"/>
      <w:marTop w:val="0"/>
      <w:marBottom w:val="0"/>
      <w:divBdr>
        <w:top w:val="none" w:sz="0" w:space="0" w:color="auto"/>
        <w:left w:val="none" w:sz="0" w:space="0" w:color="auto"/>
        <w:bottom w:val="none" w:sz="0" w:space="0" w:color="auto"/>
        <w:right w:val="none" w:sz="0" w:space="0" w:color="auto"/>
      </w:divBdr>
    </w:div>
    <w:div w:id="298611193">
      <w:bodyDiv w:val="1"/>
      <w:marLeft w:val="0"/>
      <w:marRight w:val="0"/>
      <w:marTop w:val="0"/>
      <w:marBottom w:val="0"/>
      <w:divBdr>
        <w:top w:val="none" w:sz="0" w:space="0" w:color="auto"/>
        <w:left w:val="none" w:sz="0" w:space="0" w:color="auto"/>
        <w:bottom w:val="none" w:sz="0" w:space="0" w:color="auto"/>
        <w:right w:val="none" w:sz="0" w:space="0" w:color="auto"/>
      </w:divBdr>
    </w:div>
    <w:div w:id="309018822">
      <w:bodyDiv w:val="1"/>
      <w:marLeft w:val="0"/>
      <w:marRight w:val="0"/>
      <w:marTop w:val="0"/>
      <w:marBottom w:val="0"/>
      <w:divBdr>
        <w:top w:val="none" w:sz="0" w:space="0" w:color="auto"/>
        <w:left w:val="none" w:sz="0" w:space="0" w:color="auto"/>
        <w:bottom w:val="none" w:sz="0" w:space="0" w:color="auto"/>
        <w:right w:val="none" w:sz="0" w:space="0" w:color="auto"/>
      </w:divBdr>
    </w:div>
    <w:div w:id="323363469">
      <w:bodyDiv w:val="1"/>
      <w:marLeft w:val="0"/>
      <w:marRight w:val="0"/>
      <w:marTop w:val="0"/>
      <w:marBottom w:val="0"/>
      <w:divBdr>
        <w:top w:val="none" w:sz="0" w:space="0" w:color="auto"/>
        <w:left w:val="none" w:sz="0" w:space="0" w:color="auto"/>
        <w:bottom w:val="none" w:sz="0" w:space="0" w:color="auto"/>
        <w:right w:val="none" w:sz="0" w:space="0" w:color="auto"/>
      </w:divBdr>
    </w:div>
    <w:div w:id="340741788">
      <w:bodyDiv w:val="1"/>
      <w:marLeft w:val="0"/>
      <w:marRight w:val="0"/>
      <w:marTop w:val="0"/>
      <w:marBottom w:val="0"/>
      <w:divBdr>
        <w:top w:val="none" w:sz="0" w:space="0" w:color="auto"/>
        <w:left w:val="none" w:sz="0" w:space="0" w:color="auto"/>
        <w:bottom w:val="none" w:sz="0" w:space="0" w:color="auto"/>
        <w:right w:val="none" w:sz="0" w:space="0" w:color="auto"/>
      </w:divBdr>
    </w:div>
    <w:div w:id="346565824">
      <w:bodyDiv w:val="1"/>
      <w:marLeft w:val="0"/>
      <w:marRight w:val="0"/>
      <w:marTop w:val="0"/>
      <w:marBottom w:val="0"/>
      <w:divBdr>
        <w:top w:val="none" w:sz="0" w:space="0" w:color="auto"/>
        <w:left w:val="none" w:sz="0" w:space="0" w:color="auto"/>
        <w:bottom w:val="none" w:sz="0" w:space="0" w:color="auto"/>
        <w:right w:val="none" w:sz="0" w:space="0" w:color="auto"/>
      </w:divBdr>
    </w:div>
    <w:div w:id="365913721">
      <w:bodyDiv w:val="1"/>
      <w:marLeft w:val="0"/>
      <w:marRight w:val="0"/>
      <w:marTop w:val="0"/>
      <w:marBottom w:val="0"/>
      <w:divBdr>
        <w:top w:val="none" w:sz="0" w:space="0" w:color="auto"/>
        <w:left w:val="none" w:sz="0" w:space="0" w:color="auto"/>
        <w:bottom w:val="none" w:sz="0" w:space="0" w:color="auto"/>
        <w:right w:val="none" w:sz="0" w:space="0" w:color="auto"/>
      </w:divBdr>
    </w:div>
    <w:div w:id="397627952">
      <w:bodyDiv w:val="1"/>
      <w:marLeft w:val="0"/>
      <w:marRight w:val="0"/>
      <w:marTop w:val="0"/>
      <w:marBottom w:val="0"/>
      <w:divBdr>
        <w:top w:val="none" w:sz="0" w:space="0" w:color="auto"/>
        <w:left w:val="none" w:sz="0" w:space="0" w:color="auto"/>
        <w:bottom w:val="none" w:sz="0" w:space="0" w:color="auto"/>
        <w:right w:val="none" w:sz="0" w:space="0" w:color="auto"/>
      </w:divBdr>
    </w:div>
    <w:div w:id="421220269">
      <w:bodyDiv w:val="1"/>
      <w:marLeft w:val="0"/>
      <w:marRight w:val="0"/>
      <w:marTop w:val="0"/>
      <w:marBottom w:val="0"/>
      <w:divBdr>
        <w:top w:val="none" w:sz="0" w:space="0" w:color="auto"/>
        <w:left w:val="none" w:sz="0" w:space="0" w:color="auto"/>
        <w:bottom w:val="none" w:sz="0" w:space="0" w:color="auto"/>
        <w:right w:val="none" w:sz="0" w:space="0" w:color="auto"/>
      </w:divBdr>
    </w:div>
    <w:div w:id="444496937">
      <w:bodyDiv w:val="1"/>
      <w:marLeft w:val="0"/>
      <w:marRight w:val="0"/>
      <w:marTop w:val="0"/>
      <w:marBottom w:val="0"/>
      <w:divBdr>
        <w:top w:val="none" w:sz="0" w:space="0" w:color="auto"/>
        <w:left w:val="none" w:sz="0" w:space="0" w:color="auto"/>
        <w:bottom w:val="none" w:sz="0" w:space="0" w:color="auto"/>
        <w:right w:val="none" w:sz="0" w:space="0" w:color="auto"/>
      </w:divBdr>
    </w:div>
    <w:div w:id="465781298">
      <w:bodyDiv w:val="1"/>
      <w:marLeft w:val="0"/>
      <w:marRight w:val="0"/>
      <w:marTop w:val="0"/>
      <w:marBottom w:val="0"/>
      <w:divBdr>
        <w:top w:val="none" w:sz="0" w:space="0" w:color="auto"/>
        <w:left w:val="none" w:sz="0" w:space="0" w:color="auto"/>
        <w:bottom w:val="none" w:sz="0" w:space="0" w:color="auto"/>
        <w:right w:val="none" w:sz="0" w:space="0" w:color="auto"/>
      </w:divBdr>
    </w:div>
    <w:div w:id="482697784">
      <w:bodyDiv w:val="1"/>
      <w:marLeft w:val="0"/>
      <w:marRight w:val="0"/>
      <w:marTop w:val="0"/>
      <w:marBottom w:val="0"/>
      <w:divBdr>
        <w:top w:val="none" w:sz="0" w:space="0" w:color="auto"/>
        <w:left w:val="none" w:sz="0" w:space="0" w:color="auto"/>
        <w:bottom w:val="none" w:sz="0" w:space="0" w:color="auto"/>
        <w:right w:val="none" w:sz="0" w:space="0" w:color="auto"/>
      </w:divBdr>
      <w:divsChild>
        <w:div w:id="306974501">
          <w:marLeft w:val="0"/>
          <w:marRight w:val="0"/>
          <w:marTop w:val="0"/>
          <w:marBottom w:val="0"/>
          <w:divBdr>
            <w:top w:val="none" w:sz="0" w:space="0" w:color="auto"/>
            <w:left w:val="none" w:sz="0" w:space="0" w:color="auto"/>
            <w:bottom w:val="none" w:sz="0" w:space="0" w:color="auto"/>
            <w:right w:val="none" w:sz="0" w:space="0" w:color="auto"/>
          </w:divBdr>
          <w:divsChild>
            <w:div w:id="860702835">
              <w:marLeft w:val="0"/>
              <w:marRight w:val="0"/>
              <w:marTop w:val="0"/>
              <w:marBottom w:val="0"/>
              <w:divBdr>
                <w:top w:val="none" w:sz="0" w:space="0" w:color="auto"/>
                <w:left w:val="none" w:sz="0" w:space="0" w:color="auto"/>
                <w:bottom w:val="none" w:sz="0" w:space="0" w:color="auto"/>
                <w:right w:val="none" w:sz="0" w:space="0" w:color="auto"/>
              </w:divBdr>
              <w:divsChild>
                <w:div w:id="306474290">
                  <w:marLeft w:val="0"/>
                  <w:marRight w:val="0"/>
                  <w:marTop w:val="0"/>
                  <w:marBottom w:val="0"/>
                  <w:divBdr>
                    <w:top w:val="none" w:sz="0" w:space="0" w:color="auto"/>
                    <w:left w:val="none" w:sz="0" w:space="0" w:color="auto"/>
                    <w:bottom w:val="none" w:sz="0" w:space="0" w:color="auto"/>
                    <w:right w:val="none" w:sz="0" w:space="0" w:color="auto"/>
                  </w:divBdr>
                  <w:divsChild>
                    <w:div w:id="1798911714">
                      <w:marLeft w:val="0"/>
                      <w:marRight w:val="0"/>
                      <w:marTop w:val="0"/>
                      <w:marBottom w:val="0"/>
                      <w:divBdr>
                        <w:top w:val="none" w:sz="0" w:space="0" w:color="auto"/>
                        <w:left w:val="none" w:sz="0" w:space="0" w:color="auto"/>
                        <w:bottom w:val="none" w:sz="0" w:space="0" w:color="auto"/>
                        <w:right w:val="none" w:sz="0" w:space="0" w:color="auto"/>
                      </w:divBdr>
                      <w:divsChild>
                        <w:div w:id="14655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671745">
      <w:bodyDiv w:val="1"/>
      <w:marLeft w:val="0"/>
      <w:marRight w:val="0"/>
      <w:marTop w:val="0"/>
      <w:marBottom w:val="0"/>
      <w:divBdr>
        <w:top w:val="none" w:sz="0" w:space="0" w:color="auto"/>
        <w:left w:val="none" w:sz="0" w:space="0" w:color="auto"/>
        <w:bottom w:val="none" w:sz="0" w:space="0" w:color="auto"/>
        <w:right w:val="none" w:sz="0" w:space="0" w:color="auto"/>
      </w:divBdr>
    </w:div>
    <w:div w:id="511380252">
      <w:bodyDiv w:val="1"/>
      <w:marLeft w:val="0"/>
      <w:marRight w:val="0"/>
      <w:marTop w:val="0"/>
      <w:marBottom w:val="0"/>
      <w:divBdr>
        <w:top w:val="none" w:sz="0" w:space="0" w:color="auto"/>
        <w:left w:val="none" w:sz="0" w:space="0" w:color="auto"/>
        <w:bottom w:val="none" w:sz="0" w:space="0" w:color="auto"/>
        <w:right w:val="none" w:sz="0" w:space="0" w:color="auto"/>
      </w:divBdr>
    </w:div>
    <w:div w:id="528420372">
      <w:bodyDiv w:val="1"/>
      <w:marLeft w:val="0"/>
      <w:marRight w:val="0"/>
      <w:marTop w:val="0"/>
      <w:marBottom w:val="0"/>
      <w:divBdr>
        <w:top w:val="none" w:sz="0" w:space="0" w:color="auto"/>
        <w:left w:val="none" w:sz="0" w:space="0" w:color="auto"/>
        <w:bottom w:val="none" w:sz="0" w:space="0" w:color="auto"/>
        <w:right w:val="none" w:sz="0" w:space="0" w:color="auto"/>
      </w:divBdr>
    </w:div>
    <w:div w:id="554119240">
      <w:bodyDiv w:val="1"/>
      <w:marLeft w:val="0"/>
      <w:marRight w:val="0"/>
      <w:marTop w:val="0"/>
      <w:marBottom w:val="0"/>
      <w:divBdr>
        <w:top w:val="none" w:sz="0" w:space="0" w:color="auto"/>
        <w:left w:val="none" w:sz="0" w:space="0" w:color="auto"/>
        <w:bottom w:val="none" w:sz="0" w:space="0" w:color="auto"/>
        <w:right w:val="none" w:sz="0" w:space="0" w:color="auto"/>
      </w:divBdr>
      <w:divsChild>
        <w:div w:id="1561136463">
          <w:marLeft w:val="0"/>
          <w:marRight w:val="0"/>
          <w:marTop w:val="0"/>
          <w:marBottom w:val="0"/>
          <w:divBdr>
            <w:top w:val="none" w:sz="0" w:space="0" w:color="auto"/>
            <w:left w:val="none" w:sz="0" w:space="0" w:color="auto"/>
            <w:bottom w:val="none" w:sz="0" w:space="0" w:color="auto"/>
            <w:right w:val="none" w:sz="0" w:space="0" w:color="auto"/>
          </w:divBdr>
          <w:divsChild>
            <w:div w:id="252470800">
              <w:marLeft w:val="0"/>
              <w:marRight w:val="0"/>
              <w:marTop w:val="0"/>
              <w:marBottom w:val="0"/>
              <w:divBdr>
                <w:top w:val="none" w:sz="0" w:space="0" w:color="auto"/>
                <w:left w:val="none" w:sz="0" w:space="0" w:color="auto"/>
                <w:bottom w:val="none" w:sz="0" w:space="0" w:color="auto"/>
                <w:right w:val="none" w:sz="0" w:space="0" w:color="auto"/>
              </w:divBdr>
              <w:divsChild>
                <w:div w:id="534268828">
                  <w:marLeft w:val="0"/>
                  <w:marRight w:val="0"/>
                  <w:marTop w:val="0"/>
                  <w:marBottom w:val="0"/>
                  <w:divBdr>
                    <w:top w:val="none" w:sz="0" w:space="0" w:color="auto"/>
                    <w:left w:val="none" w:sz="0" w:space="0" w:color="auto"/>
                    <w:bottom w:val="none" w:sz="0" w:space="0" w:color="auto"/>
                    <w:right w:val="none" w:sz="0" w:space="0" w:color="auto"/>
                  </w:divBdr>
                </w:div>
                <w:div w:id="881284796">
                  <w:marLeft w:val="0"/>
                  <w:marRight w:val="0"/>
                  <w:marTop w:val="0"/>
                  <w:marBottom w:val="0"/>
                  <w:divBdr>
                    <w:top w:val="none" w:sz="0" w:space="0" w:color="auto"/>
                    <w:left w:val="none" w:sz="0" w:space="0" w:color="auto"/>
                    <w:bottom w:val="none" w:sz="0" w:space="0" w:color="auto"/>
                    <w:right w:val="none" w:sz="0" w:space="0" w:color="auto"/>
                  </w:divBdr>
                </w:div>
                <w:div w:id="1969311910">
                  <w:marLeft w:val="0"/>
                  <w:marRight w:val="0"/>
                  <w:marTop w:val="0"/>
                  <w:marBottom w:val="0"/>
                  <w:divBdr>
                    <w:top w:val="none" w:sz="0" w:space="0" w:color="auto"/>
                    <w:left w:val="none" w:sz="0" w:space="0" w:color="auto"/>
                    <w:bottom w:val="none" w:sz="0" w:space="0" w:color="auto"/>
                    <w:right w:val="none" w:sz="0" w:space="0" w:color="auto"/>
                  </w:divBdr>
                </w:div>
              </w:divsChild>
            </w:div>
            <w:div w:id="258562008">
              <w:marLeft w:val="0"/>
              <w:marRight w:val="0"/>
              <w:marTop w:val="0"/>
              <w:marBottom w:val="0"/>
              <w:divBdr>
                <w:top w:val="none" w:sz="0" w:space="0" w:color="auto"/>
                <w:left w:val="none" w:sz="0" w:space="0" w:color="auto"/>
                <w:bottom w:val="none" w:sz="0" w:space="0" w:color="auto"/>
                <w:right w:val="none" w:sz="0" w:space="0" w:color="auto"/>
              </w:divBdr>
              <w:divsChild>
                <w:div w:id="1232539626">
                  <w:marLeft w:val="0"/>
                  <w:marRight w:val="0"/>
                  <w:marTop w:val="0"/>
                  <w:marBottom w:val="0"/>
                  <w:divBdr>
                    <w:top w:val="none" w:sz="0" w:space="0" w:color="auto"/>
                    <w:left w:val="none" w:sz="0" w:space="0" w:color="auto"/>
                    <w:bottom w:val="none" w:sz="0" w:space="0" w:color="auto"/>
                    <w:right w:val="none" w:sz="0" w:space="0" w:color="auto"/>
                  </w:divBdr>
                </w:div>
              </w:divsChild>
            </w:div>
            <w:div w:id="462697555">
              <w:marLeft w:val="0"/>
              <w:marRight w:val="0"/>
              <w:marTop w:val="0"/>
              <w:marBottom w:val="0"/>
              <w:divBdr>
                <w:top w:val="none" w:sz="0" w:space="0" w:color="auto"/>
                <w:left w:val="none" w:sz="0" w:space="0" w:color="auto"/>
                <w:bottom w:val="none" w:sz="0" w:space="0" w:color="auto"/>
                <w:right w:val="none" w:sz="0" w:space="0" w:color="auto"/>
              </w:divBdr>
              <w:divsChild>
                <w:div w:id="142478114">
                  <w:marLeft w:val="0"/>
                  <w:marRight w:val="0"/>
                  <w:marTop w:val="0"/>
                  <w:marBottom w:val="0"/>
                  <w:divBdr>
                    <w:top w:val="none" w:sz="0" w:space="0" w:color="auto"/>
                    <w:left w:val="none" w:sz="0" w:space="0" w:color="auto"/>
                    <w:bottom w:val="none" w:sz="0" w:space="0" w:color="auto"/>
                    <w:right w:val="none" w:sz="0" w:space="0" w:color="auto"/>
                  </w:divBdr>
                </w:div>
                <w:div w:id="738988533">
                  <w:marLeft w:val="0"/>
                  <w:marRight w:val="0"/>
                  <w:marTop w:val="0"/>
                  <w:marBottom w:val="0"/>
                  <w:divBdr>
                    <w:top w:val="none" w:sz="0" w:space="0" w:color="auto"/>
                    <w:left w:val="none" w:sz="0" w:space="0" w:color="auto"/>
                    <w:bottom w:val="none" w:sz="0" w:space="0" w:color="auto"/>
                    <w:right w:val="none" w:sz="0" w:space="0" w:color="auto"/>
                  </w:divBdr>
                </w:div>
                <w:div w:id="798493064">
                  <w:marLeft w:val="0"/>
                  <w:marRight w:val="0"/>
                  <w:marTop w:val="0"/>
                  <w:marBottom w:val="0"/>
                  <w:divBdr>
                    <w:top w:val="none" w:sz="0" w:space="0" w:color="auto"/>
                    <w:left w:val="none" w:sz="0" w:space="0" w:color="auto"/>
                    <w:bottom w:val="none" w:sz="0" w:space="0" w:color="auto"/>
                    <w:right w:val="none" w:sz="0" w:space="0" w:color="auto"/>
                  </w:divBdr>
                </w:div>
                <w:div w:id="1616133649">
                  <w:marLeft w:val="0"/>
                  <w:marRight w:val="0"/>
                  <w:marTop w:val="0"/>
                  <w:marBottom w:val="0"/>
                  <w:divBdr>
                    <w:top w:val="none" w:sz="0" w:space="0" w:color="auto"/>
                    <w:left w:val="none" w:sz="0" w:space="0" w:color="auto"/>
                    <w:bottom w:val="none" w:sz="0" w:space="0" w:color="auto"/>
                    <w:right w:val="none" w:sz="0" w:space="0" w:color="auto"/>
                  </w:divBdr>
                </w:div>
              </w:divsChild>
            </w:div>
            <w:div w:id="489712480">
              <w:marLeft w:val="0"/>
              <w:marRight w:val="0"/>
              <w:marTop w:val="0"/>
              <w:marBottom w:val="0"/>
              <w:divBdr>
                <w:top w:val="none" w:sz="0" w:space="0" w:color="auto"/>
                <w:left w:val="none" w:sz="0" w:space="0" w:color="auto"/>
                <w:bottom w:val="none" w:sz="0" w:space="0" w:color="auto"/>
                <w:right w:val="none" w:sz="0" w:space="0" w:color="auto"/>
              </w:divBdr>
              <w:divsChild>
                <w:div w:id="1000549631">
                  <w:marLeft w:val="0"/>
                  <w:marRight w:val="0"/>
                  <w:marTop w:val="0"/>
                  <w:marBottom w:val="0"/>
                  <w:divBdr>
                    <w:top w:val="none" w:sz="0" w:space="0" w:color="auto"/>
                    <w:left w:val="none" w:sz="0" w:space="0" w:color="auto"/>
                    <w:bottom w:val="none" w:sz="0" w:space="0" w:color="auto"/>
                    <w:right w:val="none" w:sz="0" w:space="0" w:color="auto"/>
                  </w:divBdr>
                </w:div>
                <w:div w:id="1200820683">
                  <w:marLeft w:val="0"/>
                  <w:marRight w:val="0"/>
                  <w:marTop w:val="0"/>
                  <w:marBottom w:val="0"/>
                  <w:divBdr>
                    <w:top w:val="none" w:sz="0" w:space="0" w:color="auto"/>
                    <w:left w:val="none" w:sz="0" w:space="0" w:color="auto"/>
                    <w:bottom w:val="none" w:sz="0" w:space="0" w:color="auto"/>
                    <w:right w:val="none" w:sz="0" w:space="0" w:color="auto"/>
                  </w:divBdr>
                </w:div>
              </w:divsChild>
            </w:div>
            <w:div w:id="525947311">
              <w:marLeft w:val="0"/>
              <w:marRight w:val="0"/>
              <w:marTop w:val="0"/>
              <w:marBottom w:val="0"/>
              <w:divBdr>
                <w:top w:val="none" w:sz="0" w:space="0" w:color="auto"/>
                <w:left w:val="none" w:sz="0" w:space="0" w:color="auto"/>
                <w:bottom w:val="none" w:sz="0" w:space="0" w:color="auto"/>
                <w:right w:val="none" w:sz="0" w:space="0" w:color="auto"/>
              </w:divBdr>
              <w:divsChild>
                <w:div w:id="1352680273">
                  <w:marLeft w:val="0"/>
                  <w:marRight w:val="0"/>
                  <w:marTop w:val="0"/>
                  <w:marBottom w:val="0"/>
                  <w:divBdr>
                    <w:top w:val="none" w:sz="0" w:space="0" w:color="auto"/>
                    <w:left w:val="none" w:sz="0" w:space="0" w:color="auto"/>
                    <w:bottom w:val="none" w:sz="0" w:space="0" w:color="auto"/>
                    <w:right w:val="none" w:sz="0" w:space="0" w:color="auto"/>
                  </w:divBdr>
                </w:div>
                <w:div w:id="1400441158">
                  <w:marLeft w:val="0"/>
                  <w:marRight w:val="0"/>
                  <w:marTop w:val="0"/>
                  <w:marBottom w:val="0"/>
                  <w:divBdr>
                    <w:top w:val="none" w:sz="0" w:space="0" w:color="auto"/>
                    <w:left w:val="none" w:sz="0" w:space="0" w:color="auto"/>
                    <w:bottom w:val="none" w:sz="0" w:space="0" w:color="auto"/>
                    <w:right w:val="none" w:sz="0" w:space="0" w:color="auto"/>
                  </w:divBdr>
                </w:div>
              </w:divsChild>
            </w:div>
            <w:div w:id="774440467">
              <w:marLeft w:val="0"/>
              <w:marRight w:val="0"/>
              <w:marTop w:val="0"/>
              <w:marBottom w:val="0"/>
              <w:divBdr>
                <w:top w:val="none" w:sz="0" w:space="0" w:color="auto"/>
                <w:left w:val="none" w:sz="0" w:space="0" w:color="auto"/>
                <w:bottom w:val="none" w:sz="0" w:space="0" w:color="auto"/>
                <w:right w:val="none" w:sz="0" w:space="0" w:color="auto"/>
              </w:divBdr>
              <w:divsChild>
                <w:div w:id="392890810">
                  <w:marLeft w:val="0"/>
                  <w:marRight w:val="0"/>
                  <w:marTop w:val="0"/>
                  <w:marBottom w:val="0"/>
                  <w:divBdr>
                    <w:top w:val="none" w:sz="0" w:space="0" w:color="auto"/>
                    <w:left w:val="none" w:sz="0" w:space="0" w:color="auto"/>
                    <w:bottom w:val="none" w:sz="0" w:space="0" w:color="auto"/>
                    <w:right w:val="none" w:sz="0" w:space="0" w:color="auto"/>
                  </w:divBdr>
                </w:div>
                <w:div w:id="461846211">
                  <w:marLeft w:val="0"/>
                  <w:marRight w:val="0"/>
                  <w:marTop w:val="0"/>
                  <w:marBottom w:val="0"/>
                  <w:divBdr>
                    <w:top w:val="none" w:sz="0" w:space="0" w:color="auto"/>
                    <w:left w:val="none" w:sz="0" w:space="0" w:color="auto"/>
                    <w:bottom w:val="none" w:sz="0" w:space="0" w:color="auto"/>
                    <w:right w:val="none" w:sz="0" w:space="0" w:color="auto"/>
                  </w:divBdr>
                </w:div>
                <w:div w:id="694844278">
                  <w:marLeft w:val="0"/>
                  <w:marRight w:val="0"/>
                  <w:marTop w:val="0"/>
                  <w:marBottom w:val="0"/>
                  <w:divBdr>
                    <w:top w:val="none" w:sz="0" w:space="0" w:color="auto"/>
                    <w:left w:val="none" w:sz="0" w:space="0" w:color="auto"/>
                    <w:bottom w:val="none" w:sz="0" w:space="0" w:color="auto"/>
                    <w:right w:val="none" w:sz="0" w:space="0" w:color="auto"/>
                  </w:divBdr>
                </w:div>
                <w:div w:id="2071421596">
                  <w:marLeft w:val="0"/>
                  <w:marRight w:val="0"/>
                  <w:marTop w:val="0"/>
                  <w:marBottom w:val="0"/>
                  <w:divBdr>
                    <w:top w:val="none" w:sz="0" w:space="0" w:color="auto"/>
                    <w:left w:val="none" w:sz="0" w:space="0" w:color="auto"/>
                    <w:bottom w:val="none" w:sz="0" w:space="0" w:color="auto"/>
                    <w:right w:val="none" w:sz="0" w:space="0" w:color="auto"/>
                  </w:divBdr>
                </w:div>
              </w:divsChild>
            </w:div>
            <w:div w:id="848980838">
              <w:marLeft w:val="0"/>
              <w:marRight w:val="0"/>
              <w:marTop w:val="0"/>
              <w:marBottom w:val="0"/>
              <w:divBdr>
                <w:top w:val="none" w:sz="0" w:space="0" w:color="auto"/>
                <w:left w:val="none" w:sz="0" w:space="0" w:color="auto"/>
                <w:bottom w:val="none" w:sz="0" w:space="0" w:color="auto"/>
                <w:right w:val="none" w:sz="0" w:space="0" w:color="auto"/>
              </w:divBdr>
              <w:divsChild>
                <w:div w:id="560485723">
                  <w:marLeft w:val="0"/>
                  <w:marRight w:val="0"/>
                  <w:marTop w:val="0"/>
                  <w:marBottom w:val="0"/>
                  <w:divBdr>
                    <w:top w:val="none" w:sz="0" w:space="0" w:color="auto"/>
                    <w:left w:val="none" w:sz="0" w:space="0" w:color="auto"/>
                    <w:bottom w:val="none" w:sz="0" w:space="0" w:color="auto"/>
                    <w:right w:val="none" w:sz="0" w:space="0" w:color="auto"/>
                  </w:divBdr>
                </w:div>
                <w:div w:id="860506766">
                  <w:marLeft w:val="0"/>
                  <w:marRight w:val="0"/>
                  <w:marTop w:val="0"/>
                  <w:marBottom w:val="0"/>
                  <w:divBdr>
                    <w:top w:val="none" w:sz="0" w:space="0" w:color="auto"/>
                    <w:left w:val="none" w:sz="0" w:space="0" w:color="auto"/>
                    <w:bottom w:val="none" w:sz="0" w:space="0" w:color="auto"/>
                    <w:right w:val="none" w:sz="0" w:space="0" w:color="auto"/>
                  </w:divBdr>
                </w:div>
                <w:div w:id="1040979567">
                  <w:marLeft w:val="0"/>
                  <w:marRight w:val="0"/>
                  <w:marTop w:val="0"/>
                  <w:marBottom w:val="0"/>
                  <w:divBdr>
                    <w:top w:val="none" w:sz="0" w:space="0" w:color="auto"/>
                    <w:left w:val="none" w:sz="0" w:space="0" w:color="auto"/>
                    <w:bottom w:val="none" w:sz="0" w:space="0" w:color="auto"/>
                    <w:right w:val="none" w:sz="0" w:space="0" w:color="auto"/>
                  </w:divBdr>
                </w:div>
              </w:divsChild>
            </w:div>
            <w:div w:id="1001855891">
              <w:marLeft w:val="0"/>
              <w:marRight w:val="0"/>
              <w:marTop w:val="0"/>
              <w:marBottom w:val="0"/>
              <w:divBdr>
                <w:top w:val="none" w:sz="0" w:space="0" w:color="auto"/>
                <w:left w:val="none" w:sz="0" w:space="0" w:color="auto"/>
                <w:bottom w:val="none" w:sz="0" w:space="0" w:color="auto"/>
                <w:right w:val="none" w:sz="0" w:space="0" w:color="auto"/>
              </w:divBdr>
              <w:divsChild>
                <w:div w:id="85418897">
                  <w:marLeft w:val="0"/>
                  <w:marRight w:val="0"/>
                  <w:marTop w:val="0"/>
                  <w:marBottom w:val="0"/>
                  <w:divBdr>
                    <w:top w:val="none" w:sz="0" w:space="0" w:color="auto"/>
                    <w:left w:val="none" w:sz="0" w:space="0" w:color="auto"/>
                    <w:bottom w:val="none" w:sz="0" w:space="0" w:color="auto"/>
                    <w:right w:val="none" w:sz="0" w:space="0" w:color="auto"/>
                  </w:divBdr>
                </w:div>
                <w:div w:id="1193881428">
                  <w:marLeft w:val="0"/>
                  <w:marRight w:val="0"/>
                  <w:marTop w:val="0"/>
                  <w:marBottom w:val="0"/>
                  <w:divBdr>
                    <w:top w:val="none" w:sz="0" w:space="0" w:color="auto"/>
                    <w:left w:val="none" w:sz="0" w:space="0" w:color="auto"/>
                    <w:bottom w:val="none" w:sz="0" w:space="0" w:color="auto"/>
                    <w:right w:val="none" w:sz="0" w:space="0" w:color="auto"/>
                  </w:divBdr>
                </w:div>
              </w:divsChild>
            </w:div>
            <w:div w:id="1009210465">
              <w:marLeft w:val="0"/>
              <w:marRight w:val="0"/>
              <w:marTop w:val="0"/>
              <w:marBottom w:val="0"/>
              <w:divBdr>
                <w:top w:val="none" w:sz="0" w:space="0" w:color="auto"/>
                <w:left w:val="none" w:sz="0" w:space="0" w:color="auto"/>
                <w:bottom w:val="none" w:sz="0" w:space="0" w:color="auto"/>
                <w:right w:val="none" w:sz="0" w:space="0" w:color="auto"/>
              </w:divBdr>
              <w:divsChild>
                <w:div w:id="1115296848">
                  <w:marLeft w:val="0"/>
                  <w:marRight w:val="0"/>
                  <w:marTop w:val="0"/>
                  <w:marBottom w:val="0"/>
                  <w:divBdr>
                    <w:top w:val="none" w:sz="0" w:space="0" w:color="auto"/>
                    <w:left w:val="none" w:sz="0" w:space="0" w:color="auto"/>
                    <w:bottom w:val="none" w:sz="0" w:space="0" w:color="auto"/>
                    <w:right w:val="none" w:sz="0" w:space="0" w:color="auto"/>
                  </w:divBdr>
                </w:div>
                <w:div w:id="1813133478">
                  <w:marLeft w:val="0"/>
                  <w:marRight w:val="0"/>
                  <w:marTop w:val="0"/>
                  <w:marBottom w:val="0"/>
                  <w:divBdr>
                    <w:top w:val="none" w:sz="0" w:space="0" w:color="auto"/>
                    <w:left w:val="none" w:sz="0" w:space="0" w:color="auto"/>
                    <w:bottom w:val="none" w:sz="0" w:space="0" w:color="auto"/>
                    <w:right w:val="none" w:sz="0" w:space="0" w:color="auto"/>
                  </w:divBdr>
                </w:div>
                <w:div w:id="2108305064">
                  <w:marLeft w:val="0"/>
                  <w:marRight w:val="0"/>
                  <w:marTop w:val="0"/>
                  <w:marBottom w:val="0"/>
                  <w:divBdr>
                    <w:top w:val="none" w:sz="0" w:space="0" w:color="auto"/>
                    <w:left w:val="none" w:sz="0" w:space="0" w:color="auto"/>
                    <w:bottom w:val="none" w:sz="0" w:space="0" w:color="auto"/>
                    <w:right w:val="none" w:sz="0" w:space="0" w:color="auto"/>
                  </w:divBdr>
                </w:div>
              </w:divsChild>
            </w:div>
            <w:div w:id="1011879465">
              <w:marLeft w:val="0"/>
              <w:marRight w:val="0"/>
              <w:marTop w:val="0"/>
              <w:marBottom w:val="0"/>
              <w:divBdr>
                <w:top w:val="none" w:sz="0" w:space="0" w:color="auto"/>
                <w:left w:val="none" w:sz="0" w:space="0" w:color="auto"/>
                <w:bottom w:val="none" w:sz="0" w:space="0" w:color="auto"/>
                <w:right w:val="none" w:sz="0" w:space="0" w:color="auto"/>
              </w:divBdr>
              <w:divsChild>
                <w:div w:id="1632244068">
                  <w:marLeft w:val="0"/>
                  <w:marRight w:val="0"/>
                  <w:marTop w:val="0"/>
                  <w:marBottom w:val="0"/>
                  <w:divBdr>
                    <w:top w:val="none" w:sz="0" w:space="0" w:color="auto"/>
                    <w:left w:val="none" w:sz="0" w:space="0" w:color="auto"/>
                    <w:bottom w:val="none" w:sz="0" w:space="0" w:color="auto"/>
                    <w:right w:val="none" w:sz="0" w:space="0" w:color="auto"/>
                  </w:divBdr>
                </w:div>
              </w:divsChild>
            </w:div>
            <w:div w:id="1040860363">
              <w:marLeft w:val="0"/>
              <w:marRight w:val="0"/>
              <w:marTop w:val="0"/>
              <w:marBottom w:val="0"/>
              <w:divBdr>
                <w:top w:val="none" w:sz="0" w:space="0" w:color="auto"/>
                <w:left w:val="none" w:sz="0" w:space="0" w:color="auto"/>
                <w:bottom w:val="none" w:sz="0" w:space="0" w:color="auto"/>
                <w:right w:val="none" w:sz="0" w:space="0" w:color="auto"/>
              </w:divBdr>
              <w:divsChild>
                <w:div w:id="525561315">
                  <w:marLeft w:val="0"/>
                  <w:marRight w:val="0"/>
                  <w:marTop w:val="0"/>
                  <w:marBottom w:val="0"/>
                  <w:divBdr>
                    <w:top w:val="none" w:sz="0" w:space="0" w:color="auto"/>
                    <w:left w:val="none" w:sz="0" w:space="0" w:color="auto"/>
                    <w:bottom w:val="none" w:sz="0" w:space="0" w:color="auto"/>
                    <w:right w:val="none" w:sz="0" w:space="0" w:color="auto"/>
                  </w:divBdr>
                </w:div>
              </w:divsChild>
            </w:div>
            <w:div w:id="1078138360">
              <w:marLeft w:val="0"/>
              <w:marRight w:val="0"/>
              <w:marTop w:val="0"/>
              <w:marBottom w:val="0"/>
              <w:divBdr>
                <w:top w:val="none" w:sz="0" w:space="0" w:color="auto"/>
                <w:left w:val="none" w:sz="0" w:space="0" w:color="auto"/>
                <w:bottom w:val="none" w:sz="0" w:space="0" w:color="auto"/>
                <w:right w:val="none" w:sz="0" w:space="0" w:color="auto"/>
              </w:divBdr>
              <w:divsChild>
                <w:div w:id="86273023">
                  <w:marLeft w:val="0"/>
                  <w:marRight w:val="0"/>
                  <w:marTop w:val="0"/>
                  <w:marBottom w:val="0"/>
                  <w:divBdr>
                    <w:top w:val="none" w:sz="0" w:space="0" w:color="auto"/>
                    <w:left w:val="none" w:sz="0" w:space="0" w:color="auto"/>
                    <w:bottom w:val="none" w:sz="0" w:space="0" w:color="auto"/>
                    <w:right w:val="none" w:sz="0" w:space="0" w:color="auto"/>
                  </w:divBdr>
                </w:div>
                <w:div w:id="132137702">
                  <w:marLeft w:val="0"/>
                  <w:marRight w:val="0"/>
                  <w:marTop w:val="0"/>
                  <w:marBottom w:val="0"/>
                  <w:divBdr>
                    <w:top w:val="none" w:sz="0" w:space="0" w:color="auto"/>
                    <w:left w:val="none" w:sz="0" w:space="0" w:color="auto"/>
                    <w:bottom w:val="none" w:sz="0" w:space="0" w:color="auto"/>
                    <w:right w:val="none" w:sz="0" w:space="0" w:color="auto"/>
                  </w:divBdr>
                </w:div>
                <w:div w:id="1364137418">
                  <w:marLeft w:val="0"/>
                  <w:marRight w:val="0"/>
                  <w:marTop w:val="0"/>
                  <w:marBottom w:val="0"/>
                  <w:divBdr>
                    <w:top w:val="none" w:sz="0" w:space="0" w:color="auto"/>
                    <w:left w:val="none" w:sz="0" w:space="0" w:color="auto"/>
                    <w:bottom w:val="none" w:sz="0" w:space="0" w:color="auto"/>
                    <w:right w:val="none" w:sz="0" w:space="0" w:color="auto"/>
                  </w:divBdr>
                </w:div>
              </w:divsChild>
            </w:div>
            <w:div w:id="1099981994">
              <w:marLeft w:val="0"/>
              <w:marRight w:val="0"/>
              <w:marTop w:val="0"/>
              <w:marBottom w:val="0"/>
              <w:divBdr>
                <w:top w:val="none" w:sz="0" w:space="0" w:color="auto"/>
                <w:left w:val="none" w:sz="0" w:space="0" w:color="auto"/>
                <w:bottom w:val="none" w:sz="0" w:space="0" w:color="auto"/>
                <w:right w:val="none" w:sz="0" w:space="0" w:color="auto"/>
              </w:divBdr>
              <w:divsChild>
                <w:div w:id="359937929">
                  <w:marLeft w:val="0"/>
                  <w:marRight w:val="0"/>
                  <w:marTop w:val="0"/>
                  <w:marBottom w:val="0"/>
                  <w:divBdr>
                    <w:top w:val="none" w:sz="0" w:space="0" w:color="auto"/>
                    <w:left w:val="none" w:sz="0" w:space="0" w:color="auto"/>
                    <w:bottom w:val="none" w:sz="0" w:space="0" w:color="auto"/>
                    <w:right w:val="none" w:sz="0" w:space="0" w:color="auto"/>
                  </w:divBdr>
                </w:div>
                <w:div w:id="461770835">
                  <w:marLeft w:val="0"/>
                  <w:marRight w:val="0"/>
                  <w:marTop w:val="0"/>
                  <w:marBottom w:val="0"/>
                  <w:divBdr>
                    <w:top w:val="none" w:sz="0" w:space="0" w:color="auto"/>
                    <w:left w:val="none" w:sz="0" w:space="0" w:color="auto"/>
                    <w:bottom w:val="none" w:sz="0" w:space="0" w:color="auto"/>
                    <w:right w:val="none" w:sz="0" w:space="0" w:color="auto"/>
                  </w:divBdr>
                </w:div>
                <w:div w:id="1236817396">
                  <w:marLeft w:val="0"/>
                  <w:marRight w:val="0"/>
                  <w:marTop w:val="0"/>
                  <w:marBottom w:val="0"/>
                  <w:divBdr>
                    <w:top w:val="none" w:sz="0" w:space="0" w:color="auto"/>
                    <w:left w:val="none" w:sz="0" w:space="0" w:color="auto"/>
                    <w:bottom w:val="none" w:sz="0" w:space="0" w:color="auto"/>
                    <w:right w:val="none" w:sz="0" w:space="0" w:color="auto"/>
                  </w:divBdr>
                </w:div>
              </w:divsChild>
            </w:div>
            <w:div w:id="1148322385">
              <w:marLeft w:val="0"/>
              <w:marRight w:val="0"/>
              <w:marTop w:val="0"/>
              <w:marBottom w:val="0"/>
              <w:divBdr>
                <w:top w:val="none" w:sz="0" w:space="0" w:color="auto"/>
                <w:left w:val="none" w:sz="0" w:space="0" w:color="auto"/>
                <w:bottom w:val="none" w:sz="0" w:space="0" w:color="auto"/>
                <w:right w:val="none" w:sz="0" w:space="0" w:color="auto"/>
              </w:divBdr>
              <w:divsChild>
                <w:div w:id="273176024">
                  <w:marLeft w:val="0"/>
                  <w:marRight w:val="0"/>
                  <w:marTop w:val="0"/>
                  <w:marBottom w:val="0"/>
                  <w:divBdr>
                    <w:top w:val="none" w:sz="0" w:space="0" w:color="auto"/>
                    <w:left w:val="none" w:sz="0" w:space="0" w:color="auto"/>
                    <w:bottom w:val="none" w:sz="0" w:space="0" w:color="auto"/>
                    <w:right w:val="none" w:sz="0" w:space="0" w:color="auto"/>
                  </w:divBdr>
                </w:div>
                <w:div w:id="379596340">
                  <w:marLeft w:val="0"/>
                  <w:marRight w:val="0"/>
                  <w:marTop w:val="0"/>
                  <w:marBottom w:val="0"/>
                  <w:divBdr>
                    <w:top w:val="none" w:sz="0" w:space="0" w:color="auto"/>
                    <w:left w:val="none" w:sz="0" w:space="0" w:color="auto"/>
                    <w:bottom w:val="none" w:sz="0" w:space="0" w:color="auto"/>
                    <w:right w:val="none" w:sz="0" w:space="0" w:color="auto"/>
                  </w:divBdr>
                </w:div>
                <w:div w:id="1308781981">
                  <w:marLeft w:val="0"/>
                  <w:marRight w:val="0"/>
                  <w:marTop w:val="0"/>
                  <w:marBottom w:val="0"/>
                  <w:divBdr>
                    <w:top w:val="none" w:sz="0" w:space="0" w:color="auto"/>
                    <w:left w:val="none" w:sz="0" w:space="0" w:color="auto"/>
                    <w:bottom w:val="none" w:sz="0" w:space="0" w:color="auto"/>
                    <w:right w:val="none" w:sz="0" w:space="0" w:color="auto"/>
                  </w:divBdr>
                </w:div>
                <w:div w:id="1673410175">
                  <w:marLeft w:val="0"/>
                  <w:marRight w:val="0"/>
                  <w:marTop w:val="0"/>
                  <w:marBottom w:val="0"/>
                  <w:divBdr>
                    <w:top w:val="none" w:sz="0" w:space="0" w:color="auto"/>
                    <w:left w:val="none" w:sz="0" w:space="0" w:color="auto"/>
                    <w:bottom w:val="none" w:sz="0" w:space="0" w:color="auto"/>
                    <w:right w:val="none" w:sz="0" w:space="0" w:color="auto"/>
                  </w:divBdr>
                </w:div>
              </w:divsChild>
            </w:div>
            <w:div w:id="1262103194">
              <w:marLeft w:val="0"/>
              <w:marRight w:val="0"/>
              <w:marTop w:val="0"/>
              <w:marBottom w:val="0"/>
              <w:divBdr>
                <w:top w:val="none" w:sz="0" w:space="0" w:color="auto"/>
                <w:left w:val="none" w:sz="0" w:space="0" w:color="auto"/>
                <w:bottom w:val="none" w:sz="0" w:space="0" w:color="auto"/>
                <w:right w:val="none" w:sz="0" w:space="0" w:color="auto"/>
              </w:divBdr>
              <w:divsChild>
                <w:div w:id="781265636">
                  <w:marLeft w:val="0"/>
                  <w:marRight w:val="0"/>
                  <w:marTop w:val="0"/>
                  <w:marBottom w:val="0"/>
                  <w:divBdr>
                    <w:top w:val="none" w:sz="0" w:space="0" w:color="auto"/>
                    <w:left w:val="none" w:sz="0" w:space="0" w:color="auto"/>
                    <w:bottom w:val="none" w:sz="0" w:space="0" w:color="auto"/>
                    <w:right w:val="none" w:sz="0" w:space="0" w:color="auto"/>
                  </w:divBdr>
                </w:div>
                <w:div w:id="2071807460">
                  <w:marLeft w:val="0"/>
                  <w:marRight w:val="0"/>
                  <w:marTop w:val="0"/>
                  <w:marBottom w:val="0"/>
                  <w:divBdr>
                    <w:top w:val="none" w:sz="0" w:space="0" w:color="auto"/>
                    <w:left w:val="none" w:sz="0" w:space="0" w:color="auto"/>
                    <w:bottom w:val="none" w:sz="0" w:space="0" w:color="auto"/>
                    <w:right w:val="none" w:sz="0" w:space="0" w:color="auto"/>
                  </w:divBdr>
                </w:div>
              </w:divsChild>
            </w:div>
            <w:div w:id="1264845550">
              <w:marLeft w:val="0"/>
              <w:marRight w:val="0"/>
              <w:marTop w:val="0"/>
              <w:marBottom w:val="0"/>
              <w:divBdr>
                <w:top w:val="none" w:sz="0" w:space="0" w:color="auto"/>
                <w:left w:val="none" w:sz="0" w:space="0" w:color="auto"/>
                <w:bottom w:val="none" w:sz="0" w:space="0" w:color="auto"/>
                <w:right w:val="none" w:sz="0" w:space="0" w:color="auto"/>
              </w:divBdr>
              <w:divsChild>
                <w:div w:id="1936595176">
                  <w:marLeft w:val="0"/>
                  <w:marRight w:val="0"/>
                  <w:marTop w:val="0"/>
                  <w:marBottom w:val="0"/>
                  <w:divBdr>
                    <w:top w:val="none" w:sz="0" w:space="0" w:color="auto"/>
                    <w:left w:val="none" w:sz="0" w:space="0" w:color="auto"/>
                    <w:bottom w:val="none" w:sz="0" w:space="0" w:color="auto"/>
                    <w:right w:val="none" w:sz="0" w:space="0" w:color="auto"/>
                  </w:divBdr>
                </w:div>
                <w:div w:id="2126727755">
                  <w:marLeft w:val="0"/>
                  <w:marRight w:val="0"/>
                  <w:marTop w:val="0"/>
                  <w:marBottom w:val="0"/>
                  <w:divBdr>
                    <w:top w:val="none" w:sz="0" w:space="0" w:color="auto"/>
                    <w:left w:val="none" w:sz="0" w:space="0" w:color="auto"/>
                    <w:bottom w:val="none" w:sz="0" w:space="0" w:color="auto"/>
                    <w:right w:val="none" w:sz="0" w:space="0" w:color="auto"/>
                  </w:divBdr>
                </w:div>
              </w:divsChild>
            </w:div>
            <w:div w:id="1436903100">
              <w:marLeft w:val="0"/>
              <w:marRight w:val="0"/>
              <w:marTop w:val="0"/>
              <w:marBottom w:val="0"/>
              <w:divBdr>
                <w:top w:val="none" w:sz="0" w:space="0" w:color="auto"/>
                <w:left w:val="none" w:sz="0" w:space="0" w:color="auto"/>
                <w:bottom w:val="none" w:sz="0" w:space="0" w:color="auto"/>
                <w:right w:val="none" w:sz="0" w:space="0" w:color="auto"/>
              </w:divBdr>
              <w:divsChild>
                <w:div w:id="895824408">
                  <w:marLeft w:val="0"/>
                  <w:marRight w:val="0"/>
                  <w:marTop w:val="0"/>
                  <w:marBottom w:val="0"/>
                  <w:divBdr>
                    <w:top w:val="none" w:sz="0" w:space="0" w:color="auto"/>
                    <w:left w:val="none" w:sz="0" w:space="0" w:color="auto"/>
                    <w:bottom w:val="none" w:sz="0" w:space="0" w:color="auto"/>
                    <w:right w:val="none" w:sz="0" w:space="0" w:color="auto"/>
                  </w:divBdr>
                </w:div>
                <w:div w:id="1586958973">
                  <w:marLeft w:val="0"/>
                  <w:marRight w:val="0"/>
                  <w:marTop w:val="0"/>
                  <w:marBottom w:val="0"/>
                  <w:divBdr>
                    <w:top w:val="none" w:sz="0" w:space="0" w:color="auto"/>
                    <w:left w:val="none" w:sz="0" w:space="0" w:color="auto"/>
                    <w:bottom w:val="none" w:sz="0" w:space="0" w:color="auto"/>
                    <w:right w:val="none" w:sz="0" w:space="0" w:color="auto"/>
                  </w:divBdr>
                </w:div>
              </w:divsChild>
            </w:div>
            <w:div w:id="1453593161">
              <w:marLeft w:val="0"/>
              <w:marRight w:val="0"/>
              <w:marTop w:val="0"/>
              <w:marBottom w:val="0"/>
              <w:divBdr>
                <w:top w:val="none" w:sz="0" w:space="0" w:color="auto"/>
                <w:left w:val="none" w:sz="0" w:space="0" w:color="auto"/>
                <w:bottom w:val="none" w:sz="0" w:space="0" w:color="auto"/>
                <w:right w:val="none" w:sz="0" w:space="0" w:color="auto"/>
              </w:divBdr>
              <w:divsChild>
                <w:div w:id="43457357">
                  <w:marLeft w:val="0"/>
                  <w:marRight w:val="0"/>
                  <w:marTop w:val="0"/>
                  <w:marBottom w:val="0"/>
                  <w:divBdr>
                    <w:top w:val="none" w:sz="0" w:space="0" w:color="auto"/>
                    <w:left w:val="none" w:sz="0" w:space="0" w:color="auto"/>
                    <w:bottom w:val="none" w:sz="0" w:space="0" w:color="auto"/>
                    <w:right w:val="none" w:sz="0" w:space="0" w:color="auto"/>
                  </w:divBdr>
                </w:div>
                <w:div w:id="1515535017">
                  <w:marLeft w:val="0"/>
                  <w:marRight w:val="0"/>
                  <w:marTop w:val="0"/>
                  <w:marBottom w:val="0"/>
                  <w:divBdr>
                    <w:top w:val="none" w:sz="0" w:space="0" w:color="auto"/>
                    <w:left w:val="none" w:sz="0" w:space="0" w:color="auto"/>
                    <w:bottom w:val="none" w:sz="0" w:space="0" w:color="auto"/>
                    <w:right w:val="none" w:sz="0" w:space="0" w:color="auto"/>
                  </w:divBdr>
                </w:div>
              </w:divsChild>
            </w:div>
            <w:div w:id="1525753246">
              <w:marLeft w:val="0"/>
              <w:marRight w:val="0"/>
              <w:marTop w:val="0"/>
              <w:marBottom w:val="0"/>
              <w:divBdr>
                <w:top w:val="none" w:sz="0" w:space="0" w:color="auto"/>
                <w:left w:val="none" w:sz="0" w:space="0" w:color="auto"/>
                <w:bottom w:val="none" w:sz="0" w:space="0" w:color="auto"/>
                <w:right w:val="none" w:sz="0" w:space="0" w:color="auto"/>
              </w:divBdr>
              <w:divsChild>
                <w:div w:id="2002388097">
                  <w:marLeft w:val="0"/>
                  <w:marRight w:val="0"/>
                  <w:marTop w:val="0"/>
                  <w:marBottom w:val="0"/>
                  <w:divBdr>
                    <w:top w:val="none" w:sz="0" w:space="0" w:color="auto"/>
                    <w:left w:val="none" w:sz="0" w:space="0" w:color="auto"/>
                    <w:bottom w:val="none" w:sz="0" w:space="0" w:color="auto"/>
                    <w:right w:val="none" w:sz="0" w:space="0" w:color="auto"/>
                  </w:divBdr>
                </w:div>
              </w:divsChild>
            </w:div>
            <w:div w:id="1583491059">
              <w:marLeft w:val="0"/>
              <w:marRight w:val="0"/>
              <w:marTop w:val="0"/>
              <w:marBottom w:val="0"/>
              <w:divBdr>
                <w:top w:val="none" w:sz="0" w:space="0" w:color="auto"/>
                <w:left w:val="none" w:sz="0" w:space="0" w:color="auto"/>
                <w:bottom w:val="none" w:sz="0" w:space="0" w:color="auto"/>
                <w:right w:val="none" w:sz="0" w:space="0" w:color="auto"/>
              </w:divBdr>
              <w:divsChild>
                <w:div w:id="98766411">
                  <w:marLeft w:val="0"/>
                  <w:marRight w:val="0"/>
                  <w:marTop w:val="0"/>
                  <w:marBottom w:val="0"/>
                  <w:divBdr>
                    <w:top w:val="none" w:sz="0" w:space="0" w:color="auto"/>
                    <w:left w:val="none" w:sz="0" w:space="0" w:color="auto"/>
                    <w:bottom w:val="none" w:sz="0" w:space="0" w:color="auto"/>
                    <w:right w:val="none" w:sz="0" w:space="0" w:color="auto"/>
                  </w:divBdr>
                </w:div>
                <w:div w:id="120000617">
                  <w:marLeft w:val="0"/>
                  <w:marRight w:val="0"/>
                  <w:marTop w:val="0"/>
                  <w:marBottom w:val="0"/>
                  <w:divBdr>
                    <w:top w:val="none" w:sz="0" w:space="0" w:color="auto"/>
                    <w:left w:val="none" w:sz="0" w:space="0" w:color="auto"/>
                    <w:bottom w:val="none" w:sz="0" w:space="0" w:color="auto"/>
                    <w:right w:val="none" w:sz="0" w:space="0" w:color="auto"/>
                  </w:divBdr>
                </w:div>
                <w:div w:id="19158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75071">
      <w:bodyDiv w:val="1"/>
      <w:marLeft w:val="0"/>
      <w:marRight w:val="0"/>
      <w:marTop w:val="0"/>
      <w:marBottom w:val="0"/>
      <w:divBdr>
        <w:top w:val="none" w:sz="0" w:space="0" w:color="auto"/>
        <w:left w:val="none" w:sz="0" w:space="0" w:color="auto"/>
        <w:bottom w:val="none" w:sz="0" w:space="0" w:color="auto"/>
        <w:right w:val="none" w:sz="0" w:space="0" w:color="auto"/>
      </w:divBdr>
    </w:div>
    <w:div w:id="567770392">
      <w:bodyDiv w:val="1"/>
      <w:marLeft w:val="0"/>
      <w:marRight w:val="0"/>
      <w:marTop w:val="0"/>
      <w:marBottom w:val="0"/>
      <w:divBdr>
        <w:top w:val="none" w:sz="0" w:space="0" w:color="auto"/>
        <w:left w:val="none" w:sz="0" w:space="0" w:color="auto"/>
        <w:bottom w:val="none" w:sz="0" w:space="0" w:color="auto"/>
        <w:right w:val="none" w:sz="0" w:space="0" w:color="auto"/>
      </w:divBdr>
    </w:div>
    <w:div w:id="570048061">
      <w:bodyDiv w:val="1"/>
      <w:marLeft w:val="0"/>
      <w:marRight w:val="0"/>
      <w:marTop w:val="0"/>
      <w:marBottom w:val="0"/>
      <w:divBdr>
        <w:top w:val="none" w:sz="0" w:space="0" w:color="auto"/>
        <w:left w:val="none" w:sz="0" w:space="0" w:color="auto"/>
        <w:bottom w:val="none" w:sz="0" w:space="0" w:color="auto"/>
        <w:right w:val="none" w:sz="0" w:space="0" w:color="auto"/>
      </w:divBdr>
    </w:div>
    <w:div w:id="587079677">
      <w:bodyDiv w:val="1"/>
      <w:marLeft w:val="0"/>
      <w:marRight w:val="0"/>
      <w:marTop w:val="0"/>
      <w:marBottom w:val="0"/>
      <w:divBdr>
        <w:top w:val="none" w:sz="0" w:space="0" w:color="auto"/>
        <w:left w:val="none" w:sz="0" w:space="0" w:color="auto"/>
        <w:bottom w:val="none" w:sz="0" w:space="0" w:color="auto"/>
        <w:right w:val="none" w:sz="0" w:space="0" w:color="auto"/>
      </w:divBdr>
    </w:div>
    <w:div w:id="609314944">
      <w:bodyDiv w:val="1"/>
      <w:marLeft w:val="0"/>
      <w:marRight w:val="0"/>
      <w:marTop w:val="0"/>
      <w:marBottom w:val="0"/>
      <w:divBdr>
        <w:top w:val="none" w:sz="0" w:space="0" w:color="auto"/>
        <w:left w:val="none" w:sz="0" w:space="0" w:color="auto"/>
        <w:bottom w:val="none" w:sz="0" w:space="0" w:color="auto"/>
        <w:right w:val="none" w:sz="0" w:space="0" w:color="auto"/>
      </w:divBdr>
    </w:div>
    <w:div w:id="612831384">
      <w:bodyDiv w:val="1"/>
      <w:marLeft w:val="0"/>
      <w:marRight w:val="0"/>
      <w:marTop w:val="0"/>
      <w:marBottom w:val="0"/>
      <w:divBdr>
        <w:top w:val="none" w:sz="0" w:space="0" w:color="auto"/>
        <w:left w:val="none" w:sz="0" w:space="0" w:color="auto"/>
        <w:bottom w:val="none" w:sz="0" w:space="0" w:color="auto"/>
        <w:right w:val="none" w:sz="0" w:space="0" w:color="auto"/>
      </w:divBdr>
    </w:div>
    <w:div w:id="614824619">
      <w:bodyDiv w:val="1"/>
      <w:marLeft w:val="0"/>
      <w:marRight w:val="0"/>
      <w:marTop w:val="0"/>
      <w:marBottom w:val="0"/>
      <w:divBdr>
        <w:top w:val="none" w:sz="0" w:space="0" w:color="auto"/>
        <w:left w:val="none" w:sz="0" w:space="0" w:color="auto"/>
        <w:bottom w:val="none" w:sz="0" w:space="0" w:color="auto"/>
        <w:right w:val="none" w:sz="0" w:space="0" w:color="auto"/>
      </w:divBdr>
    </w:div>
    <w:div w:id="617489822">
      <w:bodyDiv w:val="1"/>
      <w:marLeft w:val="0"/>
      <w:marRight w:val="0"/>
      <w:marTop w:val="0"/>
      <w:marBottom w:val="0"/>
      <w:divBdr>
        <w:top w:val="none" w:sz="0" w:space="0" w:color="auto"/>
        <w:left w:val="none" w:sz="0" w:space="0" w:color="auto"/>
        <w:bottom w:val="none" w:sz="0" w:space="0" w:color="auto"/>
        <w:right w:val="none" w:sz="0" w:space="0" w:color="auto"/>
      </w:divBdr>
    </w:div>
    <w:div w:id="623779696">
      <w:bodyDiv w:val="1"/>
      <w:marLeft w:val="0"/>
      <w:marRight w:val="0"/>
      <w:marTop w:val="0"/>
      <w:marBottom w:val="0"/>
      <w:divBdr>
        <w:top w:val="none" w:sz="0" w:space="0" w:color="auto"/>
        <w:left w:val="none" w:sz="0" w:space="0" w:color="auto"/>
        <w:bottom w:val="none" w:sz="0" w:space="0" w:color="auto"/>
        <w:right w:val="none" w:sz="0" w:space="0" w:color="auto"/>
      </w:divBdr>
    </w:div>
    <w:div w:id="628777349">
      <w:bodyDiv w:val="1"/>
      <w:marLeft w:val="0"/>
      <w:marRight w:val="0"/>
      <w:marTop w:val="0"/>
      <w:marBottom w:val="0"/>
      <w:divBdr>
        <w:top w:val="none" w:sz="0" w:space="0" w:color="auto"/>
        <w:left w:val="none" w:sz="0" w:space="0" w:color="auto"/>
        <w:bottom w:val="none" w:sz="0" w:space="0" w:color="auto"/>
        <w:right w:val="none" w:sz="0" w:space="0" w:color="auto"/>
      </w:divBdr>
    </w:div>
    <w:div w:id="669334128">
      <w:bodyDiv w:val="1"/>
      <w:marLeft w:val="0"/>
      <w:marRight w:val="0"/>
      <w:marTop w:val="0"/>
      <w:marBottom w:val="0"/>
      <w:divBdr>
        <w:top w:val="none" w:sz="0" w:space="0" w:color="auto"/>
        <w:left w:val="none" w:sz="0" w:space="0" w:color="auto"/>
        <w:bottom w:val="none" w:sz="0" w:space="0" w:color="auto"/>
        <w:right w:val="none" w:sz="0" w:space="0" w:color="auto"/>
      </w:divBdr>
    </w:div>
    <w:div w:id="671109572">
      <w:bodyDiv w:val="1"/>
      <w:marLeft w:val="0"/>
      <w:marRight w:val="0"/>
      <w:marTop w:val="0"/>
      <w:marBottom w:val="0"/>
      <w:divBdr>
        <w:top w:val="none" w:sz="0" w:space="0" w:color="auto"/>
        <w:left w:val="none" w:sz="0" w:space="0" w:color="auto"/>
        <w:bottom w:val="none" w:sz="0" w:space="0" w:color="auto"/>
        <w:right w:val="none" w:sz="0" w:space="0" w:color="auto"/>
      </w:divBdr>
    </w:div>
    <w:div w:id="683476173">
      <w:bodyDiv w:val="1"/>
      <w:marLeft w:val="0"/>
      <w:marRight w:val="0"/>
      <w:marTop w:val="0"/>
      <w:marBottom w:val="0"/>
      <w:divBdr>
        <w:top w:val="none" w:sz="0" w:space="0" w:color="auto"/>
        <w:left w:val="none" w:sz="0" w:space="0" w:color="auto"/>
        <w:bottom w:val="none" w:sz="0" w:space="0" w:color="auto"/>
        <w:right w:val="none" w:sz="0" w:space="0" w:color="auto"/>
      </w:divBdr>
    </w:div>
    <w:div w:id="685403289">
      <w:bodyDiv w:val="1"/>
      <w:marLeft w:val="0"/>
      <w:marRight w:val="0"/>
      <w:marTop w:val="0"/>
      <w:marBottom w:val="0"/>
      <w:divBdr>
        <w:top w:val="none" w:sz="0" w:space="0" w:color="auto"/>
        <w:left w:val="none" w:sz="0" w:space="0" w:color="auto"/>
        <w:bottom w:val="none" w:sz="0" w:space="0" w:color="auto"/>
        <w:right w:val="none" w:sz="0" w:space="0" w:color="auto"/>
      </w:divBdr>
    </w:div>
    <w:div w:id="727650004">
      <w:bodyDiv w:val="1"/>
      <w:marLeft w:val="0"/>
      <w:marRight w:val="0"/>
      <w:marTop w:val="0"/>
      <w:marBottom w:val="0"/>
      <w:divBdr>
        <w:top w:val="none" w:sz="0" w:space="0" w:color="auto"/>
        <w:left w:val="none" w:sz="0" w:space="0" w:color="auto"/>
        <w:bottom w:val="none" w:sz="0" w:space="0" w:color="auto"/>
        <w:right w:val="none" w:sz="0" w:space="0" w:color="auto"/>
      </w:divBdr>
    </w:div>
    <w:div w:id="760178786">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778839321">
      <w:bodyDiv w:val="1"/>
      <w:marLeft w:val="0"/>
      <w:marRight w:val="0"/>
      <w:marTop w:val="0"/>
      <w:marBottom w:val="0"/>
      <w:divBdr>
        <w:top w:val="none" w:sz="0" w:space="0" w:color="auto"/>
        <w:left w:val="none" w:sz="0" w:space="0" w:color="auto"/>
        <w:bottom w:val="none" w:sz="0" w:space="0" w:color="auto"/>
        <w:right w:val="none" w:sz="0" w:space="0" w:color="auto"/>
      </w:divBdr>
    </w:div>
    <w:div w:id="778912132">
      <w:bodyDiv w:val="1"/>
      <w:marLeft w:val="0"/>
      <w:marRight w:val="0"/>
      <w:marTop w:val="0"/>
      <w:marBottom w:val="0"/>
      <w:divBdr>
        <w:top w:val="none" w:sz="0" w:space="0" w:color="auto"/>
        <w:left w:val="none" w:sz="0" w:space="0" w:color="auto"/>
        <w:bottom w:val="none" w:sz="0" w:space="0" w:color="auto"/>
        <w:right w:val="none" w:sz="0" w:space="0" w:color="auto"/>
      </w:divBdr>
      <w:divsChild>
        <w:div w:id="1682466184">
          <w:marLeft w:val="0"/>
          <w:marRight w:val="0"/>
          <w:marTop w:val="0"/>
          <w:marBottom w:val="0"/>
          <w:divBdr>
            <w:top w:val="none" w:sz="0" w:space="0" w:color="auto"/>
            <w:left w:val="none" w:sz="0" w:space="0" w:color="auto"/>
            <w:bottom w:val="none" w:sz="0" w:space="0" w:color="auto"/>
            <w:right w:val="none" w:sz="0" w:space="0" w:color="auto"/>
          </w:divBdr>
          <w:divsChild>
            <w:div w:id="443235925">
              <w:marLeft w:val="0"/>
              <w:marRight w:val="0"/>
              <w:marTop w:val="0"/>
              <w:marBottom w:val="0"/>
              <w:divBdr>
                <w:top w:val="none" w:sz="0" w:space="0" w:color="auto"/>
                <w:left w:val="none" w:sz="0" w:space="0" w:color="auto"/>
                <w:bottom w:val="none" w:sz="0" w:space="0" w:color="auto"/>
                <w:right w:val="none" w:sz="0" w:space="0" w:color="auto"/>
              </w:divBdr>
              <w:divsChild>
                <w:div w:id="1608855389">
                  <w:marLeft w:val="3000"/>
                  <w:marRight w:val="300"/>
                  <w:marTop w:val="0"/>
                  <w:marBottom w:val="0"/>
                  <w:divBdr>
                    <w:top w:val="none" w:sz="0" w:space="0" w:color="auto"/>
                    <w:left w:val="none" w:sz="0" w:space="0" w:color="auto"/>
                    <w:bottom w:val="none" w:sz="0" w:space="0" w:color="auto"/>
                    <w:right w:val="none" w:sz="0" w:space="0" w:color="auto"/>
                  </w:divBdr>
                  <w:divsChild>
                    <w:div w:id="7803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9883">
      <w:bodyDiv w:val="1"/>
      <w:marLeft w:val="0"/>
      <w:marRight w:val="0"/>
      <w:marTop w:val="0"/>
      <w:marBottom w:val="0"/>
      <w:divBdr>
        <w:top w:val="none" w:sz="0" w:space="0" w:color="auto"/>
        <w:left w:val="none" w:sz="0" w:space="0" w:color="auto"/>
        <w:bottom w:val="none" w:sz="0" w:space="0" w:color="auto"/>
        <w:right w:val="none" w:sz="0" w:space="0" w:color="auto"/>
      </w:divBdr>
    </w:div>
    <w:div w:id="779495305">
      <w:bodyDiv w:val="1"/>
      <w:marLeft w:val="0"/>
      <w:marRight w:val="0"/>
      <w:marTop w:val="0"/>
      <w:marBottom w:val="0"/>
      <w:divBdr>
        <w:top w:val="none" w:sz="0" w:space="0" w:color="auto"/>
        <w:left w:val="none" w:sz="0" w:space="0" w:color="auto"/>
        <w:bottom w:val="none" w:sz="0" w:space="0" w:color="auto"/>
        <w:right w:val="none" w:sz="0" w:space="0" w:color="auto"/>
      </w:divBdr>
    </w:div>
    <w:div w:id="783771339">
      <w:bodyDiv w:val="1"/>
      <w:marLeft w:val="0"/>
      <w:marRight w:val="0"/>
      <w:marTop w:val="0"/>
      <w:marBottom w:val="0"/>
      <w:divBdr>
        <w:top w:val="none" w:sz="0" w:space="0" w:color="auto"/>
        <w:left w:val="none" w:sz="0" w:space="0" w:color="auto"/>
        <w:bottom w:val="none" w:sz="0" w:space="0" w:color="auto"/>
        <w:right w:val="none" w:sz="0" w:space="0" w:color="auto"/>
      </w:divBdr>
    </w:div>
    <w:div w:id="792790517">
      <w:bodyDiv w:val="1"/>
      <w:marLeft w:val="0"/>
      <w:marRight w:val="0"/>
      <w:marTop w:val="0"/>
      <w:marBottom w:val="0"/>
      <w:divBdr>
        <w:top w:val="none" w:sz="0" w:space="0" w:color="auto"/>
        <w:left w:val="none" w:sz="0" w:space="0" w:color="auto"/>
        <w:bottom w:val="none" w:sz="0" w:space="0" w:color="auto"/>
        <w:right w:val="none" w:sz="0" w:space="0" w:color="auto"/>
      </w:divBdr>
    </w:div>
    <w:div w:id="801191898">
      <w:bodyDiv w:val="1"/>
      <w:marLeft w:val="0"/>
      <w:marRight w:val="0"/>
      <w:marTop w:val="0"/>
      <w:marBottom w:val="0"/>
      <w:divBdr>
        <w:top w:val="none" w:sz="0" w:space="0" w:color="auto"/>
        <w:left w:val="none" w:sz="0" w:space="0" w:color="auto"/>
        <w:bottom w:val="none" w:sz="0" w:space="0" w:color="auto"/>
        <w:right w:val="none" w:sz="0" w:space="0" w:color="auto"/>
      </w:divBdr>
    </w:div>
    <w:div w:id="828593562">
      <w:bodyDiv w:val="1"/>
      <w:marLeft w:val="0"/>
      <w:marRight w:val="0"/>
      <w:marTop w:val="0"/>
      <w:marBottom w:val="0"/>
      <w:divBdr>
        <w:top w:val="none" w:sz="0" w:space="0" w:color="auto"/>
        <w:left w:val="none" w:sz="0" w:space="0" w:color="auto"/>
        <w:bottom w:val="none" w:sz="0" w:space="0" w:color="auto"/>
        <w:right w:val="none" w:sz="0" w:space="0" w:color="auto"/>
      </w:divBdr>
    </w:div>
    <w:div w:id="830413932">
      <w:bodyDiv w:val="1"/>
      <w:marLeft w:val="0"/>
      <w:marRight w:val="0"/>
      <w:marTop w:val="0"/>
      <w:marBottom w:val="0"/>
      <w:divBdr>
        <w:top w:val="none" w:sz="0" w:space="0" w:color="auto"/>
        <w:left w:val="none" w:sz="0" w:space="0" w:color="auto"/>
        <w:bottom w:val="none" w:sz="0" w:space="0" w:color="auto"/>
        <w:right w:val="none" w:sz="0" w:space="0" w:color="auto"/>
      </w:divBdr>
    </w:div>
    <w:div w:id="845247624">
      <w:bodyDiv w:val="1"/>
      <w:marLeft w:val="0"/>
      <w:marRight w:val="0"/>
      <w:marTop w:val="0"/>
      <w:marBottom w:val="0"/>
      <w:divBdr>
        <w:top w:val="none" w:sz="0" w:space="0" w:color="auto"/>
        <w:left w:val="none" w:sz="0" w:space="0" w:color="auto"/>
        <w:bottom w:val="none" w:sz="0" w:space="0" w:color="auto"/>
        <w:right w:val="none" w:sz="0" w:space="0" w:color="auto"/>
      </w:divBdr>
    </w:div>
    <w:div w:id="856508714">
      <w:bodyDiv w:val="1"/>
      <w:marLeft w:val="0"/>
      <w:marRight w:val="0"/>
      <w:marTop w:val="0"/>
      <w:marBottom w:val="0"/>
      <w:divBdr>
        <w:top w:val="none" w:sz="0" w:space="0" w:color="auto"/>
        <w:left w:val="none" w:sz="0" w:space="0" w:color="auto"/>
        <w:bottom w:val="none" w:sz="0" w:space="0" w:color="auto"/>
        <w:right w:val="none" w:sz="0" w:space="0" w:color="auto"/>
      </w:divBdr>
    </w:div>
    <w:div w:id="874853433">
      <w:bodyDiv w:val="1"/>
      <w:marLeft w:val="0"/>
      <w:marRight w:val="0"/>
      <w:marTop w:val="0"/>
      <w:marBottom w:val="0"/>
      <w:divBdr>
        <w:top w:val="none" w:sz="0" w:space="0" w:color="auto"/>
        <w:left w:val="none" w:sz="0" w:space="0" w:color="auto"/>
        <w:bottom w:val="none" w:sz="0" w:space="0" w:color="auto"/>
        <w:right w:val="none" w:sz="0" w:space="0" w:color="auto"/>
      </w:divBdr>
    </w:div>
    <w:div w:id="875391161">
      <w:bodyDiv w:val="1"/>
      <w:marLeft w:val="0"/>
      <w:marRight w:val="0"/>
      <w:marTop w:val="0"/>
      <w:marBottom w:val="0"/>
      <w:divBdr>
        <w:top w:val="none" w:sz="0" w:space="0" w:color="auto"/>
        <w:left w:val="none" w:sz="0" w:space="0" w:color="auto"/>
        <w:bottom w:val="none" w:sz="0" w:space="0" w:color="auto"/>
        <w:right w:val="none" w:sz="0" w:space="0" w:color="auto"/>
      </w:divBdr>
    </w:div>
    <w:div w:id="893731762">
      <w:bodyDiv w:val="1"/>
      <w:marLeft w:val="0"/>
      <w:marRight w:val="0"/>
      <w:marTop w:val="0"/>
      <w:marBottom w:val="0"/>
      <w:divBdr>
        <w:top w:val="none" w:sz="0" w:space="0" w:color="auto"/>
        <w:left w:val="none" w:sz="0" w:space="0" w:color="auto"/>
        <w:bottom w:val="none" w:sz="0" w:space="0" w:color="auto"/>
        <w:right w:val="none" w:sz="0" w:space="0" w:color="auto"/>
      </w:divBdr>
    </w:div>
    <w:div w:id="915476897">
      <w:bodyDiv w:val="1"/>
      <w:marLeft w:val="0"/>
      <w:marRight w:val="0"/>
      <w:marTop w:val="0"/>
      <w:marBottom w:val="0"/>
      <w:divBdr>
        <w:top w:val="none" w:sz="0" w:space="0" w:color="auto"/>
        <w:left w:val="none" w:sz="0" w:space="0" w:color="auto"/>
        <w:bottom w:val="none" w:sz="0" w:space="0" w:color="auto"/>
        <w:right w:val="none" w:sz="0" w:space="0" w:color="auto"/>
      </w:divBdr>
    </w:div>
    <w:div w:id="945161711">
      <w:bodyDiv w:val="1"/>
      <w:marLeft w:val="0"/>
      <w:marRight w:val="0"/>
      <w:marTop w:val="0"/>
      <w:marBottom w:val="0"/>
      <w:divBdr>
        <w:top w:val="none" w:sz="0" w:space="0" w:color="auto"/>
        <w:left w:val="none" w:sz="0" w:space="0" w:color="auto"/>
        <w:bottom w:val="none" w:sz="0" w:space="0" w:color="auto"/>
        <w:right w:val="none" w:sz="0" w:space="0" w:color="auto"/>
      </w:divBdr>
    </w:div>
    <w:div w:id="954336013">
      <w:bodyDiv w:val="1"/>
      <w:marLeft w:val="0"/>
      <w:marRight w:val="0"/>
      <w:marTop w:val="0"/>
      <w:marBottom w:val="0"/>
      <w:divBdr>
        <w:top w:val="none" w:sz="0" w:space="0" w:color="auto"/>
        <w:left w:val="none" w:sz="0" w:space="0" w:color="auto"/>
        <w:bottom w:val="none" w:sz="0" w:space="0" w:color="auto"/>
        <w:right w:val="none" w:sz="0" w:space="0" w:color="auto"/>
      </w:divBdr>
    </w:div>
    <w:div w:id="958226060">
      <w:bodyDiv w:val="1"/>
      <w:marLeft w:val="0"/>
      <w:marRight w:val="0"/>
      <w:marTop w:val="0"/>
      <w:marBottom w:val="0"/>
      <w:divBdr>
        <w:top w:val="none" w:sz="0" w:space="0" w:color="auto"/>
        <w:left w:val="none" w:sz="0" w:space="0" w:color="auto"/>
        <w:bottom w:val="none" w:sz="0" w:space="0" w:color="auto"/>
        <w:right w:val="none" w:sz="0" w:space="0" w:color="auto"/>
      </w:divBdr>
    </w:div>
    <w:div w:id="964510476">
      <w:bodyDiv w:val="1"/>
      <w:marLeft w:val="0"/>
      <w:marRight w:val="0"/>
      <w:marTop w:val="0"/>
      <w:marBottom w:val="0"/>
      <w:divBdr>
        <w:top w:val="none" w:sz="0" w:space="0" w:color="auto"/>
        <w:left w:val="none" w:sz="0" w:space="0" w:color="auto"/>
        <w:bottom w:val="none" w:sz="0" w:space="0" w:color="auto"/>
        <w:right w:val="none" w:sz="0" w:space="0" w:color="auto"/>
      </w:divBdr>
    </w:div>
    <w:div w:id="981034923">
      <w:bodyDiv w:val="1"/>
      <w:marLeft w:val="0"/>
      <w:marRight w:val="0"/>
      <w:marTop w:val="0"/>
      <w:marBottom w:val="0"/>
      <w:divBdr>
        <w:top w:val="none" w:sz="0" w:space="0" w:color="auto"/>
        <w:left w:val="none" w:sz="0" w:space="0" w:color="auto"/>
        <w:bottom w:val="none" w:sz="0" w:space="0" w:color="auto"/>
        <w:right w:val="none" w:sz="0" w:space="0" w:color="auto"/>
      </w:divBdr>
    </w:div>
    <w:div w:id="993266358">
      <w:bodyDiv w:val="1"/>
      <w:marLeft w:val="0"/>
      <w:marRight w:val="0"/>
      <w:marTop w:val="0"/>
      <w:marBottom w:val="0"/>
      <w:divBdr>
        <w:top w:val="none" w:sz="0" w:space="0" w:color="auto"/>
        <w:left w:val="none" w:sz="0" w:space="0" w:color="auto"/>
        <w:bottom w:val="none" w:sz="0" w:space="0" w:color="auto"/>
        <w:right w:val="none" w:sz="0" w:space="0" w:color="auto"/>
      </w:divBdr>
    </w:div>
    <w:div w:id="1006517160">
      <w:bodyDiv w:val="1"/>
      <w:marLeft w:val="0"/>
      <w:marRight w:val="0"/>
      <w:marTop w:val="0"/>
      <w:marBottom w:val="0"/>
      <w:divBdr>
        <w:top w:val="none" w:sz="0" w:space="0" w:color="auto"/>
        <w:left w:val="none" w:sz="0" w:space="0" w:color="auto"/>
        <w:bottom w:val="none" w:sz="0" w:space="0" w:color="auto"/>
        <w:right w:val="none" w:sz="0" w:space="0" w:color="auto"/>
      </w:divBdr>
    </w:div>
    <w:div w:id="1007290742">
      <w:bodyDiv w:val="1"/>
      <w:marLeft w:val="0"/>
      <w:marRight w:val="0"/>
      <w:marTop w:val="0"/>
      <w:marBottom w:val="0"/>
      <w:divBdr>
        <w:top w:val="none" w:sz="0" w:space="0" w:color="auto"/>
        <w:left w:val="none" w:sz="0" w:space="0" w:color="auto"/>
        <w:bottom w:val="none" w:sz="0" w:space="0" w:color="auto"/>
        <w:right w:val="none" w:sz="0" w:space="0" w:color="auto"/>
      </w:divBdr>
    </w:div>
    <w:div w:id="1034309451">
      <w:bodyDiv w:val="1"/>
      <w:marLeft w:val="0"/>
      <w:marRight w:val="0"/>
      <w:marTop w:val="0"/>
      <w:marBottom w:val="0"/>
      <w:divBdr>
        <w:top w:val="none" w:sz="0" w:space="0" w:color="auto"/>
        <w:left w:val="none" w:sz="0" w:space="0" w:color="auto"/>
        <w:bottom w:val="none" w:sz="0" w:space="0" w:color="auto"/>
        <w:right w:val="none" w:sz="0" w:space="0" w:color="auto"/>
      </w:divBdr>
    </w:div>
    <w:div w:id="1053502001">
      <w:bodyDiv w:val="1"/>
      <w:marLeft w:val="0"/>
      <w:marRight w:val="0"/>
      <w:marTop w:val="0"/>
      <w:marBottom w:val="0"/>
      <w:divBdr>
        <w:top w:val="none" w:sz="0" w:space="0" w:color="auto"/>
        <w:left w:val="none" w:sz="0" w:space="0" w:color="auto"/>
        <w:bottom w:val="none" w:sz="0" w:space="0" w:color="auto"/>
        <w:right w:val="none" w:sz="0" w:space="0" w:color="auto"/>
      </w:divBdr>
    </w:div>
    <w:div w:id="1055736043">
      <w:bodyDiv w:val="1"/>
      <w:marLeft w:val="0"/>
      <w:marRight w:val="0"/>
      <w:marTop w:val="0"/>
      <w:marBottom w:val="0"/>
      <w:divBdr>
        <w:top w:val="none" w:sz="0" w:space="0" w:color="auto"/>
        <w:left w:val="none" w:sz="0" w:space="0" w:color="auto"/>
        <w:bottom w:val="none" w:sz="0" w:space="0" w:color="auto"/>
        <w:right w:val="none" w:sz="0" w:space="0" w:color="auto"/>
      </w:divBdr>
    </w:div>
    <w:div w:id="1062098397">
      <w:bodyDiv w:val="1"/>
      <w:marLeft w:val="0"/>
      <w:marRight w:val="0"/>
      <w:marTop w:val="0"/>
      <w:marBottom w:val="0"/>
      <w:divBdr>
        <w:top w:val="none" w:sz="0" w:space="0" w:color="auto"/>
        <w:left w:val="none" w:sz="0" w:space="0" w:color="auto"/>
        <w:bottom w:val="none" w:sz="0" w:space="0" w:color="auto"/>
        <w:right w:val="none" w:sz="0" w:space="0" w:color="auto"/>
      </w:divBdr>
    </w:div>
    <w:div w:id="1071073679">
      <w:bodyDiv w:val="1"/>
      <w:marLeft w:val="0"/>
      <w:marRight w:val="0"/>
      <w:marTop w:val="0"/>
      <w:marBottom w:val="0"/>
      <w:divBdr>
        <w:top w:val="none" w:sz="0" w:space="0" w:color="auto"/>
        <w:left w:val="none" w:sz="0" w:space="0" w:color="auto"/>
        <w:bottom w:val="none" w:sz="0" w:space="0" w:color="auto"/>
        <w:right w:val="none" w:sz="0" w:space="0" w:color="auto"/>
      </w:divBdr>
    </w:div>
    <w:div w:id="1078214417">
      <w:bodyDiv w:val="1"/>
      <w:marLeft w:val="0"/>
      <w:marRight w:val="0"/>
      <w:marTop w:val="0"/>
      <w:marBottom w:val="0"/>
      <w:divBdr>
        <w:top w:val="none" w:sz="0" w:space="0" w:color="auto"/>
        <w:left w:val="none" w:sz="0" w:space="0" w:color="auto"/>
        <w:bottom w:val="none" w:sz="0" w:space="0" w:color="auto"/>
        <w:right w:val="none" w:sz="0" w:space="0" w:color="auto"/>
      </w:divBdr>
      <w:divsChild>
        <w:div w:id="1404451759">
          <w:marLeft w:val="0"/>
          <w:marRight w:val="0"/>
          <w:marTop w:val="0"/>
          <w:marBottom w:val="0"/>
          <w:divBdr>
            <w:top w:val="none" w:sz="0" w:space="0" w:color="auto"/>
            <w:left w:val="none" w:sz="0" w:space="0" w:color="auto"/>
            <w:bottom w:val="none" w:sz="0" w:space="0" w:color="auto"/>
            <w:right w:val="none" w:sz="0" w:space="0" w:color="auto"/>
          </w:divBdr>
          <w:divsChild>
            <w:div w:id="514422327">
              <w:marLeft w:val="0"/>
              <w:marRight w:val="0"/>
              <w:marTop w:val="0"/>
              <w:marBottom w:val="0"/>
              <w:divBdr>
                <w:top w:val="none" w:sz="0" w:space="0" w:color="auto"/>
                <w:left w:val="none" w:sz="0" w:space="0" w:color="auto"/>
                <w:bottom w:val="none" w:sz="0" w:space="0" w:color="auto"/>
                <w:right w:val="none" w:sz="0" w:space="0" w:color="auto"/>
              </w:divBdr>
              <w:divsChild>
                <w:div w:id="1366633112">
                  <w:marLeft w:val="0"/>
                  <w:marRight w:val="0"/>
                  <w:marTop w:val="0"/>
                  <w:marBottom w:val="0"/>
                  <w:divBdr>
                    <w:top w:val="none" w:sz="0" w:space="0" w:color="auto"/>
                    <w:left w:val="none" w:sz="0" w:space="0" w:color="auto"/>
                    <w:bottom w:val="none" w:sz="0" w:space="0" w:color="auto"/>
                    <w:right w:val="none" w:sz="0" w:space="0" w:color="auto"/>
                  </w:divBdr>
                  <w:divsChild>
                    <w:div w:id="1361280818">
                      <w:marLeft w:val="0"/>
                      <w:marRight w:val="0"/>
                      <w:marTop w:val="0"/>
                      <w:marBottom w:val="0"/>
                      <w:divBdr>
                        <w:top w:val="none" w:sz="0" w:space="0" w:color="auto"/>
                        <w:left w:val="none" w:sz="0" w:space="0" w:color="auto"/>
                        <w:bottom w:val="none" w:sz="0" w:space="0" w:color="auto"/>
                        <w:right w:val="none" w:sz="0" w:space="0" w:color="auto"/>
                      </w:divBdr>
                      <w:divsChild>
                        <w:div w:id="17794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272395">
      <w:bodyDiv w:val="1"/>
      <w:marLeft w:val="0"/>
      <w:marRight w:val="0"/>
      <w:marTop w:val="0"/>
      <w:marBottom w:val="0"/>
      <w:divBdr>
        <w:top w:val="none" w:sz="0" w:space="0" w:color="auto"/>
        <w:left w:val="none" w:sz="0" w:space="0" w:color="auto"/>
        <w:bottom w:val="none" w:sz="0" w:space="0" w:color="auto"/>
        <w:right w:val="none" w:sz="0" w:space="0" w:color="auto"/>
      </w:divBdr>
    </w:div>
    <w:div w:id="1094938541">
      <w:bodyDiv w:val="1"/>
      <w:marLeft w:val="0"/>
      <w:marRight w:val="0"/>
      <w:marTop w:val="0"/>
      <w:marBottom w:val="0"/>
      <w:divBdr>
        <w:top w:val="none" w:sz="0" w:space="0" w:color="auto"/>
        <w:left w:val="none" w:sz="0" w:space="0" w:color="auto"/>
        <w:bottom w:val="none" w:sz="0" w:space="0" w:color="auto"/>
        <w:right w:val="none" w:sz="0" w:space="0" w:color="auto"/>
      </w:divBdr>
    </w:div>
    <w:div w:id="1096055024">
      <w:bodyDiv w:val="1"/>
      <w:marLeft w:val="0"/>
      <w:marRight w:val="0"/>
      <w:marTop w:val="0"/>
      <w:marBottom w:val="0"/>
      <w:divBdr>
        <w:top w:val="none" w:sz="0" w:space="0" w:color="auto"/>
        <w:left w:val="none" w:sz="0" w:space="0" w:color="auto"/>
        <w:bottom w:val="none" w:sz="0" w:space="0" w:color="auto"/>
        <w:right w:val="none" w:sz="0" w:space="0" w:color="auto"/>
      </w:divBdr>
    </w:div>
    <w:div w:id="1103766351">
      <w:bodyDiv w:val="1"/>
      <w:marLeft w:val="0"/>
      <w:marRight w:val="0"/>
      <w:marTop w:val="0"/>
      <w:marBottom w:val="0"/>
      <w:divBdr>
        <w:top w:val="none" w:sz="0" w:space="0" w:color="auto"/>
        <w:left w:val="none" w:sz="0" w:space="0" w:color="auto"/>
        <w:bottom w:val="none" w:sz="0" w:space="0" w:color="auto"/>
        <w:right w:val="none" w:sz="0" w:space="0" w:color="auto"/>
      </w:divBdr>
    </w:div>
    <w:div w:id="1167745403">
      <w:bodyDiv w:val="1"/>
      <w:marLeft w:val="0"/>
      <w:marRight w:val="0"/>
      <w:marTop w:val="0"/>
      <w:marBottom w:val="0"/>
      <w:divBdr>
        <w:top w:val="none" w:sz="0" w:space="0" w:color="auto"/>
        <w:left w:val="none" w:sz="0" w:space="0" w:color="auto"/>
        <w:bottom w:val="none" w:sz="0" w:space="0" w:color="auto"/>
        <w:right w:val="none" w:sz="0" w:space="0" w:color="auto"/>
      </w:divBdr>
    </w:div>
    <w:div w:id="1169444459">
      <w:bodyDiv w:val="1"/>
      <w:marLeft w:val="0"/>
      <w:marRight w:val="0"/>
      <w:marTop w:val="0"/>
      <w:marBottom w:val="0"/>
      <w:divBdr>
        <w:top w:val="none" w:sz="0" w:space="0" w:color="auto"/>
        <w:left w:val="none" w:sz="0" w:space="0" w:color="auto"/>
        <w:bottom w:val="none" w:sz="0" w:space="0" w:color="auto"/>
        <w:right w:val="none" w:sz="0" w:space="0" w:color="auto"/>
      </w:divBdr>
    </w:div>
    <w:div w:id="1223175166">
      <w:bodyDiv w:val="1"/>
      <w:marLeft w:val="0"/>
      <w:marRight w:val="0"/>
      <w:marTop w:val="0"/>
      <w:marBottom w:val="0"/>
      <w:divBdr>
        <w:top w:val="none" w:sz="0" w:space="0" w:color="auto"/>
        <w:left w:val="none" w:sz="0" w:space="0" w:color="auto"/>
        <w:bottom w:val="none" w:sz="0" w:space="0" w:color="auto"/>
        <w:right w:val="none" w:sz="0" w:space="0" w:color="auto"/>
      </w:divBdr>
    </w:div>
    <w:div w:id="1228685517">
      <w:bodyDiv w:val="1"/>
      <w:marLeft w:val="0"/>
      <w:marRight w:val="0"/>
      <w:marTop w:val="0"/>
      <w:marBottom w:val="0"/>
      <w:divBdr>
        <w:top w:val="none" w:sz="0" w:space="0" w:color="auto"/>
        <w:left w:val="none" w:sz="0" w:space="0" w:color="auto"/>
        <w:bottom w:val="none" w:sz="0" w:space="0" w:color="auto"/>
        <w:right w:val="none" w:sz="0" w:space="0" w:color="auto"/>
      </w:divBdr>
    </w:div>
    <w:div w:id="1229731786">
      <w:bodyDiv w:val="1"/>
      <w:marLeft w:val="0"/>
      <w:marRight w:val="0"/>
      <w:marTop w:val="0"/>
      <w:marBottom w:val="0"/>
      <w:divBdr>
        <w:top w:val="none" w:sz="0" w:space="0" w:color="auto"/>
        <w:left w:val="none" w:sz="0" w:space="0" w:color="auto"/>
        <w:bottom w:val="none" w:sz="0" w:space="0" w:color="auto"/>
        <w:right w:val="none" w:sz="0" w:space="0" w:color="auto"/>
      </w:divBdr>
    </w:div>
    <w:div w:id="1266494833">
      <w:bodyDiv w:val="1"/>
      <w:marLeft w:val="0"/>
      <w:marRight w:val="0"/>
      <w:marTop w:val="0"/>
      <w:marBottom w:val="0"/>
      <w:divBdr>
        <w:top w:val="none" w:sz="0" w:space="0" w:color="auto"/>
        <w:left w:val="none" w:sz="0" w:space="0" w:color="auto"/>
        <w:bottom w:val="none" w:sz="0" w:space="0" w:color="auto"/>
        <w:right w:val="none" w:sz="0" w:space="0" w:color="auto"/>
      </w:divBdr>
    </w:div>
    <w:div w:id="1275362896">
      <w:bodyDiv w:val="1"/>
      <w:marLeft w:val="0"/>
      <w:marRight w:val="0"/>
      <w:marTop w:val="0"/>
      <w:marBottom w:val="0"/>
      <w:divBdr>
        <w:top w:val="none" w:sz="0" w:space="0" w:color="auto"/>
        <w:left w:val="none" w:sz="0" w:space="0" w:color="auto"/>
        <w:bottom w:val="none" w:sz="0" w:space="0" w:color="auto"/>
        <w:right w:val="none" w:sz="0" w:space="0" w:color="auto"/>
      </w:divBdr>
    </w:div>
    <w:div w:id="1294602222">
      <w:bodyDiv w:val="1"/>
      <w:marLeft w:val="0"/>
      <w:marRight w:val="0"/>
      <w:marTop w:val="0"/>
      <w:marBottom w:val="0"/>
      <w:divBdr>
        <w:top w:val="none" w:sz="0" w:space="0" w:color="auto"/>
        <w:left w:val="none" w:sz="0" w:space="0" w:color="auto"/>
        <w:bottom w:val="none" w:sz="0" w:space="0" w:color="auto"/>
        <w:right w:val="none" w:sz="0" w:space="0" w:color="auto"/>
      </w:divBdr>
    </w:div>
    <w:div w:id="1316372270">
      <w:bodyDiv w:val="1"/>
      <w:marLeft w:val="0"/>
      <w:marRight w:val="0"/>
      <w:marTop w:val="0"/>
      <w:marBottom w:val="0"/>
      <w:divBdr>
        <w:top w:val="none" w:sz="0" w:space="0" w:color="auto"/>
        <w:left w:val="none" w:sz="0" w:space="0" w:color="auto"/>
        <w:bottom w:val="none" w:sz="0" w:space="0" w:color="auto"/>
        <w:right w:val="none" w:sz="0" w:space="0" w:color="auto"/>
      </w:divBdr>
    </w:div>
    <w:div w:id="1329599612">
      <w:bodyDiv w:val="1"/>
      <w:marLeft w:val="0"/>
      <w:marRight w:val="0"/>
      <w:marTop w:val="0"/>
      <w:marBottom w:val="0"/>
      <w:divBdr>
        <w:top w:val="none" w:sz="0" w:space="0" w:color="auto"/>
        <w:left w:val="none" w:sz="0" w:space="0" w:color="auto"/>
        <w:bottom w:val="none" w:sz="0" w:space="0" w:color="auto"/>
        <w:right w:val="none" w:sz="0" w:space="0" w:color="auto"/>
      </w:divBdr>
    </w:div>
    <w:div w:id="1356612607">
      <w:bodyDiv w:val="1"/>
      <w:marLeft w:val="0"/>
      <w:marRight w:val="0"/>
      <w:marTop w:val="0"/>
      <w:marBottom w:val="0"/>
      <w:divBdr>
        <w:top w:val="none" w:sz="0" w:space="0" w:color="auto"/>
        <w:left w:val="none" w:sz="0" w:space="0" w:color="auto"/>
        <w:bottom w:val="none" w:sz="0" w:space="0" w:color="auto"/>
        <w:right w:val="none" w:sz="0" w:space="0" w:color="auto"/>
      </w:divBdr>
    </w:div>
    <w:div w:id="1359695928">
      <w:bodyDiv w:val="1"/>
      <w:marLeft w:val="0"/>
      <w:marRight w:val="0"/>
      <w:marTop w:val="0"/>
      <w:marBottom w:val="0"/>
      <w:divBdr>
        <w:top w:val="none" w:sz="0" w:space="0" w:color="auto"/>
        <w:left w:val="none" w:sz="0" w:space="0" w:color="auto"/>
        <w:bottom w:val="none" w:sz="0" w:space="0" w:color="auto"/>
        <w:right w:val="none" w:sz="0" w:space="0" w:color="auto"/>
      </w:divBdr>
    </w:div>
    <w:div w:id="1384331652">
      <w:bodyDiv w:val="1"/>
      <w:marLeft w:val="0"/>
      <w:marRight w:val="0"/>
      <w:marTop w:val="0"/>
      <w:marBottom w:val="0"/>
      <w:divBdr>
        <w:top w:val="none" w:sz="0" w:space="0" w:color="auto"/>
        <w:left w:val="none" w:sz="0" w:space="0" w:color="auto"/>
        <w:bottom w:val="none" w:sz="0" w:space="0" w:color="auto"/>
        <w:right w:val="none" w:sz="0" w:space="0" w:color="auto"/>
      </w:divBdr>
    </w:div>
    <w:div w:id="1396122696">
      <w:bodyDiv w:val="1"/>
      <w:marLeft w:val="0"/>
      <w:marRight w:val="0"/>
      <w:marTop w:val="0"/>
      <w:marBottom w:val="0"/>
      <w:divBdr>
        <w:top w:val="none" w:sz="0" w:space="0" w:color="auto"/>
        <w:left w:val="none" w:sz="0" w:space="0" w:color="auto"/>
        <w:bottom w:val="none" w:sz="0" w:space="0" w:color="auto"/>
        <w:right w:val="none" w:sz="0" w:space="0" w:color="auto"/>
      </w:divBdr>
    </w:div>
    <w:div w:id="1397240734">
      <w:bodyDiv w:val="1"/>
      <w:marLeft w:val="0"/>
      <w:marRight w:val="0"/>
      <w:marTop w:val="0"/>
      <w:marBottom w:val="0"/>
      <w:divBdr>
        <w:top w:val="none" w:sz="0" w:space="0" w:color="auto"/>
        <w:left w:val="none" w:sz="0" w:space="0" w:color="auto"/>
        <w:bottom w:val="none" w:sz="0" w:space="0" w:color="auto"/>
        <w:right w:val="none" w:sz="0" w:space="0" w:color="auto"/>
      </w:divBdr>
    </w:div>
    <w:div w:id="1399783566">
      <w:bodyDiv w:val="1"/>
      <w:marLeft w:val="0"/>
      <w:marRight w:val="0"/>
      <w:marTop w:val="0"/>
      <w:marBottom w:val="0"/>
      <w:divBdr>
        <w:top w:val="none" w:sz="0" w:space="0" w:color="auto"/>
        <w:left w:val="none" w:sz="0" w:space="0" w:color="auto"/>
        <w:bottom w:val="none" w:sz="0" w:space="0" w:color="auto"/>
        <w:right w:val="none" w:sz="0" w:space="0" w:color="auto"/>
      </w:divBdr>
    </w:div>
    <w:div w:id="1417508424">
      <w:bodyDiv w:val="1"/>
      <w:marLeft w:val="0"/>
      <w:marRight w:val="0"/>
      <w:marTop w:val="0"/>
      <w:marBottom w:val="0"/>
      <w:divBdr>
        <w:top w:val="none" w:sz="0" w:space="0" w:color="auto"/>
        <w:left w:val="none" w:sz="0" w:space="0" w:color="auto"/>
        <w:bottom w:val="none" w:sz="0" w:space="0" w:color="auto"/>
        <w:right w:val="none" w:sz="0" w:space="0" w:color="auto"/>
      </w:divBdr>
    </w:div>
    <w:div w:id="1422067340">
      <w:bodyDiv w:val="1"/>
      <w:marLeft w:val="0"/>
      <w:marRight w:val="0"/>
      <w:marTop w:val="0"/>
      <w:marBottom w:val="0"/>
      <w:divBdr>
        <w:top w:val="none" w:sz="0" w:space="0" w:color="auto"/>
        <w:left w:val="none" w:sz="0" w:space="0" w:color="auto"/>
        <w:bottom w:val="none" w:sz="0" w:space="0" w:color="auto"/>
        <w:right w:val="none" w:sz="0" w:space="0" w:color="auto"/>
      </w:divBdr>
    </w:div>
    <w:div w:id="1426657962">
      <w:bodyDiv w:val="1"/>
      <w:marLeft w:val="0"/>
      <w:marRight w:val="0"/>
      <w:marTop w:val="0"/>
      <w:marBottom w:val="0"/>
      <w:divBdr>
        <w:top w:val="none" w:sz="0" w:space="0" w:color="auto"/>
        <w:left w:val="none" w:sz="0" w:space="0" w:color="auto"/>
        <w:bottom w:val="none" w:sz="0" w:space="0" w:color="auto"/>
        <w:right w:val="none" w:sz="0" w:space="0" w:color="auto"/>
      </w:divBdr>
    </w:div>
    <w:div w:id="1428891376">
      <w:bodyDiv w:val="1"/>
      <w:marLeft w:val="0"/>
      <w:marRight w:val="0"/>
      <w:marTop w:val="0"/>
      <w:marBottom w:val="0"/>
      <w:divBdr>
        <w:top w:val="none" w:sz="0" w:space="0" w:color="auto"/>
        <w:left w:val="none" w:sz="0" w:space="0" w:color="auto"/>
        <w:bottom w:val="none" w:sz="0" w:space="0" w:color="auto"/>
        <w:right w:val="none" w:sz="0" w:space="0" w:color="auto"/>
      </w:divBdr>
    </w:div>
    <w:div w:id="1468354306">
      <w:bodyDiv w:val="1"/>
      <w:marLeft w:val="0"/>
      <w:marRight w:val="0"/>
      <w:marTop w:val="0"/>
      <w:marBottom w:val="0"/>
      <w:divBdr>
        <w:top w:val="none" w:sz="0" w:space="0" w:color="auto"/>
        <w:left w:val="none" w:sz="0" w:space="0" w:color="auto"/>
        <w:bottom w:val="none" w:sz="0" w:space="0" w:color="auto"/>
        <w:right w:val="none" w:sz="0" w:space="0" w:color="auto"/>
      </w:divBdr>
    </w:div>
    <w:div w:id="1470899709">
      <w:bodyDiv w:val="1"/>
      <w:marLeft w:val="0"/>
      <w:marRight w:val="0"/>
      <w:marTop w:val="0"/>
      <w:marBottom w:val="0"/>
      <w:divBdr>
        <w:top w:val="none" w:sz="0" w:space="0" w:color="auto"/>
        <w:left w:val="none" w:sz="0" w:space="0" w:color="auto"/>
        <w:bottom w:val="none" w:sz="0" w:space="0" w:color="auto"/>
        <w:right w:val="none" w:sz="0" w:space="0" w:color="auto"/>
      </w:divBdr>
    </w:div>
    <w:div w:id="1471942685">
      <w:bodyDiv w:val="1"/>
      <w:marLeft w:val="0"/>
      <w:marRight w:val="0"/>
      <w:marTop w:val="0"/>
      <w:marBottom w:val="0"/>
      <w:divBdr>
        <w:top w:val="none" w:sz="0" w:space="0" w:color="auto"/>
        <w:left w:val="none" w:sz="0" w:space="0" w:color="auto"/>
        <w:bottom w:val="none" w:sz="0" w:space="0" w:color="auto"/>
        <w:right w:val="none" w:sz="0" w:space="0" w:color="auto"/>
      </w:divBdr>
    </w:div>
    <w:div w:id="1512840711">
      <w:bodyDiv w:val="1"/>
      <w:marLeft w:val="0"/>
      <w:marRight w:val="0"/>
      <w:marTop w:val="0"/>
      <w:marBottom w:val="0"/>
      <w:divBdr>
        <w:top w:val="none" w:sz="0" w:space="0" w:color="auto"/>
        <w:left w:val="none" w:sz="0" w:space="0" w:color="auto"/>
        <w:bottom w:val="none" w:sz="0" w:space="0" w:color="auto"/>
        <w:right w:val="none" w:sz="0" w:space="0" w:color="auto"/>
      </w:divBdr>
    </w:div>
    <w:div w:id="1514147809">
      <w:bodyDiv w:val="1"/>
      <w:marLeft w:val="0"/>
      <w:marRight w:val="0"/>
      <w:marTop w:val="0"/>
      <w:marBottom w:val="0"/>
      <w:divBdr>
        <w:top w:val="none" w:sz="0" w:space="0" w:color="auto"/>
        <w:left w:val="none" w:sz="0" w:space="0" w:color="auto"/>
        <w:bottom w:val="none" w:sz="0" w:space="0" w:color="auto"/>
        <w:right w:val="none" w:sz="0" w:space="0" w:color="auto"/>
      </w:divBdr>
    </w:div>
    <w:div w:id="1537280510">
      <w:bodyDiv w:val="1"/>
      <w:marLeft w:val="0"/>
      <w:marRight w:val="0"/>
      <w:marTop w:val="0"/>
      <w:marBottom w:val="0"/>
      <w:divBdr>
        <w:top w:val="none" w:sz="0" w:space="0" w:color="auto"/>
        <w:left w:val="none" w:sz="0" w:space="0" w:color="auto"/>
        <w:bottom w:val="none" w:sz="0" w:space="0" w:color="auto"/>
        <w:right w:val="none" w:sz="0" w:space="0" w:color="auto"/>
      </w:divBdr>
    </w:div>
    <w:div w:id="1554073763">
      <w:bodyDiv w:val="1"/>
      <w:marLeft w:val="0"/>
      <w:marRight w:val="0"/>
      <w:marTop w:val="0"/>
      <w:marBottom w:val="0"/>
      <w:divBdr>
        <w:top w:val="none" w:sz="0" w:space="0" w:color="auto"/>
        <w:left w:val="none" w:sz="0" w:space="0" w:color="auto"/>
        <w:bottom w:val="none" w:sz="0" w:space="0" w:color="auto"/>
        <w:right w:val="none" w:sz="0" w:space="0" w:color="auto"/>
      </w:divBdr>
    </w:div>
    <w:div w:id="1563590280">
      <w:bodyDiv w:val="1"/>
      <w:marLeft w:val="0"/>
      <w:marRight w:val="0"/>
      <w:marTop w:val="0"/>
      <w:marBottom w:val="0"/>
      <w:divBdr>
        <w:top w:val="none" w:sz="0" w:space="0" w:color="auto"/>
        <w:left w:val="none" w:sz="0" w:space="0" w:color="auto"/>
        <w:bottom w:val="none" w:sz="0" w:space="0" w:color="auto"/>
        <w:right w:val="none" w:sz="0" w:space="0" w:color="auto"/>
      </w:divBdr>
    </w:div>
    <w:div w:id="1571037238">
      <w:bodyDiv w:val="1"/>
      <w:marLeft w:val="0"/>
      <w:marRight w:val="0"/>
      <w:marTop w:val="0"/>
      <w:marBottom w:val="0"/>
      <w:divBdr>
        <w:top w:val="none" w:sz="0" w:space="0" w:color="auto"/>
        <w:left w:val="none" w:sz="0" w:space="0" w:color="auto"/>
        <w:bottom w:val="none" w:sz="0" w:space="0" w:color="auto"/>
        <w:right w:val="none" w:sz="0" w:space="0" w:color="auto"/>
      </w:divBdr>
    </w:div>
    <w:div w:id="1576282766">
      <w:bodyDiv w:val="1"/>
      <w:marLeft w:val="0"/>
      <w:marRight w:val="0"/>
      <w:marTop w:val="0"/>
      <w:marBottom w:val="0"/>
      <w:divBdr>
        <w:top w:val="none" w:sz="0" w:space="0" w:color="auto"/>
        <w:left w:val="none" w:sz="0" w:space="0" w:color="auto"/>
        <w:bottom w:val="none" w:sz="0" w:space="0" w:color="auto"/>
        <w:right w:val="none" w:sz="0" w:space="0" w:color="auto"/>
      </w:divBdr>
    </w:div>
    <w:div w:id="1588926443">
      <w:bodyDiv w:val="1"/>
      <w:marLeft w:val="0"/>
      <w:marRight w:val="0"/>
      <w:marTop w:val="0"/>
      <w:marBottom w:val="0"/>
      <w:divBdr>
        <w:top w:val="none" w:sz="0" w:space="0" w:color="auto"/>
        <w:left w:val="none" w:sz="0" w:space="0" w:color="auto"/>
        <w:bottom w:val="none" w:sz="0" w:space="0" w:color="auto"/>
        <w:right w:val="none" w:sz="0" w:space="0" w:color="auto"/>
      </w:divBdr>
    </w:div>
    <w:div w:id="1593708511">
      <w:bodyDiv w:val="1"/>
      <w:marLeft w:val="0"/>
      <w:marRight w:val="0"/>
      <w:marTop w:val="0"/>
      <w:marBottom w:val="0"/>
      <w:divBdr>
        <w:top w:val="none" w:sz="0" w:space="0" w:color="auto"/>
        <w:left w:val="none" w:sz="0" w:space="0" w:color="auto"/>
        <w:bottom w:val="none" w:sz="0" w:space="0" w:color="auto"/>
        <w:right w:val="none" w:sz="0" w:space="0" w:color="auto"/>
      </w:divBdr>
    </w:div>
    <w:div w:id="1612202152">
      <w:bodyDiv w:val="1"/>
      <w:marLeft w:val="0"/>
      <w:marRight w:val="0"/>
      <w:marTop w:val="0"/>
      <w:marBottom w:val="0"/>
      <w:divBdr>
        <w:top w:val="none" w:sz="0" w:space="0" w:color="auto"/>
        <w:left w:val="none" w:sz="0" w:space="0" w:color="auto"/>
        <w:bottom w:val="none" w:sz="0" w:space="0" w:color="auto"/>
        <w:right w:val="none" w:sz="0" w:space="0" w:color="auto"/>
      </w:divBdr>
    </w:div>
    <w:div w:id="1634092658">
      <w:bodyDiv w:val="1"/>
      <w:marLeft w:val="0"/>
      <w:marRight w:val="0"/>
      <w:marTop w:val="0"/>
      <w:marBottom w:val="0"/>
      <w:divBdr>
        <w:top w:val="none" w:sz="0" w:space="0" w:color="auto"/>
        <w:left w:val="none" w:sz="0" w:space="0" w:color="auto"/>
        <w:bottom w:val="none" w:sz="0" w:space="0" w:color="auto"/>
        <w:right w:val="none" w:sz="0" w:space="0" w:color="auto"/>
      </w:divBdr>
    </w:div>
    <w:div w:id="1637640198">
      <w:bodyDiv w:val="1"/>
      <w:marLeft w:val="0"/>
      <w:marRight w:val="0"/>
      <w:marTop w:val="0"/>
      <w:marBottom w:val="0"/>
      <w:divBdr>
        <w:top w:val="none" w:sz="0" w:space="0" w:color="auto"/>
        <w:left w:val="none" w:sz="0" w:space="0" w:color="auto"/>
        <w:bottom w:val="none" w:sz="0" w:space="0" w:color="auto"/>
        <w:right w:val="none" w:sz="0" w:space="0" w:color="auto"/>
      </w:divBdr>
    </w:div>
    <w:div w:id="1650138081">
      <w:bodyDiv w:val="1"/>
      <w:marLeft w:val="0"/>
      <w:marRight w:val="0"/>
      <w:marTop w:val="0"/>
      <w:marBottom w:val="0"/>
      <w:divBdr>
        <w:top w:val="none" w:sz="0" w:space="0" w:color="auto"/>
        <w:left w:val="none" w:sz="0" w:space="0" w:color="auto"/>
        <w:bottom w:val="none" w:sz="0" w:space="0" w:color="auto"/>
        <w:right w:val="none" w:sz="0" w:space="0" w:color="auto"/>
      </w:divBdr>
    </w:div>
    <w:div w:id="1650674588">
      <w:bodyDiv w:val="1"/>
      <w:marLeft w:val="0"/>
      <w:marRight w:val="0"/>
      <w:marTop w:val="0"/>
      <w:marBottom w:val="0"/>
      <w:divBdr>
        <w:top w:val="none" w:sz="0" w:space="0" w:color="auto"/>
        <w:left w:val="none" w:sz="0" w:space="0" w:color="auto"/>
        <w:bottom w:val="none" w:sz="0" w:space="0" w:color="auto"/>
        <w:right w:val="none" w:sz="0" w:space="0" w:color="auto"/>
      </w:divBdr>
    </w:div>
    <w:div w:id="1663005148">
      <w:bodyDiv w:val="1"/>
      <w:marLeft w:val="0"/>
      <w:marRight w:val="0"/>
      <w:marTop w:val="0"/>
      <w:marBottom w:val="0"/>
      <w:divBdr>
        <w:top w:val="none" w:sz="0" w:space="0" w:color="auto"/>
        <w:left w:val="none" w:sz="0" w:space="0" w:color="auto"/>
        <w:bottom w:val="none" w:sz="0" w:space="0" w:color="auto"/>
        <w:right w:val="none" w:sz="0" w:space="0" w:color="auto"/>
      </w:divBdr>
    </w:div>
    <w:div w:id="1670329888">
      <w:bodyDiv w:val="1"/>
      <w:marLeft w:val="0"/>
      <w:marRight w:val="0"/>
      <w:marTop w:val="0"/>
      <w:marBottom w:val="0"/>
      <w:divBdr>
        <w:top w:val="none" w:sz="0" w:space="0" w:color="auto"/>
        <w:left w:val="none" w:sz="0" w:space="0" w:color="auto"/>
        <w:bottom w:val="none" w:sz="0" w:space="0" w:color="auto"/>
        <w:right w:val="none" w:sz="0" w:space="0" w:color="auto"/>
      </w:divBdr>
    </w:div>
    <w:div w:id="1685093318">
      <w:bodyDiv w:val="1"/>
      <w:marLeft w:val="0"/>
      <w:marRight w:val="0"/>
      <w:marTop w:val="0"/>
      <w:marBottom w:val="0"/>
      <w:divBdr>
        <w:top w:val="none" w:sz="0" w:space="0" w:color="auto"/>
        <w:left w:val="none" w:sz="0" w:space="0" w:color="auto"/>
        <w:bottom w:val="none" w:sz="0" w:space="0" w:color="auto"/>
        <w:right w:val="none" w:sz="0" w:space="0" w:color="auto"/>
      </w:divBdr>
      <w:divsChild>
        <w:div w:id="1110467223">
          <w:marLeft w:val="0"/>
          <w:marRight w:val="0"/>
          <w:marTop w:val="0"/>
          <w:marBottom w:val="0"/>
          <w:divBdr>
            <w:top w:val="none" w:sz="0" w:space="0" w:color="auto"/>
            <w:left w:val="none" w:sz="0" w:space="0" w:color="auto"/>
            <w:bottom w:val="none" w:sz="0" w:space="0" w:color="auto"/>
            <w:right w:val="none" w:sz="0" w:space="0" w:color="auto"/>
          </w:divBdr>
          <w:divsChild>
            <w:div w:id="1882132573">
              <w:marLeft w:val="0"/>
              <w:marRight w:val="0"/>
              <w:marTop w:val="0"/>
              <w:marBottom w:val="0"/>
              <w:divBdr>
                <w:top w:val="none" w:sz="0" w:space="0" w:color="auto"/>
                <w:left w:val="none" w:sz="0" w:space="0" w:color="auto"/>
                <w:bottom w:val="none" w:sz="0" w:space="0" w:color="auto"/>
                <w:right w:val="none" w:sz="0" w:space="0" w:color="auto"/>
              </w:divBdr>
              <w:divsChild>
                <w:div w:id="1841578502">
                  <w:marLeft w:val="0"/>
                  <w:marRight w:val="0"/>
                  <w:marTop w:val="0"/>
                  <w:marBottom w:val="0"/>
                  <w:divBdr>
                    <w:top w:val="none" w:sz="0" w:space="0" w:color="auto"/>
                    <w:left w:val="none" w:sz="0" w:space="0" w:color="auto"/>
                    <w:bottom w:val="none" w:sz="0" w:space="0" w:color="auto"/>
                    <w:right w:val="none" w:sz="0" w:space="0" w:color="auto"/>
                  </w:divBdr>
                  <w:divsChild>
                    <w:div w:id="221019494">
                      <w:marLeft w:val="0"/>
                      <w:marRight w:val="0"/>
                      <w:marTop w:val="0"/>
                      <w:marBottom w:val="0"/>
                      <w:divBdr>
                        <w:top w:val="none" w:sz="0" w:space="0" w:color="auto"/>
                        <w:left w:val="none" w:sz="0" w:space="0" w:color="auto"/>
                        <w:bottom w:val="none" w:sz="0" w:space="0" w:color="auto"/>
                        <w:right w:val="none" w:sz="0" w:space="0" w:color="auto"/>
                      </w:divBdr>
                      <w:divsChild>
                        <w:div w:id="1948537295">
                          <w:marLeft w:val="0"/>
                          <w:marRight w:val="0"/>
                          <w:marTop w:val="0"/>
                          <w:marBottom w:val="0"/>
                          <w:divBdr>
                            <w:top w:val="none" w:sz="0" w:space="0" w:color="auto"/>
                            <w:left w:val="none" w:sz="0" w:space="0" w:color="auto"/>
                            <w:bottom w:val="none" w:sz="0" w:space="0" w:color="auto"/>
                            <w:right w:val="none" w:sz="0" w:space="0" w:color="auto"/>
                          </w:divBdr>
                          <w:divsChild>
                            <w:div w:id="1950618375">
                              <w:marLeft w:val="0"/>
                              <w:marRight w:val="0"/>
                              <w:marTop w:val="0"/>
                              <w:marBottom w:val="0"/>
                              <w:divBdr>
                                <w:top w:val="none" w:sz="0" w:space="0" w:color="auto"/>
                                <w:left w:val="none" w:sz="0" w:space="0" w:color="auto"/>
                                <w:bottom w:val="none" w:sz="0" w:space="0" w:color="auto"/>
                                <w:right w:val="none" w:sz="0" w:space="0" w:color="auto"/>
                              </w:divBdr>
                              <w:divsChild>
                                <w:div w:id="1946379634">
                                  <w:marLeft w:val="0"/>
                                  <w:marRight w:val="0"/>
                                  <w:marTop w:val="0"/>
                                  <w:marBottom w:val="0"/>
                                  <w:divBdr>
                                    <w:top w:val="none" w:sz="0" w:space="0" w:color="auto"/>
                                    <w:left w:val="none" w:sz="0" w:space="0" w:color="auto"/>
                                    <w:bottom w:val="none" w:sz="0" w:space="0" w:color="auto"/>
                                    <w:right w:val="none" w:sz="0" w:space="0" w:color="auto"/>
                                  </w:divBdr>
                                  <w:divsChild>
                                    <w:div w:id="335689905">
                                      <w:marLeft w:val="0"/>
                                      <w:marRight w:val="0"/>
                                      <w:marTop w:val="0"/>
                                      <w:marBottom w:val="0"/>
                                      <w:divBdr>
                                        <w:top w:val="none" w:sz="0" w:space="0" w:color="auto"/>
                                        <w:left w:val="none" w:sz="0" w:space="0" w:color="auto"/>
                                        <w:bottom w:val="none" w:sz="0" w:space="0" w:color="auto"/>
                                        <w:right w:val="none" w:sz="0" w:space="0" w:color="auto"/>
                                      </w:divBdr>
                                      <w:divsChild>
                                        <w:div w:id="311834705">
                                          <w:marLeft w:val="0"/>
                                          <w:marRight w:val="0"/>
                                          <w:marTop w:val="0"/>
                                          <w:marBottom w:val="0"/>
                                          <w:divBdr>
                                            <w:top w:val="none" w:sz="0" w:space="0" w:color="auto"/>
                                            <w:left w:val="none" w:sz="0" w:space="0" w:color="auto"/>
                                            <w:bottom w:val="none" w:sz="0" w:space="0" w:color="auto"/>
                                            <w:right w:val="none" w:sz="0" w:space="0" w:color="auto"/>
                                          </w:divBdr>
                                          <w:divsChild>
                                            <w:div w:id="1537347175">
                                              <w:marLeft w:val="0"/>
                                              <w:marRight w:val="0"/>
                                              <w:marTop w:val="0"/>
                                              <w:marBottom w:val="0"/>
                                              <w:divBdr>
                                                <w:top w:val="none" w:sz="0" w:space="0" w:color="auto"/>
                                                <w:left w:val="none" w:sz="0" w:space="0" w:color="auto"/>
                                                <w:bottom w:val="none" w:sz="0" w:space="0" w:color="auto"/>
                                                <w:right w:val="none" w:sz="0" w:space="0" w:color="auto"/>
                                              </w:divBdr>
                                              <w:divsChild>
                                                <w:div w:id="458885250">
                                                  <w:marLeft w:val="0"/>
                                                  <w:marRight w:val="0"/>
                                                  <w:marTop w:val="0"/>
                                                  <w:marBottom w:val="0"/>
                                                  <w:divBdr>
                                                    <w:top w:val="none" w:sz="0" w:space="0" w:color="auto"/>
                                                    <w:left w:val="none" w:sz="0" w:space="0" w:color="auto"/>
                                                    <w:bottom w:val="none" w:sz="0" w:space="0" w:color="auto"/>
                                                    <w:right w:val="none" w:sz="0" w:space="0" w:color="auto"/>
                                                  </w:divBdr>
                                                  <w:divsChild>
                                                    <w:div w:id="1339426433">
                                                      <w:marLeft w:val="0"/>
                                                      <w:marRight w:val="0"/>
                                                      <w:marTop w:val="0"/>
                                                      <w:marBottom w:val="0"/>
                                                      <w:divBdr>
                                                        <w:top w:val="none" w:sz="0" w:space="0" w:color="auto"/>
                                                        <w:left w:val="none" w:sz="0" w:space="0" w:color="auto"/>
                                                        <w:bottom w:val="none" w:sz="0" w:space="0" w:color="auto"/>
                                                        <w:right w:val="none" w:sz="0" w:space="0" w:color="auto"/>
                                                      </w:divBdr>
                                                      <w:divsChild>
                                                        <w:div w:id="29034478">
                                                          <w:marLeft w:val="0"/>
                                                          <w:marRight w:val="0"/>
                                                          <w:marTop w:val="0"/>
                                                          <w:marBottom w:val="0"/>
                                                          <w:divBdr>
                                                            <w:top w:val="none" w:sz="0" w:space="0" w:color="auto"/>
                                                            <w:left w:val="none" w:sz="0" w:space="0" w:color="auto"/>
                                                            <w:bottom w:val="none" w:sz="0" w:space="0" w:color="auto"/>
                                                            <w:right w:val="none" w:sz="0" w:space="0" w:color="auto"/>
                                                          </w:divBdr>
                                                          <w:divsChild>
                                                            <w:div w:id="1600984576">
                                                              <w:marLeft w:val="0"/>
                                                              <w:marRight w:val="0"/>
                                                              <w:marTop w:val="0"/>
                                                              <w:marBottom w:val="0"/>
                                                              <w:divBdr>
                                                                <w:top w:val="none" w:sz="0" w:space="0" w:color="auto"/>
                                                                <w:left w:val="none" w:sz="0" w:space="0" w:color="auto"/>
                                                                <w:bottom w:val="none" w:sz="0" w:space="0" w:color="auto"/>
                                                                <w:right w:val="none" w:sz="0" w:space="0" w:color="auto"/>
                                                              </w:divBdr>
                                                              <w:divsChild>
                                                                <w:div w:id="1411537975">
                                                                  <w:marLeft w:val="0"/>
                                                                  <w:marRight w:val="0"/>
                                                                  <w:marTop w:val="0"/>
                                                                  <w:marBottom w:val="0"/>
                                                                  <w:divBdr>
                                                                    <w:top w:val="none" w:sz="0" w:space="0" w:color="auto"/>
                                                                    <w:left w:val="none" w:sz="0" w:space="0" w:color="auto"/>
                                                                    <w:bottom w:val="none" w:sz="0" w:space="0" w:color="auto"/>
                                                                    <w:right w:val="none" w:sz="0" w:space="0" w:color="auto"/>
                                                                  </w:divBdr>
                                                                  <w:divsChild>
                                                                    <w:div w:id="1437100208">
                                                                      <w:marLeft w:val="0"/>
                                                                      <w:marRight w:val="0"/>
                                                                      <w:marTop w:val="0"/>
                                                                      <w:marBottom w:val="0"/>
                                                                      <w:divBdr>
                                                                        <w:top w:val="none" w:sz="0" w:space="0" w:color="auto"/>
                                                                        <w:left w:val="none" w:sz="0" w:space="0" w:color="auto"/>
                                                                        <w:bottom w:val="none" w:sz="0" w:space="0" w:color="auto"/>
                                                                        <w:right w:val="none" w:sz="0" w:space="0" w:color="auto"/>
                                                                      </w:divBdr>
                                                                      <w:divsChild>
                                                                        <w:div w:id="261035996">
                                                                          <w:marLeft w:val="0"/>
                                                                          <w:marRight w:val="0"/>
                                                                          <w:marTop w:val="0"/>
                                                                          <w:marBottom w:val="0"/>
                                                                          <w:divBdr>
                                                                            <w:top w:val="none" w:sz="0" w:space="0" w:color="auto"/>
                                                                            <w:left w:val="none" w:sz="0" w:space="0" w:color="auto"/>
                                                                            <w:bottom w:val="none" w:sz="0" w:space="0" w:color="auto"/>
                                                                            <w:right w:val="none" w:sz="0" w:space="0" w:color="auto"/>
                                                                          </w:divBdr>
                                                                          <w:divsChild>
                                                                            <w:div w:id="890653932">
                                                                              <w:marLeft w:val="0"/>
                                                                              <w:marRight w:val="0"/>
                                                                              <w:marTop w:val="0"/>
                                                                              <w:marBottom w:val="0"/>
                                                                              <w:divBdr>
                                                                                <w:top w:val="none" w:sz="0" w:space="0" w:color="auto"/>
                                                                                <w:left w:val="none" w:sz="0" w:space="0" w:color="auto"/>
                                                                                <w:bottom w:val="none" w:sz="0" w:space="0" w:color="auto"/>
                                                                                <w:right w:val="none" w:sz="0" w:space="0" w:color="auto"/>
                                                                              </w:divBdr>
                                                                              <w:divsChild>
                                                                                <w:div w:id="608925545">
                                                                                  <w:marLeft w:val="0"/>
                                                                                  <w:marRight w:val="0"/>
                                                                                  <w:marTop w:val="0"/>
                                                                                  <w:marBottom w:val="0"/>
                                                                                  <w:divBdr>
                                                                                    <w:top w:val="none" w:sz="0" w:space="0" w:color="auto"/>
                                                                                    <w:left w:val="none" w:sz="0" w:space="0" w:color="auto"/>
                                                                                    <w:bottom w:val="none" w:sz="0" w:space="0" w:color="auto"/>
                                                                                    <w:right w:val="none" w:sz="0" w:space="0" w:color="auto"/>
                                                                                  </w:divBdr>
                                                                                  <w:divsChild>
                                                                                    <w:div w:id="471480104">
                                                                                      <w:marLeft w:val="0"/>
                                                                                      <w:marRight w:val="0"/>
                                                                                      <w:marTop w:val="0"/>
                                                                                      <w:marBottom w:val="0"/>
                                                                                      <w:divBdr>
                                                                                        <w:top w:val="none" w:sz="0" w:space="0" w:color="auto"/>
                                                                                        <w:left w:val="none" w:sz="0" w:space="0" w:color="auto"/>
                                                                                        <w:bottom w:val="none" w:sz="0" w:space="0" w:color="auto"/>
                                                                                        <w:right w:val="none" w:sz="0" w:space="0" w:color="auto"/>
                                                                                      </w:divBdr>
                                                                                      <w:divsChild>
                                                                                        <w:div w:id="2017075793">
                                                                                          <w:marLeft w:val="0"/>
                                                                                          <w:marRight w:val="0"/>
                                                                                          <w:marTop w:val="0"/>
                                                                                          <w:marBottom w:val="0"/>
                                                                                          <w:divBdr>
                                                                                            <w:top w:val="none" w:sz="0" w:space="0" w:color="auto"/>
                                                                                            <w:left w:val="none" w:sz="0" w:space="0" w:color="auto"/>
                                                                                            <w:bottom w:val="none" w:sz="0" w:space="0" w:color="auto"/>
                                                                                            <w:right w:val="none" w:sz="0" w:space="0" w:color="auto"/>
                                                                                          </w:divBdr>
                                                                                          <w:divsChild>
                                                                                            <w:div w:id="2024475992">
                                                                                              <w:marLeft w:val="0"/>
                                                                                              <w:marRight w:val="0"/>
                                                                                              <w:marTop w:val="0"/>
                                                                                              <w:marBottom w:val="0"/>
                                                                                              <w:divBdr>
                                                                                                <w:top w:val="none" w:sz="0" w:space="0" w:color="auto"/>
                                                                                                <w:left w:val="none" w:sz="0" w:space="0" w:color="auto"/>
                                                                                                <w:bottom w:val="none" w:sz="0" w:space="0" w:color="auto"/>
                                                                                                <w:right w:val="none" w:sz="0" w:space="0" w:color="auto"/>
                                                                                              </w:divBdr>
                                                                                              <w:divsChild>
                                                                                                <w:div w:id="235479439">
                                                                                                  <w:marLeft w:val="0"/>
                                                                                                  <w:marRight w:val="0"/>
                                                                                                  <w:marTop w:val="0"/>
                                                                                                  <w:marBottom w:val="0"/>
                                                                                                  <w:divBdr>
                                                                                                    <w:top w:val="none" w:sz="0" w:space="0" w:color="auto"/>
                                                                                                    <w:left w:val="none" w:sz="0" w:space="0" w:color="auto"/>
                                                                                                    <w:bottom w:val="none" w:sz="0" w:space="0" w:color="auto"/>
                                                                                                    <w:right w:val="none" w:sz="0" w:space="0" w:color="auto"/>
                                                                                                  </w:divBdr>
                                                                                                  <w:divsChild>
                                                                                                    <w:div w:id="236211472">
                                                                                                      <w:marLeft w:val="0"/>
                                                                                                      <w:marRight w:val="0"/>
                                                                                                      <w:marTop w:val="0"/>
                                                                                                      <w:marBottom w:val="0"/>
                                                                                                      <w:divBdr>
                                                                                                        <w:top w:val="none" w:sz="0" w:space="0" w:color="auto"/>
                                                                                                        <w:left w:val="none" w:sz="0" w:space="0" w:color="auto"/>
                                                                                                        <w:bottom w:val="none" w:sz="0" w:space="0" w:color="auto"/>
                                                                                                        <w:right w:val="none" w:sz="0" w:space="0" w:color="auto"/>
                                                                                                      </w:divBdr>
                                                                                                      <w:divsChild>
                                                                                                        <w:div w:id="811362931">
                                                                                                          <w:marLeft w:val="720"/>
                                                                                                          <w:marRight w:val="0"/>
                                                                                                          <w:marTop w:val="0"/>
                                                                                                          <w:marBottom w:val="0"/>
                                                                                                          <w:divBdr>
                                                                                                            <w:top w:val="none" w:sz="0" w:space="0" w:color="auto"/>
                                                                                                            <w:left w:val="none" w:sz="0" w:space="0" w:color="auto"/>
                                                                                                            <w:bottom w:val="none" w:sz="0" w:space="0" w:color="auto"/>
                                                                                                            <w:right w:val="none" w:sz="0" w:space="0" w:color="auto"/>
                                                                                                          </w:divBdr>
                                                                                                        </w:div>
                                                                                                        <w:div w:id="863400354">
                                                                                                          <w:marLeft w:val="1440"/>
                                                                                                          <w:marRight w:val="0"/>
                                                                                                          <w:marTop w:val="0"/>
                                                                                                          <w:marBottom w:val="0"/>
                                                                                                          <w:divBdr>
                                                                                                            <w:top w:val="none" w:sz="0" w:space="0" w:color="auto"/>
                                                                                                            <w:left w:val="none" w:sz="0" w:space="0" w:color="auto"/>
                                                                                                            <w:bottom w:val="none" w:sz="0" w:space="0" w:color="auto"/>
                                                                                                            <w:right w:val="none" w:sz="0" w:space="0" w:color="auto"/>
                                                                                                          </w:divBdr>
                                                                                                        </w:div>
                                                                                                        <w:div w:id="872379485">
                                                                                                          <w:marLeft w:val="720"/>
                                                                                                          <w:marRight w:val="0"/>
                                                                                                          <w:marTop w:val="0"/>
                                                                                                          <w:marBottom w:val="0"/>
                                                                                                          <w:divBdr>
                                                                                                            <w:top w:val="none" w:sz="0" w:space="0" w:color="auto"/>
                                                                                                            <w:left w:val="none" w:sz="0" w:space="0" w:color="auto"/>
                                                                                                            <w:bottom w:val="none" w:sz="0" w:space="0" w:color="auto"/>
                                                                                                            <w:right w:val="none" w:sz="0" w:space="0" w:color="auto"/>
                                                                                                          </w:divBdr>
                                                                                                        </w:div>
                                                                                                        <w:div w:id="1342506130">
                                                                                                          <w:marLeft w:val="1440"/>
                                                                                                          <w:marRight w:val="0"/>
                                                                                                          <w:marTop w:val="0"/>
                                                                                                          <w:marBottom w:val="0"/>
                                                                                                          <w:divBdr>
                                                                                                            <w:top w:val="none" w:sz="0" w:space="0" w:color="auto"/>
                                                                                                            <w:left w:val="none" w:sz="0" w:space="0" w:color="auto"/>
                                                                                                            <w:bottom w:val="none" w:sz="0" w:space="0" w:color="auto"/>
                                                                                                            <w:right w:val="none" w:sz="0" w:space="0" w:color="auto"/>
                                                                                                          </w:divBdr>
                                                                                                        </w:div>
                                                                                                        <w:div w:id="1461610832">
                                                                                                          <w:marLeft w:val="720"/>
                                                                                                          <w:marRight w:val="0"/>
                                                                                                          <w:marTop w:val="0"/>
                                                                                                          <w:marBottom w:val="0"/>
                                                                                                          <w:divBdr>
                                                                                                            <w:top w:val="none" w:sz="0" w:space="0" w:color="auto"/>
                                                                                                            <w:left w:val="none" w:sz="0" w:space="0" w:color="auto"/>
                                                                                                            <w:bottom w:val="none" w:sz="0" w:space="0" w:color="auto"/>
                                                                                                            <w:right w:val="none" w:sz="0" w:space="0" w:color="auto"/>
                                                                                                          </w:divBdr>
                                                                                                        </w:div>
                                                                                                        <w:div w:id="1648313617">
                                                                                                          <w:marLeft w:val="720"/>
                                                                                                          <w:marRight w:val="0"/>
                                                                                                          <w:marTop w:val="0"/>
                                                                                                          <w:marBottom w:val="0"/>
                                                                                                          <w:divBdr>
                                                                                                            <w:top w:val="none" w:sz="0" w:space="0" w:color="auto"/>
                                                                                                            <w:left w:val="none" w:sz="0" w:space="0" w:color="auto"/>
                                                                                                            <w:bottom w:val="none" w:sz="0" w:space="0" w:color="auto"/>
                                                                                                            <w:right w:val="none" w:sz="0" w:space="0" w:color="auto"/>
                                                                                                          </w:divBdr>
                                                                                                        </w:div>
                                                                                                        <w:div w:id="19534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17231">
      <w:bodyDiv w:val="1"/>
      <w:marLeft w:val="0"/>
      <w:marRight w:val="0"/>
      <w:marTop w:val="0"/>
      <w:marBottom w:val="0"/>
      <w:divBdr>
        <w:top w:val="none" w:sz="0" w:space="0" w:color="auto"/>
        <w:left w:val="none" w:sz="0" w:space="0" w:color="auto"/>
        <w:bottom w:val="none" w:sz="0" w:space="0" w:color="auto"/>
        <w:right w:val="none" w:sz="0" w:space="0" w:color="auto"/>
      </w:divBdr>
    </w:div>
    <w:div w:id="1744722819">
      <w:bodyDiv w:val="1"/>
      <w:marLeft w:val="0"/>
      <w:marRight w:val="0"/>
      <w:marTop w:val="0"/>
      <w:marBottom w:val="0"/>
      <w:divBdr>
        <w:top w:val="none" w:sz="0" w:space="0" w:color="auto"/>
        <w:left w:val="none" w:sz="0" w:space="0" w:color="auto"/>
        <w:bottom w:val="none" w:sz="0" w:space="0" w:color="auto"/>
        <w:right w:val="none" w:sz="0" w:space="0" w:color="auto"/>
      </w:divBdr>
    </w:div>
    <w:div w:id="1766219818">
      <w:bodyDiv w:val="1"/>
      <w:marLeft w:val="0"/>
      <w:marRight w:val="0"/>
      <w:marTop w:val="0"/>
      <w:marBottom w:val="0"/>
      <w:divBdr>
        <w:top w:val="none" w:sz="0" w:space="0" w:color="auto"/>
        <w:left w:val="none" w:sz="0" w:space="0" w:color="auto"/>
        <w:bottom w:val="none" w:sz="0" w:space="0" w:color="auto"/>
        <w:right w:val="none" w:sz="0" w:space="0" w:color="auto"/>
      </w:divBdr>
    </w:div>
    <w:div w:id="1771008420">
      <w:bodyDiv w:val="1"/>
      <w:marLeft w:val="0"/>
      <w:marRight w:val="0"/>
      <w:marTop w:val="0"/>
      <w:marBottom w:val="0"/>
      <w:divBdr>
        <w:top w:val="none" w:sz="0" w:space="0" w:color="auto"/>
        <w:left w:val="none" w:sz="0" w:space="0" w:color="auto"/>
        <w:bottom w:val="none" w:sz="0" w:space="0" w:color="auto"/>
        <w:right w:val="none" w:sz="0" w:space="0" w:color="auto"/>
      </w:divBdr>
    </w:div>
    <w:div w:id="1774128849">
      <w:bodyDiv w:val="1"/>
      <w:marLeft w:val="0"/>
      <w:marRight w:val="0"/>
      <w:marTop w:val="0"/>
      <w:marBottom w:val="0"/>
      <w:divBdr>
        <w:top w:val="none" w:sz="0" w:space="0" w:color="auto"/>
        <w:left w:val="none" w:sz="0" w:space="0" w:color="auto"/>
        <w:bottom w:val="none" w:sz="0" w:space="0" w:color="auto"/>
        <w:right w:val="none" w:sz="0" w:space="0" w:color="auto"/>
      </w:divBdr>
    </w:div>
    <w:div w:id="1792826201">
      <w:bodyDiv w:val="1"/>
      <w:marLeft w:val="0"/>
      <w:marRight w:val="0"/>
      <w:marTop w:val="0"/>
      <w:marBottom w:val="0"/>
      <w:divBdr>
        <w:top w:val="none" w:sz="0" w:space="0" w:color="auto"/>
        <w:left w:val="none" w:sz="0" w:space="0" w:color="auto"/>
        <w:bottom w:val="none" w:sz="0" w:space="0" w:color="auto"/>
        <w:right w:val="none" w:sz="0" w:space="0" w:color="auto"/>
      </w:divBdr>
    </w:div>
    <w:div w:id="1825194769">
      <w:bodyDiv w:val="1"/>
      <w:marLeft w:val="0"/>
      <w:marRight w:val="0"/>
      <w:marTop w:val="0"/>
      <w:marBottom w:val="0"/>
      <w:divBdr>
        <w:top w:val="none" w:sz="0" w:space="0" w:color="auto"/>
        <w:left w:val="none" w:sz="0" w:space="0" w:color="auto"/>
        <w:bottom w:val="none" w:sz="0" w:space="0" w:color="auto"/>
        <w:right w:val="none" w:sz="0" w:space="0" w:color="auto"/>
      </w:divBdr>
    </w:div>
    <w:div w:id="1827823168">
      <w:bodyDiv w:val="1"/>
      <w:marLeft w:val="0"/>
      <w:marRight w:val="0"/>
      <w:marTop w:val="0"/>
      <w:marBottom w:val="0"/>
      <w:divBdr>
        <w:top w:val="none" w:sz="0" w:space="0" w:color="auto"/>
        <w:left w:val="none" w:sz="0" w:space="0" w:color="auto"/>
        <w:bottom w:val="none" w:sz="0" w:space="0" w:color="auto"/>
        <w:right w:val="none" w:sz="0" w:space="0" w:color="auto"/>
      </w:divBdr>
    </w:div>
    <w:div w:id="1848060454">
      <w:bodyDiv w:val="1"/>
      <w:marLeft w:val="0"/>
      <w:marRight w:val="0"/>
      <w:marTop w:val="0"/>
      <w:marBottom w:val="0"/>
      <w:divBdr>
        <w:top w:val="none" w:sz="0" w:space="0" w:color="auto"/>
        <w:left w:val="none" w:sz="0" w:space="0" w:color="auto"/>
        <w:bottom w:val="none" w:sz="0" w:space="0" w:color="auto"/>
        <w:right w:val="none" w:sz="0" w:space="0" w:color="auto"/>
      </w:divBdr>
    </w:div>
    <w:div w:id="1861163768">
      <w:bodyDiv w:val="1"/>
      <w:marLeft w:val="0"/>
      <w:marRight w:val="0"/>
      <w:marTop w:val="0"/>
      <w:marBottom w:val="0"/>
      <w:divBdr>
        <w:top w:val="none" w:sz="0" w:space="0" w:color="auto"/>
        <w:left w:val="none" w:sz="0" w:space="0" w:color="auto"/>
        <w:bottom w:val="none" w:sz="0" w:space="0" w:color="auto"/>
        <w:right w:val="none" w:sz="0" w:space="0" w:color="auto"/>
      </w:divBdr>
    </w:div>
    <w:div w:id="1861628995">
      <w:bodyDiv w:val="1"/>
      <w:marLeft w:val="0"/>
      <w:marRight w:val="0"/>
      <w:marTop w:val="0"/>
      <w:marBottom w:val="0"/>
      <w:divBdr>
        <w:top w:val="none" w:sz="0" w:space="0" w:color="auto"/>
        <w:left w:val="none" w:sz="0" w:space="0" w:color="auto"/>
        <w:bottom w:val="none" w:sz="0" w:space="0" w:color="auto"/>
        <w:right w:val="none" w:sz="0" w:space="0" w:color="auto"/>
      </w:divBdr>
    </w:div>
    <w:div w:id="1865056011">
      <w:bodyDiv w:val="1"/>
      <w:marLeft w:val="0"/>
      <w:marRight w:val="0"/>
      <w:marTop w:val="0"/>
      <w:marBottom w:val="0"/>
      <w:divBdr>
        <w:top w:val="none" w:sz="0" w:space="0" w:color="auto"/>
        <w:left w:val="none" w:sz="0" w:space="0" w:color="auto"/>
        <w:bottom w:val="none" w:sz="0" w:space="0" w:color="auto"/>
        <w:right w:val="none" w:sz="0" w:space="0" w:color="auto"/>
      </w:divBdr>
    </w:div>
    <w:div w:id="1865245926">
      <w:bodyDiv w:val="1"/>
      <w:marLeft w:val="0"/>
      <w:marRight w:val="0"/>
      <w:marTop w:val="0"/>
      <w:marBottom w:val="0"/>
      <w:divBdr>
        <w:top w:val="none" w:sz="0" w:space="0" w:color="auto"/>
        <w:left w:val="none" w:sz="0" w:space="0" w:color="auto"/>
        <w:bottom w:val="none" w:sz="0" w:space="0" w:color="auto"/>
        <w:right w:val="none" w:sz="0" w:space="0" w:color="auto"/>
      </w:divBdr>
    </w:div>
    <w:div w:id="1912350268">
      <w:bodyDiv w:val="1"/>
      <w:marLeft w:val="0"/>
      <w:marRight w:val="0"/>
      <w:marTop w:val="0"/>
      <w:marBottom w:val="0"/>
      <w:divBdr>
        <w:top w:val="none" w:sz="0" w:space="0" w:color="auto"/>
        <w:left w:val="none" w:sz="0" w:space="0" w:color="auto"/>
        <w:bottom w:val="none" w:sz="0" w:space="0" w:color="auto"/>
        <w:right w:val="none" w:sz="0" w:space="0" w:color="auto"/>
      </w:divBdr>
    </w:div>
    <w:div w:id="1913586042">
      <w:bodyDiv w:val="1"/>
      <w:marLeft w:val="0"/>
      <w:marRight w:val="0"/>
      <w:marTop w:val="0"/>
      <w:marBottom w:val="0"/>
      <w:divBdr>
        <w:top w:val="none" w:sz="0" w:space="0" w:color="auto"/>
        <w:left w:val="none" w:sz="0" w:space="0" w:color="auto"/>
        <w:bottom w:val="none" w:sz="0" w:space="0" w:color="auto"/>
        <w:right w:val="none" w:sz="0" w:space="0" w:color="auto"/>
      </w:divBdr>
    </w:div>
    <w:div w:id="1925990765">
      <w:bodyDiv w:val="1"/>
      <w:marLeft w:val="0"/>
      <w:marRight w:val="0"/>
      <w:marTop w:val="0"/>
      <w:marBottom w:val="0"/>
      <w:divBdr>
        <w:top w:val="none" w:sz="0" w:space="0" w:color="auto"/>
        <w:left w:val="none" w:sz="0" w:space="0" w:color="auto"/>
        <w:bottom w:val="none" w:sz="0" w:space="0" w:color="auto"/>
        <w:right w:val="none" w:sz="0" w:space="0" w:color="auto"/>
      </w:divBdr>
    </w:div>
    <w:div w:id="1928344256">
      <w:bodyDiv w:val="1"/>
      <w:marLeft w:val="0"/>
      <w:marRight w:val="0"/>
      <w:marTop w:val="0"/>
      <w:marBottom w:val="0"/>
      <w:divBdr>
        <w:top w:val="none" w:sz="0" w:space="0" w:color="auto"/>
        <w:left w:val="none" w:sz="0" w:space="0" w:color="auto"/>
        <w:bottom w:val="none" w:sz="0" w:space="0" w:color="auto"/>
        <w:right w:val="none" w:sz="0" w:space="0" w:color="auto"/>
      </w:divBdr>
    </w:div>
    <w:div w:id="1933732885">
      <w:bodyDiv w:val="1"/>
      <w:marLeft w:val="0"/>
      <w:marRight w:val="0"/>
      <w:marTop w:val="0"/>
      <w:marBottom w:val="0"/>
      <w:divBdr>
        <w:top w:val="none" w:sz="0" w:space="0" w:color="auto"/>
        <w:left w:val="none" w:sz="0" w:space="0" w:color="auto"/>
        <w:bottom w:val="none" w:sz="0" w:space="0" w:color="auto"/>
        <w:right w:val="none" w:sz="0" w:space="0" w:color="auto"/>
      </w:divBdr>
    </w:div>
    <w:div w:id="1947075930">
      <w:bodyDiv w:val="1"/>
      <w:marLeft w:val="0"/>
      <w:marRight w:val="0"/>
      <w:marTop w:val="0"/>
      <w:marBottom w:val="0"/>
      <w:divBdr>
        <w:top w:val="none" w:sz="0" w:space="0" w:color="auto"/>
        <w:left w:val="none" w:sz="0" w:space="0" w:color="auto"/>
        <w:bottom w:val="none" w:sz="0" w:space="0" w:color="auto"/>
        <w:right w:val="none" w:sz="0" w:space="0" w:color="auto"/>
      </w:divBdr>
    </w:div>
    <w:div w:id="1975524989">
      <w:bodyDiv w:val="1"/>
      <w:marLeft w:val="0"/>
      <w:marRight w:val="0"/>
      <w:marTop w:val="0"/>
      <w:marBottom w:val="0"/>
      <w:divBdr>
        <w:top w:val="none" w:sz="0" w:space="0" w:color="auto"/>
        <w:left w:val="none" w:sz="0" w:space="0" w:color="auto"/>
        <w:bottom w:val="none" w:sz="0" w:space="0" w:color="auto"/>
        <w:right w:val="none" w:sz="0" w:space="0" w:color="auto"/>
      </w:divBdr>
    </w:div>
    <w:div w:id="1980726662">
      <w:bodyDiv w:val="1"/>
      <w:marLeft w:val="0"/>
      <w:marRight w:val="0"/>
      <w:marTop w:val="0"/>
      <w:marBottom w:val="0"/>
      <w:divBdr>
        <w:top w:val="none" w:sz="0" w:space="0" w:color="auto"/>
        <w:left w:val="none" w:sz="0" w:space="0" w:color="auto"/>
        <w:bottom w:val="none" w:sz="0" w:space="0" w:color="auto"/>
        <w:right w:val="none" w:sz="0" w:space="0" w:color="auto"/>
      </w:divBdr>
    </w:div>
    <w:div w:id="1987052909">
      <w:bodyDiv w:val="1"/>
      <w:marLeft w:val="0"/>
      <w:marRight w:val="0"/>
      <w:marTop w:val="0"/>
      <w:marBottom w:val="0"/>
      <w:divBdr>
        <w:top w:val="none" w:sz="0" w:space="0" w:color="auto"/>
        <w:left w:val="none" w:sz="0" w:space="0" w:color="auto"/>
        <w:bottom w:val="none" w:sz="0" w:space="0" w:color="auto"/>
        <w:right w:val="none" w:sz="0" w:space="0" w:color="auto"/>
      </w:divBdr>
    </w:div>
    <w:div w:id="1996907918">
      <w:bodyDiv w:val="1"/>
      <w:marLeft w:val="0"/>
      <w:marRight w:val="0"/>
      <w:marTop w:val="0"/>
      <w:marBottom w:val="0"/>
      <w:divBdr>
        <w:top w:val="none" w:sz="0" w:space="0" w:color="auto"/>
        <w:left w:val="none" w:sz="0" w:space="0" w:color="auto"/>
        <w:bottom w:val="none" w:sz="0" w:space="0" w:color="auto"/>
        <w:right w:val="none" w:sz="0" w:space="0" w:color="auto"/>
      </w:divBdr>
    </w:div>
    <w:div w:id="1996956986">
      <w:bodyDiv w:val="1"/>
      <w:marLeft w:val="0"/>
      <w:marRight w:val="0"/>
      <w:marTop w:val="0"/>
      <w:marBottom w:val="0"/>
      <w:divBdr>
        <w:top w:val="none" w:sz="0" w:space="0" w:color="auto"/>
        <w:left w:val="none" w:sz="0" w:space="0" w:color="auto"/>
        <w:bottom w:val="none" w:sz="0" w:space="0" w:color="auto"/>
        <w:right w:val="none" w:sz="0" w:space="0" w:color="auto"/>
      </w:divBdr>
    </w:div>
    <w:div w:id="2011252167">
      <w:bodyDiv w:val="1"/>
      <w:marLeft w:val="0"/>
      <w:marRight w:val="0"/>
      <w:marTop w:val="0"/>
      <w:marBottom w:val="0"/>
      <w:divBdr>
        <w:top w:val="none" w:sz="0" w:space="0" w:color="auto"/>
        <w:left w:val="none" w:sz="0" w:space="0" w:color="auto"/>
        <w:bottom w:val="none" w:sz="0" w:space="0" w:color="auto"/>
        <w:right w:val="none" w:sz="0" w:space="0" w:color="auto"/>
      </w:divBdr>
    </w:div>
    <w:div w:id="2017926642">
      <w:bodyDiv w:val="1"/>
      <w:marLeft w:val="0"/>
      <w:marRight w:val="0"/>
      <w:marTop w:val="0"/>
      <w:marBottom w:val="0"/>
      <w:divBdr>
        <w:top w:val="none" w:sz="0" w:space="0" w:color="auto"/>
        <w:left w:val="none" w:sz="0" w:space="0" w:color="auto"/>
        <w:bottom w:val="none" w:sz="0" w:space="0" w:color="auto"/>
        <w:right w:val="none" w:sz="0" w:space="0" w:color="auto"/>
      </w:divBdr>
    </w:div>
    <w:div w:id="2022974828">
      <w:bodyDiv w:val="1"/>
      <w:marLeft w:val="0"/>
      <w:marRight w:val="0"/>
      <w:marTop w:val="0"/>
      <w:marBottom w:val="0"/>
      <w:divBdr>
        <w:top w:val="none" w:sz="0" w:space="0" w:color="auto"/>
        <w:left w:val="none" w:sz="0" w:space="0" w:color="auto"/>
        <w:bottom w:val="none" w:sz="0" w:space="0" w:color="auto"/>
        <w:right w:val="none" w:sz="0" w:space="0" w:color="auto"/>
      </w:divBdr>
    </w:div>
    <w:div w:id="2026248672">
      <w:bodyDiv w:val="1"/>
      <w:marLeft w:val="0"/>
      <w:marRight w:val="0"/>
      <w:marTop w:val="0"/>
      <w:marBottom w:val="0"/>
      <w:divBdr>
        <w:top w:val="none" w:sz="0" w:space="0" w:color="auto"/>
        <w:left w:val="none" w:sz="0" w:space="0" w:color="auto"/>
        <w:bottom w:val="none" w:sz="0" w:space="0" w:color="auto"/>
        <w:right w:val="none" w:sz="0" w:space="0" w:color="auto"/>
      </w:divBdr>
    </w:div>
    <w:div w:id="2042780063">
      <w:bodyDiv w:val="1"/>
      <w:marLeft w:val="0"/>
      <w:marRight w:val="0"/>
      <w:marTop w:val="0"/>
      <w:marBottom w:val="0"/>
      <w:divBdr>
        <w:top w:val="none" w:sz="0" w:space="0" w:color="auto"/>
        <w:left w:val="none" w:sz="0" w:space="0" w:color="auto"/>
        <w:bottom w:val="none" w:sz="0" w:space="0" w:color="auto"/>
        <w:right w:val="none" w:sz="0" w:space="0" w:color="auto"/>
      </w:divBdr>
    </w:div>
    <w:div w:id="2074769028">
      <w:bodyDiv w:val="1"/>
      <w:marLeft w:val="0"/>
      <w:marRight w:val="0"/>
      <w:marTop w:val="0"/>
      <w:marBottom w:val="0"/>
      <w:divBdr>
        <w:top w:val="none" w:sz="0" w:space="0" w:color="auto"/>
        <w:left w:val="none" w:sz="0" w:space="0" w:color="auto"/>
        <w:bottom w:val="none" w:sz="0" w:space="0" w:color="auto"/>
        <w:right w:val="none" w:sz="0" w:space="0" w:color="auto"/>
      </w:divBdr>
    </w:div>
    <w:div w:id="2077242028">
      <w:bodyDiv w:val="1"/>
      <w:marLeft w:val="0"/>
      <w:marRight w:val="0"/>
      <w:marTop w:val="0"/>
      <w:marBottom w:val="0"/>
      <w:divBdr>
        <w:top w:val="none" w:sz="0" w:space="0" w:color="auto"/>
        <w:left w:val="none" w:sz="0" w:space="0" w:color="auto"/>
        <w:bottom w:val="none" w:sz="0" w:space="0" w:color="auto"/>
        <w:right w:val="none" w:sz="0" w:space="0" w:color="auto"/>
      </w:divBdr>
    </w:div>
    <w:div w:id="2106219040">
      <w:bodyDiv w:val="1"/>
      <w:marLeft w:val="0"/>
      <w:marRight w:val="0"/>
      <w:marTop w:val="0"/>
      <w:marBottom w:val="0"/>
      <w:divBdr>
        <w:top w:val="none" w:sz="0" w:space="0" w:color="auto"/>
        <w:left w:val="none" w:sz="0" w:space="0" w:color="auto"/>
        <w:bottom w:val="none" w:sz="0" w:space="0" w:color="auto"/>
        <w:right w:val="none" w:sz="0" w:space="0" w:color="auto"/>
      </w:divBdr>
    </w:div>
    <w:div w:id="2112043236">
      <w:bodyDiv w:val="1"/>
      <w:marLeft w:val="0"/>
      <w:marRight w:val="0"/>
      <w:marTop w:val="0"/>
      <w:marBottom w:val="0"/>
      <w:divBdr>
        <w:top w:val="none" w:sz="0" w:space="0" w:color="auto"/>
        <w:left w:val="none" w:sz="0" w:space="0" w:color="auto"/>
        <w:bottom w:val="none" w:sz="0" w:space="0" w:color="auto"/>
        <w:right w:val="none" w:sz="0" w:space="0" w:color="auto"/>
      </w:divBdr>
    </w:div>
    <w:div w:id="2112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doctorconnect.gov.au/"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3.xm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0.emf"/><Relationship Id="rId5" Type="http://schemas.microsoft.com/office/2007/relationships/stylesWithEffects" Target="stylesWithEffect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header" Target="header8.xml"/><Relationship Id="rId95" Type="http://schemas.openxmlformats.org/officeDocument/2006/relationships/image" Target="media/image73.png"/><Relationship Id="rId165" Type="http://schemas.microsoft.com/office/2011/relationships/people" Target="people.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8.emf"/><Relationship Id="rId105" Type="http://schemas.openxmlformats.org/officeDocument/2006/relationships/header" Target="header11.xm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1.png"/><Relationship Id="rId98" Type="http://schemas.openxmlformats.org/officeDocument/2006/relationships/image" Target="media/image76.emf"/><Relationship Id="rId163"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4.xml"/><Relationship Id="rId67" Type="http://schemas.openxmlformats.org/officeDocument/2006/relationships/image" Target="media/image48.png"/><Relationship Id="rId103"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eader" Target="header6.xml"/><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5.xm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emf"/><Relationship Id="rId164"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header" Target="header10.xml"/><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image" Target="media/image70.emf"/></Relationships>
</file>

<file path=word/_rels/footnotes.xml.rels><?xml version="1.0" encoding="UTF-8" standalone="yes"?>
<Relationships xmlns="http://schemas.openxmlformats.org/package/2006/relationships"><Relationship Id="rId2" Type="http://schemas.openxmlformats.org/officeDocument/2006/relationships/hyperlink" Target="http://www.medicalboard.gov.au/News/Statistics.aspx" TargetMode="External"/><Relationship Id="rId1" Type="http://schemas.openxmlformats.org/officeDocument/2006/relationships/hyperlink" Target="http://www.ranzcog.edu.au/the-ranzcog/about-special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B70CA-DCCF-4624-A84E-6802DEB68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23448</Words>
  <Characters>133660</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Australia’s Future Health Workforce – Obstetrics and Gynaecology</vt:lpstr>
    </vt:vector>
  </TitlesOfParts>
  <Company>Department of Health</Company>
  <LinksUpToDate>false</LinksUpToDate>
  <CharactersWithSpaces>156795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 Obstetrics and Gynaecology</dc:title>
  <dc:creator/>
  <cp:lastModifiedBy>Huard John</cp:lastModifiedBy>
  <cp:revision>3</cp:revision>
  <cp:lastPrinted>2018-07-09T06:31:00Z</cp:lastPrinted>
  <dcterms:created xsi:type="dcterms:W3CDTF">2018-09-03T05:44:00Z</dcterms:created>
  <dcterms:modified xsi:type="dcterms:W3CDTF">2018-09-03T22:09:00Z</dcterms:modified>
</cp:coreProperties>
</file>