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drawings/drawing1.xml" ContentType="application/vnd.openxmlformats-officedocument.drawingml.chartshapes+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theme/themeOverride2.xml" ContentType="application/vnd.openxmlformats-officedocument.themeOverride+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B789709" w14:textId="1A94DF0B" w:rsidR="00007E6F" w:rsidRPr="00D97226" w:rsidRDefault="00007E6F" w:rsidP="00D20D53">
      <w:pPr>
        <w:pStyle w:val="Title"/>
        <w:rPr>
          <w:color w:val="auto"/>
        </w:rPr>
      </w:pPr>
      <w:r w:rsidRPr="00D97226">
        <w:rPr>
          <w:color w:val="auto"/>
        </w:rPr>
        <w:t>Australia’s Future Health</w:t>
      </w:r>
      <w:r w:rsidR="00D20D53" w:rsidRPr="00D97226">
        <w:rPr>
          <w:color w:val="auto"/>
        </w:rPr>
        <w:br/>
      </w:r>
      <w:r w:rsidRPr="00D97226">
        <w:rPr>
          <w:color w:val="auto"/>
        </w:rPr>
        <w:t>Workforce – Nurses</w:t>
      </w:r>
      <w:r w:rsidR="00D20D53" w:rsidRPr="00D97226">
        <w:rPr>
          <w:color w:val="auto"/>
        </w:rPr>
        <w:br/>
      </w:r>
      <w:r w:rsidRPr="00D97226">
        <w:rPr>
          <w:color w:val="auto"/>
        </w:rPr>
        <w:t>Overview Report</w:t>
      </w:r>
    </w:p>
    <w:p w14:paraId="618E6EB4" w14:textId="70BF34BA" w:rsidR="004A1FD6" w:rsidRPr="00D97226" w:rsidRDefault="00007E6F" w:rsidP="00D20D53">
      <w:pPr>
        <w:pStyle w:val="Subtitle"/>
        <w:rPr>
          <w:color w:val="auto"/>
        </w:rPr>
      </w:pPr>
      <w:r w:rsidRPr="00D97226">
        <w:rPr>
          <w:color w:val="auto"/>
        </w:rPr>
        <w:t>August 2014</w:t>
      </w:r>
    </w:p>
    <w:p w14:paraId="3039E34E" w14:textId="77777777" w:rsidR="004A1FD6" w:rsidRPr="00D20D53" w:rsidRDefault="004A1FD6" w:rsidP="00D20D53">
      <w:pPr>
        <w:sectPr w:rsidR="004A1FD6" w:rsidRPr="00D20D53" w:rsidSect="001D3F14">
          <w:footerReference w:type="default" r:id="rId9"/>
          <w:headerReference w:type="first" r:id="rId10"/>
          <w:pgSz w:w="11906" w:h="16838"/>
          <w:pgMar w:top="851" w:right="851" w:bottom="851" w:left="851" w:header="709" w:footer="0" w:gutter="0"/>
          <w:cols w:space="720"/>
          <w:titlePg/>
          <w:docGrid w:linePitch="360"/>
        </w:sectPr>
      </w:pPr>
    </w:p>
    <w:p w14:paraId="15DC2CB4" w14:textId="77777777" w:rsidR="00731AEF" w:rsidRPr="00D20D53" w:rsidRDefault="00731AEF" w:rsidP="00D20D53">
      <w:pPr>
        <w:rPr>
          <w:b/>
        </w:rPr>
      </w:pPr>
      <w:r w:rsidRPr="00D20D53">
        <w:rPr>
          <w:b/>
        </w:rPr>
        <w:lastRenderedPageBreak/>
        <w:t>© Commonwealth of Australia 2014</w:t>
      </w:r>
    </w:p>
    <w:p w14:paraId="3AABACFD" w14:textId="77777777" w:rsidR="00731AEF" w:rsidRPr="00F477F6" w:rsidRDefault="00731AEF" w:rsidP="00D20D53">
      <w:r w:rsidRPr="00F477F6">
        <w:t xml:space="preserve">This work is copyright. You may download, display, print and reproduce the whole or part of this work in unaltered form for your own personal use or, if you are part of an organisation, for internal use within your organisation, but only if you or your organisation do not use the reproduction for any commercial purpose and retain this copyright notice and all disclaimer notices as part of that reproduction. Apart from rights to use as permitted by the Copyright Act 1968 or allowed by this copyright notice, all other rights are reserved and you are not allowed to reproduce the whole or any part of this work in any way (electronic or otherwise) without first being given the specific written permission from the Commonwealth to do so. Requests and inquiries concerning reproduction and rights are to be sent to the Communication Branch, Department of Health, GPO Box 9848, Canberra ACT 2601, or via e-mail to </w:t>
      </w:r>
      <w:hyperlink r:id="rId11" w:history="1">
        <w:r w:rsidRPr="00F477F6">
          <w:rPr>
            <w:color w:val="0000FF"/>
            <w:u w:val="single"/>
          </w:rPr>
          <w:t>copyright@health.gov.au</w:t>
        </w:r>
      </w:hyperlink>
      <w:r w:rsidRPr="00F477F6">
        <w:t>.</w:t>
      </w:r>
    </w:p>
    <w:p w14:paraId="67183735" w14:textId="38EE45BC" w:rsidR="00731AEF" w:rsidRPr="00F477F6" w:rsidRDefault="00731AEF" w:rsidP="00D20D53">
      <w:pPr>
        <w:rPr>
          <w:lang w:eastAsia="en-AU"/>
        </w:rPr>
      </w:pPr>
      <w:r w:rsidRPr="00F477F6">
        <w:rPr>
          <w:lang w:eastAsia="en-AU"/>
        </w:rPr>
        <w:t xml:space="preserve">The Australia’s Future Health Workforce – Nurses Overview report was developed by Health Workforce Australia with the input of key stakeholders for the consideration of Commonwealth, State and Territory Health Ministers. </w:t>
      </w:r>
    </w:p>
    <w:p w14:paraId="270AC92B" w14:textId="77777777" w:rsidR="00731AEF" w:rsidRPr="00F477F6" w:rsidRDefault="00731AEF" w:rsidP="00D20D53">
      <w:r w:rsidRPr="00F477F6">
        <w:t xml:space="preserve">Health Workforce Australia was abolished on 8 October 2014. </w:t>
      </w:r>
    </w:p>
    <w:p w14:paraId="63D43316" w14:textId="4BF4C0EB" w:rsidR="00731AEF" w:rsidRPr="00F477F6" w:rsidRDefault="00731AEF" w:rsidP="00D20D53">
      <w:r w:rsidRPr="00F477F6">
        <w:t xml:space="preserve">The Australia’s Future Health Workforce – Nurses Overview report was approved for publication by the Commonwealth and all State and Territory Health Ministers on 10 October 2014. </w:t>
      </w:r>
    </w:p>
    <w:p w14:paraId="6457EC8E" w14:textId="77777777" w:rsidR="00007E6F" w:rsidRPr="00F477F6" w:rsidRDefault="00731AEF" w:rsidP="00D20D53">
      <w:r w:rsidRPr="00F477F6">
        <w:t xml:space="preserve">The recommendations contained in the Australia’s Future Health Workforce – Nurses Overview report will be the subject of further consideration. </w:t>
      </w:r>
    </w:p>
    <w:p w14:paraId="74962E6B" w14:textId="1C1AFD6C" w:rsidR="00731AEF" w:rsidRPr="00F477F6" w:rsidRDefault="00731AEF" w:rsidP="00D20D53">
      <w:r w:rsidRPr="00F477F6">
        <w:t xml:space="preserve">Enquiries concerning this report and its reproduction should be directed to: </w:t>
      </w:r>
    </w:p>
    <w:p w14:paraId="012B7FC6" w14:textId="76CB15DA" w:rsidR="00007E6F" w:rsidRPr="00F477F6" w:rsidRDefault="00731AEF" w:rsidP="00D20D53">
      <w:r w:rsidRPr="00F477F6">
        <w:t>Department of Health</w:t>
      </w:r>
      <w:r w:rsidR="00CD2720">
        <w:br/>
      </w:r>
      <w:r w:rsidRPr="00F477F6">
        <w:t>GPO Box 9848</w:t>
      </w:r>
      <w:r w:rsidR="00CD2720">
        <w:br/>
      </w:r>
      <w:r w:rsidRPr="00F477F6">
        <w:t>Canberra ACT 2601</w:t>
      </w:r>
      <w:r w:rsidR="00CD2720">
        <w:br/>
      </w:r>
      <w:r w:rsidR="00A67879" w:rsidRPr="00F477F6">
        <w:t>enquiries@health.gov.au</w:t>
      </w:r>
      <w:r w:rsidRPr="00F477F6">
        <w:t xml:space="preserve"> </w:t>
      </w:r>
    </w:p>
    <w:p w14:paraId="52875E17" w14:textId="7CD17D4F" w:rsidR="00731AEF" w:rsidRPr="00F477F6" w:rsidRDefault="00731AEF" w:rsidP="00D20D53">
      <w:r w:rsidRPr="00F477F6">
        <w:t>Suggested citation: Health Workforce Australia 2014: Australia’s Future Health Workforce – Nurses Overview</w:t>
      </w:r>
    </w:p>
    <w:p w14:paraId="047553A9" w14:textId="77777777" w:rsidR="00BB4E1A" w:rsidRPr="00CD2720" w:rsidRDefault="00BB4E1A" w:rsidP="00D20D53">
      <w:r w:rsidRPr="00CD2720">
        <w:br w:type="page"/>
      </w:r>
    </w:p>
    <w:p w14:paraId="7D6393EC" w14:textId="0CE33BAF" w:rsidR="00F943F3" w:rsidRPr="00F477F6" w:rsidRDefault="00BB053E" w:rsidP="00D20D53">
      <w:pPr>
        <w:pStyle w:val="Heading1"/>
      </w:pPr>
      <w:bookmarkStart w:id="1" w:name="_Toc407783183"/>
      <w:r w:rsidRPr="00F477F6">
        <w:lastRenderedPageBreak/>
        <w:t>C</w:t>
      </w:r>
      <w:r w:rsidR="00F943F3" w:rsidRPr="00F477F6">
        <w:t>ontents</w:t>
      </w:r>
      <w:bookmarkEnd w:id="1"/>
    </w:p>
    <w:bookmarkStart w:id="2" w:name="_Toc387401292"/>
    <w:p w14:paraId="71BD18B9" w14:textId="77777777" w:rsidR="00FA0BB9" w:rsidRDefault="00A433EE">
      <w:pPr>
        <w:pStyle w:val="TOC1"/>
        <w:rPr>
          <w:rFonts w:asciiTheme="minorHAnsi" w:eastAsiaTheme="minorEastAsia" w:hAnsiTheme="minorHAnsi" w:cstheme="minorBidi"/>
          <w:noProof/>
          <w:sz w:val="22"/>
          <w:lang w:eastAsia="en-AU"/>
        </w:rPr>
      </w:pPr>
      <w:r w:rsidRPr="00F477F6">
        <w:rPr>
          <w:bCs/>
        </w:rPr>
        <w:fldChar w:fldCharType="begin"/>
      </w:r>
      <w:r w:rsidRPr="00F477F6">
        <w:rPr>
          <w:bCs/>
        </w:rPr>
        <w:instrText xml:space="preserve"> TOC \t "Heading 1,1" </w:instrText>
      </w:r>
      <w:r w:rsidRPr="00F477F6">
        <w:rPr>
          <w:bCs/>
        </w:rPr>
        <w:fldChar w:fldCharType="separate"/>
      </w:r>
      <w:r w:rsidR="00FA0BB9">
        <w:rPr>
          <w:noProof/>
        </w:rPr>
        <w:t>Contents</w:t>
      </w:r>
      <w:r w:rsidR="00FA0BB9">
        <w:rPr>
          <w:noProof/>
        </w:rPr>
        <w:tab/>
      </w:r>
      <w:r w:rsidR="00FA0BB9">
        <w:rPr>
          <w:noProof/>
        </w:rPr>
        <w:fldChar w:fldCharType="begin"/>
      </w:r>
      <w:r w:rsidR="00FA0BB9">
        <w:rPr>
          <w:noProof/>
        </w:rPr>
        <w:instrText xml:space="preserve"> PAGEREF _Toc407783183 \h </w:instrText>
      </w:r>
      <w:r w:rsidR="00FA0BB9">
        <w:rPr>
          <w:noProof/>
        </w:rPr>
      </w:r>
      <w:r w:rsidR="00FA0BB9">
        <w:rPr>
          <w:noProof/>
        </w:rPr>
        <w:fldChar w:fldCharType="separate"/>
      </w:r>
      <w:r w:rsidR="00641259">
        <w:rPr>
          <w:noProof/>
        </w:rPr>
        <w:t>ii</w:t>
      </w:r>
      <w:r w:rsidR="00FA0BB9">
        <w:rPr>
          <w:noProof/>
        </w:rPr>
        <w:fldChar w:fldCharType="end"/>
      </w:r>
    </w:p>
    <w:p w14:paraId="7E6A5622" w14:textId="77777777" w:rsidR="00FA0BB9" w:rsidRDefault="00FA0BB9">
      <w:pPr>
        <w:pStyle w:val="TOC1"/>
        <w:rPr>
          <w:rFonts w:asciiTheme="minorHAnsi" w:eastAsiaTheme="minorEastAsia" w:hAnsiTheme="minorHAnsi" w:cstheme="minorBidi"/>
          <w:noProof/>
          <w:sz w:val="22"/>
          <w:lang w:eastAsia="en-AU"/>
        </w:rPr>
      </w:pPr>
      <w:r>
        <w:rPr>
          <w:noProof/>
        </w:rPr>
        <w:t>List of tables</w:t>
      </w:r>
      <w:r>
        <w:rPr>
          <w:noProof/>
        </w:rPr>
        <w:tab/>
      </w:r>
      <w:r>
        <w:rPr>
          <w:noProof/>
        </w:rPr>
        <w:fldChar w:fldCharType="begin"/>
      </w:r>
      <w:r>
        <w:rPr>
          <w:noProof/>
        </w:rPr>
        <w:instrText xml:space="preserve"> PAGEREF _Toc407783184 \h </w:instrText>
      </w:r>
      <w:r>
        <w:rPr>
          <w:noProof/>
        </w:rPr>
      </w:r>
      <w:r>
        <w:rPr>
          <w:noProof/>
        </w:rPr>
        <w:fldChar w:fldCharType="separate"/>
      </w:r>
      <w:r w:rsidR="00641259">
        <w:rPr>
          <w:noProof/>
        </w:rPr>
        <w:t>iii</w:t>
      </w:r>
      <w:r>
        <w:rPr>
          <w:noProof/>
        </w:rPr>
        <w:fldChar w:fldCharType="end"/>
      </w:r>
    </w:p>
    <w:p w14:paraId="507749F7" w14:textId="77777777" w:rsidR="00FA0BB9" w:rsidRDefault="00FA0BB9">
      <w:pPr>
        <w:pStyle w:val="TOC1"/>
        <w:rPr>
          <w:rFonts w:asciiTheme="minorHAnsi" w:eastAsiaTheme="minorEastAsia" w:hAnsiTheme="minorHAnsi" w:cstheme="minorBidi"/>
          <w:noProof/>
          <w:sz w:val="22"/>
          <w:lang w:eastAsia="en-AU"/>
        </w:rPr>
      </w:pPr>
      <w:r>
        <w:rPr>
          <w:noProof/>
        </w:rPr>
        <w:t>List of figures</w:t>
      </w:r>
      <w:r>
        <w:rPr>
          <w:noProof/>
        </w:rPr>
        <w:tab/>
      </w:r>
      <w:r>
        <w:rPr>
          <w:noProof/>
        </w:rPr>
        <w:fldChar w:fldCharType="begin"/>
      </w:r>
      <w:r>
        <w:rPr>
          <w:noProof/>
        </w:rPr>
        <w:instrText xml:space="preserve"> PAGEREF _Toc407783185 \h </w:instrText>
      </w:r>
      <w:r>
        <w:rPr>
          <w:noProof/>
        </w:rPr>
      </w:r>
      <w:r>
        <w:rPr>
          <w:noProof/>
        </w:rPr>
        <w:fldChar w:fldCharType="separate"/>
      </w:r>
      <w:r w:rsidR="00641259">
        <w:rPr>
          <w:noProof/>
        </w:rPr>
        <w:t>iv</w:t>
      </w:r>
      <w:r>
        <w:rPr>
          <w:noProof/>
        </w:rPr>
        <w:fldChar w:fldCharType="end"/>
      </w:r>
    </w:p>
    <w:p w14:paraId="0B5D6D10" w14:textId="77777777" w:rsidR="00FA0BB9" w:rsidRDefault="00FA0BB9">
      <w:pPr>
        <w:pStyle w:val="TOC1"/>
        <w:rPr>
          <w:rFonts w:asciiTheme="minorHAnsi" w:eastAsiaTheme="minorEastAsia" w:hAnsiTheme="minorHAnsi" w:cstheme="minorBidi"/>
          <w:noProof/>
          <w:sz w:val="22"/>
          <w:lang w:eastAsia="en-AU"/>
        </w:rPr>
      </w:pPr>
      <w:r>
        <w:rPr>
          <w:noProof/>
        </w:rPr>
        <w:t>Preface</w:t>
      </w:r>
      <w:r>
        <w:rPr>
          <w:noProof/>
        </w:rPr>
        <w:tab/>
      </w:r>
      <w:r>
        <w:rPr>
          <w:noProof/>
        </w:rPr>
        <w:fldChar w:fldCharType="begin"/>
      </w:r>
      <w:r>
        <w:rPr>
          <w:noProof/>
        </w:rPr>
        <w:instrText xml:space="preserve"> PAGEREF _Toc407783186 \h </w:instrText>
      </w:r>
      <w:r>
        <w:rPr>
          <w:noProof/>
        </w:rPr>
      </w:r>
      <w:r>
        <w:rPr>
          <w:noProof/>
        </w:rPr>
        <w:fldChar w:fldCharType="separate"/>
      </w:r>
      <w:r w:rsidR="00641259">
        <w:rPr>
          <w:noProof/>
        </w:rPr>
        <w:t>v</w:t>
      </w:r>
      <w:r>
        <w:rPr>
          <w:noProof/>
        </w:rPr>
        <w:fldChar w:fldCharType="end"/>
      </w:r>
    </w:p>
    <w:p w14:paraId="1A2DBA9C" w14:textId="77777777" w:rsidR="00FA0BB9" w:rsidRDefault="00FA0BB9">
      <w:pPr>
        <w:pStyle w:val="TOC1"/>
        <w:rPr>
          <w:rFonts w:asciiTheme="minorHAnsi" w:eastAsiaTheme="minorEastAsia" w:hAnsiTheme="minorHAnsi" w:cstheme="minorBidi"/>
          <w:noProof/>
          <w:sz w:val="22"/>
          <w:lang w:eastAsia="en-AU"/>
        </w:rPr>
      </w:pPr>
      <w:r>
        <w:rPr>
          <w:noProof/>
        </w:rPr>
        <w:t>Acknowledgements</w:t>
      </w:r>
      <w:r>
        <w:rPr>
          <w:noProof/>
        </w:rPr>
        <w:tab/>
      </w:r>
      <w:r>
        <w:rPr>
          <w:noProof/>
        </w:rPr>
        <w:fldChar w:fldCharType="begin"/>
      </w:r>
      <w:r>
        <w:rPr>
          <w:noProof/>
        </w:rPr>
        <w:instrText xml:space="preserve"> PAGEREF _Toc407783187 \h </w:instrText>
      </w:r>
      <w:r>
        <w:rPr>
          <w:noProof/>
        </w:rPr>
      </w:r>
      <w:r>
        <w:rPr>
          <w:noProof/>
        </w:rPr>
        <w:fldChar w:fldCharType="separate"/>
      </w:r>
      <w:r w:rsidR="00641259">
        <w:rPr>
          <w:noProof/>
        </w:rPr>
        <w:t>vi</w:t>
      </w:r>
      <w:r>
        <w:rPr>
          <w:noProof/>
        </w:rPr>
        <w:fldChar w:fldCharType="end"/>
      </w:r>
    </w:p>
    <w:p w14:paraId="675CA433" w14:textId="77777777" w:rsidR="00FA0BB9" w:rsidRDefault="00FA0BB9">
      <w:pPr>
        <w:pStyle w:val="TOC1"/>
        <w:rPr>
          <w:rFonts w:asciiTheme="minorHAnsi" w:eastAsiaTheme="minorEastAsia" w:hAnsiTheme="minorHAnsi" w:cstheme="minorBidi"/>
          <w:noProof/>
          <w:sz w:val="22"/>
          <w:lang w:eastAsia="en-AU"/>
        </w:rPr>
      </w:pPr>
      <w:r>
        <w:rPr>
          <w:noProof/>
        </w:rPr>
        <w:t>Executive summary</w:t>
      </w:r>
      <w:r>
        <w:rPr>
          <w:noProof/>
        </w:rPr>
        <w:tab/>
      </w:r>
      <w:r>
        <w:rPr>
          <w:noProof/>
        </w:rPr>
        <w:fldChar w:fldCharType="begin"/>
      </w:r>
      <w:r>
        <w:rPr>
          <w:noProof/>
        </w:rPr>
        <w:instrText xml:space="preserve"> PAGEREF _Toc407783188 \h </w:instrText>
      </w:r>
      <w:r>
        <w:rPr>
          <w:noProof/>
        </w:rPr>
      </w:r>
      <w:r>
        <w:rPr>
          <w:noProof/>
        </w:rPr>
        <w:fldChar w:fldCharType="separate"/>
      </w:r>
      <w:r w:rsidR="00641259">
        <w:rPr>
          <w:noProof/>
        </w:rPr>
        <w:t>vii</w:t>
      </w:r>
      <w:r>
        <w:rPr>
          <w:noProof/>
        </w:rPr>
        <w:fldChar w:fldCharType="end"/>
      </w:r>
    </w:p>
    <w:p w14:paraId="681414D6" w14:textId="77777777" w:rsidR="00FA0BB9" w:rsidRDefault="00FA0BB9">
      <w:pPr>
        <w:pStyle w:val="TOC1"/>
        <w:rPr>
          <w:rFonts w:asciiTheme="minorHAnsi" w:eastAsiaTheme="minorEastAsia" w:hAnsiTheme="minorHAnsi" w:cstheme="minorBidi"/>
          <w:noProof/>
          <w:sz w:val="22"/>
          <w:lang w:eastAsia="en-AU"/>
        </w:rPr>
      </w:pPr>
      <w:r>
        <w:rPr>
          <w:noProof/>
        </w:rPr>
        <w:t>Recommendations</w:t>
      </w:r>
      <w:r>
        <w:rPr>
          <w:noProof/>
        </w:rPr>
        <w:tab/>
      </w:r>
      <w:r>
        <w:rPr>
          <w:noProof/>
        </w:rPr>
        <w:fldChar w:fldCharType="begin"/>
      </w:r>
      <w:r>
        <w:rPr>
          <w:noProof/>
        </w:rPr>
        <w:instrText xml:space="preserve"> PAGEREF _Toc407783189 \h </w:instrText>
      </w:r>
      <w:r>
        <w:rPr>
          <w:noProof/>
        </w:rPr>
      </w:r>
      <w:r>
        <w:rPr>
          <w:noProof/>
        </w:rPr>
        <w:fldChar w:fldCharType="separate"/>
      </w:r>
      <w:r w:rsidR="00641259">
        <w:rPr>
          <w:noProof/>
        </w:rPr>
        <w:t>ix</w:t>
      </w:r>
      <w:r>
        <w:rPr>
          <w:noProof/>
        </w:rPr>
        <w:fldChar w:fldCharType="end"/>
      </w:r>
    </w:p>
    <w:p w14:paraId="65704D8D" w14:textId="77777777" w:rsidR="00FA0BB9" w:rsidRDefault="00FA0BB9">
      <w:pPr>
        <w:pStyle w:val="TOC1"/>
        <w:rPr>
          <w:rFonts w:asciiTheme="minorHAnsi" w:eastAsiaTheme="minorEastAsia" w:hAnsiTheme="minorHAnsi" w:cstheme="minorBidi"/>
          <w:noProof/>
          <w:sz w:val="22"/>
          <w:lang w:eastAsia="en-AU"/>
        </w:rPr>
      </w:pPr>
      <w:r>
        <w:rPr>
          <w:noProof/>
        </w:rPr>
        <w:t>Introduction</w:t>
      </w:r>
      <w:r>
        <w:rPr>
          <w:noProof/>
        </w:rPr>
        <w:tab/>
      </w:r>
      <w:r>
        <w:rPr>
          <w:noProof/>
        </w:rPr>
        <w:fldChar w:fldCharType="begin"/>
      </w:r>
      <w:r>
        <w:rPr>
          <w:noProof/>
        </w:rPr>
        <w:instrText xml:space="preserve"> PAGEREF _Toc407783190 \h </w:instrText>
      </w:r>
      <w:r>
        <w:rPr>
          <w:noProof/>
        </w:rPr>
      </w:r>
      <w:r>
        <w:rPr>
          <w:noProof/>
        </w:rPr>
        <w:fldChar w:fldCharType="separate"/>
      </w:r>
      <w:r w:rsidR="00641259">
        <w:rPr>
          <w:noProof/>
        </w:rPr>
        <w:t>1</w:t>
      </w:r>
      <w:r>
        <w:rPr>
          <w:noProof/>
        </w:rPr>
        <w:fldChar w:fldCharType="end"/>
      </w:r>
    </w:p>
    <w:p w14:paraId="205C0513" w14:textId="77777777" w:rsidR="00FA0BB9" w:rsidRDefault="00FA0BB9">
      <w:pPr>
        <w:pStyle w:val="TOC1"/>
        <w:rPr>
          <w:rFonts w:asciiTheme="minorHAnsi" w:eastAsiaTheme="minorEastAsia" w:hAnsiTheme="minorHAnsi" w:cstheme="minorBidi"/>
          <w:noProof/>
          <w:sz w:val="22"/>
          <w:lang w:eastAsia="en-AU"/>
        </w:rPr>
      </w:pPr>
      <w:r>
        <w:rPr>
          <w:noProof/>
        </w:rPr>
        <w:t>Australia’s current nursing workforce</w:t>
      </w:r>
      <w:r>
        <w:rPr>
          <w:noProof/>
        </w:rPr>
        <w:tab/>
      </w:r>
      <w:r>
        <w:rPr>
          <w:noProof/>
        </w:rPr>
        <w:fldChar w:fldCharType="begin"/>
      </w:r>
      <w:r>
        <w:rPr>
          <w:noProof/>
        </w:rPr>
        <w:instrText xml:space="preserve"> PAGEREF _Toc407783191 \h </w:instrText>
      </w:r>
      <w:r>
        <w:rPr>
          <w:noProof/>
        </w:rPr>
      </w:r>
      <w:r>
        <w:rPr>
          <w:noProof/>
        </w:rPr>
        <w:fldChar w:fldCharType="separate"/>
      </w:r>
      <w:r w:rsidR="00641259">
        <w:rPr>
          <w:noProof/>
        </w:rPr>
        <w:t>5</w:t>
      </w:r>
      <w:r>
        <w:rPr>
          <w:noProof/>
        </w:rPr>
        <w:fldChar w:fldCharType="end"/>
      </w:r>
    </w:p>
    <w:p w14:paraId="053B5E22" w14:textId="77777777" w:rsidR="00FA0BB9" w:rsidRDefault="00FA0BB9">
      <w:pPr>
        <w:pStyle w:val="TOC1"/>
        <w:rPr>
          <w:rFonts w:asciiTheme="minorHAnsi" w:eastAsiaTheme="minorEastAsia" w:hAnsiTheme="minorHAnsi" w:cstheme="minorBidi"/>
          <w:noProof/>
          <w:sz w:val="22"/>
          <w:lang w:eastAsia="en-AU"/>
        </w:rPr>
      </w:pPr>
      <w:r>
        <w:rPr>
          <w:noProof/>
        </w:rPr>
        <w:t>Australia’s future nursing workforce</w:t>
      </w:r>
      <w:r>
        <w:rPr>
          <w:noProof/>
        </w:rPr>
        <w:tab/>
      </w:r>
      <w:r>
        <w:rPr>
          <w:noProof/>
        </w:rPr>
        <w:fldChar w:fldCharType="begin"/>
      </w:r>
      <w:r>
        <w:rPr>
          <w:noProof/>
        </w:rPr>
        <w:instrText xml:space="preserve"> PAGEREF _Toc407783192 \h </w:instrText>
      </w:r>
      <w:r>
        <w:rPr>
          <w:noProof/>
        </w:rPr>
      </w:r>
      <w:r>
        <w:rPr>
          <w:noProof/>
        </w:rPr>
        <w:fldChar w:fldCharType="separate"/>
      </w:r>
      <w:r w:rsidR="00641259">
        <w:rPr>
          <w:noProof/>
        </w:rPr>
        <w:t>14</w:t>
      </w:r>
      <w:r>
        <w:rPr>
          <w:noProof/>
        </w:rPr>
        <w:fldChar w:fldCharType="end"/>
      </w:r>
    </w:p>
    <w:p w14:paraId="5196E29E" w14:textId="77777777" w:rsidR="00FA0BB9" w:rsidRDefault="00FA0BB9">
      <w:pPr>
        <w:pStyle w:val="TOC1"/>
        <w:rPr>
          <w:rFonts w:asciiTheme="minorHAnsi" w:eastAsiaTheme="minorEastAsia" w:hAnsiTheme="minorHAnsi" w:cstheme="minorBidi"/>
          <w:noProof/>
          <w:sz w:val="22"/>
          <w:lang w:eastAsia="en-AU"/>
        </w:rPr>
      </w:pPr>
      <w:r>
        <w:rPr>
          <w:noProof/>
        </w:rPr>
        <w:t>Conclusion</w:t>
      </w:r>
      <w:r>
        <w:rPr>
          <w:noProof/>
        </w:rPr>
        <w:tab/>
      </w:r>
      <w:r>
        <w:rPr>
          <w:noProof/>
        </w:rPr>
        <w:fldChar w:fldCharType="begin"/>
      </w:r>
      <w:r>
        <w:rPr>
          <w:noProof/>
        </w:rPr>
        <w:instrText xml:space="preserve"> PAGEREF _Toc407783193 \h </w:instrText>
      </w:r>
      <w:r>
        <w:rPr>
          <w:noProof/>
        </w:rPr>
      </w:r>
      <w:r>
        <w:rPr>
          <w:noProof/>
        </w:rPr>
        <w:fldChar w:fldCharType="separate"/>
      </w:r>
      <w:r w:rsidR="00641259">
        <w:rPr>
          <w:noProof/>
        </w:rPr>
        <w:t>28</w:t>
      </w:r>
      <w:r>
        <w:rPr>
          <w:noProof/>
        </w:rPr>
        <w:fldChar w:fldCharType="end"/>
      </w:r>
    </w:p>
    <w:p w14:paraId="24809DF1" w14:textId="77777777" w:rsidR="00FA0BB9" w:rsidRDefault="00FA0BB9">
      <w:pPr>
        <w:pStyle w:val="TOC1"/>
        <w:rPr>
          <w:rFonts w:asciiTheme="minorHAnsi" w:eastAsiaTheme="minorEastAsia" w:hAnsiTheme="minorHAnsi" w:cstheme="minorBidi"/>
          <w:noProof/>
          <w:sz w:val="22"/>
          <w:lang w:eastAsia="en-AU"/>
        </w:rPr>
      </w:pPr>
      <w:r>
        <w:rPr>
          <w:noProof/>
        </w:rPr>
        <w:t>Glossary</w:t>
      </w:r>
      <w:r>
        <w:rPr>
          <w:noProof/>
        </w:rPr>
        <w:tab/>
      </w:r>
      <w:r>
        <w:rPr>
          <w:noProof/>
        </w:rPr>
        <w:fldChar w:fldCharType="begin"/>
      </w:r>
      <w:r>
        <w:rPr>
          <w:noProof/>
        </w:rPr>
        <w:instrText xml:space="preserve"> PAGEREF _Toc407783194 \h </w:instrText>
      </w:r>
      <w:r>
        <w:rPr>
          <w:noProof/>
        </w:rPr>
      </w:r>
      <w:r>
        <w:rPr>
          <w:noProof/>
        </w:rPr>
        <w:fldChar w:fldCharType="separate"/>
      </w:r>
      <w:r w:rsidR="00641259">
        <w:rPr>
          <w:noProof/>
        </w:rPr>
        <w:t>29</w:t>
      </w:r>
      <w:r>
        <w:rPr>
          <w:noProof/>
        </w:rPr>
        <w:fldChar w:fldCharType="end"/>
      </w:r>
    </w:p>
    <w:p w14:paraId="7537F885" w14:textId="77777777" w:rsidR="00FA0BB9" w:rsidRDefault="00FA0BB9">
      <w:pPr>
        <w:pStyle w:val="TOC1"/>
        <w:rPr>
          <w:rFonts w:asciiTheme="minorHAnsi" w:eastAsiaTheme="minorEastAsia" w:hAnsiTheme="minorHAnsi" w:cstheme="minorBidi"/>
          <w:noProof/>
          <w:sz w:val="22"/>
          <w:lang w:eastAsia="en-AU"/>
        </w:rPr>
      </w:pPr>
      <w:r>
        <w:rPr>
          <w:noProof/>
        </w:rPr>
        <w:t>Appendix A: Project Advisory Group members</w:t>
      </w:r>
      <w:r>
        <w:rPr>
          <w:noProof/>
        </w:rPr>
        <w:tab/>
      </w:r>
      <w:r>
        <w:rPr>
          <w:noProof/>
        </w:rPr>
        <w:fldChar w:fldCharType="begin"/>
      </w:r>
      <w:r>
        <w:rPr>
          <w:noProof/>
        </w:rPr>
        <w:instrText xml:space="preserve"> PAGEREF _Toc407783195 \h </w:instrText>
      </w:r>
      <w:r>
        <w:rPr>
          <w:noProof/>
        </w:rPr>
      </w:r>
      <w:r>
        <w:rPr>
          <w:noProof/>
        </w:rPr>
        <w:fldChar w:fldCharType="separate"/>
      </w:r>
      <w:r w:rsidR="00641259">
        <w:rPr>
          <w:noProof/>
        </w:rPr>
        <w:t>30</w:t>
      </w:r>
      <w:r>
        <w:rPr>
          <w:noProof/>
        </w:rPr>
        <w:fldChar w:fldCharType="end"/>
      </w:r>
    </w:p>
    <w:p w14:paraId="7F45FB93" w14:textId="77777777" w:rsidR="00FA0BB9" w:rsidRDefault="00FA0BB9">
      <w:pPr>
        <w:pStyle w:val="TOC1"/>
        <w:rPr>
          <w:rFonts w:asciiTheme="minorHAnsi" w:eastAsiaTheme="minorEastAsia" w:hAnsiTheme="minorHAnsi" w:cstheme="minorBidi"/>
          <w:noProof/>
          <w:sz w:val="22"/>
          <w:lang w:eastAsia="en-AU"/>
        </w:rPr>
      </w:pPr>
      <w:r>
        <w:rPr>
          <w:noProof/>
        </w:rPr>
        <w:t>Appendix B: Workforce planning data sources</w:t>
      </w:r>
      <w:r>
        <w:rPr>
          <w:noProof/>
        </w:rPr>
        <w:tab/>
      </w:r>
      <w:r>
        <w:rPr>
          <w:noProof/>
        </w:rPr>
        <w:fldChar w:fldCharType="begin"/>
      </w:r>
      <w:r>
        <w:rPr>
          <w:noProof/>
        </w:rPr>
        <w:instrText xml:space="preserve"> PAGEREF _Toc407783196 \h </w:instrText>
      </w:r>
      <w:r>
        <w:rPr>
          <w:noProof/>
        </w:rPr>
      </w:r>
      <w:r>
        <w:rPr>
          <w:noProof/>
        </w:rPr>
        <w:fldChar w:fldCharType="separate"/>
      </w:r>
      <w:r w:rsidR="00641259">
        <w:rPr>
          <w:noProof/>
        </w:rPr>
        <w:t>32</w:t>
      </w:r>
      <w:r>
        <w:rPr>
          <w:noProof/>
        </w:rPr>
        <w:fldChar w:fldCharType="end"/>
      </w:r>
    </w:p>
    <w:p w14:paraId="3AD140F2" w14:textId="77777777" w:rsidR="00FA0BB9" w:rsidRDefault="00FA0BB9">
      <w:pPr>
        <w:pStyle w:val="TOC1"/>
        <w:rPr>
          <w:rFonts w:asciiTheme="minorHAnsi" w:eastAsiaTheme="minorEastAsia" w:hAnsiTheme="minorHAnsi" w:cstheme="minorBidi"/>
          <w:noProof/>
          <w:sz w:val="22"/>
          <w:lang w:eastAsia="en-AU"/>
        </w:rPr>
      </w:pPr>
      <w:r>
        <w:rPr>
          <w:noProof/>
        </w:rPr>
        <w:t>Appendix C: Workforce planning methodology</w:t>
      </w:r>
      <w:r>
        <w:rPr>
          <w:noProof/>
        </w:rPr>
        <w:tab/>
      </w:r>
      <w:r>
        <w:rPr>
          <w:noProof/>
        </w:rPr>
        <w:fldChar w:fldCharType="begin"/>
      </w:r>
      <w:r>
        <w:rPr>
          <w:noProof/>
        </w:rPr>
        <w:instrText xml:space="preserve"> PAGEREF _Toc407783197 \h </w:instrText>
      </w:r>
      <w:r>
        <w:rPr>
          <w:noProof/>
        </w:rPr>
      </w:r>
      <w:r>
        <w:rPr>
          <w:noProof/>
        </w:rPr>
        <w:fldChar w:fldCharType="separate"/>
      </w:r>
      <w:r w:rsidR="00641259">
        <w:rPr>
          <w:noProof/>
        </w:rPr>
        <w:t>34</w:t>
      </w:r>
      <w:r>
        <w:rPr>
          <w:noProof/>
        </w:rPr>
        <w:fldChar w:fldCharType="end"/>
      </w:r>
    </w:p>
    <w:p w14:paraId="43C4FEA2" w14:textId="6A9422F0" w:rsidR="00A0392F" w:rsidRPr="00F477F6" w:rsidRDefault="00A433EE" w:rsidP="00D20D53">
      <w:pPr>
        <w:pStyle w:val="Heading1"/>
        <w:rPr>
          <w:szCs w:val="44"/>
        </w:rPr>
      </w:pPr>
      <w:r w:rsidRPr="00F477F6">
        <w:rPr>
          <w:bCs w:val="0"/>
          <w:color w:val="auto"/>
          <w:kern w:val="0"/>
          <w:sz w:val="20"/>
          <w:szCs w:val="22"/>
          <w:lang w:eastAsia="en-US"/>
        </w:rPr>
        <w:lastRenderedPageBreak/>
        <w:fldChar w:fldCharType="end"/>
      </w:r>
      <w:bookmarkStart w:id="3" w:name="_Toc407783184"/>
      <w:r w:rsidR="00A0392F" w:rsidRPr="00F477F6">
        <w:rPr>
          <w:szCs w:val="44"/>
        </w:rPr>
        <w:t>List of tables</w:t>
      </w:r>
      <w:bookmarkEnd w:id="2"/>
      <w:bookmarkEnd w:id="3"/>
    </w:p>
    <w:p w14:paraId="72A667A6" w14:textId="77777777" w:rsidR="00FA0BB9" w:rsidRDefault="003D1C45">
      <w:pPr>
        <w:pStyle w:val="TableofFigures"/>
        <w:tabs>
          <w:tab w:val="right" w:leader="dot" w:pos="9628"/>
        </w:tabs>
        <w:rPr>
          <w:rFonts w:asciiTheme="minorHAnsi" w:eastAsiaTheme="minorEastAsia" w:hAnsiTheme="minorHAnsi" w:cstheme="minorBidi"/>
          <w:noProof/>
          <w:lang w:eastAsia="en-AU"/>
        </w:rPr>
      </w:pPr>
      <w:r w:rsidRPr="00F477F6">
        <w:rPr>
          <w:rFonts w:ascii="Avenir LT Std 35 Light" w:hAnsi="Avenir LT Std 35 Light"/>
          <w:noProof/>
          <w:sz w:val="20"/>
          <w:szCs w:val="20"/>
        </w:rPr>
        <w:fldChar w:fldCharType="begin"/>
      </w:r>
      <w:r w:rsidRPr="00F477F6">
        <w:rPr>
          <w:rFonts w:ascii="Avenir LT Std 35 Light" w:hAnsi="Avenir LT Std 35 Light"/>
          <w:noProof/>
          <w:sz w:val="20"/>
          <w:szCs w:val="20"/>
        </w:rPr>
        <w:instrText xml:space="preserve"> TOC \c "Table" </w:instrText>
      </w:r>
      <w:r w:rsidRPr="00F477F6">
        <w:rPr>
          <w:rFonts w:ascii="Avenir LT Std 35 Light" w:hAnsi="Avenir LT Std 35 Light"/>
          <w:noProof/>
          <w:sz w:val="20"/>
          <w:szCs w:val="20"/>
        </w:rPr>
        <w:fldChar w:fldCharType="separate"/>
      </w:r>
      <w:r w:rsidR="00FA0BB9">
        <w:rPr>
          <w:noProof/>
        </w:rPr>
        <w:t>Table 1: Employed registered nurses and enrolled nurses, age profile, 2009 and 2012</w:t>
      </w:r>
      <w:r w:rsidR="00FA0BB9">
        <w:rPr>
          <w:noProof/>
        </w:rPr>
        <w:tab/>
      </w:r>
      <w:r w:rsidR="00FA0BB9">
        <w:rPr>
          <w:noProof/>
        </w:rPr>
        <w:fldChar w:fldCharType="begin"/>
      </w:r>
      <w:r w:rsidR="00FA0BB9">
        <w:rPr>
          <w:noProof/>
        </w:rPr>
        <w:instrText xml:space="preserve"> PAGEREF _Toc407783198 \h </w:instrText>
      </w:r>
      <w:r w:rsidR="00FA0BB9">
        <w:rPr>
          <w:noProof/>
        </w:rPr>
      </w:r>
      <w:r w:rsidR="00FA0BB9">
        <w:rPr>
          <w:noProof/>
        </w:rPr>
        <w:fldChar w:fldCharType="separate"/>
      </w:r>
      <w:r w:rsidR="00641259">
        <w:rPr>
          <w:noProof/>
        </w:rPr>
        <w:t>8</w:t>
      </w:r>
      <w:r w:rsidR="00FA0BB9">
        <w:rPr>
          <w:noProof/>
        </w:rPr>
        <w:fldChar w:fldCharType="end"/>
      </w:r>
    </w:p>
    <w:p w14:paraId="74E3437D"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Table 2: Average weekly hours, employed registered nurses and enrolled nurses, 2009 and 2012</w:t>
      </w:r>
      <w:r>
        <w:rPr>
          <w:noProof/>
        </w:rPr>
        <w:tab/>
      </w:r>
      <w:r>
        <w:rPr>
          <w:noProof/>
        </w:rPr>
        <w:fldChar w:fldCharType="begin"/>
      </w:r>
      <w:r>
        <w:rPr>
          <w:noProof/>
        </w:rPr>
        <w:instrText xml:space="preserve"> PAGEREF _Toc407783199 \h </w:instrText>
      </w:r>
      <w:r>
        <w:rPr>
          <w:noProof/>
        </w:rPr>
      </w:r>
      <w:r>
        <w:rPr>
          <w:noProof/>
        </w:rPr>
        <w:fldChar w:fldCharType="separate"/>
      </w:r>
      <w:r w:rsidR="00641259">
        <w:rPr>
          <w:noProof/>
        </w:rPr>
        <w:t>9</w:t>
      </w:r>
      <w:r>
        <w:rPr>
          <w:noProof/>
        </w:rPr>
        <w:fldChar w:fldCharType="end"/>
      </w:r>
    </w:p>
    <w:p w14:paraId="4DA0F9BC"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Table 3: Employed registered nurses by sector (public/private) 2009 and 2012</w:t>
      </w:r>
      <w:r>
        <w:rPr>
          <w:noProof/>
        </w:rPr>
        <w:tab/>
      </w:r>
      <w:r>
        <w:rPr>
          <w:noProof/>
        </w:rPr>
        <w:fldChar w:fldCharType="begin"/>
      </w:r>
      <w:r>
        <w:rPr>
          <w:noProof/>
        </w:rPr>
        <w:instrText xml:space="preserve"> PAGEREF _Toc407783200 \h </w:instrText>
      </w:r>
      <w:r>
        <w:rPr>
          <w:noProof/>
        </w:rPr>
      </w:r>
      <w:r>
        <w:rPr>
          <w:noProof/>
        </w:rPr>
        <w:fldChar w:fldCharType="separate"/>
      </w:r>
      <w:r w:rsidR="00641259">
        <w:rPr>
          <w:noProof/>
        </w:rPr>
        <w:t>9</w:t>
      </w:r>
      <w:r>
        <w:rPr>
          <w:noProof/>
        </w:rPr>
        <w:fldChar w:fldCharType="end"/>
      </w:r>
    </w:p>
    <w:p w14:paraId="33998DB8"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Table 3a: Employed enrolled nurses by sector (public/private) 2009 and 2012</w:t>
      </w:r>
      <w:r>
        <w:rPr>
          <w:noProof/>
        </w:rPr>
        <w:tab/>
      </w:r>
      <w:r>
        <w:rPr>
          <w:noProof/>
        </w:rPr>
        <w:fldChar w:fldCharType="begin"/>
      </w:r>
      <w:r>
        <w:rPr>
          <w:noProof/>
        </w:rPr>
        <w:instrText xml:space="preserve"> PAGEREF _Toc407783201 \h </w:instrText>
      </w:r>
      <w:r>
        <w:rPr>
          <w:noProof/>
        </w:rPr>
      </w:r>
      <w:r>
        <w:rPr>
          <w:noProof/>
        </w:rPr>
        <w:fldChar w:fldCharType="separate"/>
      </w:r>
      <w:r w:rsidR="00641259">
        <w:rPr>
          <w:noProof/>
        </w:rPr>
        <w:t>10</w:t>
      </w:r>
      <w:r>
        <w:rPr>
          <w:noProof/>
        </w:rPr>
        <w:fldChar w:fldCharType="end"/>
      </w:r>
    </w:p>
    <w:p w14:paraId="24DE9F51"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Table 4: Commencing enrolments, students undertaking programs of study required for initial registration as a RN, by gender, 2009 to 2012</w:t>
      </w:r>
      <w:r>
        <w:rPr>
          <w:noProof/>
        </w:rPr>
        <w:tab/>
      </w:r>
      <w:r>
        <w:rPr>
          <w:noProof/>
        </w:rPr>
        <w:fldChar w:fldCharType="begin"/>
      </w:r>
      <w:r>
        <w:rPr>
          <w:noProof/>
        </w:rPr>
        <w:instrText xml:space="preserve"> PAGEREF _Toc407783202 \h </w:instrText>
      </w:r>
      <w:r>
        <w:rPr>
          <w:noProof/>
        </w:rPr>
      </w:r>
      <w:r>
        <w:rPr>
          <w:noProof/>
        </w:rPr>
        <w:fldChar w:fldCharType="separate"/>
      </w:r>
      <w:r w:rsidR="00641259">
        <w:rPr>
          <w:noProof/>
        </w:rPr>
        <w:t>11</w:t>
      </w:r>
      <w:r>
        <w:rPr>
          <w:noProof/>
        </w:rPr>
        <w:fldChar w:fldCharType="end"/>
      </w:r>
    </w:p>
    <w:p w14:paraId="0B92A73E"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Table 5: Number of temporary and permanent visas granted to registered nurses, 2006 to 2012</w:t>
      </w:r>
      <w:r>
        <w:rPr>
          <w:noProof/>
        </w:rPr>
        <w:tab/>
      </w:r>
      <w:r>
        <w:rPr>
          <w:noProof/>
        </w:rPr>
        <w:fldChar w:fldCharType="begin"/>
      </w:r>
      <w:r>
        <w:rPr>
          <w:noProof/>
        </w:rPr>
        <w:instrText xml:space="preserve"> PAGEREF _Toc407783203 \h </w:instrText>
      </w:r>
      <w:r>
        <w:rPr>
          <w:noProof/>
        </w:rPr>
      </w:r>
      <w:r>
        <w:rPr>
          <w:noProof/>
        </w:rPr>
        <w:fldChar w:fldCharType="separate"/>
      </w:r>
      <w:r w:rsidR="00641259">
        <w:rPr>
          <w:noProof/>
        </w:rPr>
        <w:t>13</w:t>
      </w:r>
      <w:r>
        <w:rPr>
          <w:noProof/>
        </w:rPr>
        <w:fldChar w:fldCharType="end"/>
      </w:r>
    </w:p>
    <w:p w14:paraId="1426AD93"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Table 6: Number of temporary and permanent visas granted to enrolled nurses, 2006 to 2012</w:t>
      </w:r>
      <w:r>
        <w:rPr>
          <w:noProof/>
        </w:rPr>
        <w:tab/>
      </w:r>
      <w:r>
        <w:rPr>
          <w:noProof/>
        </w:rPr>
        <w:fldChar w:fldCharType="begin"/>
      </w:r>
      <w:r>
        <w:rPr>
          <w:noProof/>
        </w:rPr>
        <w:instrText xml:space="preserve"> PAGEREF _Toc407783204 \h </w:instrText>
      </w:r>
      <w:r>
        <w:rPr>
          <w:noProof/>
        </w:rPr>
      </w:r>
      <w:r>
        <w:rPr>
          <w:noProof/>
        </w:rPr>
        <w:fldChar w:fldCharType="separate"/>
      </w:r>
      <w:r w:rsidR="00641259">
        <w:rPr>
          <w:noProof/>
        </w:rPr>
        <w:t>13</w:t>
      </w:r>
      <w:r>
        <w:rPr>
          <w:noProof/>
        </w:rPr>
        <w:fldChar w:fldCharType="end"/>
      </w:r>
    </w:p>
    <w:p w14:paraId="2ADD8EC9"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Table 7: Comparison scenario, registered nurses and enrolled nurses, selected years</w:t>
      </w:r>
      <w:r>
        <w:rPr>
          <w:noProof/>
        </w:rPr>
        <w:tab/>
      </w:r>
      <w:r>
        <w:rPr>
          <w:noProof/>
        </w:rPr>
        <w:fldChar w:fldCharType="begin"/>
      </w:r>
      <w:r>
        <w:rPr>
          <w:noProof/>
        </w:rPr>
        <w:instrText xml:space="preserve"> PAGEREF _Toc407783205 \h </w:instrText>
      </w:r>
      <w:r>
        <w:rPr>
          <w:noProof/>
        </w:rPr>
      </w:r>
      <w:r>
        <w:rPr>
          <w:noProof/>
        </w:rPr>
        <w:fldChar w:fldCharType="separate"/>
      </w:r>
      <w:r w:rsidR="00641259">
        <w:rPr>
          <w:noProof/>
        </w:rPr>
        <w:t>17</w:t>
      </w:r>
      <w:r>
        <w:rPr>
          <w:noProof/>
        </w:rPr>
        <w:fldChar w:fldCharType="end"/>
      </w:r>
    </w:p>
    <w:p w14:paraId="10BB7935"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Table 8: Constrained labour demand scenario, registered nurses and enrolled nurses, selected years</w:t>
      </w:r>
      <w:r>
        <w:rPr>
          <w:noProof/>
        </w:rPr>
        <w:tab/>
      </w:r>
      <w:r>
        <w:rPr>
          <w:noProof/>
        </w:rPr>
        <w:fldChar w:fldCharType="begin"/>
      </w:r>
      <w:r>
        <w:rPr>
          <w:noProof/>
        </w:rPr>
        <w:instrText xml:space="preserve"> PAGEREF _Toc407783206 \h </w:instrText>
      </w:r>
      <w:r>
        <w:rPr>
          <w:noProof/>
        </w:rPr>
      </w:r>
      <w:r>
        <w:rPr>
          <w:noProof/>
        </w:rPr>
        <w:fldChar w:fldCharType="separate"/>
      </w:r>
      <w:r w:rsidR="00641259">
        <w:rPr>
          <w:noProof/>
        </w:rPr>
        <w:t>19</w:t>
      </w:r>
      <w:r>
        <w:rPr>
          <w:noProof/>
        </w:rPr>
        <w:fldChar w:fldCharType="end"/>
      </w:r>
    </w:p>
    <w:p w14:paraId="0325A4F9"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Table 9: Combined scenario, registered and enrolled nurses, selected years</w:t>
      </w:r>
      <w:r>
        <w:rPr>
          <w:noProof/>
        </w:rPr>
        <w:tab/>
      </w:r>
      <w:r>
        <w:rPr>
          <w:noProof/>
        </w:rPr>
        <w:fldChar w:fldCharType="begin"/>
      </w:r>
      <w:r>
        <w:rPr>
          <w:noProof/>
        </w:rPr>
        <w:instrText xml:space="preserve"> PAGEREF _Toc407783207 \h </w:instrText>
      </w:r>
      <w:r>
        <w:rPr>
          <w:noProof/>
        </w:rPr>
      </w:r>
      <w:r>
        <w:rPr>
          <w:noProof/>
        </w:rPr>
        <w:fldChar w:fldCharType="separate"/>
      </w:r>
      <w:r w:rsidR="00641259">
        <w:rPr>
          <w:noProof/>
        </w:rPr>
        <w:t>21</w:t>
      </w:r>
      <w:r>
        <w:rPr>
          <w:noProof/>
        </w:rPr>
        <w:fldChar w:fldCharType="end"/>
      </w:r>
    </w:p>
    <w:p w14:paraId="56369935"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Table 10: Combined scenario, annual change in workforce supply headcount, 2017 to 2030</w:t>
      </w:r>
      <w:r>
        <w:rPr>
          <w:noProof/>
        </w:rPr>
        <w:tab/>
      </w:r>
      <w:r>
        <w:rPr>
          <w:noProof/>
        </w:rPr>
        <w:fldChar w:fldCharType="begin"/>
      </w:r>
      <w:r>
        <w:rPr>
          <w:noProof/>
        </w:rPr>
        <w:instrText xml:space="preserve"> PAGEREF _Toc407783208 \h </w:instrText>
      </w:r>
      <w:r>
        <w:rPr>
          <w:noProof/>
        </w:rPr>
      </w:r>
      <w:r>
        <w:rPr>
          <w:noProof/>
        </w:rPr>
        <w:fldChar w:fldCharType="separate"/>
      </w:r>
      <w:r w:rsidR="00641259">
        <w:rPr>
          <w:noProof/>
        </w:rPr>
        <w:t>22</w:t>
      </w:r>
      <w:r>
        <w:rPr>
          <w:noProof/>
        </w:rPr>
        <w:fldChar w:fldCharType="end"/>
      </w:r>
    </w:p>
    <w:p w14:paraId="07A05B4E"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 xml:space="preserve">Table 11: Acute sector skill mix scenario results </w:t>
      </w:r>
      <w:r>
        <w:rPr>
          <w:noProof/>
        </w:rPr>
        <w:tab/>
      </w:r>
      <w:r>
        <w:rPr>
          <w:noProof/>
        </w:rPr>
        <w:fldChar w:fldCharType="begin"/>
      </w:r>
      <w:r>
        <w:rPr>
          <w:noProof/>
        </w:rPr>
        <w:instrText xml:space="preserve"> PAGEREF _Toc407783209 \h </w:instrText>
      </w:r>
      <w:r>
        <w:rPr>
          <w:noProof/>
        </w:rPr>
      </w:r>
      <w:r>
        <w:rPr>
          <w:noProof/>
        </w:rPr>
        <w:fldChar w:fldCharType="separate"/>
      </w:r>
      <w:r w:rsidR="00641259">
        <w:rPr>
          <w:noProof/>
        </w:rPr>
        <w:t>25</w:t>
      </w:r>
      <w:r>
        <w:rPr>
          <w:noProof/>
        </w:rPr>
        <w:fldChar w:fldCharType="end"/>
      </w:r>
    </w:p>
    <w:p w14:paraId="2DDB69AC"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 xml:space="preserve">Table 12: Aged care sector skill mix scenario results </w:t>
      </w:r>
      <w:r>
        <w:rPr>
          <w:noProof/>
        </w:rPr>
        <w:tab/>
      </w:r>
      <w:r>
        <w:rPr>
          <w:noProof/>
        </w:rPr>
        <w:fldChar w:fldCharType="begin"/>
      </w:r>
      <w:r>
        <w:rPr>
          <w:noProof/>
        </w:rPr>
        <w:instrText xml:space="preserve"> PAGEREF _Toc407783210 \h </w:instrText>
      </w:r>
      <w:r>
        <w:rPr>
          <w:noProof/>
        </w:rPr>
      </w:r>
      <w:r>
        <w:rPr>
          <w:noProof/>
        </w:rPr>
        <w:fldChar w:fldCharType="separate"/>
      </w:r>
      <w:r w:rsidR="00641259">
        <w:rPr>
          <w:noProof/>
        </w:rPr>
        <w:t>26</w:t>
      </w:r>
      <w:r>
        <w:rPr>
          <w:noProof/>
        </w:rPr>
        <w:fldChar w:fldCharType="end"/>
      </w:r>
    </w:p>
    <w:p w14:paraId="5571B703"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Table 13: Projected Graduates 2012 to 2014</w:t>
      </w:r>
      <w:r>
        <w:rPr>
          <w:noProof/>
        </w:rPr>
        <w:tab/>
      </w:r>
      <w:r>
        <w:rPr>
          <w:noProof/>
        </w:rPr>
        <w:fldChar w:fldCharType="begin"/>
      </w:r>
      <w:r>
        <w:rPr>
          <w:noProof/>
        </w:rPr>
        <w:instrText xml:space="preserve"> PAGEREF _Toc407783211 \h </w:instrText>
      </w:r>
      <w:r>
        <w:rPr>
          <w:noProof/>
        </w:rPr>
      </w:r>
      <w:r>
        <w:rPr>
          <w:noProof/>
        </w:rPr>
        <w:fldChar w:fldCharType="separate"/>
      </w:r>
      <w:r w:rsidR="00641259">
        <w:rPr>
          <w:noProof/>
        </w:rPr>
        <w:t>35</w:t>
      </w:r>
      <w:r>
        <w:rPr>
          <w:noProof/>
        </w:rPr>
        <w:fldChar w:fldCharType="end"/>
      </w:r>
    </w:p>
    <w:p w14:paraId="0686CB87"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Table 14: Temporary and Permanent migrants, 2012</w:t>
      </w:r>
      <w:r>
        <w:rPr>
          <w:noProof/>
        </w:rPr>
        <w:tab/>
      </w:r>
      <w:r>
        <w:rPr>
          <w:noProof/>
        </w:rPr>
        <w:fldChar w:fldCharType="begin"/>
      </w:r>
      <w:r>
        <w:rPr>
          <w:noProof/>
        </w:rPr>
        <w:instrText xml:space="preserve"> PAGEREF _Toc407783212 \h </w:instrText>
      </w:r>
      <w:r>
        <w:rPr>
          <w:noProof/>
        </w:rPr>
      </w:r>
      <w:r>
        <w:rPr>
          <w:noProof/>
        </w:rPr>
        <w:fldChar w:fldCharType="separate"/>
      </w:r>
      <w:r w:rsidR="00641259">
        <w:rPr>
          <w:noProof/>
        </w:rPr>
        <w:t>36</w:t>
      </w:r>
      <w:r>
        <w:rPr>
          <w:noProof/>
        </w:rPr>
        <w:fldChar w:fldCharType="end"/>
      </w:r>
    </w:p>
    <w:p w14:paraId="7C3AC0EC"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Table 15: Registered Nurse attrition rates</w:t>
      </w:r>
      <w:r>
        <w:rPr>
          <w:noProof/>
        </w:rPr>
        <w:tab/>
      </w:r>
      <w:r>
        <w:rPr>
          <w:noProof/>
        </w:rPr>
        <w:fldChar w:fldCharType="begin"/>
      </w:r>
      <w:r>
        <w:rPr>
          <w:noProof/>
        </w:rPr>
        <w:instrText xml:space="preserve"> PAGEREF _Toc407783213 \h </w:instrText>
      </w:r>
      <w:r>
        <w:rPr>
          <w:noProof/>
        </w:rPr>
      </w:r>
      <w:r>
        <w:rPr>
          <w:noProof/>
        </w:rPr>
        <w:fldChar w:fldCharType="separate"/>
      </w:r>
      <w:r w:rsidR="00641259">
        <w:rPr>
          <w:noProof/>
        </w:rPr>
        <w:t>42</w:t>
      </w:r>
      <w:r>
        <w:rPr>
          <w:noProof/>
        </w:rPr>
        <w:fldChar w:fldCharType="end"/>
      </w:r>
    </w:p>
    <w:p w14:paraId="1D0B007E" w14:textId="7256BDB3" w:rsidR="00A0392F" w:rsidRPr="00F57F39" w:rsidRDefault="003D1C45" w:rsidP="00F57F39">
      <w:r w:rsidRPr="00F477F6">
        <w:rPr>
          <w:rFonts w:ascii="Avenir LT Std 35 Light" w:hAnsi="Avenir LT Std 35 Light"/>
          <w:noProof/>
          <w:sz w:val="20"/>
          <w:szCs w:val="20"/>
        </w:rPr>
        <w:fldChar w:fldCharType="end"/>
      </w:r>
      <w:r w:rsidR="00A0392F" w:rsidRPr="00F57F39">
        <w:br w:type="page"/>
      </w:r>
    </w:p>
    <w:p w14:paraId="4A1E98EC" w14:textId="77777777" w:rsidR="00A0392F" w:rsidRPr="00F477F6" w:rsidRDefault="00A0392F" w:rsidP="00D20D53">
      <w:pPr>
        <w:pStyle w:val="Heading1"/>
      </w:pPr>
      <w:bookmarkStart w:id="4" w:name="_Toc387401293"/>
      <w:bookmarkStart w:id="5" w:name="_Toc407783185"/>
      <w:r w:rsidRPr="00F477F6">
        <w:lastRenderedPageBreak/>
        <w:t>List of figures</w:t>
      </w:r>
      <w:bookmarkEnd w:id="4"/>
      <w:bookmarkEnd w:id="5"/>
    </w:p>
    <w:p w14:paraId="40AC068A" w14:textId="77777777" w:rsidR="00FA0BB9" w:rsidRDefault="00A0392F">
      <w:pPr>
        <w:pStyle w:val="TableofFigures"/>
        <w:tabs>
          <w:tab w:val="right" w:leader="dot" w:pos="9628"/>
        </w:tabs>
        <w:rPr>
          <w:rFonts w:asciiTheme="minorHAnsi" w:eastAsiaTheme="minorEastAsia" w:hAnsiTheme="minorHAnsi" w:cstheme="minorBidi"/>
          <w:noProof/>
          <w:lang w:eastAsia="en-AU"/>
        </w:rPr>
      </w:pPr>
      <w:r w:rsidRPr="00F477F6">
        <w:rPr>
          <w:rFonts w:ascii="Avenir LT Std 35 Light" w:hAnsi="Avenir LT Std 35 Light"/>
          <w:noProof/>
          <w:sz w:val="20"/>
          <w:szCs w:val="20"/>
        </w:rPr>
        <w:fldChar w:fldCharType="begin"/>
      </w:r>
      <w:r w:rsidRPr="00F477F6">
        <w:rPr>
          <w:rFonts w:ascii="Avenir LT Std 35 Light" w:hAnsi="Avenir LT Std 35 Light"/>
          <w:noProof/>
          <w:sz w:val="20"/>
          <w:szCs w:val="20"/>
        </w:rPr>
        <w:instrText xml:space="preserve"> TOC \c "Figure" </w:instrText>
      </w:r>
      <w:r w:rsidRPr="00F477F6">
        <w:rPr>
          <w:rFonts w:ascii="Avenir LT Std 35 Light" w:hAnsi="Avenir LT Std 35 Light"/>
          <w:noProof/>
          <w:sz w:val="20"/>
          <w:szCs w:val="20"/>
        </w:rPr>
        <w:fldChar w:fldCharType="separate"/>
      </w:r>
      <w:r w:rsidR="00FA0BB9">
        <w:rPr>
          <w:noProof/>
        </w:rPr>
        <w:t xml:space="preserve">Figure 1: Registered nurses and enrolled nurses by labour force status, 2012 </w:t>
      </w:r>
      <w:r w:rsidR="00FA0BB9">
        <w:rPr>
          <w:noProof/>
        </w:rPr>
        <w:tab/>
      </w:r>
      <w:r w:rsidR="00FA0BB9">
        <w:rPr>
          <w:noProof/>
        </w:rPr>
        <w:fldChar w:fldCharType="begin"/>
      </w:r>
      <w:r w:rsidR="00FA0BB9">
        <w:rPr>
          <w:noProof/>
        </w:rPr>
        <w:instrText xml:space="preserve"> PAGEREF _Toc407783214 \h </w:instrText>
      </w:r>
      <w:r w:rsidR="00FA0BB9">
        <w:rPr>
          <w:noProof/>
        </w:rPr>
      </w:r>
      <w:r w:rsidR="00FA0BB9">
        <w:rPr>
          <w:noProof/>
        </w:rPr>
        <w:fldChar w:fldCharType="separate"/>
      </w:r>
      <w:r w:rsidR="00641259">
        <w:rPr>
          <w:noProof/>
        </w:rPr>
        <w:t>6</w:t>
      </w:r>
      <w:r w:rsidR="00FA0BB9">
        <w:rPr>
          <w:noProof/>
        </w:rPr>
        <w:fldChar w:fldCharType="end"/>
      </w:r>
    </w:p>
    <w:p w14:paraId="2283B3BA"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Figure 2: Nurses, density per 1,000 population (headcount), OECD countries, 2011 (or nearest year)</w:t>
      </w:r>
      <w:r>
        <w:rPr>
          <w:noProof/>
        </w:rPr>
        <w:tab/>
      </w:r>
      <w:r>
        <w:rPr>
          <w:noProof/>
        </w:rPr>
        <w:fldChar w:fldCharType="begin"/>
      </w:r>
      <w:r>
        <w:rPr>
          <w:noProof/>
        </w:rPr>
        <w:instrText xml:space="preserve"> PAGEREF _Toc407783215 \h </w:instrText>
      </w:r>
      <w:r>
        <w:rPr>
          <w:noProof/>
        </w:rPr>
      </w:r>
      <w:r>
        <w:rPr>
          <w:noProof/>
        </w:rPr>
        <w:fldChar w:fldCharType="separate"/>
      </w:r>
      <w:r w:rsidR="00641259">
        <w:rPr>
          <w:noProof/>
        </w:rPr>
        <w:t>7</w:t>
      </w:r>
      <w:r>
        <w:rPr>
          <w:noProof/>
        </w:rPr>
        <w:fldChar w:fldCharType="end"/>
      </w:r>
    </w:p>
    <w:p w14:paraId="3192A703"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Figure 3: Registered nurses and enrolled nurses, 2009 to 2012</w:t>
      </w:r>
      <w:r>
        <w:rPr>
          <w:noProof/>
        </w:rPr>
        <w:tab/>
      </w:r>
      <w:r>
        <w:rPr>
          <w:noProof/>
        </w:rPr>
        <w:fldChar w:fldCharType="begin"/>
      </w:r>
      <w:r>
        <w:rPr>
          <w:noProof/>
        </w:rPr>
        <w:instrText xml:space="preserve"> PAGEREF _Toc407783216 \h </w:instrText>
      </w:r>
      <w:r>
        <w:rPr>
          <w:noProof/>
        </w:rPr>
      </w:r>
      <w:r>
        <w:rPr>
          <w:noProof/>
        </w:rPr>
        <w:fldChar w:fldCharType="separate"/>
      </w:r>
      <w:r w:rsidR="00641259">
        <w:rPr>
          <w:noProof/>
        </w:rPr>
        <w:t>8</w:t>
      </w:r>
      <w:r>
        <w:rPr>
          <w:noProof/>
        </w:rPr>
        <w:fldChar w:fldCharType="end"/>
      </w:r>
    </w:p>
    <w:p w14:paraId="621DD9A8"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Figure 4: Commencing enrolments, students undertaking programs of study required for initial registration as a RN, 2009 to 2012</w:t>
      </w:r>
      <w:r>
        <w:rPr>
          <w:noProof/>
        </w:rPr>
        <w:tab/>
      </w:r>
      <w:r>
        <w:rPr>
          <w:noProof/>
        </w:rPr>
        <w:fldChar w:fldCharType="begin"/>
      </w:r>
      <w:r>
        <w:rPr>
          <w:noProof/>
        </w:rPr>
        <w:instrText xml:space="preserve"> PAGEREF _Toc407783217 \h </w:instrText>
      </w:r>
      <w:r>
        <w:rPr>
          <w:noProof/>
        </w:rPr>
      </w:r>
      <w:r>
        <w:rPr>
          <w:noProof/>
        </w:rPr>
        <w:fldChar w:fldCharType="separate"/>
      </w:r>
      <w:r w:rsidR="00641259">
        <w:rPr>
          <w:noProof/>
        </w:rPr>
        <w:t>10</w:t>
      </w:r>
      <w:r>
        <w:rPr>
          <w:noProof/>
        </w:rPr>
        <w:fldChar w:fldCharType="end"/>
      </w:r>
    </w:p>
    <w:p w14:paraId="2E33EB62"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Figure 5: Students completing programs of study required for initial registration as a registered nurse, 2009 to 2012</w:t>
      </w:r>
      <w:r>
        <w:rPr>
          <w:noProof/>
        </w:rPr>
        <w:tab/>
      </w:r>
      <w:r>
        <w:rPr>
          <w:noProof/>
        </w:rPr>
        <w:fldChar w:fldCharType="begin"/>
      </w:r>
      <w:r>
        <w:rPr>
          <w:noProof/>
        </w:rPr>
        <w:instrText xml:space="preserve"> PAGEREF _Toc407783218 \h </w:instrText>
      </w:r>
      <w:r>
        <w:rPr>
          <w:noProof/>
        </w:rPr>
      </w:r>
      <w:r>
        <w:rPr>
          <w:noProof/>
        </w:rPr>
        <w:fldChar w:fldCharType="separate"/>
      </w:r>
      <w:r w:rsidR="00641259">
        <w:rPr>
          <w:noProof/>
        </w:rPr>
        <w:t>11</w:t>
      </w:r>
      <w:r>
        <w:rPr>
          <w:noProof/>
        </w:rPr>
        <w:fldChar w:fldCharType="end"/>
      </w:r>
    </w:p>
    <w:p w14:paraId="18D9D0EA"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Figure 6: Enrolled nurse commencing enrolments, 2009 to 2012</w:t>
      </w:r>
      <w:r>
        <w:rPr>
          <w:noProof/>
        </w:rPr>
        <w:tab/>
      </w:r>
      <w:r>
        <w:rPr>
          <w:noProof/>
        </w:rPr>
        <w:fldChar w:fldCharType="begin"/>
      </w:r>
      <w:r>
        <w:rPr>
          <w:noProof/>
        </w:rPr>
        <w:instrText xml:space="preserve"> PAGEREF _Toc407783219 \h </w:instrText>
      </w:r>
      <w:r>
        <w:rPr>
          <w:noProof/>
        </w:rPr>
      </w:r>
      <w:r>
        <w:rPr>
          <w:noProof/>
        </w:rPr>
        <w:fldChar w:fldCharType="separate"/>
      </w:r>
      <w:r w:rsidR="00641259">
        <w:rPr>
          <w:noProof/>
        </w:rPr>
        <w:t>12</w:t>
      </w:r>
      <w:r>
        <w:rPr>
          <w:noProof/>
        </w:rPr>
        <w:fldChar w:fldCharType="end"/>
      </w:r>
    </w:p>
    <w:p w14:paraId="77307154"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Figure 7: Enrolled nurse course completions, 2009 to 2012</w:t>
      </w:r>
      <w:r>
        <w:rPr>
          <w:noProof/>
        </w:rPr>
        <w:tab/>
      </w:r>
      <w:r>
        <w:rPr>
          <w:noProof/>
        </w:rPr>
        <w:fldChar w:fldCharType="begin"/>
      </w:r>
      <w:r>
        <w:rPr>
          <w:noProof/>
        </w:rPr>
        <w:instrText xml:space="preserve"> PAGEREF _Toc407783220 \h </w:instrText>
      </w:r>
      <w:r>
        <w:rPr>
          <w:noProof/>
        </w:rPr>
      </w:r>
      <w:r>
        <w:rPr>
          <w:noProof/>
        </w:rPr>
        <w:fldChar w:fldCharType="separate"/>
      </w:r>
      <w:r w:rsidR="00641259">
        <w:rPr>
          <w:noProof/>
        </w:rPr>
        <w:t>12</w:t>
      </w:r>
      <w:r>
        <w:rPr>
          <w:noProof/>
        </w:rPr>
        <w:fldChar w:fldCharType="end"/>
      </w:r>
    </w:p>
    <w:p w14:paraId="187898EE"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Figure 8: Comparison scenario, registered nurses and enrolled nurses, 2012 to 2030</w:t>
      </w:r>
      <w:r>
        <w:rPr>
          <w:noProof/>
        </w:rPr>
        <w:tab/>
      </w:r>
      <w:r>
        <w:rPr>
          <w:noProof/>
        </w:rPr>
        <w:fldChar w:fldCharType="begin"/>
      </w:r>
      <w:r>
        <w:rPr>
          <w:noProof/>
        </w:rPr>
        <w:instrText xml:space="preserve"> PAGEREF _Toc407783221 \h </w:instrText>
      </w:r>
      <w:r>
        <w:rPr>
          <w:noProof/>
        </w:rPr>
      </w:r>
      <w:r>
        <w:rPr>
          <w:noProof/>
        </w:rPr>
        <w:fldChar w:fldCharType="separate"/>
      </w:r>
      <w:r w:rsidR="00641259">
        <w:rPr>
          <w:noProof/>
        </w:rPr>
        <w:t>17</w:t>
      </w:r>
      <w:r>
        <w:rPr>
          <w:noProof/>
        </w:rPr>
        <w:fldChar w:fldCharType="end"/>
      </w:r>
    </w:p>
    <w:p w14:paraId="658FAE36"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Figure 9: Constrained labour demand, registered and enrolled nurses, 2012 to 2030</w:t>
      </w:r>
      <w:r>
        <w:rPr>
          <w:noProof/>
        </w:rPr>
        <w:tab/>
      </w:r>
      <w:r>
        <w:rPr>
          <w:noProof/>
        </w:rPr>
        <w:fldChar w:fldCharType="begin"/>
      </w:r>
      <w:r>
        <w:rPr>
          <w:noProof/>
        </w:rPr>
        <w:instrText xml:space="preserve"> PAGEREF _Toc407783222 \h </w:instrText>
      </w:r>
      <w:r>
        <w:rPr>
          <w:noProof/>
        </w:rPr>
      </w:r>
      <w:r>
        <w:rPr>
          <w:noProof/>
        </w:rPr>
        <w:fldChar w:fldCharType="separate"/>
      </w:r>
      <w:r w:rsidR="00641259">
        <w:rPr>
          <w:noProof/>
        </w:rPr>
        <w:t>18</w:t>
      </w:r>
      <w:r>
        <w:rPr>
          <w:noProof/>
        </w:rPr>
        <w:fldChar w:fldCharType="end"/>
      </w:r>
    </w:p>
    <w:p w14:paraId="541B3FF5"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Figure 10: Combined scenario results, registered nurses and enrolled nurses, 2012 to 2030</w:t>
      </w:r>
      <w:r>
        <w:rPr>
          <w:noProof/>
        </w:rPr>
        <w:tab/>
      </w:r>
      <w:r>
        <w:rPr>
          <w:noProof/>
        </w:rPr>
        <w:fldChar w:fldCharType="begin"/>
      </w:r>
      <w:r>
        <w:rPr>
          <w:noProof/>
        </w:rPr>
        <w:instrText xml:space="preserve"> PAGEREF _Toc407783223 \h </w:instrText>
      </w:r>
      <w:r>
        <w:rPr>
          <w:noProof/>
        </w:rPr>
      </w:r>
      <w:r>
        <w:rPr>
          <w:noProof/>
        </w:rPr>
        <w:fldChar w:fldCharType="separate"/>
      </w:r>
      <w:r w:rsidR="00641259">
        <w:rPr>
          <w:noProof/>
        </w:rPr>
        <w:t>21</w:t>
      </w:r>
      <w:r>
        <w:rPr>
          <w:noProof/>
        </w:rPr>
        <w:fldChar w:fldCharType="end"/>
      </w:r>
    </w:p>
    <w:p w14:paraId="34717AE3"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Figure 11: Acute sector skill mix scenario</w:t>
      </w:r>
      <w:r>
        <w:rPr>
          <w:noProof/>
        </w:rPr>
        <w:tab/>
      </w:r>
      <w:r>
        <w:rPr>
          <w:noProof/>
        </w:rPr>
        <w:fldChar w:fldCharType="begin"/>
      </w:r>
      <w:r>
        <w:rPr>
          <w:noProof/>
        </w:rPr>
        <w:instrText xml:space="preserve"> PAGEREF _Toc407783224 \h </w:instrText>
      </w:r>
      <w:r>
        <w:rPr>
          <w:noProof/>
        </w:rPr>
      </w:r>
      <w:r>
        <w:rPr>
          <w:noProof/>
        </w:rPr>
        <w:fldChar w:fldCharType="separate"/>
      </w:r>
      <w:r w:rsidR="00641259">
        <w:rPr>
          <w:noProof/>
        </w:rPr>
        <w:t>24</w:t>
      </w:r>
      <w:r>
        <w:rPr>
          <w:noProof/>
        </w:rPr>
        <w:fldChar w:fldCharType="end"/>
      </w:r>
    </w:p>
    <w:p w14:paraId="00842AFD"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Figure 12: Aged care sector skill mix scenario</w:t>
      </w:r>
      <w:r>
        <w:rPr>
          <w:noProof/>
        </w:rPr>
        <w:tab/>
      </w:r>
      <w:r>
        <w:rPr>
          <w:noProof/>
        </w:rPr>
        <w:fldChar w:fldCharType="begin"/>
      </w:r>
      <w:r>
        <w:rPr>
          <w:noProof/>
        </w:rPr>
        <w:instrText xml:space="preserve"> PAGEREF _Toc407783225 \h </w:instrText>
      </w:r>
      <w:r>
        <w:rPr>
          <w:noProof/>
        </w:rPr>
      </w:r>
      <w:r>
        <w:rPr>
          <w:noProof/>
        </w:rPr>
        <w:fldChar w:fldCharType="separate"/>
      </w:r>
      <w:r w:rsidR="00641259">
        <w:rPr>
          <w:noProof/>
        </w:rPr>
        <w:t>26</w:t>
      </w:r>
      <w:r>
        <w:rPr>
          <w:noProof/>
        </w:rPr>
        <w:fldChar w:fldCharType="end"/>
      </w:r>
    </w:p>
    <w:p w14:paraId="6971DB30" w14:textId="77777777" w:rsidR="00FA0BB9" w:rsidRDefault="00FA0BB9">
      <w:pPr>
        <w:pStyle w:val="TableofFigures"/>
        <w:tabs>
          <w:tab w:val="right" w:leader="dot" w:pos="9628"/>
        </w:tabs>
        <w:rPr>
          <w:rFonts w:asciiTheme="minorHAnsi" w:eastAsiaTheme="minorEastAsia" w:hAnsiTheme="minorHAnsi" w:cstheme="minorBidi"/>
          <w:noProof/>
          <w:lang w:eastAsia="en-AU"/>
        </w:rPr>
      </w:pPr>
      <w:r>
        <w:rPr>
          <w:noProof/>
        </w:rPr>
        <w:t>Figure 13: Stock and flow process</w:t>
      </w:r>
      <w:r>
        <w:rPr>
          <w:noProof/>
        </w:rPr>
        <w:tab/>
      </w:r>
      <w:r>
        <w:rPr>
          <w:noProof/>
        </w:rPr>
        <w:fldChar w:fldCharType="begin"/>
      </w:r>
      <w:r>
        <w:rPr>
          <w:noProof/>
        </w:rPr>
        <w:instrText xml:space="preserve"> PAGEREF _Toc407783226 \h </w:instrText>
      </w:r>
      <w:r>
        <w:rPr>
          <w:noProof/>
        </w:rPr>
      </w:r>
      <w:r>
        <w:rPr>
          <w:noProof/>
        </w:rPr>
        <w:fldChar w:fldCharType="separate"/>
      </w:r>
      <w:r w:rsidR="00641259">
        <w:rPr>
          <w:noProof/>
        </w:rPr>
        <w:t>34</w:t>
      </w:r>
      <w:r>
        <w:rPr>
          <w:noProof/>
        </w:rPr>
        <w:fldChar w:fldCharType="end"/>
      </w:r>
    </w:p>
    <w:p w14:paraId="3BFBDBF5" w14:textId="04B87F15" w:rsidR="003C7E46" w:rsidRPr="00F477F6" w:rsidRDefault="00A0392F" w:rsidP="00D20D53">
      <w:pPr>
        <w:pStyle w:val="TableofFigures"/>
        <w:tabs>
          <w:tab w:val="right" w:leader="dot" w:pos="9628"/>
        </w:tabs>
        <w:spacing w:line="276" w:lineRule="auto"/>
        <w:rPr>
          <w:rFonts w:ascii="Avenir LT Std 35 Light" w:hAnsi="Avenir LT Std 35 Light" w:cstheme="minorHAnsi"/>
        </w:rPr>
      </w:pPr>
      <w:r w:rsidRPr="00F477F6">
        <w:rPr>
          <w:rFonts w:ascii="Avenir LT Std 35 Light" w:hAnsi="Avenir LT Std 35 Light"/>
          <w:noProof/>
          <w:sz w:val="20"/>
          <w:szCs w:val="20"/>
        </w:rPr>
        <w:fldChar w:fldCharType="end"/>
      </w:r>
      <w:r w:rsidR="003C7E46" w:rsidRPr="00F477F6">
        <w:rPr>
          <w:rFonts w:ascii="Avenir LT Std 35 Light" w:hAnsi="Avenir LT Std 35 Light" w:cstheme="minorHAnsi"/>
        </w:rPr>
        <w:br w:type="page"/>
      </w:r>
    </w:p>
    <w:p w14:paraId="559AD0E1" w14:textId="39F062F7" w:rsidR="00D94106" w:rsidRPr="00F477F6" w:rsidRDefault="0037566B" w:rsidP="00D20D53">
      <w:pPr>
        <w:pStyle w:val="Heading1"/>
      </w:pPr>
      <w:bookmarkStart w:id="6" w:name="_Toc407783186"/>
      <w:r w:rsidRPr="00F477F6">
        <w:lastRenderedPageBreak/>
        <w:t>Preface</w:t>
      </w:r>
      <w:bookmarkEnd w:id="6"/>
    </w:p>
    <w:p w14:paraId="5352C03E" w14:textId="7FB99729" w:rsidR="0037566B" w:rsidRPr="00F477F6" w:rsidRDefault="0037566B" w:rsidP="00641259">
      <w:pPr>
        <w:pStyle w:val="Heading2"/>
      </w:pPr>
      <w:bookmarkStart w:id="7" w:name="_Toc386037976"/>
      <w:bookmarkStart w:id="8" w:name="_Toc386443287"/>
      <w:bookmarkStart w:id="9" w:name="_Toc387325895"/>
      <w:bookmarkStart w:id="10" w:name="_Toc387326029"/>
      <w:bookmarkStart w:id="11" w:name="_Toc387400856"/>
      <w:bookmarkStart w:id="12" w:name="_Toc387400899"/>
      <w:bookmarkStart w:id="13" w:name="_Toc387401295"/>
      <w:r w:rsidRPr="00F477F6">
        <w:t xml:space="preserve">Australia’s </w:t>
      </w:r>
      <w:r w:rsidRPr="00641259">
        <w:t>Future</w:t>
      </w:r>
      <w:r w:rsidRPr="00F477F6">
        <w:t xml:space="preserve"> Health Workforce – Nurses</w:t>
      </w:r>
      <w:bookmarkEnd w:id="7"/>
      <w:bookmarkEnd w:id="8"/>
      <w:bookmarkEnd w:id="9"/>
      <w:bookmarkEnd w:id="10"/>
      <w:bookmarkEnd w:id="11"/>
      <w:bookmarkEnd w:id="12"/>
      <w:bookmarkEnd w:id="13"/>
    </w:p>
    <w:p w14:paraId="786E4C83" w14:textId="2992A257" w:rsidR="004B492A" w:rsidRPr="00F477F6" w:rsidRDefault="0037566B" w:rsidP="00D20D53">
      <w:r w:rsidRPr="00F477F6">
        <w:t xml:space="preserve">The nursing profession is the largest single health profession in Australia. Workforce planning is critical to ensure alignment of nursing supply with demand required by the health system, to create a sustainable nursing workforce for Australia. </w:t>
      </w:r>
    </w:p>
    <w:p w14:paraId="5AE0AD89" w14:textId="796AB9FF" w:rsidR="004B492A" w:rsidRPr="00F477F6" w:rsidRDefault="0037566B" w:rsidP="00D20D53">
      <w:r w:rsidRPr="00F477F6">
        <w:rPr>
          <w:i/>
        </w:rPr>
        <w:t>Australia’s Future Health Workforce – Nurses</w:t>
      </w:r>
      <w:r w:rsidRPr="00F477F6">
        <w:t xml:space="preserve"> (AFHW – Nurses) provides the results of nursing workforce planning projections conducted by H</w:t>
      </w:r>
      <w:r w:rsidR="00293BCF" w:rsidRPr="00F477F6">
        <w:t>ealth Workforce Australia (HWA)</w:t>
      </w:r>
      <w:r w:rsidRPr="00F477F6">
        <w:t>. It is presented in two publications:</w:t>
      </w:r>
    </w:p>
    <w:p w14:paraId="3A7A456F" w14:textId="6AEDF6C5" w:rsidR="004B492A" w:rsidRPr="00F57F39" w:rsidRDefault="0037566B" w:rsidP="00F57F39">
      <w:pPr>
        <w:pStyle w:val="ListParagraph"/>
        <w:numPr>
          <w:ilvl w:val="0"/>
          <w:numId w:val="39"/>
        </w:numPr>
        <w:rPr>
          <w:rFonts w:eastAsia="Times New Roman"/>
          <w:bCs/>
        </w:rPr>
      </w:pPr>
      <w:r w:rsidRPr="00F57F39">
        <w:rPr>
          <w:rFonts w:eastAsia="Times New Roman"/>
          <w:b/>
          <w:bCs/>
        </w:rPr>
        <w:t>Australia’s Future Health Workforce – Nurses – Overview.</w:t>
      </w:r>
      <w:r w:rsidRPr="00F477F6">
        <w:t xml:space="preserve"> This publication presents </w:t>
      </w:r>
      <w:r w:rsidR="00655984" w:rsidRPr="00F477F6">
        <w:t xml:space="preserve">an overview of Australia’s current nursing workforce’s demographics and characteristics, along with </w:t>
      </w:r>
      <w:r w:rsidRPr="00F477F6">
        <w:t xml:space="preserve">HWA’s workforce planning projections </w:t>
      </w:r>
      <w:r w:rsidR="00655984" w:rsidRPr="00F477F6">
        <w:t>for the total nursing workforce</w:t>
      </w:r>
      <w:r w:rsidRPr="00F477F6">
        <w:t xml:space="preserve">. </w:t>
      </w:r>
    </w:p>
    <w:p w14:paraId="38A13648" w14:textId="4C104AAA" w:rsidR="0037566B" w:rsidRPr="00F477F6" w:rsidRDefault="0037566B" w:rsidP="00F57F39">
      <w:pPr>
        <w:pStyle w:val="ListParagraph"/>
        <w:numPr>
          <w:ilvl w:val="0"/>
          <w:numId w:val="39"/>
        </w:numPr>
        <w:rPr>
          <w:lang w:eastAsia="x-none"/>
        </w:rPr>
      </w:pPr>
      <w:r w:rsidRPr="00F57F39">
        <w:rPr>
          <w:rFonts w:eastAsia="Times New Roman"/>
          <w:b/>
          <w:bCs/>
        </w:rPr>
        <w:t xml:space="preserve">Australia’s Future Health Workforce – Nurses – Detailed Report. </w:t>
      </w:r>
      <w:r w:rsidRPr="00F477F6">
        <w:t xml:space="preserve">This publication supports the overview, and provides </w:t>
      </w:r>
      <w:r w:rsidR="00335832" w:rsidRPr="00F477F6">
        <w:t>information on the demographics and characteristics, and workforce planning projections for the following nursing sectors:</w:t>
      </w:r>
    </w:p>
    <w:p w14:paraId="1BAC3E7A" w14:textId="77777777" w:rsidR="0037566B" w:rsidRPr="00F477F6" w:rsidRDefault="0037566B" w:rsidP="00F57F39">
      <w:pPr>
        <w:pStyle w:val="ListParagraph"/>
        <w:numPr>
          <w:ilvl w:val="0"/>
          <w:numId w:val="11"/>
        </w:numPr>
        <w:ind w:firstLine="131"/>
        <w:rPr>
          <w:lang w:eastAsia="x-none"/>
        </w:rPr>
      </w:pPr>
      <w:r w:rsidRPr="00F477F6">
        <w:rPr>
          <w:lang w:eastAsia="x-none"/>
        </w:rPr>
        <w:t xml:space="preserve">Acute care </w:t>
      </w:r>
    </w:p>
    <w:p w14:paraId="39E58B63" w14:textId="77777777" w:rsidR="0037566B" w:rsidRPr="00F477F6" w:rsidRDefault="0037566B" w:rsidP="00F57F39">
      <w:pPr>
        <w:pStyle w:val="ListParagraph"/>
        <w:numPr>
          <w:ilvl w:val="0"/>
          <w:numId w:val="11"/>
        </w:numPr>
        <w:ind w:firstLine="131"/>
        <w:rPr>
          <w:lang w:eastAsia="x-none"/>
        </w:rPr>
      </w:pPr>
      <w:r w:rsidRPr="00F477F6">
        <w:rPr>
          <w:lang w:eastAsia="x-none"/>
        </w:rPr>
        <w:t>Aged care</w:t>
      </w:r>
    </w:p>
    <w:p w14:paraId="3621303A" w14:textId="77777777" w:rsidR="0037566B" w:rsidRPr="00F477F6" w:rsidRDefault="0037566B" w:rsidP="00F57F39">
      <w:pPr>
        <w:pStyle w:val="ListParagraph"/>
        <w:numPr>
          <w:ilvl w:val="0"/>
          <w:numId w:val="11"/>
        </w:numPr>
        <w:ind w:firstLine="131"/>
        <w:rPr>
          <w:lang w:eastAsia="x-none"/>
        </w:rPr>
      </w:pPr>
      <w:r w:rsidRPr="00F477F6">
        <w:rPr>
          <w:lang w:eastAsia="x-none"/>
        </w:rPr>
        <w:t xml:space="preserve">Critical care and emergency </w:t>
      </w:r>
    </w:p>
    <w:p w14:paraId="3244040D" w14:textId="77777777" w:rsidR="0037566B" w:rsidRPr="00F477F6" w:rsidRDefault="0037566B" w:rsidP="00F57F39">
      <w:pPr>
        <w:pStyle w:val="ListParagraph"/>
        <w:numPr>
          <w:ilvl w:val="0"/>
          <w:numId w:val="11"/>
        </w:numPr>
        <w:ind w:firstLine="131"/>
        <w:rPr>
          <w:lang w:eastAsia="x-none"/>
        </w:rPr>
      </w:pPr>
      <w:r w:rsidRPr="00F477F6">
        <w:rPr>
          <w:lang w:eastAsia="x-none"/>
        </w:rPr>
        <w:t xml:space="preserve">Mental health </w:t>
      </w:r>
    </w:p>
    <w:p w14:paraId="2DEE51DF" w14:textId="67AE8124" w:rsidR="004B492A" w:rsidRPr="00F477F6" w:rsidRDefault="0037566B" w:rsidP="00F57F39">
      <w:pPr>
        <w:pStyle w:val="ListParagraph"/>
        <w:numPr>
          <w:ilvl w:val="0"/>
          <w:numId w:val="11"/>
        </w:numPr>
        <w:ind w:firstLine="131"/>
        <w:rPr>
          <w:lang w:eastAsia="x-none"/>
        </w:rPr>
      </w:pPr>
      <w:r w:rsidRPr="00F477F6">
        <w:rPr>
          <w:lang w:eastAsia="x-none"/>
        </w:rPr>
        <w:t>Other nursing.</w:t>
      </w:r>
    </w:p>
    <w:p w14:paraId="72F81BE3" w14:textId="0A797CCB" w:rsidR="004B492A" w:rsidRPr="00F477F6" w:rsidRDefault="0037566B" w:rsidP="00D20D53">
      <w:r w:rsidRPr="00F477F6">
        <w:t xml:space="preserve">Additionally, </w:t>
      </w:r>
      <w:r w:rsidR="00335832" w:rsidRPr="00F477F6">
        <w:t>information on the number and characteristics of</w:t>
      </w:r>
      <w:r w:rsidRPr="00F477F6">
        <w:t xml:space="preserve"> primary health care nurses, nurses working in academic settings and nurses who identified as Aboriginal </w:t>
      </w:r>
      <w:r w:rsidR="00E43D16" w:rsidRPr="00F477F6">
        <w:t>or</w:t>
      </w:r>
      <w:r w:rsidRPr="00F477F6">
        <w:t xml:space="preserve"> Torres Strait Islander </w:t>
      </w:r>
      <w:r w:rsidR="00335832" w:rsidRPr="00F477F6">
        <w:t xml:space="preserve">is also provided in </w:t>
      </w:r>
      <w:r w:rsidR="00335832" w:rsidRPr="00F477F6">
        <w:rPr>
          <w:rFonts w:eastAsia="Times New Roman" w:cs="Arial"/>
          <w:bCs/>
          <w:i/>
        </w:rPr>
        <w:t>Australia’s Future Health Workforce – Nurses – Detailed Report</w:t>
      </w:r>
      <w:r w:rsidRPr="00F477F6">
        <w:t>.</w:t>
      </w:r>
    </w:p>
    <w:p w14:paraId="1C7BC574" w14:textId="416CB4CB" w:rsidR="0037566B" w:rsidRPr="00F477F6" w:rsidRDefault="00655984" w:rsidP="00D20D53">
      <w:r w:rsidRPr="00F477F6">
        <w:t>Th</w:t>
      </w:r>
      <w:r w:rsidR="00E43D16" w:rsidRPr="00F477F6">
        <w:t>ese</w:t>
      </w:r>
      <w:r w:rsidRPr="00F477F6">
        <w:t xml:space="preserve"> report</w:t>
      </w:r>
      <w:r w:rsidR="00E43D16" w:rsidRPr="00F477F6">
        <w:t>s</w:t>
      </w:r>
      <w:r w:rsidRPr="00F477F6">
        <w:t xml:space="preserve"> build on the work </w:t>
      </w:r>
      <w:r w:rsidR="004B492A" w:rsidRPr="00F477F6">
        <w:t>conducted</w:t>
      </w:r>
      <w:r w:rsidRPr="00F477F6">
        <w:t xml:space="preserve"> in HWA’s previous publication </w:t>
      </w:r>
      <w:r w:rsidRPr="00F477F6">
        <w:rPr>
          <w:i/>
        </w:rPr>
        <w:t>Health Workforce 2025 – Doctors, Nurses and Midwives</w:t>
      </w:r>
      <w:r w:rsidR="000269BD" w:rsidRPr="00F477F6">
        <w:t xml:space="preserve"> (HW2025). In HW2025, the importance of</w:t>
      </w:r>
      <w:r w:rsidR="004B492A" w:rsidRPr="00F477F6">
        <w:t xml:space="preserve"> workforce planning being conducted as an iterative process was highlighted, to allow for refinements as updated data becomes available. AFHW – Nurses provides this first update since the release of HW2025. </w:t>
      </w:r>
    </w:p>
    <w:p w14:paraId="48321F18" w14:textId="5EB47384" w:rsidR="003C7E46" w:rsidRPr="00F477F6" w:rsidRDefault="003C7E46" w:rsidP="00D20D53">
      <w:pPr>
        <w:pStyle w:val="Heading1"/>
      </w:pPr>
      <w:bookmarkStart w:id="14" w:name="_Toc407783187"/>
      <w:r w:rsidRPr="00F477F6">
        <w:lastRenderedPageBreak/>
        <w:t>Acknowledgements</w:t>
      </w:r>
      <w:bookmarkEnd w:id="14"/>
    </w:p>
    <w:p w14:paraId="45DFB46F" w14:textId="60B2DE4C" w:rsidR="003C7E46" w:rsidRPr="00F477F6" w:rsidRDefault="003C7E46" w:rsidP="00D20D53">
      <w:r w:rsidRPr="00F477F6">
        <w:t xml:space="preserve">HWA wishes to acknowledge and thank the many stakeholders involved with the </w:t>
      </w:r>
      <w:r w:rsidR="007238C9" w:rsidRPr="00F477F6">
        <w:rPr>
          <w:i/>
        </w:rPr>
        <w:t>Australia’s Future Health Workforce: Nurses</w:t>
      </w:r>
      <w:r w:rsidR="007238C9" w:rsidRPr="00F477F6">
        <w:t xml:space="preserve"> project</w:t>
      </w:r>
      <w:r w:rsidRPr="00F477F6">
        <w:t xml:space="preserve">, for their assistance to date. </w:t>
      </w:r>
    </w:p>
    <w:p w14:paraId="3219E290" w14:textId="77777777" w:rsidR="00B31AD4" w:rsidRPr="00F477F6" w:rsidRDefault="003C7E46" w:rsidP="00D20D53">
      <w:r w:rsidRPr="00F477F6">
        <w:t xml:space="preserve">Oversight of the project was provided by a </w:t>
      </w:r>
      <w:r w:rsidR="007238C9" w:rsidRPr="00F477F6">
        <w:t>Project Advisory Group</w:t>
      </w:r>
      <w:r w:rsidRPr="00F477F6">
        <w:t xml:space="preserve"> </w:t>
      </w:r>
      <w:r w:rsidR="007238C9" w:rsidRPr="00F477F6">
        <w:t xml:space="preserve">(PAG) </w:t>
      </w:r>
      <w:r w:rsidRPr="00F477F6">
        <w:t xml:space="preserve">comprising representatives from </w:t>
      </w:r>
      <w:r w:rsidR="00B31AD4" w:rsidRPr="00F477F6">
        <w:t xml:space="preserve">academia, government, the health sector </w:t>
      </w:r>
      <w:r w:rsidRPr="00F477F6">
        <w:t>and peak representative organisations for nurses</w:t>
      </w:r>
      <w:r w:rsidR="00B31AD4" w:rsidRPr="00F477F6">
        <w:t xml:space="preserve">. </w:t>
      </w:r>
    </w:p>
    <w:p w14:paraId="261578CB" w14:textId="77777777" w:rsidR="003C7E46" w:rsidRPr="00F477F6" w:rsidRDefault="003C7E46" w:rsidP="00D20D53">
      <w:r w:rsidRPr="00F477F6">
        <w:t xml:space="preserve">HWA benefited greatly from the experience and knowledge of the </w:t>
      </w:r>
      <w:r w:rsidR="007238C9" w:rsidRPr="00F477F6">
        <w:t>PAG</w:t>
      </w:r>
      <w:r w:rsidRPr="00F477F6">
        <w:t xml:space="preserve"> members and wishes to thank them for their input and time. HWA also wishes to acknowledge that the content of this final report represents the findings of HWA, and is not to be viewed as being endorsed by the organisations represented by </w:t>
      </w:r>
      <w:r w:rsidR="007238C9" w:rsidRPr="00F477F6">
        <w:t>PAG</w:t>
      </w:r>
      <w:r w:rsidRPr="00F477F6">
        <w:t xml:space="preserve"> members – their role was in an advisory capacity as experts in their field.</w:t>
      </w:r>
    </w:p>
    <w:p w14:paraId="20C7CC5B" w14:textId="77777777" w:rsidR="003C7E46" w:rsidRPr="00F477F6" w:rsidRDefault="003C7E46" w:rsidP="00D20D53">
      <w:r w:rsidRPr="00F477F6">
        <w:t xml:space="preserve">A list of the </w:t>
      </w:r>
      <w:r w:rsidR="007238C9" w:rsidRPr="00F477F6">
        <w:t>PAG</w:t>
      </w:r>
      <w:r w:rsidRPr="00F477F6">
        <w:t xml:space="preserve"> members is provided in Appendix </w:t>
      </w:r>
      <w:r w:rsidR="009567B9" w:rsidRPr="00F477F6">
        <w:t>A</w:t>
      </w:r>
      <w:r w:rsidRPr="00F477F6">
        <w:t>.</w:t>
      </w:r>
    </w:p>
    <w:p w14:paraId="2BF772E9" w14:textId="339D1616" w:rsidR="003C7E46" w:rsidRPr="00F477F6" w:rsidRDefault="003C7E46" w:rsidP="00D20D53">
      <w:pPr>
        <w:pStyle w:val="Heading1"/>
      </w:pPr>
      <w:bookmarkStart w:id="15" w:name="_Toc407783188"/>
      <w:r w:rsidRPr="00F477F6">
        <w:lastRenderedPageBreak/>
        <w:t>Executive summary</w:t>
      </w:r>
      <w:bookmarkEnd w:id="15"/>
    </w:p>
    <w:p w14:paraId="652E423B" w14:textId="491D9555" w:rsidR="00C414C0" w:rsidRPr="00F477F6" w:rsidRDefault="00C414C0" w:rsidP="00D20D53">
      <w:r w:rsidRPr="00F477F6">
        <w:t>In 2012, there were over a quarter of a million (273,404) Registered Nurses and almost 60,000 Enrolled Nurses registered in Australia. This represents a significant investment</w:t>
      </w:r>
      <w:r w:rsidR="00C46436" w:rsidRPr="00F477F6">
        <w:t xml:space="preserve"> to the Australian economy </w:t>
      </w:r>
      <w:r w:rsidRPr="00F477F6">
        <w:t>– in terms of the cost of employing nurses and the embedded cost of education, both of which are substantially borne by the taxpayer. Coordinated planning and deployment of this workforce is there</w:t>
      </w:r>
      <w:r w:rsidR="00231A4D" w:rsidRPr="00F477F6">
        <w:t>f</w:t>
      </w:r>
      <w:r w:rsidRPr="00F477F6">
        <w:t>ore ess</w:t>
      </w:r>
      <w:r w:rsidR="00231A4D" w:rsidRPr="00F477F6">
        <w:t>ential</w:t>
      </w:r>
      <w:r w:rsidRPr="00F477F6">
        <w:t xml:space="preserve"> – not only in providing substantial health gains to the community, but also </w:t>
      </w:r>
      <w:r w:rsidR="00231A4D" w:rsidRPr="00F477F6">
        <w:t xml:space="preserve">in providing </w:t>
      </w:r>
      <w:r w:rsidRPr="00F477F6">
        <w:t xml:space="preserve">financial gains from a well-utilised resource. </w:t>
      </w:r>
    </w:p>
    <w:p w14:paraId="7DFE0805" w14:textId="62935480" w:rsidR="00172385" w:rsidRPr="00F477F6" w:rsidRDefault="005A108A" w:rsidP="00D20D53">
      <w:r w:rsidRPr="00F477F6">
        <w:t xml:space="preserve">Such planning was envisioned when, in </w:t>
      </w:r>
      <w:r w:rsidR="00172385" w:rsidRPr="00F477F6">
        <w:t xml:space="preserve">2012, Health Workforce Australia (HWA) published </w:t>
      </w:r>
      <w:r w:rsidR="00172385" w:rsidRPr="00F477F6">
        <w:rPr>
          <w:i/>
        </w:rPr>
        <w:t>Health Workforce 2025 – Doctors, Nurses and Midwives</w:t>
      </w:r>
      <w:r w:rsidR="00172385" w:rsidRPr="00F477F6">
        <w:t xml:space="preserve"> (HW2025), the first major, long-term, national projections for the future of these three key professions. For nurses, this report concluded that population health trends, combined with an ageing nursing workforce and poor retention rates, will lead to an imminen</w:t>
      </w:r>
      <w:r w:rsidR="00B64C22" w:rsidRPr="00F477F6">
        <w:t xml:space="preserve">t and acute nursing shortfall. </w:t>
      </w:r>
    </w:p>
    <w:p w14:paraId="68B515B6" w14:textId="3F64D0A3" w:rsidR="00172385" w:rsidRPr="00F477F6" w:rsidRDefault="00172385" w:rsidP="00D20D53">
      <w:r w:rsidRPr="00F477F6">
        <w:t xml:space="preserve">To address this significant issue, health ministers and policymakers need to have the most up-to-date analysis and workforce planning projections for the nursing workforce to develop effective policies. </w:t>
      </w:r>
      <w:r w:rsidRPr="00F477F6">
        <w:rPr>
          <w:i/>
        </w:rPr>
        <w:t>Australia’s Future Health Workforce – Nurses</w:t>
      </w:r>
      <w:r w:rsidRPr="00F477F6">
        <w:t xml:space="preserve"> (AFHW – Nurses) provides information on the characteristics of the existing nursing workforce, and updates the workforce planning projections that were initially published in 2012. It uses the best available planning data to project Australia’s future nursing workforce r</w:t>
      </w:r>
      <w:r w:rsidR="00B64C22" w:rsidRPr="00F477F6">
        <w:t xml:space="preserve">equirements from 2012 to 2030. </w:t>
      </w:r>
    </w:p>
    <w:p w14:paraId="060ECEAC" w14:textId="799FFE10" w:rsidR="00172385" w:rsidRPr="00F477F6" w:rsidRDefault="00172385" w:rsidP="00D20D53">
      <w:r w:rsidRPr="00F477F6">
        <w:t xml:space="preserve">Workforce planning projections for the nursing workforce show that in the medium to long-term Australia’s demand for nurses will significantly exceed supply, with a projected shortfall of approximately 85,000 nurses by 2025, and 123,000 nurses by 2030 under current settings. The </w:t>
      </w:r>
      <w:r w:rsidR="00391406" w:rsidRPr="00F477F6">
        <w:t>projected shortfall in</w:t>
      </w:r>
      <w:r w:rsidRPr="00F477F6">
        <w:t xml:space="preserve"> 2025 </w:t>
      </w:r>
      <w:r w:rsidR="00872DB4" w:rsidRPr="00F477F6">
        <w:t>is lower than t</w:t>
      </w:r>
      <w:r w:rsidRPr="00F477F6">
        <w:t>he workforce planning projections published in HW2025</w:t>
      </w:r>
      <w:r w:rsidR="00391406" w:rsidRPr="00F477F6">
        <w:t xml:space="preserve"> (</w:t>
      </w:r>
      <w:r w:rsidRPr="00F477F6">
        <w:t>which projected a shortfall of approximately 109,000 nurses in 2025 under current settings</w:t>
      </w:r>
      <w:r w:rsidR="00391406" w:rsidRPr="00F477F6">
        <w:t>)</w:t>
      </w:r>
      <w:r w:rsidRPr="00F477F6">
        <w:t xml:space="preserve">. This change was the result of </w:t>
      </w:r>
      <w:r w:rsidR="00391406" w:rsidRPr="00F477F6">
        <w:t xml:space="preserve">changes in </w:t>
      </w:r>
      <w:r w:rsidR="00872DB4" w:rsidRPr="00F477F6">
        <w:t>the behaviours of nurses and employers</w:t>
      </w:r>
      <w:r w:rsidR="00391406" w:rsidRPr="00F477F6">
        <w:t xml:space="preserve">, which </w:t>
      </w:r>
      <w:r w:rsidR="00872DB4" w:rsidRPr="00F477F6">
        <w:t>is</w:t>
      </w:r>
      <w:r w:rsidR="00391406" w:rsidRPr="00F477F6">
        <w:t xml:space="preserve"> reflected in the most recent data used in generating the workforce planning projections, specifically</w:t>
      </w:r>
      <w:r w:rsidRPr="00F477F6">
        <w:t>:</w:t>
      </w:r>
    </w:p>
    <w:p w14:paraId="011B5103" w14:textId="09E2970A" w:rsidR="00172385" w:rsidRPr="00F477F6" w:rsidRDefault="00172385" w:rsidP="00D20D53">
      <w:pPr>
        <w:pStyle w:val="ListParagraph"/>
        <w:numPr>
          <w:ilvl w:val="0"/>
          <w:numId w:val="12"/>
        </w:numPr>
      </w:pPr>
      <w:r w:rsidRPr="00F477F6">
        <w:t xml:space="preserve">Lower exit rates </w:t>
      </w:r>
      <w:r w:rsidR="00516FC6" w:rsidRPr="00F477F6">
        <w:t xml:space="preserve">in </w:t>
      </w:r>
      <w:r w:rsidR="00516FC6" w:rsidRPr="00CD2720">
        <w:rPr>
          <w:i/>
        </w:rPr>
        <w:t>AFHW – Nurses</w:t>
      </w:r>
      <w:r w:rsidR="00516FC6" w:rsidRPr="00F477F6">
        <w:t xml:space="preserve"> </w:t>
      </w:r>
      <w:r w:rsidRPr="00F477F6">
        <w:t>than those used in the HW2025 workforce planning projections</w:t>
      </w:r>
      <w:r w:rsidR="00391406" w:rsidRPr="00F477F6">
        <w:t>, from more nurses remaining in the workforce</w:t>
      </w:r>
      <w:r w:rsidR="00872DB4" w:rsidRPr="00F477F6">
        <w:t xml:space="preserve"> than expected</w:t>
      </w:r>
      <w:r w:rsidR="00391406" w:rsidRPr="00F477F6">
        <w:t>.</w:t>
      </w:r>
      <w:r w:rsidRPr="00F477F6">
        <w:t xml:space="preserve"> </w:t>
      </w:r>
    </w:p>
    <w:p w14:paraId="2D3080E0" w14:textId="013E63C9" w:rsidR="00391406" w:rsidRPr="00F477F6" w:rsidRDefault="00172385" w:rsidP="00D20D53">
      <w:pPr>
        <w:pStyle w:val="ListParagraph"/>
        <w:numPr>
          <w:ilvl w:val="0"/>
          <w:numId w:val="12"/>
        </w:numPr>
      </w:pPr>
      <w:r w:rsidRPr="00F477F6">
        <w:t>Lower demand rate</w:t>
      </w:r>
      <w:r w:rsidR="00391406" w:rsidRPr="00F477F6">
        <w:t>s</w:t>
      </w:r>
      <w:r w:rsidRPr="00F477F6">
        <w:t xml:space="preserve"> for nurses working in acute care</w:t>
      </w:r>
      <w:r w:rsidR="00516FC6" w:rsidRPr="00F477F6">
        <w:t xml:space="preserve"> in </w:t>
      </w:r>
      <w:r w:rsidR="00516FC6" w:rsidRPr="00CD2720">
        <w:rPr>
          <w:i/>
        </w:rPr>
        <w:t>AFHW – Nurses</w:t>
      </w:r>
      <w:r w:rsidR="00516FC6" w:rsidRPr="00F477F6">
        <w:t xml:space="preserve"> (2.6 </w:t>
      </w:r>
      <w:r w:rsidR="001262DE" w:rsidRPr="00F477F6">
        <w:t>percent</w:t>
      </w:r>
      <w:r w:rsidR="00516FC6" w:rsidRPr="00F477F6">
        <w:t xml:space="preserve">) compared with those used in HW2025 (2.2 </w:t>
      </w:r>
      <w:r w:rsidR="001262DE" w:rsidRPr="00F477F6">
        <w:t>percent</w:t>
      </w:r>
      <w:r w:rsidR="00516FC6" w:rsidRPr="00F477F6">
        <w:t>)</w:t>
      </w:r>
      <w:r w:rsidR="00872DB4" w:rsidRPr="00F477F6">
        <w:t>, reflecting lower labour demand than projected, particularly in the public sector.</w:t>
      </w:r>
    </w:p>
    <w:p w14:paraId="501C69BF" w14:textId="55F6173B" w:rsidR="00172385" w:rsidRPr="00F477F6" w:rsidRDefault="00872DB4" w:rsidP="00D20D53">
      <w:r w:rsidRPr="00F477F6">
        <w:t xml:space="preserve">These changes reflect economic conditions, changes in policy in public sector health systems and other external impacts. </w:t>
      </w:r>
    </w:p>
    <w:p w14:paraId="60FA25E4" w14:textId="7CE5C943" w:rsidR="009F45D7" w:rsidRPr="00F477F6" w:rsidRDefault="00172385" w:rsidP="00D20D53">
      <w:r w:rsidRPr="00F477F6">
        <w:t xml:space="preserve">No single policy </w:t>
      </w:r>
      <w:r w:rsidR="009F45D7" w:rsidRPr="00F477F6">
        <w:t>change</w:t>
      </w:r>
      <w:r w:rsidRPr="00F477F6">
        <w:t xml:space="preserve"> is capable of closing the gap between nursing workforce supply and demand.</w:t>
      </w:r>
      <w:r w:rsidR="00C414C0" w:rsidRPr="00F477F6">
        <w:t xml:space="preserve"> However, scenario modelling demonstrates the shortfall can be significantly counteracted by a coordinated approach across governments, employers, the profession and the tertiary education sector. This is demonstrated in a combined scenario, which models improved retention of nursing students within education, improved employment rates of domestic graduates, and increased early career retention; as well as assuming </w:t>
      </w:r>
      <w:r w:rsidR="00C414C0" w:rsidRPr="00F477F6">
        <w:lastRenderedPageBreak/>
        <w:t xml:space="preserve">that slower future economic growth will slow </w:t>
      </w:r>
      <w:r w:rsidR="00E43D16" w:rsidRPr="00F477F6">
        <w:t>provision of health services</w:t>
      </w:r>
      <w:r w:rsidR="00C414C0" w:rsidRPr="00F477F6">
        <w:t xml:space="preserve"> and consequently demand for nurses. The result of this combined scenario demonstrates the initial nursing shortfall can be significantly reduced (to approximately </w:t>
      </w:r>
      <w:r w:rsidR="009F45D7" w:rsidRPr="00F477F6">
        <w:t>39</w:t>
      </w:r>
      <w:r w:rsidR="00C414C0" w:rsidRPr="00F477F6">
        <w:t>,000 by 2025 or 4</w:t>
      </w:r>
      <w:r w:rsidR="009F45D7" w:rsidRPr="00F477F6">
        <w:t>5</w:t>
      </w:r>
      <w:r w:rsidR="00C414C0" w:rsidRPr="00F477F6">
        <w:t xml:space="preserve">,000 by 2030). </w:t>
      </w:r>
      <w:r w:rsidR="009F45D7" w:rsidRPr="00F477F6">
        <w:t>While achieving this outcome will require significant and coordinated action, HWA believes the combined scenario provides the best basis for future planning.</w:t>
      </w:r>
    </w:p>
    <w:p w14:paraId="362576B4" w14:textId="5EBFC972" w:rsidR="00C414C0" w:rsidRPr="00F477F6" w:rsidRDefault="009F45D7" w:rsidP="00D20D53">
      <w:r w:rsidRPr="00F477F6">
        <w:t>Even the combined scenario projects a significant shortfall in the total nursing workforce by 2030.</w:t>
      </w:r>
      <w:r w:rsidR="00872DB4" w:rsidRPr="00F477F6">
        <w:t xml:space="preserve"> </w:t>
      </w:r>
      <w:r w:rsidRPr="00F477F6">
        <w:t>One approach that could further increase nursing workforce supply within a fixed budget would be to change the skill mix in some sectors.</w:t>
      </w:r>
      <w:r w:rsidR="00872DB4" w:rsidRPr="00F477F6">
        <w:t xml:space="preserve"> </w:t>
      </w:r>
      <w:r w:rsidR="00C414C0" w:rsidRPr="00F477F6">
        <w:t xml:space="preserve">Workforce planning projections were also conducted for a range of skill mixes in the acute and aged care </w:t>
      </w:r>
      <w:r w:rsidR="00391406" w:rsidRPr="00F477F6">
        <w:t xml:space="preserve">nursing </w:t>
      </w:r>
      <w:r w:rsidR="00C414C0" w:rsidRPr="00F477F6">
        <w:t xml:space="preserve">sectors. This was to demonstrate the </w:t>
      </w:r>
      <w:r w:rsidR="00092EFC" w:rsidRPr="00F477F6">
        <w:t xml:space="preserve">workforce impact of changes to the existing skill mix across the national workforce. The acute and aged care sectors were selected for this exercise as they already </w:t>
      </w:r>
      <w:r w:rsidR="00C414C0" w:rsidRPr="00F477F6">
        <w:t>have</w:t>
      </w:r>
      <w:r w:rsidR="00092EFC" w:rsidRPr="00F477F6">
        <w:t xml:space="preserve"> a diverse skill mix, and </w:t>
      </w:r>
      <w:r w:rsidR="00C414C0" w:rsidRPr="00F477F6">
        <w:t xml:space="preserve">have </w:t>
      </w:r>
      <w:r w:rsidR="00092EFC" w:rsidRPr="00F477F6">
        <w:t>the largest number</w:t>
      </w:r>
      <w:r w:rsidR="00C414C0" w:rsidRPr="00F477F6">
        <w:t xml:space="preserve">s of employed nurses. </w:t>
      </w:r>
      <w:r w:rsidR="00092EFC" w:rsidRPr="00F477F6">
        <w:t xml:space="preserve">The alternate skill mixes included </w:t>
      </w:r>
      <w:r w:rsidR="00C414C0" w:rsidRPr="00F477F6">
        <w:t xml:space="preserve">were </w:t>
      </w:r>
      <w:r w:rsidR="00092EFC" w:rsidRPr="00F477F6">
        <w:t>chosen as examples only, to demonstrate the impact of change. HWA does not endorse any specific skill mix. The</w:t>
      </w:r>
      <w:r w:rsidR="00C414C0" w:rsidRPr="00F477F6">
        <w:t xml:space="preserve"> skill mix</w:t>
      </w:r>
      <w:r w:rsidR="00092EFC" w:rsidRPr="00F477F6">
        <w:t xml:space="preserve"> scenarios demonstrate that skill mix changes could result in</w:t>
      </w:r>
      <w:r w:rsidR="00391406" w:rsidRPr="00F477F6">
        <w:t xml:space="preserve"> R</w:t>
      </w:r>
      <w:r w:rsidR="00092EFC" w:rsidRPr="00F477F6">
        <w:t xml:space="preserve">egistered </w:t>
      </w:r>
      <w:r w:rsidR="00391406" w:rsidRPr="00F477F6">
        <w:t>N</w:t>
      </w:r>
      <w:r w:rsidR="00092EFC" w:rsidRPr="00F477F6">
        <w:t xml:space="preserve">urses and </w:t>
      </w:r>
      <w:r w:rsidR="00391406" w:rsidRPr="00F477F6">
        <w:t>E</w:t>
      </w:r>
      <w:r w:rsidR="00092EFC" w:rsidRPr="00F477F6">
        <w:t xml:space="preserve">nrolled </w:t>
      </w:r>
      <w:r w:rsidR="00391406" w:rsidRPr="00F477F6">
        <w:t>N</w:t>
      </w:r>
      <w:r w:rsidR="00092EFC" w:rsidRPr="00F477F6">
        <w:t>urses being available to be deployed into other nu</w:t>
      </w:r>
      <w:r w:rsidR="00B64C22" w:rsidRPr="00F477F6">
        <w:t xml:space="preserve">rsing sectors into the future. </w:t>
      </w:r>
    </w:p>
    <w:p w14:paraId="25EE4A72" w14:textId="77777777" w:rsidR="00092EFC" w:rsidRPr="00F477F6" w:rsidRDefault="00092EFC" w:rsidP="00D20D53">
      <w:r w:rsidRPr="00F477F6">
        <w:t>The workforce planning projection results clearly demonstrate that there will be insufficient nurses to maintain existing utilisation patterns into the future, and that there is no single measure to address this. Therefore different models that combine a variety of responses need to be considered, including strong and effective primary health care, which can achieve better health outcomes at a lower cost than health systems that are focused on acute and specialist care.</w:t>
      </w:r>
    </w:p>
    <w:p w14:paraId="18E097F3" w14:textId="3D3989C7" w:rsidR="00660AA6" w:rsidRPr="00F477F6" w:rsidRDefault="00BD7478" w:rsidP="00D20D53">
      <w:pPr>
        <w:pStyle w:val="Heading1"/>
      </w:pPr>
      <w:bookmarkStart w:id="16" w:name="_Toc407783189"/>
      <w:r w:rsidRPr="00F477F6">
        <w:lastRenderedPageBreak/>
        <w:t>R</w:t>
      </w:r>
      <w:r w:rsidR="00660AA6" w:rsidRPr="00F477F6">
        <w:t>ecommendations</w:t>
      </w:r>
      <w:bookmarkEnd w:id="16"/>
      <w:r w:rsidR="00C73772" w:rsidRPr="00F477F6">
        <w:t xml:space="preserve"> </w:t>
      </w:r>
    </w:p>
    <w:p w14:paraId="187834F4" w14:textId="77777777" w:rsidR="00BD7478" w:rsidRPr="00F477F6" w:rsidRDefault="00DF2CE4" w:rsidP="00641259">
      <w:pPr>
        <w:pStyle w:val="Heading2"/>
      </w:pPr>
      <w:r w:rsidRPr="00F477F6">
        <w:t>Recommendation 1</w:t>
      </w:r>
    </w:p>
    <w:p w14:paraId="4A2BD2BD" w14:textId="33088545" w:rsidR="00F912C8" w:rsidRPr="00F477F6" w:rsidRDefault="008517C8" w:rsidP="00D20D53">
      <w:pPr>
        <w:rPr>
          <w:b/>
        </w:rPr>
      </w:pPr>
      <w:r w:rsidRPr="00F477F6">
        <w:t>Establish a National Nursing and Midwifery Education Advisory Network</w:t>
      </w:r>
      <w:r w:rsidR="00007589" w:rsidRPr="00F477F6">
        <w:t xml:space="preserve"> (NNMEAN)</w:t>
      </w:r>
      <w:r w:rsidRPr="00F477F6">
        <w:t xml:space="preserve"> to </w:t>
      </w:r>
      <w:r w:rsidR="0032600D" w:rsidRPr="00F477F6">
        <w:t>make recommendations to governments on</w:t>
      </w:r>
      <w:r w:rsidRPr="00F477F6">
        <w:t xml:space="preserve"> the planning and coordination of education and employment requirements </w:t>
      </w:r>
      <w:r w:rsidR="0032600D" w:rsidRPr="00F477F6">
        <w:t>for R</w:t>
      </w:r>
      <w:r w:rsidR="00417C91" w:rsidRPr="00F477F6">
        <w:t xml:space="preserve">egistered Nurses, Enrolled Nurses, Assistants-in-Nursing and Midwives. This includes implementing the key findings of this report, as well as the recommendations contained in the </w:t>
      </w:r>
      <w:r w:rsidR="00F912C8" w:rsidRPr="00F477F6">
        <w:t xml:space="preserve">HWA report, </w:t>
      </w:r>
      <w:r w:rsidR="00F912C8" w:rsidRPr="00F477F6">
        <w:rPr>
          <w:i/>
        </w:rPr>
        <w:t>Nursing Workforce Sustainability: Improving Nurse Retention and Productivity</w:t>
      </w:r>
      <w:r w:rsidR="0032600D" w:rsidRPr="00F477F6">
        <w:t>.</w:t>
      </w:r>
    </w:p>
    <w:p w14:paraId="76308144" w14:textId="3A28DBD4" w:rsidR="00007589" w:rsidRPr="00F477F6" w:rsidRDefault="00007589" w:rsidP="00641259">
      <w:pPr>
        <w:pStyle w:val="Heading2"/>
      </w:pPr>
      <w:r w:rsidRPr="00F477F6">
        <w:t>Recommendation 2</w:t>
      </w:r>
    </w:p>
    <w:p w14:paraId="64F64601" w14:textId="69184A43" w:rsidR="00007589" w:rsidRPr="00F477F6" w:rsidRDefault="00007589" w:rsidP="00D20D53">
      <w:r w:rsidRPr="00F477F6">
        <w:t xml:space="preserve">Once established, the NNMEAN should prioritise implementing the key findings of this report for the mental health nursing sector, which is projected to have the greatest nursing workforce shortfall of the nursing sectors. </w:t>
      </w:r>
    </w:p>
    <w:p w14:paraId="1AE993D9" w14:textId="541E0AC5" w:rsidR="00BD7478" w:rsidRPr="00F477F6" w:rsidRDefault="0032600D" w:rsidP="00641259">
      <w:pPr>
        <w:pStyle w:val="Heading2"/>
      </w:pPr>
      <w:r w:rsidRPr="00F477F6">
        <w:t xml:space="preserve">Recommendation </w:t>
      </w:r>
      <w:r w:rsidR="00007589" w:rsidRPr="00F477F6">
        <w:t>3</w:t>
      </w:r>
    </w:p>
    <w:p w14:paraId="0E4071DB" w14:textId="7C2E1D87" w:rsidR="0032600D" w:rsidRPr="00F477F6" w:rsidRDefault="0032600D" w:rsidP="00D20D53">
      <w:r w:rsidRPr="00F477F6">
        <w:t>Unify</w:t>
      </w:r>
      <w:r w:rsidR="00417C91" w:rsidRPr="00F477F6">
        <w:t xml:space="preserve"> Australian Health Practitioner Regulation Agency (AHPRA) </w:t>
      </w:r>
      <w:r w:rsidRPr="00F477F6">
        <w:t>nursing student registration data with AHPRA nursing registration data</w:t>
      </w:r>
      <w:r w:rsidR="002F25EC" w:rsidRPr="00F477F6">
        <w:t xml:space="preserve"> to enhance longitudinal tracking of R</w:t>
      </w:r>
      <w:r w:rsidR="00417C91" w:rsidRPr="00F477F6">
        <w:t xml:space="preserve">egistered Nurse and Enrolled Nurse graduate </w:t>
      </w:r>
      <w:r w:rsidR="002F25EC" w:rsidRPr="00F477F6">
        <w:t>employment outcomes, early career retention and movements of nurses across their career through different sectors and locations.</w:t>
      </w:r>
    </w:p>
    <w:p w14:paraId="48C86201" w14:textId="755E843F" w:rsidR="00BD7478" w:rsidRPr="00F477F6" w:rsidRDefault="00BD7478" w:rsidP="00641259">
      <w:pPr>
        <w:pStyle w:val="Heading2"/>
      </w:pPr>
      <w:r w:rsidRPr="00F477F6">
        <w:t xml:space="preserve">Recommendation </w:t>
      </w:r>
      <w:r w:rsidR="00007589" w:rsidRPr="00F477F6">
        <w:t>4</w:t>
      </w:r>
    </w:p>
    <w:p w14:paraId="1072D676" w14:textId="34EFF044" w:rsidR="000355C6" w:rsidRPr="00F477F6" w:rsidRDefault="00577B5B" w:rsidP="00D20D53">
      <w:r w:rsidRPr="00F477F6">
        <w:t>Establish a method for collecting and calculating Enrolled Nurse education attrition data</w:t>
      </w:r>
      <w:r w:rsidR="00C73772" w:rsidRPr="00F477F6">
        <w:t>, and making this data available to inform future workforce planning.</w:t>
      </w:r>
      <w:r w:rsidR="00417C91" w:rsidRPr="00F477F6">
        <w:t xml:space="preserve"> </w:t>
      </w:r>
    </w:p>
    <w:p w14:paraId="209A27D7" w14:textId="77777777" w:rsidR="000355C6" w:rsidRPr="00F477F6" w:rsidRDefault="000355C6" w:rsidP="00D20D53">
      <w:pPr>
        <w:sectPr w:rsidR="000355C6" w:rsidRPr="00F477F6" w:rsidSect="00391406">
          <w:headerReference w:type="even" r:id="rId12"/>
          <w:headerReference w:type="default" r:id="rId13"/>
          <w:footerReference w:type="default" r:id="rId14"/>
          <w:headerReference w:type="first" r:id="rId15"/>
          <w:pgSz w:w="11906" w:h="16838"/>
          <w:pgMar w:top="1418" w:right="1134" w:bottom="1985" w:left="1134" w:header="709" w:footer="709" w:gutter="0"/>
          <w:pgNumType w:fmt="lowerRoman" w:start="1"/>
          <w:cols w:space="720"/>
          <w:docGrid w:linePitch="360"/>
        </w:sectPr>
      </w:pPr>
    </w:p>
    <w:p w14:paraId="54F714B5" w14:textId="77777777" w:rsidR="00A0392F" w:rsidRPr="00F477F6" w:rsidRDefault="00A0392F" w:rsidP="00D20D53">
      <w:pPr>
        <w:pStyle w:val="Heading1"/>
      </w:pPr>
      <w:bookmarkStart w:id="17" w:name="_Toc407783190"/>
      <w:bookmarkStart w:id="18" w:name="_Toc377370476"/>
      <w:r w:rsidRPr="00F477F6">
        <w:lastRenderedPageBreak/>
        <w:t>Introduction</w:t>
      </w:r>
      <w:bookmarkEnd w:id="17"/>
      <w:r w:rsidR="00DD54F4" w:rsidRPr="00F477F6">
        <w:t xml:space="preserve"> </w:t>
      </w:r>
    </w:p>
    <w:p w14:paraId="25E24709" w14:textId="60A0F3C9" w:rsidR="00DC3328" w:rsidRPr="00F477F6" w:rsidRDefault="00DC3328" w:rsidP="00641259">
      <w:pPr>
        <w:pStyle w:val="Heading2"/>
      </w:pPr>
      <w:bookmarkStart w:id="19" w:name="_Toc387326034"/>
      <w:bookmarkStart w:id="20" w:name="_Toc387400861"/>
      <w:bookmarkStart w:id="21" w:name="_Toc387400904"/>
      <w:bookmarkStart w:id="22" w:name="_Toc387401300"/>
      <w:r w:rsidRPr="00F477F6">
        <w:t>Australia’s Future Health Workforc</w:t>
      </w:r>
      <w:bookmarkEnd w:id="19"/>
      <w:r w:rsidR="00DC3CA8" w:rsidRPr="00F477F6">
        <w:t>e</w:t>
      </w:r>
      <w:bookmarkEnd w:id="20"/>
      <w:bookmarkEnd w:id="21"/>
      <w:bookmarkEnd w:id="22"/>
    </w:p>
    <w:p w14:paraId="74CBF198" w14:textId="00A8856B" w:rsidR="00DC3328" w:rsidRPr="00F477F6" w:rsidRDefault="008A2115" w:rsidP="00D20D53">
      <w:r w:rsidRPr="00F477F6">
        <w:t xml:space="preserve">The </w:t>
      </w:r>
      <w:r w:rsidR="00DC3328" w:rsidRPr="00F477F6">
        <w:t>Australia’s Future</w:t>
      </w:r>
      <w:r w:rsidRPr="00F477F6">
        <w:t xml:space="preserve"> Health Workforce (AFHW) reports </w:t>
      </w:r>
      <w:r w:rsidR="00DC3328" w:rsidRPr="00F477F6">
        <w:t>provide medium to long-term national workforce planning projections for different professions and sectors. Workforce planning projections identify potential gaps between the future supply of, and demand for, the workforce in scope under a range of scenarios. A scenario represents a particular vision of future health care delivery, and in the health workforce context, scenarios are often developed to reflect potential government policy decisions, higher education/training sector activities, employer practices, trends within the existing health workforce and trends within service demand.</w:t>
      </w:r>
    </w:p>
    <w:p w14:paraId="578EA931" w14:textId="6DA809C0" w:rsidR="00DC3328" w:rsidRPr="00F477F6" w:rsidRDefault="00DC3328" w:rsidP="00D20D53">
      <w:r w:rsidRPr="00F477F6">
        <w:t xml:space="preserve">The identification of potential workforce gaps through workforce planning projections provides government, professional bodies, employers, </w:t>
      </w:r>
      <w:r w:rsidR="00B61DDD" w:rsidRPr="00F477F6">
        <w:t xml:space="preserve">regulatory bodies, </w:t>
      </w:r>
      <w:r w:rsidRPr="00F477F6">
        <w:t xml:space="preserve">and higher education and training providers the opportunity to develop and implement plans to minimise such gaps. Such plans can involve workforce reform, changes to training intakes or pathways, changes to immigration levels, or a combination of all factors. It is this step that is essential in the delivery of a sustainable health workforce. Consequently, as well as providing the workforce planning projections, </w:t>
      </w:r>
      <w:r w:rsidR="001262DE" w:rsidRPr="00F477F6">
        <w:t>AFHW</w:t>
      </w:r>
      <w:r w:rsidRPr="00F477F6">
        <w:t xml:space="preserve"> also </w:t>
      </w:r>
      <w:r w:rsidR="00DA597B" w:rsidRPr="00F477F6">
        <w:t xml:space="preserve">makes </w:t>
      </w:r>
      <w:r w:rsidR="005821BB" w:rsidRPr="00F477F6">
        <w:t xml:space="preserve">recommendations </w:t>
      </w:r>
      <w:r w:rsidRPr="00F477F6">
        <w:t>relevant to the findings</w:t>
      </w:r>
      <w:r w:rsidR="00DA597B" w:rsidRPr="00F477F6">
        <w:t xml:space="preserve"> to support policy </w:t>
      </w:r>
      <w:r w:rsidR="00A963D8" w:rsidRPr="00F477F6">
        <w:t>considerations to</w:t>
      </w:r>
      <w:r w:rsidR="00A52EBB" w:rsidRPr="00F477F6">
        <w:t xml:space="preserve"> </w:t>
      </w:r>
      <w:r w:rsidRPr="00F477F6">
        <w:t>ensure Australia’s health workforce meets the community’s needs.</w:t>
      </w:r>
    </w:p>
    <w:p w14:paraId="16FDA029" w14:textId="417E832E" w:rsidR="00DC3328" w:rsidRPr="00F477F6" w:rsidRDefault="001262DE" w:rsidP="00D20D53">
      <w:r w:rsidRPr="00F477F6">
        <w:t>AFHW</w:t>
      </w:r>
      <w:r w:rsidR="00DC3328" w:rsidRPr="00F477F6">
        <w:t xml:space="preserve"> focuses on workforce planning at the national level. It is at this level that questions of aggregate supply and demand can be separated from issues of allocation and distribution – the principal aim being to ensure an appropriate pool of professionals is available to meet aggregate demand in Australia.</w:t>
      </w:r>
    </w:p>
    <w:p w14:paraId="614FE983" w14:textId="77777777" w:rsidR="002608CF" w:rsidRPr="00F477F6" w:rsidRDefault="002608CF" w:rsidP="00641259">
      <w:pPr>
        <w:pStyle w:val="Heading2"/>
      </w:pPr>
      <w:bookmarkStart w:id="23" w:name="_Toc387326035"/>
      <w:bookmarkStart w:id="24" w:name="_Toc387400862"/>
      <w:bookmarkStart w:id="25" w:name="_Toc387400905"/>
      <w:bookmarkStart w:id="26" w:name="_Toc387401301"/>
      <w:r w:rsidRPr="00F477F6">
        <w:t>Why plan the future nursing workforce?</w:t>
      </w:r>
      <w:bookmarkEnd w:id="23"/>
      <w:bookmarkEnd w:id="24"/>
      <w:bookmarkEnd w:id="25"/>
      <w:bookmarkEnd w:id="26"/>
    </w:p>
    <w:p w14:paraId="51BE2A65" w14:textId="0C4A8CCF" w:rsidR="002608CF" w:rsidRPr="00F477F6" w:rsidRDefault="002608CF" w:rsidP="00D20D53">
      <w:r w:rsidRPr="00F477F6">
        <w:t>In common with other developed countr</w:t>
      </w:r>
      <w:r w:rsidR="006E7A1D" w:rsidRPr="00F477F6">
        <w:t>ies’</w:t>
      </w:r>
      <w:r w:rsidRPr="00F477F6">
        <w:t xml:space="preserve"> health systems, Australia faces a major challenge in sustaining a health workforce that will meet the rapidly rising demand for health care. Demand is being driven by an ageing population living longer with more complex problems, combined with rising costs of technology and treatment, and increasing consumer expectations. Health expenditure accounts for an increasing proportion of Australia’s gross domestic product (GDP) and is rising at a level that is unsustainable in the long-term. The health workforce is the single largest component of the health budget, and the nursing profession is the largest health profession in Australia. </w:t>
      </w:r>
    </w:p>
    <w:p w14:paraId="076D3C70" w14:textId="56890412" w:rsidR="002608CF" w:rsidRPr="00F477F6" w:rsidRDefault="002608CF" w:rsidP="00D20D53">
      <w:r w:rsidRPr="00F477F6">
        <w:t>In 2012, there were over a quarter of a million (273,404) R</w:t>
      </w:r>
      <w:r w:rsidR="006E7A1D" w:rsidRPr="00F477F6">
        <w:t xml:space="preserve">egistered </w:t>
      </w:r>
      <w:r w:rsidRPr="00F477F6">
        <w:t>N</w:t>
      </w:r>
      <w:r w:rsidR="006E7A1D" w:rsidRPr="00F477F6">
        <w:t>urses (RN</w:t>
      </w:r>
      <w:r w:rsidRPr="00F477F6">
        <w:t>s</w:t>
      </w:r>
      <w:r w:rsidR="006E7A1D" w:rsidRPr="00F477F6">
        <w:t>)</w:t>
      </w:r>
      <w:r w:rsidRPr="00F477F6">
        <w:t xml:space="preserve"> and almost 60,000 E</w:t>
      </w:r>
      <w:r w:rsidR="006E7A1D" w:rsidRPr="00F477F6">
        <w:t xml:space="preserve">nrolled Nurses (ENs) </w:t>
      </w:r>
      <w:r w:rsidRPr="00F477F6">
        <w:t xml:space="preserve">registered in Australia. This represents a significant investment to the Australian economy – in terms of the cost of employing nurses and the embedded cost of education, both of which are substantially borne by the taxpayer. Coordinated planning and deployment of this workforce is therefore essential – not only in providing substantial health gains to the community, but also in providing financial gains from a well-utilised resource. </w:t>
      </w:r>
    </w:p>
    <w:p w14:paraId="04B43CB4" w14:textId="77777777" w:rsidR="002608CF" w:rsidRPr="00F477F6" w:rsidRDefault="002608CF" w:rsidP="00D20D53">
      <w:r w:rsidRPr="00F477F6">
        <w:t xml:space="preserve">There is wide acknowledgement of the imminent retirement of older nurses, and the consequent impact this will have on the workforce. The impact of this will be exacerbated if the following trends continue: high student attrition in courses leading to RN registration, lower than historical rates of RN and EN graduate employment and low retention of early career RNs and ENs more generally. </w:t>
      </w:r>
    </w:p>
    <w:p w14:paraId="118978B8" w14:textId="616E0BFE" w:rsidR="002608CF" w:rsidRPr="00F477F6" w:rsidRDefault="002608CF" w:rsidP="00D20D53">
      <w:r w:rsidRPr="00F477F6">
        <w:lastRenderedPageBreak/>
        <w:t>The lack of coordinated decision making between tertiary education institutions, governments, employers and the profession, combined with lag-times in implementing changes and broader economic impacts affecting decisions by these bodies, has resulted in a “boom and bust” cycle in nursing education and the resulting number of nursing graduates. This has been particularly evident in recent years, where a significant proportion of new domestic nursing graduates have been unable to secure suitable employment, whilst experienced nurses continue to be recruited from overseas. These issues are not confined to Australia. Coordinated national planning is therefore critical to ensure Australia maintains steady education capacity growth and strong employment opportunities for newly graduating nurses to meet future health needs</w:t>
      </w:r>
      <w:r w:rsidR="006E7A1D" w:rsidRPr="00F477F6">
        <w:t>.</w:t>
      </w:r>
    </w:p>
    <w:p w14:paraId="61E8EE94" w14:textId="729B8CF7" w:rsidR="002608CF" w:rsidRPr="00F477F6" w:rsidRDefault="002608CF" w:rsidP="00D20D53">
      <w:r w:rsidRPr="00F477F6">
        <w:t xml:space="preserve">Workforce planning must </w:t>
      </w:r>
      <w:r w:rsidR="006E7A1D" w:rsidRPr="00F477F6">
        <w:t xml:space="preserve">also </w:t>
      </w:r>
      <w:r w:rsidRPr="00F477F6">
        <w:t>be considered in the context of the wider economy. In 2011-12, the estimated total spend in Australia on healthcare was over $140.0 billion, which equate</w:t>
      </w:r>
      <w:r w:rsidR="006E7A1D" w:rsidRPr="00F477F6">
        <w:t>d</w:t>
      </w:r>
      <w:r w:rsidRPr="00F477F6">
        <w:t xml:space="preserve"> to </w:t>
      </w:r>
      <w:r w:rsidR="00135711" w:rsidRPr="00F477F6">
        <w:t>9.5</w:t>
      </w:r>
      <w:r w:rsidR="001262DE" w:rsidRPr="00F477F6">
        <w:t xml:space="preserve"> per</w:t>
      </w:r>
      <w:r w:rsidRPr="00F477F6">
        <w:t xml:space="preserve">cent of GDP. The Australian Institute of Health and Welfare estimates the average real growth in health spending over the period 1999-2000 to </w:t>
      </w:r>
      <w:r w:rsidR="001262DE" w:rsidRPr="00F477F6">
        <w:t>2009-10 was five per</w:t>
      </w:r>
      <w:r w:rsidRPr="00F477F6">
        <w:t xml:space="preserve">cent per </w:t>
      </w:r>
      <w:r w:rsidR="001262DE" w:rsidRPr="00F477F6">
        <w:t>annum compared with a three per</w:t>
      </w:r>
      <w:r w:rsidRPr="00F477F6">
        <w:t>cent increase in GDP per annum over the same period. This growth is unsustainable in the long-term, as health will consume an ever increasing proportion of total government expenditure.</w:t>
      </w:r>
    </w:p>
    <w:p w14:paraId="40158566" w14:textId="0B7BA9E8" w:rsidR="002608CF" w:rsidRPr="00F477F6" w:rsidRDefault="002608CF" w:rsidP="00D20D53">
      <w:r w:rsidRPr="00F477F6">
        <w:t xml:space="preserve">This is exacerbated by a predicted fall in the ratio of working to non-working age people. In 1970 there were 7.5 working aged people for each Australian aged 65 years and over. Today, that number has dropped to </w:t>
      </w:r>
      <w:r w:rsidR="006E7A1D" w:rsidRPr="00F477F6">
        <w:t>five</w:t>
      </w:r>
      <w:r w:rsidRPr="00F477F6">
        <w:t xml:space="preserve">, and by 2050 it is estimated to almost halve to 2.7 (AG 2010). This will impact the supply of workers to the labour market, with flow on effects to the economy – reducing the available financial resources for governments to allocate to health and social services (OECD 2013). Additionally, if no changes are made to the current system, there are unlikely to be enough working aged people to meet the future demand for nurses. </w:t>
      </w:r>
    </w:p>
    <w:p w14:paraId="14AB6789" w14:textId="77777777" w:rsidR="002608CF" w:rsidRPr="00F477F6" w:rsidRDefault="002608CF" w:rsidP="00D20D53">
      <w:r w:rsidRPr="00F477F6">
        <w:t>The nature of health care in Australia is also changing. Our burden of disease is shifting with significant increases in chronic disease and multi-morbidities. Emerging health and information technologies are releasing the constraints on the way care is delivered, who can deliver that care, and where the care is delivered. If our workforce education and planning continues to be based on the current system, existing models of care will be perpetuated, including the focus on acute hospital-based care. Evidence demonstrates that those health systems with strong primary health care are more efficient, have lower rates of hospitalisation, fewer health inequalities and better health outcomes including lower mortality</w:t>
      </w:r>
      <w:r w:rsidRPr="00F477F6">
        <w:rPr>
          <w:vertAlign w:val="superscript"/>
        </w:rPr>
        <w:footnoteReference w:id="1"/>
      </w:r>
      <w:r w:rsidRPr="00F477F6">
        <w:t xml:space="preserve">. Nursing (and the wider healthcare system) in Australia must evolve, adapt and innovate in order to continue to provide effective patient care amidst ever increasing demand, emerging technologies and limited resources. </w:t>
      </w:r>
    </w:p>
    <w:p w14:paraId="0EAF9F35" w14:textId="25D143A1" w:rsidR="002608CF" w:rsidRPr="00F477F6" w:rsidRDefault="002608CF" w:rsidP="00D20D53">
      <w:r w:rsidRPr="00F477F6">
        <w:t>All these reasons reinforce the need to plan over a medium</w:t>
      </w:r>
      <w:r w:rsidR="006E7A1D" w:rsidRPr="00F477F6">
        <w:t>-</w:t>
      </w:r>
      <w:r w:rsidRPr="00F477F6">
        <w:t>term time horizon</w:t>
      </w:r>
      <w:r w:rsidR="006E7A1D" w:rsidRPr="00F477F6">
        <w:t xml:space="preserve">, </w:t>
      </w:r>
      <w:r w:rsidRPr="00F477F6">
        <w:t>with enough time to effect and implement change to address the projected future nursing shortfall. It is essential that decisions by tertiary education institutions, governments, employers and the profession are aligned to what the nation needs from nurses in the future.</w:t>
      </w:r>
    </w:p>
    <w:p w14:paraId="68716FC0" w14:textId="23905CFF" w:rsidR="00DC3328" w:rsidRPr="00F477F6" w:rsidRDefault="00765556" w:rsidP="00641259">
      <w:pPr>
        <w:pStyle w:val="Heading2"/>
      </w:pPr>
      <w:bookmarkStart w:id="27" w:name="_Toc387326036"/>
      <w:bookmarkStart w:id="28" w:name="_Toc387400863"/>
      <w:bookmarkStart w:id="29" w:name="_Toc387400906"/>
      <w:bookmarkStart w:id="30" w:name="_Toc387401302"/>
      <w:r w:rsidRPr="00F477F6">
        <w:t>How we use the information from the workforce reports</w:t>
      </w:r>
      <w:bookmarkEnd w:id="27"/>
      <w:bookmarkEnd w:id="28"/>
      <w:bookmarkEnd w:id="29"/>
      <w:bookmarkEnd w:id="30"/>
    </w:p>
    <w:p w14:paraId="493EAED2" w14:textId="1F39CCE0" w:rsidR="00691477" w:rsidRPr="00F477F6" w:rsidRDefault="00691477" w:rsidP="00D20D53">
      <w:r w:rsidRPr="00F477F6">
        <w:t xml:space="preserve">The first workforce reports produced by HWA were for doctors, nurses and midwives. These publications, which provided the first, long-term national workforce projections for these professions, were titled </w:t>
      </w:r>
      <w:r w:rsidRPr="00F477F6">
        <w:rPr>
          <w:i/>
        </w:rPr>
        <w:t>Health Workforce 2025 – Doctors, Nurses and Midwives</w:t>
      </w:r>
      <w:r w:rsidRPr="00F477F6">
        <w:t xml:space="preserve"> (HW2025) and were released in 2012. </w:t>
      </w:r>
    </w:p>
    <w:p w14:paraId="2A6E5B5E" w14:textId="272A5CE0" w:rsidR="00691477" w:rsidRPr="00F477F6" w:rsidRDefault="00691477" w:rsidP="00D20D53">
      <w:r w:rsidRPr="00F477F6">
        <w:lastRenderedPageBreak/>
        <w:t>Nursing is the largest profession in the health workforce. For nurses, HW2025 concluded that population health trends, combined with an ageing nursing workforce and poor retention rates, will lead to an imminent and acute nursing shortfall. This would then impact on the community’s ability to access the health services they need, when they need them.</w:t>
      </w:r>
    </w:p>
    <w:p w14:paraId="1F2525CC" w14:textId="2C85E18B" w:rsidR="00691477" w:rsidRPr="00F477F6" w:rsidRDefault="00691477" w:rsidP="00D20D53">
      <w:r w:rsidRPr="00F477F6">
        <w:t xml:space="preserve">HW2025 also found that no single policy solution could address this projected shortfall, and that an integrated approach is required to tackle this critical issue. </w:t>
      </w:r>
    </w:p>
    <w:p w14:paraId="6F27B921" w14:textId="77777777" w:rsidR="00691477" w:rsidRPr="00F477F6" w:rsidRDefault="00691477" w:rsidP="00D20D53">
      <w:r w:rsidRPr="00F477F6">
        <w:t>In response to HW2025, Health Ministers agreed in November 2012 to focus on the following key policies to address the projected nursing shortfall:</w:t>
      </w:r>
    </w:p>
    <w:p w14:paraId="61F625C4" w14:textId="77777777" w:rsidR="00691477" w:rsidRPr="00F477F6" w:rsidRDefault="00691477" w:rsidP="00D20D53">
      <w:pPr>
        <w:pStyle w:val="ListParagraph"/>
        <w:numPr>
          <w:ilvl w:val="0"/>
          <w:numId w:val="13"/>
        </w:numPr>
      </w:pPr>
      <w:r w:rsidRPr="00F477F6">
        <w:t>Retention and productivity.</w:t>
      </w:r>
    </w:p>
    <w:p w14:paraId="3B13B6EE" w14:textId="77777777" w:rsidR="00691477" w:rsidRPr="00F477F6" w:rsidRDefault="00691477" w:rsidP="00D20D53">
      <w:pPr>
        <w:pStyle w:val="ListParagraph"/>
        <w:numPr>
          <w:ilvl w:val="0"/>
          <w:numId w:val="13"/>
        </w:numPr>
      </w:pPr>
      <w:r w:rsidRPr="00F477F6">
        <w:t>Innovation and reform.</w:t>
      </w:r>
    </w:p>
    <w:p w14:paraId="6B98AA5D" w14:textId="1A5B9879" w:rsidR="00691477" w:rsidRPr="00F477F6" w:rsidRDefault="00691477" w:rsidP="00D20D53">
      <w:pPr>
        <w:pStyle w:val="ListParagraph"/>
        <w:numPr>
          <w:ilvl w:val="0"/>
          <w:numId w:val="13"/>
        </w:numPr>
      </w:pPr>
      <w:r w:rsidRPr="00F477F6">
        <w:t>Training capacity and efficiency.</w:t>
      </w:r>
    </w:p>
    <w:p w14:paraId="3CBF08C4" w14:textId="4BEBB4DA" w:rsidR="00691477" w:rsidRPr="00F477F6" w:rsidRDefault="00691477" w:rsidP="00D20D53">
      <w:r w:rsidRPr="00F477F6">
        <w:t xml:space="preserve">HWA is undertaking a range of projects in these areas, including the following. </w:t>
      </w:r>
    </w:p>
    <w:p w14:paraId="05DDBD70" w14:textId="77777777" w:rsidR="00BD7C72" w:rsidRPr="00BD7C72" w:rsidRDefault="00691477" w:rsidP="00D20D53">
      <w:pPr>
        <w:pStyle w:val="Heading3"/>
      </w:pPr>
      <w:r w:rsidRPr="00BD7C72">
        <w:t xml:space="preserve">The Nursing Retention and Productivity project </w:t>
      </w:r>
    </w:p>
    <w:p w14:paraId="373C14B4" w14:textId="276652D9" w:rsidR="007F45B0" w:rsidRPr="00F477F6" w:rsidRDefault="00BD7C72" w:rsidP="00D20D53">
      <w:r>
        <w:t xml:space="preserve">This project </w:t>
      </w:r>
      <w:r w:rsidR="00691477" w:rsidRPr="00F477F6">
        <w:t xml:space="preserve">launched in direct response to the HW2025 finding that improving the retention and productivity of nurses has a substantial impact on reducing the projected nursing workforce shortfall, and consequently is vital in ensuring communities get the level of care they need. This report recommends changes to support the spread of innovation in the workplace, recognising that there are often many paths to achieving an outcome at local level. It identifies strategic actions for adoption at national level that are designed to add value to what is already underway. </w:t>
      </w:r>
    </w:p>
    <w:p w14:paraId="70E5D2FC" w14:textId="77777777" w:rsidR="00691477" w:rsidRPr="00F477F6" w:rsidRDefault="00691477" w:rsidP="00D20D53">
      <w:r w:rsidRPr="00F477F6">
        <w:t>Recommendations focus on change in three major areas:</w:t>
      </w:r>
    </w:p>
    <w:p w14:paraId="3BDBFE17" w14:textId="77777777" w:rsidR="00691477" w:rsidRPr="00F477F6" w:rsidRDefault="00691477" w:rsidP="00D20D53">
      <w:pPr>
        <w:pStyle w:val="ListParagraph"/>
        <w:numPr>
          <w:ilvl w:val="0"/>
          <w:numId w:val="14"/>
        </w:numPr>
      </w:pPr>
      <w:r w:rsidRPr="00F477F6">
        <w:t>Building nurse leadership capacity.</w:t>
      </w:r>
    </w:p>
    <w:p w14:paraId="01AF8B9B" w14:textId="77777777" w:rsidR="00691477" w:rsidRPr="00F477F6" w:rsidRDefault="00691477" w:rsidP="00D20D53">
      <w:pPr>
        <w:pStyle w:val="ListParagraph"/>
        <w:numPr>
          <w:ilvl w:val="0"/>
          <w:numId w:val="14"/>
        </w:numPr>
      </w:pPr>
      <w:r w:rsidRPr="00F477F6">
        <w:t xml:space="preserve">Improving nurse retention through early career preparation, support and provision of opportunities. </w:t>
      </w:r>
    </w:p>
    <w:p w14:paraId="6CB6D9C1" w14:textId="74EF67C5" w:rsidR="00691477" w:rsidRPr="00F477F6" w:rsidRDefault="00691477" w:rsidP="00D20D53">
      <w:pPr>
        <w:pStyle w:val="ListParagraph"/>
        <w:numPr>
          <w:ilvl w:val="0"/>
          <w:numId w:val="14"/>
        </w:numPr>
      </w:pPr>
      <w:r w:rsidRPr="00F477F6">
        <w:t>Improving nurse productivity by enabling and encouraging innovation.</w:t>
      </w:r>
    </w:p>
    <w:p w14:paraId="1B850502" w14:textId="77777777" w:rsidR="00BD7C72" w:rsidRPr="00BD7C72" w:rsidRDefault="00691477" w:rsidP="00D20D53">
      <w:pPr>
        <w:pStyle w:val="Heading3"/>
      </w:pPr>
      <w:r w:rsidRPr="00BD7C72">
        <w:t xml:space="preserve">The Clinical Training Funding (CTF) program </w:t>
      </w:r>
    </w:p>
    <w:p w14:paraId="6FE5376A" w14:textId="69CF93F6" w:rsidR="00691477" w:rsidRPr="00F477F6" w:rsidRDefault="00BD7C72" w:rsidP="00D20D53">
      <w:r>
        <w:t xml:space="preserve">This program </w:t>
      </w:r>
      <w:r w:rsidR="00691477" w:rsidRPr="00F477F6">
        <w:t xml:space="preserve">was allocated $425 million for the three year period 2011-13 to subsidise growth in clinical placement activity and to expand clinical training infrastructure by increasing clinical training facilities and student accommodation. At an aggregate level, in courses funded through the CTF Program in 2012, there was </w:t>
      </w:r>
      <w:r w:rsidR="001262DE" w:rsidRPr="00F477F6">
        <w:t>a 50 per</w:t>
      </w:r>
      <w:r w:rsidR="00691477" w:rsidRPr="00F477F6">
        <w:t>cent growth of Clinical Training Placement Days (CTPDs) over the 2010 baseline. This has meant an increase to 3.3 million CTPDs in 2012 compared with the 2010 baseline of 2.2 million CTPDs. Of this funding, $52.4 million was allocated to nursing over the three year period, which supported growth in 2012 of 317,000 CTPDs ab</w:t>
      </w:r>
      <w:r w:rsidR="001262DE" w:rsidRPr="00F477F6">
        <w:t>ove the 2010 baseline (a 38 per</w:t>
      </w:r>
      <w:r w:rsidR="00691477" w:rsidRPr="00F477F6">
        <w:t>cent increase).</w:t>
      </w:r>
    </w:p>
    <w:p w14:paraId="5C6379D3" w14:textId="63FA8A1C" w:rsidR="00691477" w:rsidRPr="00F477F6" w:rsidRDefault="00691477" w:rsidP="00D20D53">
      <w:pPr>
        <w:rPr>
          <w:rFonts w:eastAsia="Calibri" w:cs="Times New Roman"/>
          <w:lang w:eastAsia="x-none"/>
        </w:rPr>
      </w:pPr>
      <w:r w:rsidRPr="00F477F6">
        <w:t xml:space="preserve">In 2014, the CTF program has provided $76.5 million to support the continuation of the growth achieved in clinical training activity in the 2011-13 period. This is based on an estimated growth of 1.1 million CTPDs in 2013. This funding will support in 2014 the growth of 18,600 equivalent full-time student load (EFTSL) achieved in the 2011-13 funding period. Of this funding, $21 million has been allocated to nursing to support the growth of 6,750 EFTSL achieved in 2011-13. </w:t>
      </w:r>
      <w:r w:rsidRPr="00F477F6">
        <w:rPr>
          <w:rFonts w:eastAsia="Calibri" w:cs="Times New Roman"/>
          <w:lang w:eastAsia="x-none"/>
        </w:rPr>
        <w:t xml:space="preserve">Total nurse funding has increased as a percentage of the total </w:t>
      </w:r>
      <w:r w:rsidR="007F45B0" w:rsidRPr="00F477F6">
        <w:rPr>
          <w:rFonts w:eastAsia="Calibri" w:cs="Times New Roman"/>
          <w:lang w:eastAsia="x-none"/>
        </w:rPr>
        <w:t xml:space="preserve">CTF </w:t>
      </w:r>
      <w:r w:rsidRPr="00F477F6">
        <w:rPr>
          <w:rFonts w:eastAsia="Calibri" w:cs="Times New Roman"/>
          <w:lang w:eastAsia="x-none"/>
        </w:rPr>
        <w:t>pool, from 12</w:t>
      </w:r>
      <w:r w:rsidR="00872DB4" w:rsidRPr="00F477F6">
        <w:rPr>
          <w:rFonts w:eastAsia="Calibri" w:cs="Times New Roman"/>
          <w:lang w:eastAsia="x-none"/>
        </w:rPr>
        <w:t xml:space="preserve"> </w:t>
      </w:r>
      <w:r w:rsidR="001262DE" w:rsidRPr="00F477F6">
        <w:rPr>
          <w:rFonts w:eastAsia="Calibri" w:cs="Times New Roman"/>
          <w:lang w:eastAsia="x-none"/>
        </w:rPr>
        <w:t>per</w:t>
      </w:r>
      <w:r w:rsidRPr="00F477F6">
        <w:rPr>
          <w:rFonts w:eastAsia="Calibri" w:cs="Times New Roman"/>
          <w:lang w:eastAsia="x-none"/>
        </w:rPr>
        <w:t>cent</w:t>
      </w:r>
      <w:r w:rsidR="007F45B0" w:rsidRPr="00F477F6">
        <w:rPr>
          <w:rFonts w:eastAsia="Calibri" w:cs="Times New Roman"/>
          <w:lang w:eastAsia="x-none"/>
        </w:rPr>
        <w:t xml:space="preserve"> </w:t>
      </w:r>
      <w:r w:rsidR="001262DE" w:rsidRPr="00F477F6">
        <w:rPr>
          <w:rFonts w:eastAsia="Calibri" w:cs="Times New Roman"/>
          <w:lang w:eastAsia="x-none"/>
        </w:rPr>
        <w:t>in 2011-13 to 27 per</w:t>
      </w:r>
      <w:r w:rsidRPr="00F477F6">
        <w:rPr>
          <w:rFonts w:eastAsia="Calibri" w:cs="Times New Roman"/>
          <w:lang w:eastAsia="x-none"/>
        </w:rPr>
        <w:t>cent in 2014.</w:t>
      </w:r>
    </w:p>
    <w:p w14:paraId="5B6C4671" w14:textId="77777777" w:rsidR="00BD7C72" w:rsidRPr="00BD7C72" w:rsidRDefault="00691477" w:rsidP="00D20D53">
      <w:pPr>
        <w:pStyle w:val="Heading3"/>
      </w:pPr>
      <w:r w:rsidRPr="00BD7C72">
        <w:lastRenderedPageBreak/>
        <w:t xml:space="preserve">The Rural Health Professionals program </w:t>
      </w:r>
    </w:p>
    <w:p w14:paraId="649F700F" w14:textId="544484C6" w:rsidR="00691477" w:rsidRPr="00F477F6" w:rsidRDefault="00BD7C72" w:rsidP="00D20D53">
      <w:r w:rsidRPr="00BD7C72">
        <w:t xml:space="preserve">This program </w:t>
      </w:r>
      <w:r w:rsidR="00691477" w:rsidRPr="00F477F6">
        <w:t>is providing a range of support services to attract and retain nurses and allied health professionals to work in country communities. The program’s overall aim is to increase access to primary healthcare services in rural and remote Australia. Since the program’s launch in January 2012, 130 nurses have started working in rural and remote Australia (as at February 2014).</w:t>
      </w:r>
    </w:p>
    <w:p w14:paraId="422B30D4" w14:textId="77777777" w:rsidR="00BD7C72" w:rsidRPr="00BD7C72" w:rsidRDefault="00691477" w:rsidP="00D20D53">
      <w:pPr>
        <w:pStyle w:val="Heading3"/>
        <w:rPr>
          <w:rFonts w:eastAsia="Calibri"/>
        </w:rPr>
      </w:pPr>
      <w:r w:rsidRPr="00BD7C72">
        <w:rPr>
          <w:rFonts w:eastAsia="Calibri"/>
        </w:rPr>
        <w:t xml:space="preserve">The Expanded Scope of Practice program </w:t>
      </w:r>
    </w:p>
    <w:p w14:paraId="6540AD1D" w14:textId="4282BE76" w:rsidR="00804AFD" w:rsidRPr="00F477F6" w:rsidRDefault="00BD7C72" w:rsidP="00D20D53">
      <w:r w:rsidRPr="00BD7C72">
        <w:t>This program</w:t>
      </w:r>
      <w:r>
        <w:rPr>
          <w:b/>
        </w:rPr>
        <w:t xml:space="preserve"> </w:t>
      </w:r>
      <w:r w:rsidR="00691477" w:rsidRPr="00F477F6">
        <w:t>is broadening the role of R</w:t>
      </w:r>
      <w:r w:rsidR="006E7A1D" w:rsidRPr="00F477F6">
        <w:t>Ns</w:t>
      </w:r>
      <w:r w:rsidR="00691477" w:rsidRPr="00F477F6">
        <w:t xml:space="preserve"> working in emergency and endoscopy settings to enhance consumers’ timely access to health services and appropriate, coordinated care. HWA funded 13 projects across Australia over a two year period, which saw emergency and endoscopy nurses in a range of settings trained to expand their scope of practice. The projects are now being evaluated to assess their suitability for national roll out on a larger scale</w:t>
      </w:r>
    </w:p>
    <w:p w14:paraId="13CE63F3" w14:textId="1E1B360E" w:rsidR="00691477" w:rsidRDefault="001D3F14" w:rsidP="00D20D53">
      <w:r w:rsidRPr="00F477F6">
        <w:t>Health Ministers agreed to the need for improved mechanisms to better align training and workforce need for health professionals and requested this project be led by HWA, with support from higher education and training sector, jurisdictions, employers, health professional and higher education sector regulators. For nursing, HWA has proposed to convene a National Nursing and Midwifery Education Advisory Network (NNMEAN) as an advisory mechanism to develop a national education alignment plan, providing advice on nursing and midwifery tertiary education targets</w:t>
      </w:r>
      <w:r w:rsidR="00901A84" w:rsidRPr="00F477F6">
        <w:t xml:space="preserve">, </w:t>
      </w:r>
      <w:r w:rsidR="007507B4" w:rsidRPr="00F477F6">
        <w:t>employment and</w:t>
      </w:r>
      <w:r w:rsidRPr="00F477F6">
        <w:t xml:space="preserve"> immigration requirements. HWA proposes to convene this network within existing HWA governance structures, and using existing HWA means of providing advice to Health Ministers on progress with tra</w:t>
      </w:r>
      <w:r w:rsidR="006B4A7C" w:rsidRPr="00F477F6">
        <w:t xml:space="preserve">ining and workforce alignment. </w:t>
      </w:r>
    </w:p>
    <w:p w14:paraId="2CD18531" w14:textId="6615A362" w:rsidR="00BD7C72" w:rsidRPr="00F477F6" w:rsidRDefault="00BD7C72" w:rsidP="00D20D53">
      <w:pPr>
        <w:pStyle w:val="Heading3"/>
        <w:rPr>
          <w:rFonts w:eastAsia="Calibri"/>
          <w:lang w:val="en-AU"/>
        </w:rPr>
      </w:pPr>
      <w:r>
        <w:rPr>
          <w:rFonts w:eastAsia="Calibri"/>
        </w:rPr>
        <w:t>Updating planning projections</w:t>
      </w:r>
    </w:p>
    <w:p w14:paraId="4D1D1BF0" w14:textId="05D3B326" w:rsidR="001D3F14" w:rsidRPr="00F477F6" w:rsidRDefault="001D3F14" w:rsidP="00D20D53">
      <w:pPr>
        <w:rPr>
          <w:lang w:eastAsia="en-AU"/>
        </w:rPr>
      </w:pPr>
      <w:r w:rsidRPr="00F477F6">
        <w:t xml:space="preserve">Additionally, </w:t>
      </w:r>
      <w:r w:rsidRPr="00F477F6">
        <w:rPr>
          <w:lang w:eastAsia="en-AU"/>
        </w:rPr>
        <w:t xml:space="preserve">HWA is committed to regularly updating the nursing workforce planning projections. This is in recognition of the fact that in </w:t>
      </w:r>
      <w:r w:rsidRPr="00F477F6">
        <w:t xml:space="preserve">any workforce modelling, projections </w:t>
      </w:r>
      <w:r w:rsidRPr="00F477F6">
        <w:rPr>
          <w:lang w:eastAsia="en-AU"/>
        </w:rPr>
        <w:t>become less accurate as the period of time over which they apply increases, due to factors including changes in service delivery (for example technological change) that impact on the relationship between the type and number of services provided, and changes in data and assumptions used in the projection</w:t>
      </w:r>
      <w:r w:rsidR="006E7A1D" w:rsidRPr="00F477F6">
        <w:rPr>
          <w:lang w:eastAsia="en-AU"/>
        </w:rPr>
        <w:t>s</w:t>
      </w:r>
      <w:r w:rsidRPr="00F477F6">
        <w:rPr>
          <w:lang w:eastAsia="en-AU"/>
        </w:rPr>
        <w:t>.</w:t>
      </w:r>
    </w:p>
    <w:p w14:paraId="175BC719" w14:textId="1F65C6EA" w:rsidR="002001D3" w:rsidRPr="00F477F6" w:rsidRDefault="00691477" w:rsidP="00D20D53">
      <w:pPr>
        <w:rPr>
          <w:rFonts w:eastAsia="Calibri" w:cs="Times New Roman"/>
        </w:rPr>
      </w:pPr>
      <w:r w:rsidRPr="00F477F6">
        <w:rPr>
          <w:i/>
        </w:rPr>
        <w:t xml:space="preserve">AFHW – Nurses </w:t>
      </w:r>
      <w:r w:rsidRPr="00F477F6">
        <w:t>is the first update to</w:t>
      </w:r>
      <w:r w:rsidRPr="00F477F6">
        <w:rPr>
          <w:i/>
        </w:rPr>
        <w:t xml:space="preserve"> </w:t>
      </w:r>
      <w:r w:rsidRPr="00F477F6">
        <w:t>the nursing workforce projections initially released in HW2025. It incorporates new and improved planning data provided by the A</w:t>
      </w:r>
      <w:r w:rsidR="002001D3" w:rsidRPr="00F477F6">
        <w:t xml:space="preserve">HPRA, the </w:t>
      </w:r>
      <w:r w:rsidR="00125CBF" w:rsidRPr="00F477F6">
        <w:t xml:space="preserve">Australian Government </w:t>
      </w:r>
      <w:r w:rsidR="002001D3" w:rsidRPr="00F477F6">
        <w:rPr>
          <w:rFonts w:eastAsia="Calibri" w:cs="Times New Roman"/>
        </w:rPr>
        <w:t xml:space="preserve">Department of Education, </w:t>
      </w:r>
      <w:r w:rsidR="00125CBF" w:rsidRPr="00F477F6">
        <w:rPr>
          <w:rFonts w:eastAsia="Calibri" w:cs="Times New Roman"/>
        </w:rPr>
        <w:t>the National Centre for Vocational Education Research (</w:t>
      </w:r>
      <w:r w:rsidR="002001D3" w:rsidRPr="00F477F6">
        <w:rPr>
          <w:rFonts w:eastAsia="Calibri" w:cs="Times New Roman"/>
        </w:rPr>
        <w:t>NCVER</w:t>
      </w:r>
      <w:r w:rsidR="00125CBF" w:rsidRPr="00F477F6">
        <w:rPr>
          <w:rFonts w:eastAsia="Calibri" w:cs="Times New Roman"/>
        </w:rPr>
        <w:t>)</w:t>
      </w:r>
      <w:r w:rsidR="002001D3" w:rsidRPr="00F477F6">
        <w:rPr>
          <w:rFonts w:eastAsia="Calibri" w:cs="Times New Roman"/>
        </w:rPr>
        <w:t>, the</w:t>
      </w:r>
      <w:r w:rsidR="00125CBF" w:rsidRPr="00F477F6">
        <w:rPr>
          <w:rFonts w:eastAsia="Calibri" w:cs="Times New Roman"/>
        </w:rPr>
        <w:t xml:space="preserve"> Australian Government </w:t>
      </w:r>
      <w:r w:rsidR="002001D3" w:rsidRPr="00F477F6">
        <w:rPr>
          <w:rFonts w:eastAsia="Calibri" w:cs="Times New Roman"/>
        </w:rPr>
        <w:t xml:space="preserve">Department of Immigration and Border Protection and others (for a full list of data sources, see Appendix </w:t>
      </w:r>
      <w:r w:rsidR="00B453C6" w:rsidRPr="00F477F6">
        <w:rPr>
          <w:rFonts w:eastAsia="Calibri" w:cs="Times New Roman"/>
        </w:rPr>
        <w:t>B</w:t>
      </w:r>
      <w:r w:rsidR="002001D3" w:rsidRPr="00F477F6">
        <w:rPr>
          <w:rFonts w:eastAsia="Calibri" w:cs="Times New Roman"/>
        </w:rPr>
        <w:t xml:space="preserve">) to </w:t>
      </w:r>
      <w:r w:rsidRPr="00F477F6">
        <w:t xml:space="preserve">project Australia’s future </w:t>
      </w:r>
      <w:r w:rsidR="00650302" w:rsidRPr="00F477F6">
        <w:t xml:space="preserve">nursing </w:t>
      </w:r>
      <w:r w:rsidRPr="00F477F6">
        <w:t>workforce requirements from 2012 to 2030. Additionally, new scenarios have been developed to better reflect potential policy options to address the projected nursing workforce shortfall.</w:t>
      </w:r>
      <w:r w:rsidR="00650302" w:rsidRPr="00F477F6">
        <w:rPr>
          <w:rFonts w:eastAsia="Calibri" w:cs="Times New Roman"/>
        </w:rPr>
        <w:t xml:space="preserve"> </w:t>
      </w:r>
      <w:r w:rsidR="002001D3" w:rsidRPr="00F477F6">
        <w:rPr>
          <w:rFonts w:eastAsia="Calibri" w:cs="Times New Roman"/>
        </w:rPr>
        <w:t>Due to the changes in the dat</w:t>
      </w:r>
      <w:r w:rsidR="00650302" w:rsidRPr="00F477F6">
        <w:rPr>
          <w:rFonts w:eastAsia="Calibri" w:cs="Times New Roman"/>
        </w:rPr>
        <w:t>a</w:t>
      </w:r>
      <w:r w:rsidR="002001D3" w:rsidRPr="00F477F6">
        <w:rPr>
          <w:rFonts w:eastAsia="Calibri" w:cs="Times New Roman"/>
        </w:rPr>
        <w:t xml:space="preserve"> </w:t>
      </w:r>
      <w:r w:rsidR="00650302" w:rsidRPr="00F477F6">
        <w:rPr>
          <w:rFonts w:eastAsia="Calibri" w:cs="Times New Roman"/>
        </w:rPr>
        <w:t>used and the scenario</w:t>
      </w:r>
      <w:r w:rsidR="002001D3" w:rsidRPr="00F477F6">
        <w:rPr>
          <w:rFonts w:eastAsia="Calibri" w:cs="Times New Roman"/>
        </w:rPr>
        <w:t>s modelled, caution should be used when comparing the results in this publication with those presented in HW2025.</w:t>
      </w:r>
      <w:r w:rsidR="00872DB4" w:rsidRPr="00F477F6">
        <w:rPr>
          <w:rFonts w:eastAsia="Calibri" w:cs="Times New Roman"/>
        </w:rPr>
        <w:t xml:space="preserve"> </w:t>
      </w:r>
    </w:p>
    <w:p w14:paraId="7CCF8F8E" w14:textId="129FB4B3" w:rsidR="00B83017" w:rsidRPr="00F477F6" w:rsidRDefault="00F10676" w:rsidP="00D20D53">
      <w:pPr>
        <w:pStyle w:val="Heading1"/>
      </w:pPr>
      <w:bookmarkStart w:id="31" w:name="_Toc407783191"/>
      <w:bookmarkStart w:id="32" w:name="_Toc377370478"/>
      <w:bookmarkEnd w:id="18"/>
      <w:r w:rsidRPr="00F477F6">
        <w:lastRenderedPageBreak/>
        <w:t>Australia’s current nursing workforce</w:t>
      </w:r>
      <w:bookmarkEnd w:id="31"/>
    </w:p>
    <w:p w14:paraId="41C326A2" w14:textId="648CC84C" w:rsidR="00F10676" w:rsidRPr="00F477F6" w:rsidRDefault="002F23BF" w:rsidP="00D20D53">
      <w:pPr>
        <w:rPr>
          <w:rFonts w:eastAsia="Calibri" w:cs="Times New Roman"/>
        </w:rPr>
      </w:pPr>
      <w:r w:rsidRPr="00F477F6">
        <w:t xml:space="preserve">In health workforce planning, understanding the number and characteristics of the existing health workforce is the essential first step. </w:t>
      </w:r>
      <w:r w:rsidR="00F10676" w:rsidRPr="00F477F6">
        <w:rPr>
          <w:rFonts w:eastAsia="Calibri" w:cs="Times New Roman"/>
        </w:rPr>
        <w:t>This section describes the characteristics of the existing nursing workforce in Australia</w:t>
      </w:r>
      <w:r w:rsidRPr="00F477F6">
        <w:rPr>
          <w:rFonts w:eastAsia="Calibri" w:cs="Times New Roman"/>
        </w:rPr>
        <w:t xml:space="preserve"> using the latest available information.</w:t>
      </w:r>
      <w:r w:rsidR="00F1499A" w:rsidRPr="00F477F6">
        <w:rPr>
          <w:rFonts w:eastAsia="Calibri" w:cs="Times New Roman"/>
        </w:rPr>
        <w:t xml:space="preserve"> Please note, the 2012 nursing numbers presented in this section will not exactly match to the 2012 workforce numbers presented with the workforce planning projection results. This is because those nurses that reported working in a non-clinical role, but also reported as working in a clinical setting, have been included in the base workforce for the workforce planning projections. </w:t>
      </w:r>
    </w:p>
    <w:p w14:paraId="03A5EB74" w14:textId="14579617" w:rsidR="002F23BF" w:rsidRPr="00F477F6" w:rsidRDefault="002F23BF" w:rsidP="00641259">
      <w:pPr>
        <w:pStyle w:val="Heading2"/>
      </w:pPr>
      <w:bookmarkStart w:id="33" w:name="_Toc387325904"/>
      <w:bookmarkStart w:id="34" w:name="_Toc387326038"/>
      <w:bookmarkStart w:id="35" w:name="_Toc387400865"/>
      <w:bookmarkStart w:id="36" w:name="_Toc387400908"/>
      <w:bookmarkStart w:id="37" w:name="_Toc387401304"/>
      <w:r w:rsidRPr="00F477F6">
        <w:t>Structure of the nursing workforce</w:t>
      </w:r>
      <w:bookmarkEnd w:id="33"/>
      <w:bookmarkEnd w:id="34"/>
      <w:bookmarkEnd w:id="35"/>
      <w:bookmarkEnd w:id="36"/>
      <w:bookmarkEnd w:id="37"/>
      <w:r w:rsidRPr="00F477F6">
        <w:t xml:space="preserve"> </w:t>
      </w:r>
    </w:p>
    <w:p w14:paraId="28F0D128" w14:textId="7BA58BC0" w:rsidR="002F23BF" w:rsidRPr="00F477F6" w:rsidRDefault="002F23BF" w:rsidP="00D20D53">
      <w:r w:rsidRPr="00F477F6">
        <w:t>There are two levels of regulated nurses in Australia – RNs and ENs. A RN is a person who has completed as a minimum, a three-year bachelor degree and is registered with the Nursing and Midwifery Board of Australia (NMBA). RNs practise independently and interdependently, assuming accountability and responsibility for their own actions and delegation of care to ENs and other healthcare workers.</w:t>
      </w:r>
    </w:p>
    <w:p w14:paraId="2366A132" w14:textId="6ED4A753" w:rsidR="002F23BF" w:rsidRPr="00F477F6" w:rsidRDefault="002F23BF" w:rsidP="00D20D53">
      <w:r w:rsidRPr="00F477F6">
        <w:t xml:space="preserve">An EN usually works with RNs to provide patients with basic nursing care, doing less complex procedures than RNs. ENs must complete a Certificate IV (only available until 30 June 2014) or a Diploma of Nursing from a vocational education training provider, and are also registered with the NMBA. </w:t>
      </w:r>
    </w:p>
    <w:p w14:paraId="76ADEBFD" w14:textId="77777777" w:rsidR="00C04DAE" w:rsidRPr="00F477F6" w:rsidRDefault="00C04DAE" w:rsidP="00641259">
      <w:pPr>
        <w:pStyle w:val="Heading2"/>
      </w:pPr>
      <w:bookmarkStart w:id="38" w:name="_Toc387325905"/>
      <w:bookmarkStart w:id="39" w:name="_Toc387326039"/>
      <w:bookmarkStart w:id="40" w:name="_Toc387400866"/>
      <w:bookmarkStart w:id="41" w:name="_Toc387400909"/>
      <w:bookmarkStart w:id="42" w:name="_Toc387401305"/>
      <w:r w:rsidRPr="00F477F6">
        <w:t>How many nurses?</w:t>
      </w:r>
      <w:bookmarkEnd w:id="38"/>
      <w:bookmarkEnd w:id="39"/>
      <w:bookmarkEnd w:id="40"/>
      <w:bookmarkEnd w:id="41"/>
      <w:bookmarkEnd w:id="42"/>
    </w:p>
    <w:p w14:paraId="31771C3F" w14:textId="18EF3A9D" w:rsidR="002F23BF" w:rsidRPr="00F477F6" w:rsidRDefault="00C04DAE" w:rsidP="00D20D53">
      <w:r w:rsidRPr="00F477F6">
        <w:t>In 201</w:t>
      </w:r>
      <w:r w:rsidR="00682BC2" w:rsidRPr="00F477F6">
        <w:t>2</w:t>
      </w:r>
      <w:r w:rsidR="002F23BF" w:rsidRPr="00F477F6">
        <w:t xml:space="preserve"> the total number of RNs</w:t>
      </w:r>
      <w:r w:rsidRPr="00F477F6">
        <w:t xml:space="preserve"> and </w:t>
      </w:r>
      <w:r w:rsidR="002F23BF" w:rsidRPr="00F477F6">
        <w:t>ENs</w:t>
      </w:r>
      <w:r w:rsidRPr="00F477F6">
        <w:t xml:space="preserve"> was </w:t>
      </w:r>
      <w:r w:rsidR="003C0037" w:rsidRPr="00F477F6">
        <w:t>331,804</w:t>
      </w:r>
      <w:r w:rsidRPr="00F477F6">
        <w:t>. Under the N</w:t>
      </w:r>
      <w:r w:rsidR="003932CF" w:rsidRPr="00F477F6">
        <w:t xml:space="preserve">ational </w:t>
      </w:r>
      <w:r w:rsidRPr="00F477F6">
        <w:t>R</w:t>
      </w:r>
      <w:r w:rsidR="003932CF" w:rsidRPr="00F477F6">
        <w:t xml:space="preserve">egistration and </w:t>
      </w:r>
      <w:r w:rsidRPr="00F477F6">
        <w:t>A</w:t>
      </w:r>
      <w:r w:rsidR="003932CF" w:rsidRPr="00F477F6">
        <w:t xml:space="preserve">ccreditation </w:t>
      </w:r>
      <w:r w:rsidRPr="00F477F6">
        <w:t>S</w:t>
      </w:r>
      <w:r w:rsidR="003932CF" w:rsidRPr="00F477F6">
        <w:t>cheme</w:t>
      </w:r>
      <w:r w:rsidRPr="00F477F6">
        <w:t xml:space="preserve">, </w:t>
      </w:r>
      <w:r w:rsidR="00EB0C80" w:rsidRPr="00F477F6">
        <w:t xml:space="preserve">appropriately qualified </w:t>
      </w:r>
      <w:r w:rsidRPr="00F477F6">
        <w:t>people can register as nurses, midwives or</w:t>
      </w:r>
      <w:r w:rsidR="00682BC2" w:rsidRPr="00F477F6">
        <w:t xml:space="preserve"> </w:t>
      </w:r>
      <w:r w:rsidRPr="00F477F6">
        <w:t>both. Nurses who were also registered as midwives (dual-registered nurses and midwives) are included in nurse registration totals in this</w:t>
      </w:r>
      <w:r w:rsidR="00682BC2" w:rsidRPr="00F477F6">
        <w:t xml:space="preserve"> </w:t>
      </w:r>
      <w:r w:rsidRPr="00F477F6">
        <w:t xml:space="preserve">publication. Those registered as midwives </w:t>
      </w:r>
      <w:r w:rsidR="00A23153" w:rsidRPr="00F477F6">
        <w:t xml:space="preserve">only, </w:t>
      </w:r>
      <w:r w:rsidRPr="00F477F6">
        <w:t xml:space="preserve">of </w:t>
      </w:r>
      <w:r w:rsidR="00A23153" w:rsidRPr="00F477F6">
        <w:t>whom</w:t>
      </w:r>
      <w:r w:rsidRPr="00F477F6">
        <w:t xml:space="preserve"> there were </w:t>
      </w:r>
      <w:r w:rsidR="00957CB7" w:rsidRPr="00F477F6">
        <w:t>2,274</w:t>
      </w:r>
      <w:r w:rsidRPr="00F477F6">
        <w:t xml:space="preserve"> in 201</w:t>
      </w:r>
      <w:r w:rsidR="003C0037" w:rsidRPr="00F477F6">
        <w:t>2</w:t>
      </w:r>
      <w:r w:rsidR="006B4A7C" w:rsidRPr="00F477F6">
        <w:t>,</w:t>
      </w:r>
      <w:r w:rsidR="00A23153" w:rsidRPr="00F477F6">
        <w:t xml:space="preserve"> </w:t>
      </w:r>
      <w:r w:rsidRPr="00F477F6">
        <w:t>are not included in 201</w:t>
      </w:r>
      <w:r w:rsidR="003C0037" w:rsidRPr="00F477F6">
        <w:t>2</w:t>
      </w:r>
      <w:r w:rsidRPr="00F477F6">
        <w:t xml:space="preserve"> totals in this publication. </w:t>
      </w:r>
    </w:p>
    <w:p w14:paraId="509040BB" w14:textId="62FFB0EA" w:rsidR="00A23153" w:rsidRPr="00F477F6" w:rsidRDefault="00C04DAE" w:rsidP="00D20D53">
      <w:r w:rsidRPr="00F477F6">
        <w:t xml:space="preserve">Of the </w:t>
      </w:r>
      <w:r w:rsidR="003C0037" w:rsidRPr="00F477F6">
        <w:t>331,804</w:t>
      </w:r>
      <w:r w:rsidRPr="00F477F6">
        <w:t xml:space="preserve"> nurse</w:t>
      </w:r>
      <w:r w:rsidR="005A6D24" w:rsidRPr="00F477F6">
        <w:t>s</w:t>
      </w:r>
      <w:r w:rsidRPr="00F477F6">
        <w:t xml:space="preserve"> regist</w:t>
      </w:r>
      <w:r w:rsidR="005A6D24" w:rsidRPr="00F477F6">
        <w:t>ered</w:t>
      </w:r>
      <w:r w:rsidRPr="00F477F6">
        <w:t xml:space="preserve"> in Australia, the majority were registered as RNs (82 percent</w:t>
      </w:r>
      <w:r w:rsidR="00682BC2" w:rsidRPr="00F477F6">
        <w:t xml:space="preserve"> </w:t>
      </w:r>
      <w:r w:rsidRPr="00F477F6">
        <w:t xml:space="preserve">or </w:t>
      </w:r>
      <w:r w:rsidR="003C0037" w:rsidRPr="00F477F6">
        <w:t>273,40</w:t>
      </w:r>
      <w:r w:rsidR="006302C7" w:rsidRPr="00F477F6">
        <w:t>4</w:t>
      </w:r>
      <w:r w:rsidRPr="00F477F6">
        <w:t xml:space="preserve">), while those registered as ENs accounted for 18 percent (or </w:t>
      </w:r>
      <w:r w:rsidR="003C0037" w:rsidRPr="00F477F6">
        <w:t>58,400</w:t>
      </w:r>
      <w:r w:rsidR="0041641D" w:rsidRPr="00F477F6">
        <w:t>) of total nurse registrations.</w:t>
      </w:r>
      <w:r w:rsidR="00942D05" w:rsidRPr="00F477F6">
        <w:t xml:space="preserve"> </w:t>
      </w:r>
      <w:r w:rsidRPr="00F477F6">
        <w:t>Most RNs (</w:t>
      </w:r>
      <w:r w:rsidR="006302C7" w:rsidRPr="00F477F6">
        <w:t>93</w:t>
      </w:r>
      <w:r w:rsidR="00682BC2" w:rsidRPr="00F477F6">
        <w:t xml:space="preserve"> </w:t>
      </w:r>
      <w:r w:rsidRPr="00F477F6">
        <w:t>per</w:t>
      </w:r>
      <w:r w:rsidR="006302C7" w:rsidRPr="00F477F6">
        <w:t>c</w:t>
      </w:r>
      <w:r w:rsidRPr="00F477F6">
        <w:t>ent) and ENs (</w:t>
      </w:r>
      <w:r w:rsidR="006302C7" w:rsidRPr="00F477F6">
        <w:t>95</w:t>
      </w:r>
      <w:r w:rsidRPr="00F477F6">
        <w:t xml:space="preserve"> percent) were in the labour force. Of those in the labour force, most were employed in nursing (</w:t>
      </w:r>
      <w:r w:rsidR="006302C7" w:rsidRPr="00F477F6">
        <w:t>93</w:t>
      </w:r>
      <w:r w:rsidRPr="00F477F6">
        <w:t xml:space="preserve"> percent of RNs</w:t>
      </w:r>
      <w:r w:rsidR="003C0037" w:rsidRPr="00F477F6">
        <w:t xml:space="preserve"> </w:t>
      </w:r>
      <w:r w:rsidR="006302C7" w:rsidRPr="00F477F6">
        <w:t>and</w:t>
      </w:r>
      <w:r w:rsidRPr="00F477F6">
        <w:t xml:space="preserve"> ENs), with small percentages on extended leave or looking for work (</w:t>
      </w:r>
      <w:r w:rsidR="000355C9" w:rsidRPr="00F477F6">
        <w:fldChar w:fldCharType="begin"/>
      </w:r>
      <w:r w:rsidR="000355C9" w:rsidRPr="00F477F6">
        <w:instrText xml:space="preserve"> REF _Ref387393222 \h </w:instrText>
      </w:r>
      <w:r w:rsidR="00F21AAB" w:rsidRPr="00F477F6">
        <w:instrText xml:space="preserve"> \* MERGEFORMAT </w:instrText>
      </w:r>
      <w:r w:rsidR="000355C9" w:rsidRPr="00F477F6">
        <w:fldChar w:fldCharType="separate"/>
      </w:r>
      <w:r w:rsidR="00641259" w:rsidRPr="00F477F6">
        <w:rPr>
          <w:lang w:eastAsia="x-none"/>
        </w:rPr>
        <w:t xml:space="preserve">Figure </w:t>
      </w:r>
      <w:r w:rsidR="00641259">
        <w:rPr>
          <w:noProof/>
          <w:lang w:eastAsia="x-none"/>
        </w:rPr>
        <w:t>1</w:t>
      </w:r>
      <w:r w:rsidR="000355C9" w:rsidRPr="00F477F6">
        <w:fldChar w:fldCharType="end"/>
      </w:r>
      <w:r w:rsidRPr="00F477F6">
        <w:t>).</w:t>
      </w:r>
    </w:p>
    <w:p w14:paraId="1B3AA580" w14:textId="77777777" w:rsidR="00C92E96" w:rsidRPr="00D20D53" w:rsidRDefault="00C92E96" w:rsidP="00D20D53">
      <w:r w:rsidRPr="00D20D53">
        <w:br w:type="page"/>
      </w:r>
    </w:p>
    <w:p w14:paraId="33EBEEDA" w14:textId="77990C48" w:rsidR="006726D6" w:rsidRPr="00F477F6" w:rsidRDefault="006726D6" w:rsidP="00D20D53">
      <w:pPr>
        <w:pStyle w:val="Caption"/>
      </w:pPr>
      <w:bookmarkStart w:id="43" w:name="_Ref387393222"/>
      <w:bookmarkStart w:id="44" w:name="_Toc407783214"/>
      <w:r w:rsidRPr="00F477F6">
        <w:lastRenderedPageBreak/>
        <w:t xml:space="preserve">Figure </w:t>
      </w:r>
      <w:fldSimple w:instr=" SEQ Figure \* ARABIC ">
        <w:r w:rsidR="00641259">
          <w:rPr>
            <w:noProof/>
          </w:rPr>
          <w:t>1</w:t>
        </w:r>
      </w:fldSimple>
      <w:bookmarkEnd w:id="43"/>
      <w:r w:rsidRPr="00F477F6">
        <w:t>: Registered</w:t>
      </w:r>
      <w:r w:rsidR="002B7AEB" w:rsidRPr="00F477F6">
        <w:t xml:space="preserve"> nurses</w:t>
      </w:r>
      <w:r w:rsidRPr="00F477F6">
        <w:t xml:space="preserve"> and enrolled nurses by labour force status, 2012 </w:t>
      </w:r>
      <w:bookmarkEnd w:id="44"/>
    </w:p>
    <w:p w14:paraId="76780F7E" w14:textId="21300C42" w:rsidR="006207E3" w:rsidRPr="00F57F39" w:rsidRDefault="006207E3" w:rsidP="00F57F39">
      <w:r w:rsidRPr="00F57F39">
        <w:rPr>
          <w:noProof/>
          <w:lang w:eastAsia="en-AU"/>
        </w:rPr>
        <w:drawing>
          <wp:inline distT="0" distB="0" distL="0" distR="0" wp14:anchorId="4B531086" wp14:editId="2795D4BA">
            <wp:extent cx="5731510" cy="6500014"/>
            <wp:effectExtent l="0" t="0" r="2540" b="0"/>
            <wp:docPr id="13" name="Picture 13" descr="The figure shows a flowchart of the total registered and enrolled nursing and midwifery workforce in Australia in 2012. It shows those in the nursing labour force and those who are not currently working.&#10;&#10;The flowchart presents the numbers of registered nurses and midwives and enrolled nurses with the combined total shown in brackets at each level.&#10;&#10;Nurse registrations 331,804. RN 273,404 82.4% EN 58,400 17.6%&#10;&#10;In the nursing labour force 309,076. RN 253,450 92.7% , EN 55,626 93.3%&#10;Not in nursing labour force 22,728. RN 19,954 7.3%, EN 2,774 4.8%&#10;&#10;Employed in nursing 288,236. RN 236,612 93.4% EN 51,624 92.8%&#10;On extended leave 16,507. RN 13,871 5.5% EN 2,637 4.7%&#10;Looking for work 4,333. RN 2,967 1.2%  EN 1,366 2.5%&#10;&#10;A further tier of the flowchart disaggregates the ‘employed in nursing' workforce into&#10;Clinicians 230,571 (RN 194,294 82.1% EN 36,317 70.3%)&#10;Non-clinician comprising of:&#10;Administrators 8,548 (RN 7,679 3.2% EN 869 1.7%)&#10;Teacher or educator 10,983 (RN 10,394 4.4% EN 589 1.1%)Researchers 2,533 (RN 2,406 1.0% EN 127 0.2%) and &#10;Other 35,601 (RN27,879 9.2% EN 13,722 26.6%).&#10;&#10;The ‘not in the nursing labour force’ disaggregated the nursing workforce into categories including &#10;Employed elsewhere and not looking for work in nursing’ 5,625 (RN 4,244 21.3% EN 1,381 49.8%) &#10;Not employed and not looking for work in nursing 4,876 (3,928 19.6% EN 948 34.2%)&#10;Employed overseas in nursing and looking for work in Australia 3,516 (RN 3,483 17.4%  EN 33 1.2%) &#10;Employed overseas in nursing and not looking for work in Australia 6,335 (RN 6,250 31.3% EN 85 3.1%), and&#10;Retired from regular work’ 2,375 (RN 2,049 10.2% EN 326 11.8%).&#10;&#10;The data presented in the flowchart for registered nurses also includes people with dual registration and those who were ‘midwife only’.&#10;&#10;The source of the data was the National Health Workforce Data Set: nurses and midwives 2012.&#10;" title="Figure 1: Registered nurses and enrolled nurses by labour force status, 2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31510" cy="6500014"/>
                    </a:xfrm>
                    <a:prstGeom prst="rect">
                      <a:avLst/>
                    </a:prstGeom>
                    <a:noFill/>
                    <a:ln>
                      <a:noFill/>
                    </a:ln>
                  </pic:spPr>
                </pic:pic>
              </a:graphicData>
            </a:graphic>
          </wp:inline>
        </w:drawing>
      </w:r>
    </w:p>
    <w:p w14:paraId="4B7222D0" w14:textId="155CB2B8" w:rsidR="00C04DAE" w:rsidRPr="00CD2720" w:rsidRDefault="007A195D" w:rsidP="00D20D53">
      <w:pPr>
        <w:pStyle w:val="Tablenote"/>
        <w:rPr>
          <w:lang w:eastAsia="x-none"/>
        </w:rPr>
      </w:pPr>
      <w:r w:rsidRPr="00CD2720">
        <w:t xml:space="preserve">(a) Includes </w:t>
      </w:r>
      <w:r w:rsidR="003702DD" w:rsidRPr="00CD2720">
        <w:t>294</w:t>
      </w:r>
      <w:r w:rsidRPr="00CD2720">
        <w:t xml:space="preserve"> dual-registered nurses and midwives who may be looking for work in midwifery. It is not possible to identify which area people are looking for work in, therefore the </w:t>
      </w:r>
      <w:r w:rsidR="00804AFD" w:rsidRPr="00CD2720">
        <w:t>294 dual</w:t>
      </w:r>
      <w:r w:rsidRPr="00CD2720">
        <w:t>-registered nurses and midwives looking for work are included in both the nursing and midwifery labour force.</w:t>
      </w:r>
      <w:r w:rsidR="001910AA" w:rsidRPr="00CD2720">
        <w:t xml:space="preserve"> This does not </w:t>
      </w:r>
      <w:r w:rsidR="009432C4" w:rsidRPr="00CD2720">
        <w:t>a</w:t>
      </w:r>
      <w:r w:rsidR="001910AA" w:rsidRPr="00CD2720">
        <w:t>ffect the workforce projections as only employed nurses are used in the modelling.</w:t>
      </w:r>
      <w:r w:rsidR="00CD2720" w:rsidRPr="00CD2720">
        <w:br/>
      </w:r>
      <w:r w:rsidRPr="00CD2720">
        <w:t xml:space="preserve">Note: Nursing role is based on main nursing job. </w:t>
      </w:r>
      <w:r w:rsidR="00CD2720" w:rsidRPr="00CD2720">
        <w:br/>
      </w:r>
      <w:r w:rsidR="00B61DDD" w:rsidRPr="00CD2720">
        <w:t>Source: N</w:t>
      </w:r>
      <w:r w:rsidR="001343A8" w:rsidRPr="00CD2720">
        <w:t>ational Health Workforce Dataset (N</w:t>
      </w:r>
      <w:r w:rsidR="00B61DDD" w:rsidRPr="00CD2720">
        <w:t>HWDS</w:t>
      </w:r>
      <w:r w:rsidR="001343A8" w:rsidRPr="00CD2720">
        <w:t>)</w:t>
      </w:r>
      <w:r w:rsidR="00B61DDD" w:rsidRPr="00CD2720">
        <w:t>: N</w:t>
      </w:r>
      <w:r w:rsidRPr="00CD2720">
        <w:t xml:space="preserve">urses and </w:t>
      </w:r>
      <w:r w:rsidR="00B61DDD" w:rsidRPr="00CD2720">
        <w:t>M</w:t>
      </w:r>
      <w:r w:rsidRPr="00CD2720">
        <w:t>idwives 201</w:t>
      </w:r>
      <w:r w:rsidR="003702DD" w:rsidRPr="00CD2720">
        <w:t>2</w:t>
      </w:r>
      <w:r w:rsidRPr="00CD2720">
        <w:t>.</w:t>
      </w:r>
    </w:p>
    <w:p w14:paraId="1CBF4EE5" w14:textId="77777777" w:rsidR="00CD2720" w:rsidRDefault="00CD2720" w:rsidP="00D20D53">
      <w:r>
        <w:br w:type="page"/>
      </w:r>
    </w:p>
    <w:p w14:paraId="621E521D" w14:textId="68E10D12" w:rsidR="000F2A46" w:rsidRPr="00F477F6" w:rsidRDefault="000F2A46" w:rsidP="00641259">
      <w:pPr>
        <w:pStyle w:val="Heading2"/>
      </w:pPr>
      <w:r w:rsidRPr="00F477F6">
        <w:lastRenderedPageBreak/>
        <w:t>How Australia compare</w:t>
      </w:r>
      <w:r w:rsidR="00840526" w:rsidRPr="00F477F6">
        <w:t>s</w:t>
      </w:r>
      <w:r w:rsidRPr="00F477F6">
        <w:t xml:space="preserve"> internationally</w:t>
      </w:r>
    </w:p>
    <w:p w14:paraId="1874FCAB" w14:textId="6F1C5C80" w:rsidR="006514F8" w:rsidRPr="00F477F6" w:rsidRDefault="00293DE0" w:rsidP="00D20D53">
      <w:r w:rsidRPr="00F477F6">
        <w:t xml:space="preserve">International comparisons provide a useful means for examining performance against the experience of other </w:t>
      </w:r>
      <w:r w:rsidR="00D57D2D" w:rsidRPr="00F477F6">
        <w:t xml:space="preserve">countries. In 2011 there were 10.1 nurses per 1,000 population in Australia. This rate was higher than the Organisation for Economic Co-operation and Development (OECD) average (8.7). Different allocation of tasks between nurses and other health professionals may contribute to variations in rates across </w:t>
      </w:r>
      <w:r w:rsidR="00EA349A" w:rsidRPr="00F477F6">
        <w:t xml:space="preserve">OECD </w:t>
      </w:r>
      <w:r w:rsidR="00D57D2D" w:rsidRPr="00F477F6">
        <w:t>countries.</w:t>
      </w:r>
    </w:p>
    <w:p w14:paraId="5B0DFCF8" w14:textId="328528AC" w:rsidR="000F2A46" w:rsidRPr="00F477F6" w:rsidRDefault="000355C9" w:rsidP="00D20D53">
      <w:pPr>
        <w:pStyle w:val="Caption"/>
      </w:pPr>
      <w:bookmarkStart w:id="45" w:name="_Toc407783215"/>
      <w:r w:rsidRPr="00F477F6">
        <w:t xml:space="preserve">Figure </w:t>
      </w:r>
      <w:fldSimple w:instr=" SEQ Figure \* ARABIC ">
        <w:r w:rsidR="00641259">
          <w:rPr>
            <w:noProof/>
          </w:rPr>
          <w:t>2</w:t>
        </w:r>
      </w:fldSimple>
      <w:r w:rsidR="006514F8" w:rsidRPr="00F477F6">
        <w:t>: Nurses, density per 1,000 population (headcount), OECD countries, 2011 (or nearest year)</w:t>
      </w:r>
      <w:bookmarkEnd w:id="45"/>
    </w:p>
    <w:p w14:paraId="18D2EB41" w14:textId="77777777" w:rsidR="006B4A7C" w:rsidRPr="00D20D53" w:rsidRDefault="00293DE0" w:rsidP="00D20D53">
      <w:r w:rsidRPr="00D20D53">
        <w:rPr>
          <w:noProof/>
          <w:lang w:eastAsia="en-AU"/>
        </w:rPr>
        <w:drawing>
          <wp:inline distT="0" distB="0" distL="0" distR="0" wp14:anchorId="00FCD935" wp14:editId="444463F6">
            <wp:extent cx="3837008" cy="5457464"/>
            <wp:effectExtent l="0" t="0" r="11430" b="10160"/>
            <wp:docPr id="18" name="Chart 18" descr="The figure shows the nursing density per 1,000 population from countries in the Organisation for Economic Co-operation and Development (OECD). It shows that Switzerland has the higher density 16.6, followed by Demark, Belgium, Iceland, Norwary, Ireland, the Netherlands, Germany, Luxembourg, the United States, Sweden and Finland. Australia is listed as 13th in the listing with 10.1 nurses per 1,000 population. This above the OECD average of 8.7. The remaining countries presented in the figure following Australia are: New Zealand, Japan, Canada, France, United Kingdom, Slovenia, Czech Republic, Austria, Italy, Hungary, Estonia, Portugal, Slovak Republic, Spain, Poland, Israel, Korea, Greece and Mexico has the lowest density with 2.7 nurses per 1,000 population.&#10;&#10;Footnotes to the chart:&#10;(a) Practising nurses, those providing care directly to patients.&#10;(b) Professionally active nurses, which includes practising nurses plus other nurses working in the health sector as managers, educators, researchers, etc. &#10;(c) All nurses who are licensed to practice.&#10;&#10;Source: OECD Health Data 2013&#10;" title="Figure 2: Nurses, density per 1,000 population (headcount), OECD countries, 2011 (or nearest yea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537BE587" w14:textId="411D621E" w:rsidR="006B4A7C" w:rsidRPr="00F477F6" w:rsidRDefault="006B4A7C" w:rsidP="00D20D53">
      <w:pPr>
        <w:pStyle w:val="Tablenote"/>
      </w:pPr>
      <w:r w:rsidRPr="00F477F6">
        <w:t>(a) Practising nurses, those prov</w:t>
      </w:r>
      <w:r w:rsidR="009A067F">
        <w:t>iding care directly to patients in the following countries include: Switzerland, Denmark, Iceland, Norway, the Netherlands, Germany, Luxembourg, Sweden, Finland, Australia, New Zealand, Japan, Canada, the United Kingdom, Slovenia, Czech Republic, Austria, Hungary, Estonia, Spain, Poland, Israel, Korea and Mexico</w:t>
      </w:r>
      <w:r w:rsidR="00CD2720">
        <w:br/>
      </w:r>
      <w:r w:rsidRPr="00F477F6">
        <w:t>(b) Professionally active nurses, which includes practising nurses plus other nurses working in the health sector as manager</w:t>
      </w:r>
      <w:r w:rsidR="009A067F">
        <w:t xml:space="preserve">s, educators, researchers, etc, in the following countries: </w:t>
      </w:r>
      <w:r w:rsidR="00BC64F3">
        <w:t>Ireland, the United States, France, Portugal, Slovak Republic and Greece.</w:t>
      </w:r>
      <w:r w:rsidR="00CD2720">
        <w:br/>
      </w:r>
      <w:r w:rsidRPr="00F477F6">
        <w:t>(c) All nurses who are licensed to practice</w:t>
      </w:r>
      <w:r w:rsidR="00BC64F3">
        <w:t xml:space="preserve"> and includes the following countries:  Belgium and Italy.</w:t>
      </w:r>
      <w:r w:rsidR="00CD2720">
        <w:br/>
      </w:r>
      <w:r w:rsidRPr="00F477F6">
        <w:t>Source: OECD Health Data 2013</w:t>
      </w:r>
    </w:p>
    <w:p w14:paraId="52237A6D" w14:textId="31B99D18" w:rsidR="008619A2" w:rsidRPr="00F477F6" w:rsidRDefault="007E04C8" w:rsidP="00641259">
      <w:pPr>
        <w:pStyle w:val="Heading2"/>
      </w:pPr>
      <w:bookmarkStart w:id="46" w:name="_Toc387325906"/>
      <w:bookmarkStart w:id="47" w:name="_Toc387326040"/>
      <w:bookmarkStart w:id="48" w:name="_Toc387400867"/>
      <w:bookmarkStart w:id="49" w:name="_Toc387400910"/>
      <w:bookmarkStart w:id="50" w:name="_Toc387401306"/>
      <w:r w:rsidRPr="00F477F6">
        <w:lastRenderedPageBreak/>
        <w:t xml:space="preserve">Changes in </w:t>
      </w:r>
      <w:r w:rsidR="00840526" w:rsidRPr="00F477F6">
        <w:t>Australia’s nursing workforce</w:t>
      </w:r>
      <w:r w:rsidRPr="00F477F6">
        <w:t xml:space="preserve"> </w:t>
      </w:r>
      <w:r w:rsidR="004B340A" w:rsidRPr="00F477F6">
        <w:t>numbers</w:t>
      </w:r>
      <w:bookmarkEnd w:id="46"/>
      <w:bookmarkEnd w:id="47"/>
      <w:bookmarkEnd w:id="48"/>
      <w:bookmarkEnd w:id="49"/>
      <w:bookmarkEnd w:id="50"/>
    </w:p>
    <w:p w14:paraId="7817F112" w14:textId="6911730E" w:rsidR="007E04C8" w:rsidRPr="00D20D53" w:rsidRDefault="007E04C8" w:rsidP="00D20D53">
      <w:r w:rsidRPr="00D20D53">
        <w:t>From 200</w:t>
      </w:r>
      <w:r w:rsidR="002A341E" w:rsidRPr="00D20D53">
        <w:t>9</w:t>
      </w:r>
      <w:r w:rsidRPr="00D20D53">
        <w:t xml:space="preserve"> to 20</w:t>
      </w:r>
      <w:r w:rsidR="00DF37F2" w:rsidRPr="00D20D53">
        <w:t>12</w:t>
      </w:r>
      <w:r w:rsidRPr="00D20D53">
        <w:t xml:space="preserve"> the total number of </w:t>
      </w:r>
      <w:r w:rsidR="003B751B" w:rsidRPr="00D20D53">
        <w:t>RN</w:t>
      </w:r>
      <w:r w:rsidRPr="00D20D53">
        <w:t xml:space="preserve"> and </w:t>
      </w:r>
      <w:r w:rsidR="006B4A7C" w:rsidRPr="00D20D53">
        <w:t>EN registrations increased</w:t>
      </w:r>
      <w:r w:rsidR="00F842BE" w:rsidRPr="00D20D53">
        <w:t xml:space="preserve"> by </w:t>
      </w:r>
      <w:r w:rsidR="00942D05" w:rsidRPr="00D20D53">
        <w:t>three</w:t>
      </w:r>
      <w:r w:rsidR="001262DE" w:rsidRPr="00D20D53">
        <w:t xml:space="preserve"> per</w:t>
      </w:r>
      <w:r w:rsidR="00F842BE" w:rsidRPr="00D20D53">
        <w:t>cent</w:t>
      </w:r>
      <w:r w:rsidRPr="00D20D53">
        <w:t xml:space="preserve">, from </w:t>
      </w:r>
      <w:r w:rsidR="00F842BE" w:rsidRPr="00D20D53">
        <w:t xml:space="preserve">320,982 </w:t>
      </w:r>
      <w:r w:rsidRPr="00D20D53">
        <w:t>to 3</w:t>
      </w:r>
      <w:r w:rsidR="00C03408" w:rsidRPr="00D20D53">
        <w:t>31</w:t>
      </w:r>
      <w:r w:rsidRPr="00D20D53">
        <w:t>,</w:t>
      </w:r>
      <w:r w:rsidR="00C03408" w:rsidRPr="00D20D53">
        <w:t>804</w:t>
      </w:r>
      <w:r w:rsidRPr="00D20D53">
        <w:t xml:space="preserve">. </w:t>
      </w:r>
      <w:r w:rsidR="00840526" w:rsidRPr="00D20D53">
        <w:t xml:space="preserve">However the composition of nursing registrations is changing – with the overall increase resulting from increased </w:t>
      </w:r>
      <w:r w:rsidR="00942D05" w:rsidRPr="00D20D53">
        <w:t xml:space="preserve">RN registrations </w:t>
      </w:r>
      <w:r w:rsidR="00840526" w:rsidRPr="00D20D53">
        <w:t>(</w:t>
      </w:r>
      <w:r w:rsidR="00942D05" w:rsidRPr="00D20D53">
        <w:t>of five</w:t>
      </w:r>
      <w:r w:rsidRPr="00D20D53">
        <w:t xml:space="preserve"> percent</w:t>
      </w:r>
      <w:r w:rsidR="00942D05" w:rsidRPr="00D20D53">
        <w:t xml:space="preserve"> from </w:t>
      </w:r>
      <w:r w:rsidR="00F842BE" w:rsidRPr="00D20D53">
        <w:t xml:space="preserve">260,121 </w:t>
      </w:r>
      <w:r w:rsidR="00942D05" w:rsidRPr="00D20D53">
        <w:t xml:space="preserve">in 2009 </w:t>
      </w:r>
      <w:r w:rsidRPr="00D20D53">
        <w:t>to 2</w:t>
      </w:r>
      <w:r w:rsidR="00C03408" w:rsidRPr="00D20D53">
        <w:t>73</w:t>
      </w:r>
      <w:r w:rsidRPr="00D20D53">
        <w:t>,</w:t>
      </w:r>
      <w:r w:rsidR="00C03408" w:rsidRPr="00D20D53">
        <w:t>404</w:t>
      </w:r>
      <w:r w:rsidR="00942D05" w:rsidRPr="00D20D53">
        <w:t xml:space="preserve"> in 2012</w:t>
      </w:r>
      <w:r w:rsidRPr="00D20D53">
        <w:t>)</w:t>
      </w:r>
      <w:r w:rsidR="00942D05" w:rsidRPr="00D20D53">
        <w:t xml:space="preserve">, offset by a fall in EN registrations (down 2,461, from </w:t>
      </w:r>
      <w:r w:rsidR="00F842BE" w:rsidRPr="00D20D53">
        <w:t xml:space="preserve">60,861 </w:t>
      </w:r>
      <w:r w:rsidR="006B4A7C" w:rsidRPr="00D20D53">
        <w:t xml:space="preserve">in 2009 </w:t>
      </w:r>
      <w:r w:rsidRPr="00D20D53">
        <w:t xml:space="preserve">to </w:t>
      </w:r>
      <w:r w:rsidR="00C03408" w:rsidRPr="00D20D53">
        <w:t>58</w:t>
      </w:r>
      <w:r w:rsidRPr="00D20D53">
        <w:t>,</w:t>
      </w:r>
      <w:r w:rsidR="00C03408" w:rsidRPr="00D20D53">
        <w:t>400</w:t>
      </w:r>
      <w:r w:rsidR="00942D05" w:rsidRPr="00D20D53">
        <w:t xml:space="preserve"> in 2012</w:t>
      </w:r>
      <w:r w:rsidRPr="00D20D53">
        <w:t>)</w:t>
      </w:r>
      <w:r w:rsidR="00942D05" w:rsidRPr="00D20D53">
        <w:t>.</w:t>
      </w:r>
      <w:r w:rsidRPr="00D20D53">
        <w:t xml:space="preserve"> </w:t>
      </w:r>
    </w:p>
    <w:p w14:paraId="64204A9A" w14:textId="738F4C51" w:rsidR="006726D6" w:rsidRPr="00F477F6" w:rsidRDefault="000355C9" w:rsidP="00D20D53">
      <w:pPr>
        <w:pStyle w:val="Caption"/>
      </w:pPr>
      <w:bookmarkStart w:id="51" w:name="_Toc407783216"/>
      <w:r w:rsidRPr="00F477F6">
        <w:t xml:space="preserve">Figure </w:t>
      </w:r>
      <w:fldSimple w:instr=" SEQ Figure \* ARABIC ">
        <w:r w:rsidR="00641259">
          <w:rPr>
            <w:noProof/>
          </w:rPr>
          <w:t>3</w:t>
        </w:r>
      </w:fldSimple>
      <w:r w:rsidR="006726D6" w:rsidRPr="00F477F6">
        <w:t xml:space="preserve">: Registered </w:t>
      </w:r>
      <w:r w:rsidR="001343A8" w:rsidRPr="00F477F6">
        <w:t xml:space="preserve">nurses </w:t>
      </w:r>
      <w:r w:rsidR="006726D6" w:rsidRPr="00F477F6">
        <w:t>and enrolled nurses, 200</w:t>
      </w:r>
      <w:r w:rsidR="00966DE5" w:rsidRPr="00F477F6">
        <w:t>9</w:t>
      </w:r>
      <w:r w:rsidR="006726D6" w:rsidRPr="00F477F6">
        <w:t xml:space="preserve"> </w:t>
      </w:r>
      <w:r w:rsidR="004134DE" w:rsidRPr="00F477F6">
        <w:t xml:space="preserve">to </w:t>
      </w:r>
      <w:r w:rsidR="006726D6" w:rsidRPr="00F477F6">
        <w:t>2012</w:t>
      </w:r>
      <w:bookmarkEnd w:id="51"/>
    </w:p>
    <w:p w14:paraId="45DAEFB4" w14:textId="77777777" w:rsidR="0062128B" w:rsidRPr="00D20D53" w:rsidRDefault="00966DE5" w:rsidP="00D20D53">
      <w:r w:rsidRPr="00D20D53">
        <w:rPr>
          <w:noProof/>
          <w:lang w:eastAsia="en-AU"/>
        </w:rPr>
        <w:drawing>
          <wp:inline distT="0" distB="0" distL="0" distR="0" wp14:anchorId="5C7F43D0" wp14:editId="557285DA">
            <wp:extent cx="4638675" cy="2886075"/>
            <wp:effectExtent l="0" t="0" r="9525" b="9525"/>
            <wp:docPr id="1" name="Chart 1" descr="The figure shows the total number of registered nurses and enrolled nurses in Australia over the years 2009 to 2012.&#10;&#10;From 2009 to 2012 the total number of RN and EN registrations increased by three percent from 320,982 to 331,804.&#10;&#10;The figure shows that the composition of the nursing workforce is changing with a five percent increase in RN registrations from 260,121 in 2009 to 273,404 in 2012 offset by a fall in EN registrations down from 60,861 in 2009 to 58,400 in 2012." title="Figure 3: Registered nurses and enrolled nurses, 2009 to 20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0421EE3C" w14:textId="77777777" w:rsidR="001343A8" w:rsidRPr="00F477F6" w:rsidRDefault="001343A8" w:rsidP="00D20D53">
      <w:pPr>
        <w:pStyle w:val="Tablenote"/>
      </w:pPr>
      <w:r w:rsidRPr="00F477F6">
        <w:t>Sources: Australian Institute of Health and Welfare (AIHW) Nursing and Midwifery Labour Force Survey 2009 and NHWDS: nurses and midwives 2011 and 2012.</w:t>
      </w:r>
    </w:p>
    <w:p w14:paraId="6595AE1E" w14:textId="6FA91862" w:rsidR="001E143A" w:rsidRPr="00F477F6" w:rsidRDefault="00840526" w:rsidP="00641259">
      <w:pPr>
        <w:pStyle w:val="Heading2"/>
      </w:pPr>
      <w:bookmarkStart w:id="52" w:name="_Toc387325907"/>
      <w:bookmarkStart w:id="53" w:name="_Toc387326041"/>
      <w:bookmarkStart w:id="54" w:name="_Toc387400868"/>
      <w:bookmarkStart w:id="55" w:name="_Toc387400911"/>
      <w:bookmarkStart w:id="56" w:name="_Toc387401307"/>
      <w:r w:rsidRPr="00F477F6">
        <w:t>The nursing workforce is ageing</w:t>
      </w:r>
      <w:bookmarkEnd w:id="52"/>
      <w:bookmarkEnd w:id="53"/>
      <w:bookmarkEnd w:id="54"/>
      <w:bookmarkEnd w:id="55"/>
      <w:bookmarkEnd w:id="56"/>
      <w:r w:rsidR="00422104" w:rsidRPr="00F477F6">
        <w:t xml:space="preserve"> </w:t>
      </w:r>
    </w:p>
    <w:p w14:paraId="3A45B4F4" w14:textId="46D833FE" w:rsidR="005821BB" w:rsidRPr="00F477F6" w:rsidRDefault="00DE7488" w:rsidP="00D20D53">
      <w:r w:rsidRPr="00F477F6">
        <w:t xml:space="preserve">There is wide acknowledgement of the imminent retirement of older nurses, and the consequent impact this will have on the workforce. </w:t>
      </w:r>
      <w:r w:rsidR="00B2497A" w:rsidRPr="00F477F6">
        <w:fldChar w:fldCharType="begin"/>
      </w:r>
      <w:r w:rsidR="00B2497A" w:rsidRPr="00F477F6">
        <w:instrText xml:space="preserve"> REF _Ref387394456 \h </w:instrText>
      </w:r>
      <w:r w:rsidR="00406188" w:rsidRPr="00F477F6">
        <w:instrText xml:space="preserve"> \* MERGEFORMAT </w:instrText>
      </w:r>
      <w:r w:rsidR="00B2497A" w:rsidRPr="00F477F6">
        <w:fldChar w:fldCharType="separate"/>
      </w:r>
      <w:r w:rsidR="00641259" w:rsidRPr="00F477F6">
        <w:t xml:space="preserve">Table </w:t>
      </w:r>
      <w:r w:rsidR="00641259">
        <w:rPr>
          <w:noProof/>
        </w:rPr>
        <w:t>1</w:t>
      </w:r>
      <w:r w:rsidR="00B2497A" w:rsidRPr="00F477F6">
        <w:fldChar w:fldCharType="end"/>
      </w:r>
      <w:r w:rsidR="00B2497A" w:rsidRPr="00F477F6">
        <w:t xml:space="preserve"> </w:t>
      </w:r>
      <w:r w:rsidRPr="00F477F6">
        <w:t xml:space="preserve">shows the age profile of </w:t>
      </w:r>
      <w:r w:rsidR="00E82D4E" w:rsidRPr="00F477F6">
        <w:t xml:space="preserve">employed nurses </w:t>
      </w:r>
      <w:r w:rsidRPr="00F477F6">
        <w:t>in 2009 and 2012. The ageing workforce is reflected in both the increasing average age of nurses (from 44.3 years in 2009 to 44.6 years in 2012) and the increasing percentage of those aged 5</w:t>
      </w:r>
      <w:r w:rsidR="001262DE" w:rsidRPr="00F477F6">
        <w:t>5 years and over (from 19.8 per</w:t>
      </w:r>
      <w:r w:rsidRPr="00F477F6">
        <w:t>cent i</w:t>
      </w:r>
      <w:r w:rsidR="001262DE" w:rsidRPr="00F477F6">
        <w:t>n 2009 to 23.1 per</w:t>
      </w:r>
      <w:r w:rsidRPr="00F477F6">
        <w:t>cent in 2012). The ageing of the nursing workforce is expected to continue into the future.</w:t>
      </w:r>
    </w:p>
    <w:p w14:paraId="511D1C81" w14:textId="6CFB86D5" w:rsidR="007E266C" w:rsidRPr="00F477F6" w:rsidRDefault="00B2497A" w:rsidP="00D20D53">
      <w:pPr>
        <w:pStyle w:val="Caption"/>
      </w:pPr>
      <w:bookmarkStart w:id="57" w:name="_Ref387394456"/>
      <w:bookmarkStart w:id="58" w:name="_Toc407783198"/>
      <w:r w:rsidRPr="00F477F6">
        <w:t xml:space="preserve">Table </w:t>
      </w:r>
      <w:fldSimple w:instr=" SEQ Table \* ARABIC ">
        <w:r w:rsidR="00641259">
          <w:rPr>
            <w:noProof/>
          </w:rPr>
          <w:t>1</w:t>
        </w:r>
      </w:fldSimple>
      <w:bookmarkEnd w:id="57"/>
      <w:r w:rsidR="00DE7488" w:rsidRPr="00F477F6">
        <w:t>: Employed registered nurses and enrolled nurses, age profile, 2009 and 2012</w:t>
      </w:r>
      <w:bookmarkEnd w:id="58"/>
    </w:p>
    <w:tbl>
      <w:tblPr>
        <w:tblW w:w="9281" w:type="dxa"/>
        <w:tblInd w:w="-15" w:type="dxa"/>
        <w:tblCellMar>
          <w:left w:w="0" w:type="dxa"/>
          <w:right w:w="0" w:type="dxa"/>
        </w:tblCellMar>
        <w:tblLook w:val="04A0" w:firstRow="1" w:lastRow="0" w:firstColumn="1" w:lastColumn="0" w:noHBand="0" w:noVBand="1"/>
      </w:tblPr>
      <w:tblGrid>
        <w:gridCol w:w="2877"/>
        <w:gridCol w:w="1682"/>
        <w:gridCol w:w="1520"/>
        <w:gridCol w:w="1682"/>
        <w:gridCol w:w="1520"/>
      </w:tblGrid>
      <w:tr w:rsidR="00DE7488" w:rsidRPr="008B2CBA" w14:paraId="581F5779" w14:textId="77777777" w:rsidTr="0034420F">
        <w:trPr>
          <w:trHeight w:val="403"/>
          <w:tblHeader/>
        </w:trPr>
        <w:tc>
          <w:tcPr>
            <w:tcW w:w="2877" w:type="dxa"/>
            <w:noWrap/>
            <w:tcMar>
              <w:top w:w="0" w:type="dxa"/>
              <w:left w:w="108" w:type="dxa"/>
              <w:bottom w:w="0" w:type="dxa"/>
              <w:right w:w="108" w:type="dxa"/>
            </w:tcMar>
            <w:vAlign w:val="center"/>
            <w:hideMark/>
          </w:tcPr>
          <w:p w14:paraId="64DB74B3" w14:textId="77777777" w:rsidR="00DE7488" w:rsidRPr="008B2CBA" w:rsidRDefault="00DE7488" w:rsidP="008B2CBA">
            <w:pPr>
              <w:pStyle w:val="TableHeader"/>
            </w:pPr>
            <w:bookmarkStart w:id="59" w:name="Title_1"/>
            <w:bookmarkEnd w:id="59"/>
          </w:p>
        </w:tc>
        <w:tc>
          <w:tcPr>
            <w:tcW w:w="3202" w:type="dxa"/>
            <w:gridSpan w:val="2"/>
            <w:tcBorders>
              <w:top w:val="single" w:sz="8" w:space="0" w:color="auto"/>
              <w:left w:val="single" w:sz="8" w:space="0" w:color="000000"/>
              <w:bottom w:val="single" w:sz="8" w:space="0" w:color="auto"/>
              <w:right w:val="nil"/>
            </w:tcBorders>
            <w:shd w:val="clear" w:color="auto" w:fill="0079C1"/>
            <w:noWrap/>
            <w:tcMar>
              <w:top w:w="0" w:type="dxa"/>
              <w:left w:w="108" w:type="dxa"/>
              <w:bottom w:w="0" w:type="dxa"/>
              <w:right w:w="108" w:type="dxa"/>
            </w:tcMar>
            <w:vAlign w:val="center"/>
            <w:hideMark/>
          </w:tcPr>
          <w:p w14:paraId="5218F030" w14:textId="77777777" w:rsidR="00DE7488" w:rsidRPr="008B2CBA" w:rsidRDefault="00DE7488" w:rsidP="008B2CBA">
            <w:pPr>
              <w:pStyle w:val="TableHeader"/>
              <w:jc w:val="center"/>
            </w:pPr>
            <w:r w:rsidRPr="008B2CBA">
              <w:t>2009</w:t>
            </w:r>
          </w:p>
        </w:tc>
        <w:tc>
          <w:tcPr>
            <w:tcW w:w="3202" w:type="dxa"/>
            <w:gridSpan w:val="2"/>
            <w:tcBorders>
              <w:top w:val="single" w:sz="8" w:space="0" w:color="auto"/>
              <w:left w:val="single" w:sz="8" w:space="0" w:color="000000"/>
              <w:bottom w:val="single" w:sz="8" w:space="0" w:color="auto"/>
              <w:right w:val="nil"/>
            </w:tcBorders>
            <w:shd w:val="clear" w:color="auto" w:fill="0079C1"/>
            <w:noWrap/>
            <w:tcMar>
              <w:top w:w="0" w:type="dxa"/>
              <w:left w:w="108" w:type="dxa"/>
              <w:bottom w:w="0" w:type="dxa"/>
              <w:right w:w="108" w:type="dxa"/>
            </w:tcMar>
            <w:vAlign w:val="center"/>
            <w:hideMark/>
          </w:tcPr>
          <w:p w14:paraId="21C33044" w14:textId="77777777" w:rsidR="00DE7488" w:rsidRPr="008B2CBA" w:rsidRDefault="00DE7488" w:rsidP="008B2CBA">
            <w:pPr>
              <w:pStyle w:val="TableHeader"/>
              <w:jc w:val="center"/>
            </w:pPr>
            <w:r w:rsidRPr="008B2CBA">
              <w:t>2012</w:t>
            </w:r>
          </w:p>
        </w:tc>
      </w:tr>
      <w:tr w:rsidR="00960313" w:rsidRPr="00D20D53" w14:paraId="46BEA789" w14:textId="77777777" w:rsidTr="0034420F">
        <w:trPr>
          <w:trHeight w:val="922"/>
          <w:tblHeader/>
        </w:trPr>
        <w:tc>
          <w:tcPr>
            <w:tcW w:w="2877" w:type="dxa"/>
            <w:tcBorders>
              <w:top w:val="nil"/>
              <w:left w:val="nil"/>
              <w:bottom w:val="single" w:sz="8" w:space="0" w:color="auto"/>
              <w:right w:val="single" w:sz="8" w:space="0" w:color="auto"/>
            </w:tcBorders>
            <w:shd w:val="clear" w:color="auto" w:fill="0070C0"/>
            <w:noWrap/>
            <w:tcMar>
              <w:top w:w="0" w:type="dxa"/>
              <w:left w:w="108" w:type="dxa"/>
              <w:bottom w:w="0" w:type="dxa"/>
              <w:right w:w="108" w:type="dxa"/>
            </w:tcMar>
            <w:vAlign w:val="center"/>
            <w:hideMark/>
          </w:tcPr>
          <w:p w14:paraId="456BB4B1" w14:textId="382974F5" w:rsidR="00960313" w:rsidRPr="00D20D53" w:rsidRDefault="00960313" w:rsidP="00D20D53">
            <w:pPr>
              <w:pStyle w:val="TableHeader"/>
            </w:pPr>
            <w:r w:rsidRPr="00D20D53">
              <w:t>Type of nurse</w:t>
            </w:r>
          </w:p>
        </w:tc>
        <w:tc>
          <w:tcPr>
            <w:tcW w:w="1682" w:type="dxa"/>
            <w:tcBorders>
              <w:top w:val="nil"/>
              <w:left w:val="nil"/>
              <w:bottom w:val="single" w:sz="8" w:space="0" w:color="auto"/>
              <w:right w:val="single" w:sz="8" w:space="0" w:color="auto"/>
            </w:tcBorders>
            <w:shd w:val="clear" w:color="auto" w:fill="0070C0"/>
            <w:tcMar>
              <w:top w:w="0" w:type="dxa"/>
              <w:left w:w="108" w:type="dxa"/>
              <w:bottom w:w="0" w:type="dxa"/>
              <w:right w:w="108" w:type="dxa"/>
            </w:tcMar>
            <w:vAlign w:val="center"/>
            <w:hideMark/>
          </w:tcPr>
          <w:p w14:paraId="4FFFCE2E" w14:textId="77777777" w:rsidR="00960313" w:rsidRPr="00D20D53" w:rsidRDefault="00960313" w:rsidP="00D20D53">
            <w:pPr>
              <w:pStyle w:val="TableHeader"/>
            </w:pPr>
            <w:r w:rsidRPr="00D20D53">
              <w:t>Average age (years)</w:t>
            </w:r>
          </w:p>
        </w:tc>
        <w:tc>
          <w:tcPr>
            <w:tcW w:w="1520" w:type="dxa"/>
            <w:tcBorders>
              <w:top w:val="nil"/>
              <w:left w:val="nil"/>
              <w:bottom w:val="single" w:sz="8" w:space="0" w:color="auto"/>
              <w:right w:val="single" w:sz="8" w:space="0" w:color="auto"/>
            </w:tcBorders>
            <w:shd w:val="clear" w:color="auto" w:fill="0070C0"/>
            <w:tcMar>
              <w:top w:w="0" w:type="dxa"/>
              <w:left w:w="108" w:type="dxa"/>
              <w:bottom w:w="0" w:type="dxa"/>
              <w:right w:w="108" w:type="dxa"/>
            </w:tcMar>
            <w:vAlign w:val="center"/>
            <w:hideMark/>
          </w:tcPr>
          <w:p w14:paraId="2395996C" w14:textId="69D465F4" w:rsidR="00960313" w:rsidRPr="00D20D53" w:rsidRDefault="00960313" w:rsidP="00D20D53">
            <w:pPr>
              <w:pStyle w:val="TableHeader"/>
            </w:pPr>
            <w:r w:rsidRPr="00D20D53">
              <w:t>Percent aged 55 and over</w:t>
            </w:r>
          </w:p>
        </w:tc>
        <w:tc>
          <w:tcPr>
            <w:tcW w:w="1682" w:type="dxa"/>
            <w:tcBorders>
              <w:top w:val="nil"/>
              <w:left w:val="nil"/>
              <w:bottom w:val="single" w:sz="8" w:space="0" w:color="auto"/>
              <w:right w:val="single" w:sz="8" w:space="0" w:color="auto"/>
            </w:tcBorders>
            <w:shd w:val="clear" w:color="auto" w:fill="0070C0"/>
            <w:tcMar>
              <w:top w:w="0" w:type="dxa"/>
              <w:left w:w="108" w:type="dxa"/>
              <w:bottom w:w="0" w:type="dxa"/>
              <w:right w:w="108" w:type="dxa"/>
            </w:tcMar>
            <w:vAlign w:val="center"/>
            <w:hideMark/>
          </w:tcPr>
          <w:p w14:paraId="3D2B8E7D" w14:textId="77777777" w:rsidR="00960313" w:rsidRPr="00D20D53" w:rsidRDefault="00960313" w:rsidP="00D20D53">
            <w:pPr>
              <w:pStyle w:val="TableHeader"/>
            </w:pPr>
            <w:r w:rsidRPr="00D20D53">
              <w:t>Average age (years)</w:t>
            </w:r>
          </w:p>
        </w:tc>
        <w:tc>
          <w:tcPr>
            <w:tcW w:w="1520" w:type="dxa"/>
            <w:tcBorders>
              <w:top w:val="nil"/>
              <w:left w:val="nil"/>
              <w:bottom w:val="single" w:sz="8" w:space="0" w:color="auto"/>
              <w:right w:val="single" w:sz="8" w:space="0" w:color="auto"/>
            </w:tcBorders>
            <w:shd w:val="clear" w:color="auto" w:fill="0070C0"/>
            <w:tcMar>
              <w:top w:w="0" w:type="dxa"/>
              <w:left w:w="108" w:type="dxa"/>
              <w:bottom w:w="0" w:type="dxa"/>
              <w:right w:w="108" w:type="dxa"/>
            </w:tcMar>
            <w:vAlign w:val="center"/>
            <w:hideMark/>
          </w:tcPr>
          <w:p w14:paraId="4B062B79" w14:textId="1458400C" w:rsidR="00960313" w:rsidRPr="00D20D53" w:rsidRDefault="00960313" w:rsidP="00D20D53">
            <w:pPr>
              <w:pStyle w:val="TableHeader"/>
            </w:pPr>
            <w:r w:rsidRPr="00D20D53">
              <w:t>Percent aged 55 and over</w:t>
            </w:r>
          </w:p>
        </w:tc>
      </w:tr>
      <w:tr w:rsidR="00960313" w:rsidRPr="00F477F6" w14:paraId="29FC604C" w14:textId="77777777" w:rsidTr="008517C8">
        <w:trPr>
          <w:trHeight w:val="315"/>
        </w:trPr>
        <w:tc>
          <w:tcPr>
            <w:tcW w:w="2877"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B2DFFCC" w14:textId="77777777" w:rsidR="00960313" w:rsidRPr="00F477F6" w:rsidRDefault="00960313" w:rsidP="008B2CBA">
            <w:pPr>
              <w:pStyle w:val="TableText"/>
              <w:rPr>
                <w:lang w:eastAsia="en-AU"/>
              </w:rPr>
            </w:pPr>
            <w:r w:rsidRPr="00F477F6">
              <w:rPr>
                <w:lang w:eastAsia="en-AU"/>
              </w:rPr>
              <w:t>Registered nurses</w:t>
            </w:r>
          </w:p>
        </w:tc>
        <w:tc>
          <w:tcPr>
            <w:tcW w:w="1682"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EBB0475" w14:textId="77777777" w:rsidR="00960313" w:rsidRPr="00F57F39" w:rsidRDefault="00960313" w:rsidP="00F57F39">
            <w:pPr>
              <w:pStyle w:val="TableTextcentred"/>
            </w:pPr>
            <w:r w:rsidRPr="00F57F39">
              <w:t>44.2</w:t>
            </w:r>
          </w:p>
        </w:tc>
        <w:tc>
          <w:tcPr>
            <w:tcW w:w="152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7A6E40D" w14:textId="77777777" w:rsidR="00960313" w:rsidRPr="00F57F39" w:rsidRDefault="00960313" w:rsidP="00F57F39">
            <w:pPr>
              <w:pStyle w:val="TableTextcentred"/>
            </w:pPr>
            <w:r w:rsidRPr="00F57F39">
              <w:t>19.9</w:t>
            </w:r>
          </w:p>
        </w:tc>
        <w:tc>
          <w:tcPr>
            <w:tcW w:w="1682"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887C7F9" w14:textId="77777777" w:rsidR="00960313" w:rsidRPr="00F57F39" w:rsidRDefault="00960313" w:rsidP="00F57F39">
            <w:pPr>
              <w:pStyle w:val="TableTextcentred"/>
            </w:pPr>
            <w:r w:rsidRPr="00F57F39">
              <w:t>44.3</w:t>
            </w:r>
          </w:p>
        </w:tc>
        <w:tc>
          <w:tcPr>
            <w:tcW w:w="152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C0F8208" w14:textId="77777777" w:rsidR="00960313" w:rsidRPr="00F57F39" w:rsidRDefault="00960313" w:rsidP="00F57F39">
            <w:pPr>
              <w:pStyle w:val="TableTextcentred"/>
            </w:pPr>
            <w:r w:rsidRPr="00F57F39">
              <w:t>22.5</w:t>
            </w:r>
          </w:p>
        </w:tc>
      </w:tr>
      <w:tr w:rsidR="00960313" w:rsidRPr="00F477F6" w14:paraId="15167F76" w14:textId="77777777" w:rsidTr="008517C8">
        <w:trPr>
          <w:trHeight w:val="315"/>
        </w:trPr>
        <w:tc>
          <w:tcPr>
            <w:tcW w:w="2877"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520712F5" w14:textId="77777777" w:rsidR="00960313" w:rsidRPr="00F477F6" w:rsidRDefault="00960313" w:rsidP="008B2CBA">
            <w:pPr>
              <w:pStyle w:val="TableText"/>
              <w:rPr>
                <w:lang w:eastAsia="en-AU"/>
              </w:rPr>
            </w:pPr>
            <w:r w:rsidRPr="00F477F6">
              <w:rPr>
                <w:lang w:eastAsia="en-AU"/>
              </w:rPr>
              <w:t>Enrolled nurses</w:t>
            </w:r>
          </w:p>
        </w:tc>
        <w:tc>
          <w:tcPr>
            <w:tcW w:w="1682"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46F288D" w14:textId="77777777" w:rsidR="00960313" w:rsidRPr="00F57F39" w:rsidRDefault="00960313" w:rsidP="00F57F39">
            <w:pPr>
              <w:pStyle w:val="TableTextcentred"/>
            </w:pPr>
            <w:r w:rsidRPr="00F57F39">
              <w:t>44.9</w:t>
            </w:r>
          </w:p>
        </w:tc>
        <w:tc>
          <w:tcPr>
            <w:tcW w:w="152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773AA79" w14:textId="77777777" w:rsidR="00960313" w:rsidRPr="00F57F39" w:rsidRDefault="00960313" w:rsidP="00F57F39">
            <w:pPr>
              <w:pStyle w:val="TableTextcentred"/>
            </w:pPr>
            <w:r w:rsidRPr="00F57F39">
              <w:t>19.3</w:t>
            </w:r>
          </w:p>
        </w:tc>
        <w:tc>
          <w:tcPr>
            <w:tcW w:w="1682"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B5FCA88" w14:textId="77777777" w:rsidR="00960313" w:rsidRPr="00F57F39" w:rsidRDefault="00960313" w:rsidP="00F57F39">
            <w:pPr>
              <w:pStyle w:val="TableTextcentred"/>
            </w:pPr>
            <w:r w:rsidRPr="00F57F39">
              <w:t>46</w:t>
            </w:r>
          </w:p>
        </w:tc>
        <w:tc>
          <w:tcPr>
            <w:tcW w:w="152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4E9B6CD" w14:textId="77777777" w:rsidR="00960313" w:rsidRPr="00F57F39" w:rsidRDefault="00960313" w:rsidP="00F57F39">
            <w:pPr>
              <w:pStyle w:val="TableTextcentred"/>
            </w:pPr>
            <w:r w:rsidRPr="00F57F39">
              <w:t>25.9</w:t>
            </w:r>
          </w:p>
        </w:tc>
      </w:tr>
      <w:tr w:rsidR="00960313" w:rsidRPr="008B2CBA" w14:paraId="0B01DB5B" w14:textId="77777777" w:rsidTr="008517C8">
        <w:trPr>
          <w:trHeight w:val="315"/>
        </w:trPr>
        <w:tc>
          <w:tcPr>
            <w:tcW w:w="2877"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B24930F" w14:textId="77777777" w:rsidR="00960313" w:rsidRPr="008B2CBA" w:rsidRDefault="00960313" w:rsidP="008B2CBA">
            <w:pPr>
              <w:pStyle w:val="TableText"/>
              <w:rPr>
                <w:b/>
                <w:lang w:eastAsia="en-AU"/>
              </w:rPr>
            </w:pPr>
            <w:r w:rsidRPr="008B2CBA">
              <w:rPr>
                <w:b/>
                <w:lang w:eastAsia="en-AU"/>
              </w:rPr>
              <w:t>All nurses</w:t>
            </w:r>
          </w:p>
        </w:tc>
        <w:tc>
          <w:tcPr>
            <w:tcW w:w="1682"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52A5AF9" w14:textId="77777777" w:rsidR="00960313" w:rsidRPr="008B2CBA" w:rsidRDefault="00960313" w:rsidP="008B2CBA">
            <w:pPr>
              <w:pStyle w:val="TableTextcentred"/>
              <w:rPr>
                <w:b/>
                <w:lang w:eastAsia="en-AU"/>
              </w:rPr>
            </w:pPr>
            <w:r w:rsidRPr="008B2CBA">
              <w:rPr>
                <w:b/>
                <w:lang w:eastAsia="en-AU"/>
              </w:rPr>
              <w:t>44.3</w:t>
            </w:r>
          </w:p>
        </w:tc>
        <w:tc>
          <w:tcPr>
            <w:tcW w:w="152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4F0E8F6" w14:textId="77777777" w:rsidR="00960313" w:rsidRPr="008B2CBA" w:rsidRDefault="00960313" w:rsidP="008B2CBA">
            <w:pPr>
              <w:pStyle w:val="TableTextcentred"/>
              <w:rPr>
                <w:b/>
                <w:lang w:eastAsia="en-AU"/>
              </w:rPr>
            </w:pPr>
            <w:r w:rsidRPr="008B2CBA">
              <w:rPr>
                <w:b/>
                <w:lang w:eastAsia="en-AU"/>
              </w:rPr>
              <w:t>19.8</w:t>
            </w:r>
          </w:p>
        </w:tc>
        <w:tc>
          <w:tcPr>
            <w:tcW w:w="1682"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925EB6D" w14:textId="77777777" w:rsidR="00960313" w:rsidRPr="008B2CBA" w:rsidRDefault="00960313" w:rsidP="008B2CBA">
            <w:pPr>
              <w:pStyle w:val="TableTextcentred"/>
              <w:rPr>
                <w:b/>
                <w:lang w:eastAsia="en-AU"/>
              </w:rPr>
            </w:pPr>
            <w:r w:rsidRPr="008B2CBA">
              <w:rPr>
                <w:b/>
                <w:lang w:eastAsia="en-AU"/>
              </w:rPr>
              <w:t>44.6</w:t>
            </w:r>
          </w:p>
        </w:tc>
        <w:tc>
          <w:tcPr>
            <w:tcW w:w="152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EC58811" w14:textId="77777777" w:rsidR="00960313" w:rsidRPr="008B2CBA" w:rsidRDefault="00960313" w:rsidP="008B2CBA">
            <w:pPr>
              <w:pStyle w:val="TableTextcentred"/>
              <w:rPr>
                <w:b/>
                <w:lang w:eastAsia="en-AU"/>
              </w:rPr>
            </w:pPr>
            <w:r w:rsidRPr="008B2CBA">
              <w:rPr>
                <w:b/>
                <w:lang w:eastAsia="en-AU"/>
              </w:rPr>
              <w:t>23.1</w:t>
            </w:r>
          </w:p>
        </w:tc>
      </w:tr>
    </w:tbl>
    <w:p w14:paraId="1AD698CF" w14:textId="77777777" w:rsidR="00942D05" w:rsidRPr="00F477F6" w:rsidRDefault="00942D05" w:rsidP="00D20D53">
      <w:pPr>
        <w:pStyle w:val="Tablenote"/>
        <w:rPr>
          <w:lang w:eastAsia="x-none"/>
        </w:rPr>
      </w:pPr>
      <w:r w:rsidRPr="00F477F6">
        <w:t>Source: AIHW Nursing and Midwifery Labour Force Survey 2009 and NHWDS: nurses and midwives 2012.</w:t>
      </w:r>
    </w:p>
    <w:p w14:paraId="451961CF" w14:textId="1E1D280D" w:rsidR="00840526" w:rsidRDefault="00840526" w:rsidP="00641259">
      <w:pPr>
        <w:pStyle w:val="Heading2"/>
      </w:pPr>
      <w:r w:rsidRPr="00F477F6">
        <w:lastRenderedPageBreak/>
        <w:t>The nursing workforce works part-time</w:t>
      </w:r>
    </w:p>
    <w:p w14:paraId="7A033EAB" w14:textId="5E8F280F" w:rsidR="00960313" w:rsidRDefault="00960313" w:rsidP="00D20D53">
      <w:r w:rsidRPr="00960313">
        <w:fldChar w:fldCharType="begin"/>
      </w:r>
      <w:r w:rsidRPr="00960313">
        <w:instrText xml:space="preserve"> REF _Ref387394482 \h  \* MERGEFORMAT </w:instrText>
      </w:r>
      <w:r w:rsidRPr="00960313">
        <w:fldChar w:fldCharType="separate"/>
      </w:r>
      <w:r w:rsidR="00641259" w:rsidRPr="00D20D53">
        <w:t xml:space="preserve">Table </w:t>
      </w:r>
      <w:r w:rsidR="00641259">
        <w:rPr>
          <w:noProof/>
        </w:rPr>
        <w:t>2</w:t>
      </w:r>
      <w:r w:rsidRPr="00960313">
        <w:fldChar w:fldCharType="end"/>
      </w:r>
      <w:r w:rsidRPr="00960313">
        <w:t xml:space="preserve"> shows average weekly hours worked by employed nurses in 2009 and 2012. Historically, RN working hours have exceeded EN working hours. However this has changed substantially over time, with RNs only working less than an hour more on average than ENs in 2012. This was a result of RN average weekly working hours falling by 1.7 hours from 2009 to 2012, compared with almost no change in EN average weekly hours worked over the same period</w:t>
      </w:r>
      <w:r>
        <w:t>.</w:t>
      </w:r>
    </w:p>
    <w:p w14:paraId="4AD22937" w14:textId="13E55AAD" w:rsidR="00960313" w:rsidRPr="00960313" w:rsidRDefault="00960313" w:rsidP="00D20D53">
      <w:r w:rsidRPr="00960313">
        <w:t>In both years, male RNs and ENs worked substantially longer hours on average than females.</w:t>
      </w:r>
    </w:p>
    <w:p w14:paraId="4325240E" w14:textId="42C9A75D" w:rsidR="00DE7488" w:rsidRPr="00D20D53" w:rsidRDefault="00B2497A" w:rsidP="00D20D53">
      <w:pPr>
        <w:pStyle w:val="Caption"/>
      </w:pPr>
      <w:bookmarkStart w:id="60" w:name="_Ref387394482"/>
      <w:bookmarkStart w:id="61" w:name="_Toc407783199"/>
      <w:r w:rsidRPr="00D20D53">
        <w:t xml:space="preserve">Table </w:t>
      </w:r>
      <w:fldSimple w:instr=" SEQ Table \* ARABIC ">
        <w:r w:rsidR="00641259">
          <w:rPr>
            <w:noProof/>
          </w:rPr>
          <w:t>2</w:t>
        </w:r>
      </w:fldSimple>
      <w:bookmarkEnd w:id="60"/>
      <w:r w:rsidR="00DE7488" w:rsidRPr="00D20D53">
        <w:t>: Average weekly hours, employed registered nurses and enrolled nurses, 2009 and 2012</w:t>
      </w:r>
      <w:bookmarkEnd w:id="61"/>
    </w:p>
    <w:tbl>
      <w:tblPr>
        <w:tblW w:w="9272" w:type="dxa"/>
        <w:tblInd w:w="-15" w:type="dxa"/>
        <w:tblLayout w:type="fixed"/>
        <w:tblCellMar>
          <w:left w:w="0" w:type="dxa"/>
          <w:right w:w="0" w:type="dxa"/>
        </w:tblCellMar>
        <w:tblLook w:val="04A0" w:firstRow="1" w:lastRow="0" w:firstColumn="1" w:lastColumn="0" w:noHBand="0" w:noVBand="1"/>
      </w:tblPr>
      <w:tblGrid>
        <w:gridCol w:w="2491"/>
        <w:gridCol w:w="1130"/>
        <w:gridCol w:w="1130"/>
        <w:gridCol w:w="1130"/>
        <w:gridCol w:w="1130"/>
        <w:gridCol w:w="1130"/>
        <w:gridCol w:w="1131"/>
      </w:tblGrid>
      <w:tr w:rsidR="00DE7488" w:rsidRPr="008B2CBA" w14:paraId="50529041" w14:textId="77777777" w:rsidTr="0034420F">
        <w:trPr>
          <w:trHeight w:val="380"/>
          <w:tblHeader/>
        </w:trPr>
        <w:tc>
          <w:tcPr>
            <w:tcW w:w="2491" w:type="dxa"/>
            <w:noWrap/>
            <w:tcMar>
              <w:top w:w="0" w:type="dxa"/>
              <w:left w:w="108" w:type="dxa"/>
              <w:bottom w:w="0" w:type="dxa"/>
              <w:right w:w="108" w:type="dxa"/>
            </w:tcMar>
            <w:vAlign w:val="center"/>
            <w:hideMark/>
          </w:tcPr>
          <w:p w14:paraId="02E50222" w14:textId="77777777" w:rsidR="00DE7488" w:rsidRPr="008B2CBA" w:rsidRDefault="00DE7488" w:rsidP="008B2CBA">
            <w:pPr>
              <w:pStyle w:val="TableHeader"/>
            </w:pPr>
            <w:bookmarkStart w:id="62" w:name="Title_2"/>
            <w:bookmarkEnd w:id="62"/>
          </w:p>
        </w:tc>
        <w:tc>
          <w:tcPr>
            <w:tcW w:w="3390" w:type="dxa"/>
            <w:gridSpan w:val="3"/>
            <w:tcBorders>
              <w:top w:val="single" w:sz="8" w:space="0" w:color="auto"/>
              <w:left w:val="single" w:sz="8" w:space="0" w:color="auto"/>
              <w:bottom w:val="single" w:sz="8" w:space="0" w:color="auto"/>
              <w:right w:val="single" w:sz="8" w:space="0" w:color="000000"/>
            </w:tcBorders>
            <w:shd w:val="clear" w:color="auto" w:fill="0079C1"/>
            <w:noWrap/>
            <w:tcMar>
              <w:top w:w="0" w:type="dxa"/>
              <w:left w:w="108" w:type="dxa"/>
              <w:bottom w:w="0" w:type="dxa"/>
              <w:right w:w="108" w:type="dxa"/>
            </w:tcMar>
            <w:vAlign w:val="center"/>
            <w:hideMark/>
          </w:tcPr>
          <w:p w14:paraId="268F8C0C" w14:textId="77777777" w:rsidR="00DE7488" w:rsidRPr="008B2CBA" w:rsidRDefault="00DE7488" w:rsidP="008B2CBA">
            <w:pPr>
              <w:pStyle w:val="TableHeader"/>
              <w:jc w:val="center"/>
            </w:pPr>
            <w:r w:rsidRPr="008B2CBA">
              <w:t>2009</w:t>
            </w:r>
          </w:p>
        </w:tc>
        <w:tc>
          <w:tcPr>
            <w:tcW w:w="3391" w:type="dxa"/>
            <w:gridSpan w:val="3"/>
            <w:tcBorders>
              <w:top w:val="single" w:sz="8" w:space="0" w:color="auto"/>
              <w:left w:val="nil"/>
              <w:bottom w:val="single" w:sz="8" w:space="0" w:color="auto"/>
              <w:right w:val="single" w:sz="8" w:space="0" w:color="000000"/>
            </w:tcBorders>
            <w:shd w:val="clear" w:color="auto" w:fill="0079C1"/>
            <w:noWrap/>
            <w:tcMar>
              <w:top w:w="0" w:type="dxa"/>
              <w:left w:w="108" w:type="dxa"/>
              <w:bottom w:w="0" w:type="dxa"/>
              <w:right w:w="108" w:type="dxa"/>
            </w:tcMar>
            <w:vAlign w:val="center"/>
            <w:hideMark/>
          </w:tcPr>
          <w:p w14:paraId="6BFC7CF4" w14:textId="77777777" w:rsidR="00DE7488" w:rsidRPr="008B2CBA" w:rsidRDefault="00DE7488" w:rsidP="008B2CBA">
            <w:pPr>
              <w:pStyle w:val="TableHeader"/>
              <w:jc w:val="center"/>
            </w:pPr>
            <w:r w:rsidRPr="008B2CBA">
              <w:t>2012</w:t>
            </w:r>
          </w:p>
        </w:tc>
      </w:tr>
      <w:tr w:rsidR="00DE7488" w:rsidRPr="008B2CBA" w14:paraId="23868728" w14:textId="77777777" w:rsidTr="0034420F">
        <w:trPr>
          <w:trHeight w:val="542"/>
          <w:tblHeader/>
        </w:trPr>
        <w:tc>
          <w:tcPr>
            <w:tcW w:w="2491" w:type="dxa"/>
            <w:tcBorders>
              <w:top w:val="single" w:sz="8" w:space="0" w:color="auto"/>
              <w:left w:val="single" w:sz="8" w:space="0" w:color="auto"/>
              <w:bottom w:val="single" w:sz="8" w:space="0" w:color="auto"/>
              <w:right w:val="single" w:sz="8" w:space="0" w:color="auto"/>
            </w:tcBorders>
            <w:shd w:val="clear" w:color="auto" w:fill="0079C1"/>
            <w:noWrap/>
            <w:tcMar>
              <w:top w:w="0" w:type="dxa"/>
              <w:left w:w="108" w:type="dxa"/>
              <w:bottom w:w="0" w:type="dxa"/>
              <w:right w:w="108" w:type="dxa"/>
            </w:tcMar>
            <w:vAlign w:val="center"/>
            <w:hideMark/>
          </w:tcPr>
          <w:p w14:paraId="0A74F1F2" w14:textId="5373DC0C" w:rsidR="00DE7488" w:rsidRPr="008B2CBA" w:rsidRDefault="00960313" w:rsidP="008B2CBA">
            <w:pPr>
              <w:pStyle w:val="TableHeader"/>
            </w:pPr>
            <w:r w:rsidRPr="008B2CBA">
              <w:t>Type of nurse</w:t>
            </w:r>
          </w:p>
        </w:tc>
        <w:tc>
          <w:tcPr>
            <w:tcW w:w="1130" w:type="dxa"/>
            <w:tcBorders>
              <w:top w:val="nil"/>
              <w:left w:val="nil"/>
              <w:bottom w:val="single" w:sz="8" w:space="0" w:color="auto"/>
              <w:right w:val="single" w:sz="8" w:space="0" w:color="auto"/>
            </w:tcBorders>
            <w:shd w:val="clear" w:color="auto" w:fill="0079C1"/>
            <w:noWrap/>
            <w:tcMar>
              <w:top w:w="0" w:type="dxa"/>
              <w:left w:w="108" w:type="dxa"/>
              <w:bottom w:w="0" w:type="dxa"/>
              <w:right w:w="108" w:type="dxa"/>
            </w:tcMar>
            <w:vAlign w:val="center"/>
            <w:hideMark/>
          </w:tcPr>
          <w:p w14:paraId="43728CB5" w14:textId="77777777" w:rsidR="00DE7488" w:rsidRPr="008B2CBA" w:rsidRDefault="00DE7488" w:rsidP="008B2CBA">
            <w:pPr>
              <w:pStyle w:val="TableHeader"/>
            </w:pPr>
            <w:r w:rsidRPr="008B2CBA">
              <w:t>Male</w:t>
            </w:r>
          </w:p>
        </w:tc>
        <w:tc>
          <w:tcPr>
            <w:tcW w:w="1130" w:type="dxa"/>
            <w:tcBorders>
              <w:top w:val="nil"/>
              <w:left w:val="nil"/>
              <w:bottom w:val="single" w:sz="8" w:space="0" w:color="auto"/>
              <w:right w:val="single" w:sz="8" w:space="0" w:color="auto"/>
            </w:tcBorders>
            <w:shd w:val="clear" w:color="auto" w:fill="0079C1"/>
            <w:tcMar>
              <w:top w:w="0" w:type="dxa"/>
              <w:left w:w="108" w:type="dxa"/>
              <w:bottom w:w="0" w:type="dxa"/>
              <w:right w:w="108" w:type="dxa"/>
            </w:tcMar>
            <w:vAlign w:val="center"/>
            <w:hideMark/>
          </w:tcPr>
          <w:p w14:paraId="1C8CD3A6" w14:textId="77777777" w:rsidR="00DE7488" w:rsidRPr="008B2CBA" w:rsidRDefault="00DE7488" w:rsidP="008B2CBA">
            <w:pPr>
              <w:pStyle w:val="TableHeader"/>
            </w:pPr>
            <w:r w:rsidRPr="008B2CBA">
              <w:t>Female</w:t>
            </w:r>
          </w:p>
        </w:tc>
        <w:tc>
          <w:tcPr>
            <w:tcW w:w="1130" w:type="dxa"/>
            <w:tcBorders>
              <w:top w:val="nil"/>
              <w:left w:val="nil"/>
              <w:bottom w:val="single" w:sz="8" w:space="0" w:color="auto"/>
              <w:right w:val="single" w:sz="8" w:space="0" w:color="auto"/>
            </w:tcBorders>
            <w:shd w:val="clear" w:color="auto" w:fill="0079C1"/>
            <w:tcMar>
              <w:top w:w="0" w:type="dxa"/>
              <w:left w:w="108" w:type="dxa"/>
              <w:bottom w:w="0" w:type="dxa"/>
              <w:right w:w="108" w:type="dxa"/>
            </w:tcMar>
            <w:vAlign w:val="center"/>
            <w:hideMark/>
          </w:tcPr>
          <w:p w14:paraId="61A03D40" w14:textId="77777777" w:rsidR="00DE7488" w:rsidRPr="008B2CBA" w:rsidRDefault="00DE7488" w:rsidP="008B2CBA">
            <w:pPr>
              <w:pStyle w:val="TableHeader"/>
            </w:pPr>
            <w:r w:rsidRPr="008B2CBA">
              <w:t>Persons</w:t>
            </w:r>
          </w:p>
        </w:tc>
        <w:tc>
          <w:tcPr>
            <w:tcW w:w="1130" w:type="dxa"/>
            <w:tcBorders>
              <w:top w:val="nil"/>
              <w:left w:val="nil"/>
              <w:bottom w:val="single" w:sz="8" w:space="0" w:color="auto"/>
              <w:right w:val="single" w:sz="8" w:space="0" w:color="auto"/>
            </w:tcBorders>
            <w:shd w:val="clear" w:color="auto" w:fill="0079C1"/>
            <w:noWrap/>
            <w:tcMar>
              <w:top w:w="0" w:type="dxa"/>
              <w:left w:w="108" w:type="dxa"/>
              <w:bottom w:w="0" w:type="dxa"/>
              <w:right w:w="108" w:type="dxa"/>
            </w:tcMar>
            <w:vAlign w:val="center"/>
            <w:hideMark/>
          </w:tcPr>
          <w:p w14:paraId="5B5AB80F" w14:textId="77777777" w:rsidR="00DE7488" w:rsidRPr="008B2CBA" w:rsidRDefault="00DE7488" w:rsidP="008B2CBA">
            <w:pPr>
              <w:pStyle w:val="TableHeader"/>
            </w:pPr>
            <w:r w:rsidRPr="008B2CBA">
              <w:t>Male</w:t>
            </w:r>
          </w:p>
        </w:tc>
        <w:tc>
          <w:tcPr>
            <w:tcW w:w="1130" w:type="dxa"/>
            <w:tcBorders>
              <w:top w:val="nil"/>
              <w:left w:val="nil"/>
              <w:bottom w:val="single" w:sz="8" w:space="0" w:color="auto"/>
              <w:right w:val="single" w:sz="8" w:space="0" w:color="auto"/>
            </w:tcBorders>
            <w:shd w:val="clear" w:color="auto" w:fill="0079C1"/>
            <w:tcMar>
              <w:top w:w="0" w:type="dxa"/>
              <w:left w:w="108" w:type="dxa"/>
              <w:bottom w:w="0" w:type="dxa"/>
              <w:right w:w="108" w:type="dxa"/>
            </w:tcMar>
            <w:vAlign w:val="center"/>
            <w:hideMark/>
          </w:tcPr>
          <w:p w14:paraId="4254024C" w14:textId="77777777" w:rsidR="00DE7488" w:rsidRPr="008B2CBA" w:rsidRDefault="00DE7488" w:rsidP="008B2CBA">
            <w:pPr>
              <w:pStyle w:val="TableHeader"/>
            </w:pPr>
            <w:r w:rsidRPr="008B2CBA">
              <w:t>Female</w:t>
            </w:r>
          </w:p>
        </w:tc>
        <w:tc>
          <w:tcPr>
            <w:tcW w:w="1131" w:type="dxa"/>
            <w:tcBorders>
              <w:top w:val="nil"/>
              <w:left w:val="nil"/>
              <w:bottom w:val="single" w:sz="8" w:space="0" w:color="auto"/>
              <w:right w:val="single" w:sz="8" w:space="0" w:color="auto"/>
            </w:tcBorders>
            <w:shd w:val="clear" w:color="auto" w:fill="0079C1"/>
            <w:tcMar>
              <w:top w:w="0" w:type="dxa"/>
              <w:left w:w="108" w:type="dxa"/>
              <w:bottom w:w="0" w:type="dxa"/>
              <w:right w:w="108" w:type="dxa"/>
            </w:tcMar>
            <w:vAlign w:val="center"/>
            <w:hideMark/>
          </w:tcPr>
          <w:p w14:paraId="2BE8F833" w14:textId="77777777" w:rsidR="00DE7488" w:rsidRPr="008B2CBA" w:rsidRDefault="00DE7488" w:rsidP="008B2CBA">
            <w:pPr>
              <w:pStyle w:val="TableHeader"/>
            </w:pPr>
            <w:r w:rsidRPr="008B2CBA">
              <w:t>Persons</w:t>
            </w:r>
          </w:p>
        </w:tc>
      </w:tr>
      <w:tr w:rsidR="00DE7488" w:rsidRPr="00F477F6" w14:paraId="3C5EF278" w14:textId="77777777" w:rsidTr="0034420F">
        <w:trPr>
          <w:trHeight w:val="536"/>
        </w:trPr>
        <w:tc>
          <w:tcPr>
            <w:tcW w:w="249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AFBE012" w14:textId="77777777" w:rsidR="00DE7488" w:rsidRPr="0021402F" w:rsidRDefault="00DE7488" w:rsidP="0021402F">
            <w:pPr>
              <w:pStyle w:val="TableText"/>
              <w:jc w:val="right"/>
            </w:pPr>
            <w:r w:rsidRPr="0021402F">
              <w:t>Registered nurses</w:t>
            </w:r>
          </w:p>
        </w:tc>
        <w:tc>
          <w:tcPr>
            <w:tcW w:w="113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BD00AE0" w14:textId="77777777" w:rsidR="00DE7488" w:rsidRPr="0021402F" w:rsidRDefault="00DE7488" w:rsidP="0021402F">
            <w:pPr>
              <w:pStyle w:val="TableText"/>
              <w:jc w:val="right"/>
            </w:pPr>
            <w:r w:rsidRPr="0021402F">
              <w:t>38.8</w:t>
            </w:r>
          </w:p>
        </w:tc>
        <w:tc>
          <w:tcPr>
            <w:tcW w:w="113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73E026C" w14:textId="77777777" w:rsidR="00DE7488" w:rsidRPr="0021402F" w:rsidRDefault="00DE7488" w:rsidP="0021402F">
            <w:pPr>
              <w:pStyle w:val="TableText"/>
              <w:jc w:val="right"/>
            </w:pPr>
            <w:r w:rsidRPr="0021402F">
              <w:t>33</w:t>
            </w:r>
          </w:p>
        </w:tc>
        <w:tc>
          <w:tcPr>
            <w:tcW w:w="11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0EFDB46" w14:textId="77777777" w:rsidR="00DE7488" w:rsidRPr="0021402F" w:rsidRDefault="00DE7488" w:rsidP="0021402F">
            <w:pPr>
              <w:pStyle w:val="TableText"/>
              <w:jc w:val="right"/>
            </w:pPr>
            <w:r w:rsidRPr="0021402F">
              <w:t>33.6</w:t>
            </w:r>
          </w:p>
        </w:tc>
        <w:tc>
          <w:tcPr>
            <w:tcW w:w="113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1CBBF7CE" w14:textId="77777777" w:rsidR="00DE7488" w:rsidRPr="0021402F" w:rsidRDefault="00DE7488" w:rsidP="0021402F">
            <w:pPr>
              <w:pStyle w:val="TableText"/>
              <w:jc w:val="right"/>
            </w:pPr>
            <w:r w:rsidRPr="0021402F">
              <w:t>37.6</w:t>
            </w:r>
          </w:p>
        </w:tc>
        <w:tc>
          <w:tcPr>
            <w:tcW w:w="113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21E5879" w14:textId="77777777" w:rsidR="00DE7488" w:rsidRPr="0021402F" w:rsidRDefault="00DE7488" w:rsidP="0021402F">
            <w:pPr>
              <w:pStyle w:val="TableText"/>
              <w:jc w:val="right"/>
            </w:pPr>
            <w:r w:rsidRPr="0021402F">
              <w:t>31</w:t>
            </w:r>
          </w:p>
        </w:tc>
        <w:tc>
          <w:tcPr>
            <w:tcW w:w="113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1351478" w14:textId="77777777" w:rsidR="00DE7488" w:rsidRPr="0021402F" w:rsidRDefault="00DE7488" w:rsidP="0021402F">
            <w:pPr>
              <w:pStyle w:val="TableText"/>
              <w:jc w:val="right"/>
            </w:pPr>
            <w:r w:rsidRPr="0021402F">
              <w:t>31.7</w:t>
            </w:r>
          </w:p>
        </w:tc>
      </w:tr>
      <w:tr w:rsidR="00DE7488" w:rsidRPr="00F477F6" w14:paraId="6F33AFE6" w14:textId="77777777" w:rsidTr="0034420F">
        <w:trPr>
          <w:trHeight w:val="322"/>
        </w:trPr>
        <w:tc>
          <w:tcPr>
            <w:tcW w:w="249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188CC3F" w14:textId="77777777" w:rsidR="00DE7488" w:rsidRPr="0021402F" w:rsidRDefault="00DE7488" w:rsidP="0021402F">
            <w:pPr>
              <w:pStyle w:val="TableText"/>
              <w:jc w:val="right"/>
            </w:pPr>
            <w:r w:rsidRPr="0021402F">
              <w:t>Enrolled nurses</w:t>
            </w:r>
          </w:p>
        </w:tc>
        <w:tc>
          <w:tcPr>
            <w:tcW w:w="113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181060E2" w14:textId="77777777" w:rsidR="00DE7488" w:rsidRPr="0021402F" w:rsidRDefault="00DE7488" w:rsidP="0021402F">
            <w:pPr>
              <w:pStyle w:val="TableText"/>
              <w:jc w:val="right"/>
            </w:pPr>
            <w:r w:rsidRPr="0021402F">
              <w:t>34.1</w:t>
            </w:r>
          </w:p>
        </w:tc>
        <w:tc>
          <w:tcPr>
            <w:tcW w:w="113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7618954" w14:textId="77777777" w:rsidR="00DE7488" w:rsidRPr="0021402F" w:rsidRDefault="00DE7488" w:rsidP="0021402F">
            <w:pPr>
              <w:pStyle w:val="TableText"/>
              <w:jc w:val="right"/>
            </w:pPr>
            <w:r w:rsidRPr="0021402F">
              <w:t>30.5</w:t>
            </w:r>
          </w:p>
        </w:tc>
        <w:tc>
          <w:tcPr>
            <w:tcW w:w="11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3DE4372" w14:textId="77777777" w:rsidR="00DE7488" w:rsidRPr="0021402F" w:rsidRDefault="00DE7488" w:rsidP="0021402F">
            <w:pPr>
              <w:pStyle w:val="TableText"/>
              <w:jc w:val="right"/>
            </w:pPr>
            <w:r w:rsidRPr="0021402F">
              <w:t>30.8</w:t>
            </w:r>
          </w:p>
        </w:tc>
        <w:tc>
          <w:tcPr>
            <w:tcW w:w="113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0CE1D6C" w14:textId="77777777" w:rsidR="00DE7488" w:rsidRPr="0021402F" w:rsidRDefault="00DE7488" w:rsidP="0021402F">
            <w:pPr>
              <w:pStyle w:val="TableText"/>
              <w:jc w:val="right"/>
            </w:pPr>
            <w:r w:rsidRPr="0021402F">
              <w:t>34.5</w:t>
            </w:r>
          </w:p>
        </w:tc>
        <w:tc>
          <w:tcPr>
            <w:tcW w:w="113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E4B63C4" w14:textId="77777777" w:rsidR="00DE7488" w:rsidRPr="0021402F" w:rsidRDefault="00DE7488" w:rsidP="0021402F">
            <w:pPr>
              <w:pStyle w:val="TableText"/>
              <w:jc w:val="right"/>
            </w:pPr>
            <w:r w:rsidRPr="0021402F">
              <w:t>30.9</w:t>
            </w:r>
          </w:p>
        </w:tc>
        <w:tc>
          <w:tcPr>
            <w:tcW w:w="113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D3F4480" w14:textId="77777777" w:rsidR="00DE7488" w:rsidRPr="0021402F" w:rsidRDefault="00DE7488" w:rsidP="0021402F">
            <w:pPr>
              <w:pStyle w:val="TableText"/>
              <w:jc w:val="right"/>
            </w:pPr>
            <w:r w:rsidRPr="0021402F">
              <w:t>31.2</w:t>
            </w:r>
          </w:p>
        </w:tc>
      </w:tr>
      <w:tr w:rsidR="00DE7488" w:rsidRPr="00F477F6" w14:paraId="3B827CA5" w14:textId="77777777" w:rsidTr="0034420F">
        <w:trPr>
          <w:trHeight w:val="322"/>
        </w:trPr>
        <w:tc>
          <w:tcPr>
            <w:tcW w:w="249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CEFFCBF" w14:textId="77777777" w:rsidR="00DE7488" w:rsidRPr="0021402F" w:rsidRDefault="00DE7488" w:rsidP="0021402F">
            <w:pPr>
              <w:pStyle w:val="TableText"/>
              <w:jc w:val="right"/>
            </w:pPr>
            <w:r w:rsidRPr="0021402F">
              <w:t>All nurses</w:t>
            </w:r>
          </w:p>
        </w:tc>
        <w:tc>
          <w:tcPr>
            <w:tcW w:w="113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DBFFE56" w14:textId="77777777" w:rsidR="00DE7488" w:rsidRPr="0021402F" w:rsidRDefault="00DE7488" w:rsidP="0021402F">
            <w:pPr>
              <w:pStyle w:val="TableText"/>
              <w:jc w:val="right"/>
            </w:pPr>
            <w:r w:rsidRPr="0021402F">
              <w:t>37.3</w:t>
            </w:r>
          </w:p>
        </w:tc>
        <w:tc>
          <w:tcPr>
            <w:tcW w:w="113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198CDFA5" w14:textId="77777777" w:rsidR="00DE7488" w:rsidRPr="0021402F" w:rsidRDefault="00DE7488" w:rsidP="0021402F">
            <w:pPr>
              <w:pStyle w:val="TableText"/>
              <w:jc w:val="right"/>
            </w:pPr>
            <w:r w:rsidRPr="0021402F">
              <w:t>32</w:t>
            </w:r>
          </w:p>
        </w:tc>
        <w:tc>
          <w:tcPr>
            <w:tcW w:w="11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C6C6B79" w14:textId="77777777" w:rsidR="00DE7488" w:rsidRPr="0021402F" w:rsidRDefault="00DE7488" w:rsidP="0021402F">
            <w:pPr>
              <w:pStyle w:val="TableText"/>
              <w:jc w:val="right"/>
            </w:pPr>
            <w:r w:rsidRPr="0021402F">
              <w:t>32.6</w:t>
            </w:r>
          </w:p>
        </w:tc>
        <w:tc>
          <w:tcPr>
            <w:tcW w:w="113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663D313" w14:textId="77777777" w:rsidR="00DE7488" w:rsidRPr="0021402F" w:rsidRDefault="00DE7488" w:rsidP="0021402F">
            <w:pPr>
              <w:pStyle w:val="TableText"/>
              <w:jc w:val="right"/>
            </w:pPr>
            <w:r w:rsidRPr="0021402F">
              <w:t>37.1</w:t>
            </w:r>
          </w:p>
        </w:tc>
        <w:tc>
          <w:tcPr>
            <w:tcW w:w="113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EA58319" w14:textId="77777777" w:rsidR="00DE7488" w:rsidRPr="0021402F" w:rsidRDefault="00DE7488" w:rsidP="0021402F">
            <w:pPr>
              <w:pStyle w:val="TableText"/>
              <w:jc w:val="right"/>
            </w:pPr>
            <w:r w:rsidRPr="0021402F">
              <w:t>31</w:t>
            </w:r>
          </w:p>
        </w:tc>
        <w:tc>
          <w:tcPr>
            <w:tcW w:w="113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EA35861" w14:textId="77777777" w:rsidR="00DE7488" w:rsidRPr="0021402F" w:rsidRDefault="00DE7488" w:rsidP="0021402F">
            <w:pPr>
              <w:pStyle w:val="TableText"/>
              <w:jc w:val="right"/>
            </w:pPr>
            <w:r w:rsidRPr="0021402F">
              <w:t>31.6</w:t>
            </w:r>
          </w:p>
        </w:tc>
      </w:tr>
    </w:tbl>
    <w:p w14:paraId="61FC5846" w14:textId="77777777" w:rsidR="00942D05" w:rsidRPr="00F477F6" w:rsidRDefault="00942D05" w:rsidP="00D20D53">
      <w:pPr>
        <w:pStyle w:val="Tablenote"/>
        <w:rPr>
          <w:lang w:eastAsia="x-none"/>
        </w:rPr>
      </w:pPr>
      <w:r w:rsidRPr="00F477F6">
        <w:t>Source: AIHW Nursing and Midwifery Labour Force Survey 2009 and NHWDS: nurses and midwives 2012.</w:t>
      </w:r>
    </w:p>
    <w:p w14:paraId="5E7A0C9B" w14:textId="095BB436" w:rsidR="00047B9D" w:rsidRPr="00F477F6" w:rsidRDefault="00840526" w:rsidP="00641259">
      <w:pPr>
        <w:pStyle w:val="Heading2"/>
      </w:pPr>
      <w:bookmarkStart w:id="63" w:name="_Toc387325908"/>
      <w:bookmarkStart w:id="64" w:name="_Toc387326042"/>
      <w:bookmarkStart w:id="65" w:name="_Toc387400869"/>
      <w:bookmarkStart w:id="66" w:name="_Toc387400912"/>
      <w:bookmarkStart w:id="67" w:name="_Toc387401308"/>
      <w:r w:rsidRPr="00F477F6">
        <w:t>Nurses are moving from the public to private sector</w:t>
      </w:r>
      <w:bookmarkEnd w:id="63"/>
      <w:bookmarkEnd w:id="64"/>
      <w:bookmarkEnd w:id="65"/>
      <w:bookmarkEnd w:id="66"/>
      <w:bookmarkEnd w:id="67"/>
    </w:p>
    <w:p w14:paraId="0B427266" w14:textId="06CBC731" w:rsidR="00DE7488" w:rsidRPr="00F477F6" w:rsidRDefault="00DE7488" w:rsidP="00D20D53">
      <w:bookmarkStart w:id="68" w:name="_Ref382831468"/>
      <w:r w:rsidRPr="00F477F6">
        <w:t>The Australian health system is a mix of public and private sector service providers. The number of RNs working in both the public and private sectors increased from 2009 to 2012, with the number working in the private sector increasing at a greater rate than those in the public sector. This resulted in the percentage of all RNs employed in the public sector falling by three perc</w:t>
      </w:r>
      <w:r w:rsidR="001262DE" w:rsidRPr="00F477F6">
        <w:t>entage points from 2009 (69 percent) to 2012 (66 per</w:t>
      </w:r>
      <w:r w:rsidRPr="00F477F6">
        <w:t xml:space="preserve">cent), with the percentage of RNs employed in the private sector increasing three percentage points. </w:t>
      </w:r>
    </w:p>
    <w:p w14:paraId="0F2B6F9A" w14:textId="05EBA41A" w:rsidR="00DE7488" w:rsidRPr="00F477F6" w:rsidRDefault="00DE7488" w:rsidP="00D20D53">
      <w:r w:rsidRPr="00F477F6">
        <w:t xml:space="preserve">Overall, the total number of employed ENs fell slightly from 2009 to 2012 (by approximately 100 ENs). While over half of all ENs were employed in the public sector in 2012, the move from employment in the public to private sectors was </w:t>
      </w:r>
      <w:r w:rsidR="003554F9" w:rsidRPr="00F477F6">
        <w:t xml:space="preserve">more </w:t>
      </w:r>
      <w:r w:rsidRPr="00F477F6">
        <w:t>pronounced in the EN workforce – with the percentage of ENs in the pu</w:t>
      </w:r>
      <w:r w:rsidR="001262DE" w:rsidRPr="00F477F6">
        <w:t>blic sector falling from 62 percent to 55 per</w:t>
      </w:r>
      <w:r w:rsidRPr="00F477F6">
        <w:t>cent, and a corresponding increase in privat</w:t>
      </w:r>
      <w:r w:rsidR="001262DE" w:rsidRPr="00F477F6">
        <w:t>e sector employment (from 38 per</w:t>
      </w:r>
      <w:r w:rsidRPr="00F477F6">
        <w:t>cent to 45 percent).</w:t>
      </w:r>
    </w:p>
    <w:p w14:paraId="1065116F" w14:textId="730ABD66" w:rsidR="00DE7488" w:rsidRPr="00D20D53" w:rsidRDefault="00B2497A" w:rsidP="00D20D53">
      <w:pPr>
        <w:pStyle w:val="Caption"/>
      </w:pPr>
      <w:bookmarkStart w:id="69" w:name="_Toc407783200"/>
      <w:bookmarkEnd w:id="68"/>
      <w:r w:rsidRPr="00D20D53">
        <w:t xml:space="preserve">Table </w:t>
      </w:r>
      <w:fldSimple w:instr=" SEQ Table \* ARABIC ">
        <w:r w:rsidR="00641259">
          <w:rPr>
            <w:noProof/>
          </w:rPr>
          <w:t>3</w:t>
        </w:r>
      </w:fldSimple>
      <w:r w:rsidR="00DE7488" w:rsidRPr="00D20D53">
        <w:t>: Employed registered nurses by sector (public/private) 2009 and 2012</w:t>
      </w:r>
      <w:bookmarkEnd w:id="69"/>
    </w:p>
    <w:tbl>
      <w:tblPr>
        <w:tblW w:w="8095" w:type="dxa"/>
        <w:tblInd w:w="93" w:type="dxa"/>
        <w:tblLook w:val="04A0" w:firstRow="1" w:lastRow="0" w:firstColumn="1" w:lastColumn="0" w:noHBand="0" w:noVBand="1"/>
      </w:tblPr>
      <w:tblGrid>
        <w:gridCol w:w="1660"/>
        <w:gridCol w:w="1606"/>
        <w:gridCol w:w="1569"/>
        <w:gridCol w:w="1559"/>
        <w:gridCol w:w="1701"/>
      </w:tblGrid>
      <w:tr w:rsidR="00DE7488" w:rsidRPr="008B2CBA" w14:paraId="389B6097" w14:textId="77777777" w:rsidTr="003D1C45">
        <w:trPr>
          <w:trHeight w:val="324"/>
          <w:tblHeader/>
        </w:trPr>
        <w:tc>
          <w:tcPr>
            <w:tcW w:w="1660" w:type="dxa"/>
            <w:tcBorders>
              <w:top w:val="nil"/>
              <w:left w:val="nil"/>
              <w:bottom w:val="nil"/>
              <w:right w:val="nil"/>
            </w:tcBorders>
            <w:shd w:val="clear" w:color="auto" w:fill="auto"/>
            <w:noWrap/>
            <w:vAlign w:val="bottom"/>
            <w:hideMark/>
          </w:tcPr>
          <w:p w14:paraId="105A826E" w14:textId="77777777" w:rsidR="00DE7488" w:rsidRPr="008B2CBA" w:rsidRDefault="00DE7488" w:rsidP="008B2CBA">
            <w:pPr>
              <w:pStyle w:val="TableHeader"/>
            </w:pPr>
            <w:bookmarkStart w:id="70" w:name="Title_3"/>
            <w:bookmarkEnd w:id="70"/>
          </w:p>
        </w:tc>
        <w:tc>
          <w:tcPr>
            <w:tcW w:w="3175" w:type="dxa"/>
            <w:gridSpan w:val="2"/>
            <w:tcBorders>
              <w:top w:val="single" w:sz="8" w:space="0" w:color="auto"/>
              <w:left w:val="single" w:sz="8" w:space="0" w:color="000000"/>
              <w:bottom w:val="single" w:sz="8" w:space="0" w:color="auto"/>
              <w:right w:val="nil"/>
            </w:tcBorders>
            <w:shd w:val="clear" w:color="000000" w:fill="0079C1"/>
            <w:noWrap/>
            <w:vAlign w:val="center"/>
            <w:hideMark/>
          </w:tcPr>
          <w:p w14:paraId="7B4A64CA" w14:textId="77777777" w:rsidR="00DE7488" w:rsidRPr="008B2CBA" w:rsidRDefault="00DE7488" w:rsidP="008B2CBA">
            <w:pPr>
              <w:pStyle w:val="TableHeader"/>
              <w:jc w:val="center"/>
            </w:pPr>
            <w:r w:rsidRPr="008B2CBA">
              <w:t>2009</w:t>
            </w:r>
          </w:p>
        </w:tc>
        <w:tc>
          <w:tcPr>
            <w:tcW w:w="3260" w:type="dxa"/>
            <w:gridSpan w:val="2"/>
            <w:tcBorders>
              <w:top w:val="single" w:sz="8" w:space="0" w:color="auto"/>
              <w:left w:val="single" w:sz="8" w:space="0" w:color="000000"/>
              <w:bottom w:val="single" w:sz="8" w:space="0" w:color="auto"/>
              <w:right w:val="nil"/>
            </w:tcBorders>
            <w:shd w:val="clear" w:color="000000" w:fill="0079C1"/>
            <w:noWrap/>
            <w:vAlign w:val="center"/>
            <w:hideMark/>
          </w:tcPr>
          <w:p w14:paraId="70098760" w14:textId="77777777" w:rsidR="00DE7488" w:rsidRPr="008B2CBA" w:rsidRDefault="00DE7488" w:rsidP="008B2CBA">
            <w:pPr>
              <w:pStyle w:val="TableHeader"/>
              <w:jc w:val="center"/>
            </w:pPr>
            <w:r w:rsidRPr="008B2CBA">
              <w:t>2012</w:t>
            </w:r>
          </w:p>
        </w:tc>
      </w:tr>
      <w:tr w:rsidR="00DE7488" w:rsidRPr="008B2CBA" w14:paraId="5AA42F4D" w14:textId="77777777" w:rsidTr="003D1C45">
        <w:trPr>
          <w:trHeight w:val="415"/>
          <w:tblHeader/>
        </w:trPr>
        <w:tc>
          <w:tcPr>
            <w:tcW w:w="1660" w:type="dxa"/>
            <w:tcBorders>
              <w:top w:val="single" w:sz="8" w:space="0" w:color="auto"/>
              <w:left w:val="single" w:sz="8" w:space="0" w:color="auto"/>
              <w:bottom w:val="single" w:sz="8" w:space="0" w:color="auto"/>
              <w:right w:val="single" w:sz="8" w:space="0" w:color="auto"/>
            </w:tcBorders>
            <w:shd w:val="clear" w:color="000000" w:fill="0079C1"/>
            <w:vAlign w:val="center"/>
            <w:hideMark/>
          </w:tcPr>
          <w:p w14:paraId="3BD55E4B" w14:textId="77777777" w:rsidR="00DE7488" w:rsidRPr="008B2CBA" w:rsidRDefault="00DE7488" w:rsidP="008B2CBA">
            <w:pPr>
              <w:pStyle w:val="TableHeader"/>
            </w:pPr>
            <w:r w:rsidRPr="008B2CBA">
              <w:t>Sector</w:t>
            </w:r>
          </w:p>
        </w:tc>
        <w:tc>
          <w:tcPr>
            <w:tcW w:w="1606" w:type="dxa"/>
            <w:tcBorders>
              <w:top w:val="nil"/>
              <w:left w:val="nil"/>
              <w:bottom w:val="single" w:sz="8" w:space="0" w:color="auto"/>
              <w:right w:val="single" w:sz="8" w:space="0" w:color="auto"/>
            </w:tcBorders>
            <w:shd w:val="clear" w:color="000000" w:fill="0079C1"/>
            <w:vAlign w:val="center"/>
            <w:hideMark/>
          </w:tcPr>
          <w:p w14:paraId="038F2A22" w14:textId="77777777" w:rsidR="00DE7488" w:rsidRPr="008B2CBA" w:rsidRDefault="00DE7488" w:rsidP="008B2CBA">
            <w:pPr>
              <w:pStyle w:val="TableHeader"/>
            </w:pPr>
            <w:r w:rsidRPr="008B2CBA">
              <w:t>Number</w:t>
            </w:r>
          </w:p>
        </w:tc>
        <w:tc>
          <w:tcPr>
            <w:tcW w:w="1569" w:type="dxa"/>
            <w:tcBorders>
              <w:top w:val="nil"/>
              <w:left w:val="nil"/>
              <w:bottom w:val="single" w:sz="8" w:space="0" w:color="auto"/>
              <w:right w:val="single" w:sz="8" w:space="0" w:color="auto"/>
            </w:tcBorders>
            <w:shd w:val="clear" w:color="000000" w:fill="0079C1"/>
            <w:vAlign w:val="center"/>
            <w:hideMark/>
          </w:tcPr>
          <w:p w14:paraId="26500763" w14:textId="77777777" w:rsidR="00DE7488" w:rsidRPr="008B2CBA" w:rsidRDefault="00DE7488" w:rsidP="008B2CBA">
            <w:pPr>
              <w:pStyle w:val="TableHeader"/>
            </w:pPr>
            <w:r w:rsidRPr="008B2CBA">
              <w:t>Percentage</w:t>
            </w:r>
          </w:p>
        </w:tc>
        <w:tc>
          <w:tcPr>
            <w:tcW w:w="1559" w:type="dxa"/>
            <w:tcBorders>
              <w:top w:val="nil"/>
              <w:left w:val="nil"/>
              <w:bottom w:val="single" w:sz="8" w:space="0" w:color="auto"/>
              <w:right w:val="single" w:sz="8" w:space="0" w:color="auto"/>
            </w:tcBorders>
            <w:shd w:val="clear" w:color="000000" w:fill="0079C1"/>
            <w:vAlign w:val="center"/>
            <w:hideMark/>
          </w:tcPr>
          <w:p w14:paraId="67381ACF" w14:textId="5A98837D" w:rsidR="00DE7488" w:rsidRPr="008B2CBA" w:rsidRDefault="00DE7488" w:rsidP="008B2CBA">
            <w:pPr>
              <w:pStyle w:val="TableHeader"/>
            </w:pPr>
            <w:r w:rsidRPr="008B2CBA">
              <w:t>Number</w:t>
            </w:r>
            <w:r w:rsidR="003554F9" w:rsidRPr="008B2CBA">
              <w:t>(a)</w:t>
            </w:r>
          </w:p>
        </w:tc>
        <w:tc>
          <w:tcPr>
            <w:tcW w:w="1701" w:type="dxa"/>
            <w:tcBorders>
              <w:top w:val="nil"/>
              <w:left w:val="nil"/>
              <w:bottom w:val="single" w:sz="8" w:space="0" w:color="auto"/>
              <w:right w:val="single" w:sz="8" w:space="0" w:color="auto"/>
            </w:tcBorders>
            <w:shd w:val="clear" w:color="000000" w:fill="0079C1"/>
            <w:vAlign w:val="center"/>
            <w:hideMark/>
          </w:tcPr>
          <w:p w14:paraId="6E6959BA" w14:textId="77777777" w:rsidR="00DE7488" w:rsidRPr="008B2CBA" w:rsidRDefault="00DE7488" w:rsidP="008B2CBA">
            <w:pPr>
              <w:pStyle w:val="TableHeader"/>
            </w:pPr>
            <w:r w:rsidRPr="008B2CBA">
              <w:t>Percentage</w:t>
            </w:r>
          </w:p>
        </w:tc>
      </w:tr>
      <w:tr w:rsidR="00DE7488" w:rsidRPr="00F477F6" w14:paraId="7254974B" w14:textId="77777777" w:rsidTr="008517C8">
        <w:trPr>
          <w:trHeight w:val="562"/>
        </w:trPr>
        <w:tc>
          <w:tcPr>
            <w:tcW w:w="1660" w:type="dxa"/>
            <w:tcBorders>
              <w:top w:val="nil"/>
              <w:left w:val="single" w:sz="8" w:space="0" w:color="auto"/>
              <w:bottom w:val="single" w:sz="8" w:space="0" w:color="auto"/>
              <w:right w:val="single" w:sz="8" w:space="0" w:color="auto"/>
            </w:tcBorders>
            <w:shd w:val="clear" w:color="auto" w:fill="auto"/>
            <w:vAlign w:val="center"/>
            <w:hideMark/>
          </w:tcPr>
          <w:p w14:paraId="1798E873" w14:textId="77777777" w:rsidR="00DE7488" w:rsidRPr="00F477F6" w:rsidRDefault="00DE7488" w:rsidP="008B2CBA">
            <w:pPr>
              <w:pStyle w:val="TableText"/>
              <w:rPr>
                <w:lang w:eastAsia="en-AU"/>
              </w:rPr>
            </w:pPr>
            <w:r w:rsidRPr="00F477F6">
              <w:rPr>
                <w:lang w:eastAsia="en-AU"/>
              </w:rPr>
              <w:t>Public sector</w:t>
            </w:r>
          </w:p>
        </w:tc>
        <w:tc>
          <w:tcPr>
            <w:tcW w:w="1606" w:type="dxa"/>
            <w:tcBorders>
              <w:top w:val="nil"/>
              <w:left w:val="nil"/>
              <w:bottom w:val="single" w:sz="8" w:space="0" w:color="auto"/>
              <w:right w:val="single" w:sz="8" w:space="0" w:color="auto"/>
            </w:tcBorders>
            <w:shd w:val="clear" w:color="auto" w:fill="auto"/>
            <w:vAlign w:val="center"/>
            <w:hideMark/>
          </w:tcPr>
          <w:p w14:paraId="601A44D0" w14:textId="77777777" w:rsidR="00DE7488" w:rsidRPr="00F57F39" w:rsidRDefault="00DE7488" w:rsidP="00F57F39">
            <w:pPr>
              <w:pStyle w:val="TableTextcentred"/>
            </w:pPr>
            <w:r w:rsidRPr="00F57F39">
              <w:t>154,376</w:t>
            </w:r>
          </w:p>
        </w:tc>
        <w:tc>
          <w:tcPr>
            <w:tcW w:w="1569" w:type="dxa"/>
            <w:tcBorders>
              <w:top w:val="nil"/>
              <w:left w:val="nil"/>
              <w:bottom w:val="single" w:sz="8" w:space="0" w:color="auto"/>
              <w:right w:val="single" w:sz="8" w:space="0" w:color="auto"/>
            </w:tcBorders>
            <w:shd w:val="clear" w:color="auto" w:fill="auto"/>
            <w:noWrap/>
            <w:vAlign w:val="center"/>
            <w:hideMark/>
          </w:tcPr>
          <w:p w14:paraId="6ACED2E0" w14:textId="77777777" w:rsidR="00DE7488" w:rsidRPr="00F57F39" w:rsidRDefault="00DE7488" w:rsidP="00F57F39">
            <w:pPr>
              <w:pStyle w:val="TableTextcentred"/>
            </w:pPr>
            <w:r w:rsidRPr="00F57F39">
              <w:t>69%</w:t>
            </w:r>
          </w:p>
        </w:tc>
        <w:tc>
          <w:tcPr>
            <w:tcW w:w="1559" w:type="dxa"/>
            <w:tcBorders>
              <w:top w:val="nil"/>
              <w:left w:val="nil"/>
              <w:bottom w:val="single" w:sz="8" w:space="0" w:color="auto"/>
              <w:right w:val="single" w:sz="8" w:space="0" w:color="auto"/>
            </w:tcBorders>
            <w:shd w:val="clear" w:color="auto" w:fill="auto"/>
            <w:vAlign w:val="center"/>
            <w:hideMark/>
          </w:tcPr>
          <w:p w14:paraId="1B7CCA1F" w14:textId="77777777" w:rsidR="00DE7488" w:rsidRPr="00F57F39" w:rsidRDefault="00DE7488" w:rsidP="00F57F39">
            <w:pPr>
              <w:pStyle w:val="TableTextcentred"/>
            </w:pPr>
            <w:r w:rsidRPr="00F57F39">
              <w:t>155,770</w:t>
            </w:r>
          </w:p>
        </w:tc>
        <w:tc>
          <w:tcPr>
            <w:tcW w:w="1701" w:type="dxa"/>
            <w:tcBorders>
              <w:top w:val="nil"/>
              <w:left w:val="nil"/>
              <w:bottom w:val="single" w:sz="8" w:space="0" w:color="auto"/>
              <w:right w:val="single" w:sz="8" w:space="0" w:color="auto"/>
            </w:tcBorders>
            <w:shd w:val="clear" w:color="auto" w:fill="auto"/>
            <w:noWrap/>
            <w:vAlign w:val="center"/>
            <w:hideMark/>
          </w:tcPr>
          <w:p w14:paraId="1D62CCB9" w14:textId="77777777" w:rsidR="00DE7488" w:rsidRPr="00F57F39" w:rsidRDefault="00DE7488" w:rsidP="00F57F39">
            <w:pPr>
              <w:pStyle w:val="TableTextcentred"/>
            </w:pPr>
            <w:r w:rsidRPr="00F57F39">
              <w:t>66%</w:t>
            </w:r>
          </w:p>
        </w:tc>
      </w:tr>
      <w:tr w:rsidR="00DE7488" w:rsidRPr="00F477F6" w14:paraId="437FA6B2" w14:textId="77777777" w:rsidTr="008517C8">
        <w:trPr>
          <w:trHeight w:val="511"/>
        </w:trPr>
        <w:tc>
          <w:tcPr>
            <w:tcW w:w="1660" w:type="dxa"/>
            <w:tcBorders>
              <w:top w:val="nil"/>
              <w:left w:val="single" w:sz="8" w:space="0" w:color="auto"/>
              <w:bottom w:val="single" w:sz="8" w:space="0" w:color="auto"/>
              <w:right w:val="single" w:sz="8" w:space="0" w:color="auto"/>
            </w:tcBorders>
            <w:shd w:val="clear" w:color="auto" w:fill="auto"/>
            <w:vAlign w:val="center"/>
            <w:hideMark/>
          </w:tcPr>
          <w:p w14:paraId="323CFA07" w14:textId="77777777" w:rsidR="00DE7488" w:rsidRPr="00F477F6" w:rsidRDefault="00DE7488" w:rsidP="008B2CBA">
            <w:pPr>
              <w:pStyle w:val="TableText"/>
              <w:rPr>
                <w:lang w:eastAsia="en-AU"/>
              </w:rPr>
            </w:pPr>
            <w:r w:rsidRPr="00F477F6">
              <w:rPr>
                <w:lang w:eastAsia="en-AU"/>
              </w:rPr>
              <w:t>Private sector</w:t>
            </w:r>
          </w:p>
        </w:tc>
        <w:tc>
          <w:tcPr>
            <w:tcW w:w="1606" w:type="dxa"/>
            <w:tcBorders>
              <w:top w:val="nil"/>
              <w:left w:val="nil"/>
              <w:bottom w:val="single" w:sz="8" w:space="0" w:color="auto"/>
              <w:right w:val="single" w:sz="8" w:space="0" w:color="auto"/>
            </w:tcBorders>
            <w:shd w:val="clear" w:color="auto" w:fill="auto"/>
            <w:vAlign w:val="center"/>
            <w:hideMark/>
          </w:tcPr>
          <w:p w14:paraId="6850BA07" w14:textId="77777777" w:rsidR="00DE7488" w:rsidRPr="00F57F39" w:rsidRDefault="00DE7488" w:rsidP="00F57F39">
            <w:pPr>
              <w:pStyle w:val="TableTextcentred"/>
            </w:pPr>
            <w:r w:rsidRPr="00F57F39">
              <w:t>70,664</w:t>
            </w:r>
          </w:p>
        </w:tc>
        <w:tc>
          <w:tcPr>
            <w:tcW w:w="1569" w:type="dxa"/>
            <w:tcBorders>
              <w:top w:val="nil"/>
              <w:left w:val="nil"/>
              <w:bottom w:val="single" w:sz="8" w:space="0" w:color="auto"/>
              <w:right w:val="single" w:sz="8" w:space="0" w:color="auto"/>
            </w:tcBorders>
            <w:shd w:val="clear" w:color="auto" w:fill="auto"/>
            <w:noWrap/>
            <w:vAlign w:val="center"/>
            <w:hideMark/>
          </w:tcPr>
          <w:p w14:paraId="7BFD966D" w14:textId="77777777" w:rsidR="00DE7488" w:rsidRPr="00F57F39" w:rsidRDefault="00DE7488" w:rsidP="00F57F39">
            <w:pPr>
              <w:pStyle w:val="TableTextcentred"/>
            </w:pPr>
            <w:r w:rsidRPr="00F57F39">
              <w:t>31%</w:t>
            </w:r>
          </w:p>
        </w:tc>
        <w:tc>
          <w:tcPr>
            <w:tcW w:w="1559" w:type="dxa"/>
            <w:tcBorders>
              <w:top w:val="nil"/>
              <w:left w:val="nil"/>
              <w:bottom w:val="single" w:sz="8" w:space="0" w:color="auto"/>
              <w:right w:val="single" w:sz="8" w:space="0" w:color="auto"/>
            </w:tcBorders>
            <w:shd w:val="clear" w:color="auto" w:fill="auto"/>
            <w:vAlign w:val="center"/>
            <w:hideMark/>
          </w:tcPr>
          <w:p w14:paraId="4A80C56A" w14:textId="77777777" w:rsidR="00DE7488" w:rsidRPr="00F57F39" w:rsidRDefault="00DE7488" w:rsidP="00F57F39">
            <w:pPr>
              <w:pStyle w:val="TableTextcentred"/>
            </w:pPr>
            <w:r w:rsidRPr="00F57F39">
              <w:t>80,438</w:t>
            </w:r>
          </w:p>
        </w:tc>
        <w:tc>
          <w:tcPr>
            <w:tcW w:w="1701" w:type="dxa"/>
            <w:tcBorders>
              <w:top w:val="nil"/>
              <w:left w:val="nil"/>
              <w:bottom w:val="single" w:sz="8" w:space="0" w:color="auto"/>
              <w:right w:val="single" w:sz="8" w:space="0" w:color="auto"/>
            </w:tcBorders>
            <w:shd w:val="clear" w:color="auto" w:fill="auto"/>
            <w:noWrap/>
            <w:vAlign w:val="center"/>
            <w:hideMark/>
          </w:tcPr>
          <w:p w14:paraId="49224A0D" w14:textId="77777777" w:rsidR="00DE7488" w:rsidRPr="00F57F39" w:rsidRDefault="00DE7488" w:rsidP="00F57F39">
            <w:pPr>
              <w:pStyle w:val="TableTextcentred"/>
            </w:pPr>
            <w:r w:rsidRPr="00F57F39">
              <w:t>34%</w:t>
            </w:r>
          </w:p>
        </w:tc>
      </w:tr>
    </w:tbl>
    <w:p w14:paraId="3B377BE3" w14:textId="6C184E53" w:rsidR="003554F9" w:rsidRPr="00CD2720" w:rsidRDefault="00CD2720" w:rsidP="00D20D53">
      <w:pPr>
        <w:pStyle w:val="Tablenote"/>
        <w:rPr>
          <w:lang w:eastAsia="x-none"/>
        </w:rPr>
      </w:pPr>
      <w:r>
        <w:rPr>
          <w:lang w:eastAsia="x-none"/>
        </w:rPr>
        <w:lastRenderedPageBreak/>
        <w:t xml:space="preserve">(a) </w:t>
      </w:r>
      <w:r w:rsidR="003554F9" w:rsidRPr="00CD2720">
        <w:rPr>
          <w:lang w:eastAsia="x-none"/>
        </w:rPr>
        <w:t>Excludes 404 registered nurses who did not state their sector of employment.</w:t>
      </w:r>
      <w:r>
        <w:rPr>
          <w:lang w:eastAsia="x-none"/>
        </w:rPr>
        <w:br/>
      </w:r>
      <w:r w:rsidR="003554F9" w:rsidRPr="00CD2720">
        <w:t>Source: AIHW Nursing and Midwifery Labour Force Survey 2009 and NHWDS: nurses and midwives 2012.</w:t>
      </w:r>
    </w:p>
    <w:p w14:paraId="7FFE68A8" w14:textId="7E10F8D9" w:rsidR="00960313" w:rsidRPr="00D20D53" w:rsidRDefault="00960313" w:rsidP="00D20D53">
      <w:pPr>
        <w:pStyle w:val="Caption"/>
      </w:pPr>
      <w:bookmarkStart w:id="71" w:name="_Toc407783201"/>
      <w:bookmarkStart w:id="72" w:name="_Toc387325909"/>
      <w:bookmarkStart w:id="73" w:name="_Toc387326043"/>
      <w:bookmarkStart w:id="74" w:name="_Toc387400870"/>
      <w:bookmarkStart w:id="75" w:name="_Toc387400913"/>
      <w:bookmarkStart w:id="76" w:name="_Toc387401309"/>
      <w:r w:rsidRPr="00D20D53">
        <w:t xml:space="preserve">Table </w:t>
      </w:r>
      <w:fldSimple w:instr=" SEQ Table \* ARABIC ">
        <w:r w:rsidR="00641259">
          <w:rPr>
            <w:noProof/>
          </w:rPr>
          <w:t>4</w:t>
        </w:r>
      </w:fldSimple>
      <w:r w:rsidRPr="00D20D53">
        <w:t>a: Employed enrolled nurses by sector (public/private) 2009 and 2012</w:t>
      </w:r>
      <w:bookmarkEnd w:id="71"/>
    </w:p>
    <w:tbl>
      <w:tblPr>
        <w:tblW w:w="8095" w:type="dxa"/>
        <w:tblInd w:w="93" w:type="dxa"/>
        <w:tblLook w:val="04A0" w:firstRow="1" w:lastRow="0" w:firstColumn="1" w:lastColumn="0" w:noHBand="0" w:noVBand="1"/>
      </w:tblPr>
      <w:tblGrid>
        <w:gridCol w:w="1660"/>
        <w:gridCol w:w="1606"/>
        <w:gridCol w:w="1569"/>
        <w:gridCol w:w="1559"/>
        <w:gridCol w:w="1701"/>
      </w:tblGrid>
      <w:tr w:rsidR="00960313" w:rsidRPr="008B2CBA" w14:paraId="057DDCCC" w14:textId="77777777" w:rsidTr="00D922A5">
        <w:trPr>
          <w:trHeight w:val="324"/>
          <w:tblHeader/>
        </w:trPr>
        <w:tc>
          <w:tcPr>
            <w:tcW w:w="1660" w:type="dxa"/>
            <w:tcBorders>
              <w:top w:val="nil"/>
              <w:left w:val="nil"/>
              <w:bottom w:val="nil"/>
              <w:right w:val="nil"/>
            </w:tcBorders>
            <w:shd w:val="clear" w:color="auto" w:fill="auto"/>
            <w:noWrap/>
            <w:vAlign w:val="bottom"/>
            <w:hideMark/>
          </w:tcPr>
          <w:p w14:paraId="5E01E02D" w14:textId="77777777" w:rsidR="00960313" w:rsidRPr="008B2CBA" w:rsidRDefault="00960313" w:rsidP="0021402F">
            <w:pPr>
              <w:pStyle w:val="TableHeader"/>
              <w:keepNext/>
            </w:pPr>
            <w:bookmarkStart w:id="77" w:name="Title_3a"/>
            <w:bookmarkEnd w:id="77"/>
          </w:p>
        </w:tc>
        <w:tc>
          <w:tcPr>
            <w:tcW w:w="3175" w:type="dxa"/>
            <w:gridSpan w:val="2"/>
            <w:tcBorders>
              <w:top w:val="single" w:sz="8" w:space="0" w:color="auto"/>
              <w:left w:val="single" w:sz="8" w:space="0" w:color="000000"/>
              <w:bottom w:val="single" w:sz="8" w:space="0" w:color="auto"/>
              <w:right w:val="nil"/>
            </w:tcBorders>
            <w:shd w:val="clear" w:color="000000" w:fill="0079C1"/>
            <w:noWrap/>
            <w:vAlign w:val="center"/>
            <w:hideMark/>
          </w:tcPr>
          <w:p w14:paraId="090214D0" w14:textId="77777777" w:rsidR="00960313" w:rsidRPr="008B2CBA" w:rsidRDefault="00960313" w:rsidP="0021402F">
            <w:pPr>
              <w:pStyle w:val="TableHeader"/>
              <w:keepNext/>
              <w:jc w:val="center"/>
            </w:pPr>
            <w:r w:rsidRPr="008B2CBA">
              <w:t>2009</w:t>
            </w:r>
          </w:p>
        </w:tc>
        <w:tc>
          <w:tcPr>
            <w:tcW w:w="3260" w:type="dxa"/>
            <w:gridSpan w:val="2"/>
            <w:tcBorders>
              <w:top w:val="single" w:sz="8" w:space="0" w:color="auto"/>
              <w:left w:val="single" w:sz="8" w:space="0" w:color="000000"/>
              <w:bottom w:val="single" w:sz="8" w:space="0" w:color="auto"/>
              <w:right w:val="nil"/>
            </w:tcBorders>
            <w:shd w:val="clear" w:color="000000" w:fill="0079C1"/>
            <w:noWrap/>
            <w:vAlign w:val="center"/>
            <w:hideMark/>
          </w:tcPr>
          <w:p w14:paraId="2FE529B5" w14:textId="77777777" w:rsidR="00960313" w:rsidRPr="008B2CBA" w:rsidRDefault="00960313" w:rsidP="0021402F">
            <w:pPr>
              <w:pStyle w:val="TableHeader"/>
              <w:keepNext/>
              <w:jc w:val="center"/>
            </w:pPr>
            <w:r w:rsidRPr="008B2CBA">
              <w:t>2012</w:t>
            </w:r>
          </w:p>
        </w:tc>
      </w:tr>
      <w:tr w:rsidR="00960313" w:rsidRPr="008B2CBA" w14:paraId="34FF4162" w14:textId="77777777" w:rsidTr="00D922A5">
        <w:trPr>
          <w:trHeight w:val="415"/>
          <w:tblHeader/>
        </w:trPr>
        <w:tc>
          <w:tcPr>
            <w:tcW w:w="1660" w:type="dxa"/>
            <w:tcBorders>
              <w:top w:val="single" w:sz="8" w:space="0" w:color="auto"/>
              <w:left w:val="single" w:sz="8" w:space="0" w:color="auto"/>
              <w:bottom w:val="single" w:sz="8" w:space="0" w:color="auto"/>
              <w:right w:val="single" w:sz="8" w:space="0" w:color="auto"/>
            </w:tcBorders>
            <w:shd w:val="clear" w:color="000000" w:fill="0079C1"/>
            <w:vAlign w:val="center"/>
            <w:hideMark/>
          </w:tcPr>
          <w:p w14:paraId="488C41FF" w14:textId="77777777" w:rsidR="00960313" w:rsidRPr="008B2CBA" w:rsidRDefault="00960313" w:rsidP="0021402F">
            <w:pPr>
              <w:pStyle w:val="TableHeader"/>
              <w:keepNext/>
            </w:pPr>
            <w:r w:rsidRPr="008B2CBA">
              <w:t>Sector</w:t>
            </w:r>
          </w:p>
        </w:tc>
        <w:tc>
          <w:tcPr>
            <w:tcW w:w="1606" w:type="dxa"/>
            <w:tcBorders>
              <w:top w:val="nil"/>
              <w:left w:val="nil"/>
              <w:bottom w:val="single" w:sz="8" w:space="0" w:color="auto"/>
              <w:right w:val="single" w:sz="8" w:space="0" w:color="auto"/>
            </w:tcBorders>
            <w:shd w:val="clear" w:color="000000" w:fill="0079C1"/>
            <w:vAlign w:val="center"/>
            <w:hideMark/>
          </w:tcPr>
          <w:p w14:paraId="47CC9CD7" w14:textId="77777777" w:rsidR="00960313" w:rsidRPr="008B2CBA" w:rsidRDefault="00960313" w:rsidP="0021402F">
            <w:pPr>
              <w:pStyle w:val="TableHeader"/>
              <w:keepNext/>
            </w:pPr>
            <w:r w:rsidRPr="008B2CBA">
              <w:t>Number</w:t>
            </w:r>
          </w:p>
        </w:tc>
        <w:tc>
          <w:tcPr>
            <w:tcW w:w="1569" w:type="dxa"/>
            <w:tcBorders>
              <w:top w:val="nil"/>
              <w:left w:val="nil"/>
              <w:bottom w:val="single" w:sz="8" w:space="0" w:color="auto"/>
              <w:right w:val="single" w:sz="8" w:space="0" w:color="auto"/>
            </w:tcBorders>
            <w:shd w:val="clear" w:color="000000" w:fill="0079C1"/>
            <w:vAlign w:val="center"/>
            <w:hideMark/>
          </w:tcPr>
          <w:p w14:paraId="0FA9CFB5" w14:textId="77777777" w:rsidR="00960313" w:rsidRPr="008B2CBA" w:rsidRDefault="00960313" w:rsidP="0021402F">
            <w:pPr>
              <w:pStyle w:val="TableHeader"/>
              <w:keepNext/>
            </w:pPr>
            <w:r w:rsidRPr="008B2CBA">
              <w:t>Percentage</w:t>
            </w:r>
          </w:p>
        </w:tc>
        <w:tc>
          <w:tcPr>
            <w:tcW w:w="1559" w:type="dxa"/>
            <w:tcBorders>
              <w:top w:val="nil"/>
              <w:left w:val="nil"/>
              <w:bottom w:val="single" w:sz="8" w:space="0" w:color="auto"/>
              <w:right w:val="single" w:sz="8" w:space="0" w:color="auto"/>
            </w:tcBorders>
            <w:shd w:val="clear" w:color="000000" w:fill="0079C1"/>
            <w:vAlign w:val="center"/>
            <w:hideMark/>
          </w:tcPr>
          <w:p w14:paraId="0091FFF1" w14:textId="77777777" w:rsidR="00960313" w:rsidRPr="008B2CBA" w:rsidRDefault="00960313" w:rsidP="0021402F">
            <w:pPr>
              <w:pStyle w:val="TableHeader"/>
              <w:keepNext/>
            </w:pPr>
            <w:r w:rsidRPr="008B2CBA">
              <w:t>Number(a)</w:t>
            </w:r>
          </w:p>
        </w:tc>
        <w:tc>
          <w:tcPr>
            <w:tcW w:w="1701" w:type="dxa"/>
            <w:tcBorders>
              <w:top w:val="nil"/>
              <w:left w:val="nil"/>
              <w:bottom w:val="single" w:sz="8" w:space="0" w:color="auto"/>
              <w:right w:val="single" w:sz="8" w:space="0" w:color="auto"/>
            </w:tcBorders>
            <w:shd w:val="clear" w:color="000000" w:fill="0079C1"/>
            <w:vAlign w:val="center"/>
            <w:hideMark/>
          </w:tcPr>
          <w:p w14:paraId="7C1461F7" w14:textId="77777777" w:rsidR="00960313" w:rsidRPr="008B2CBA" w:rsidRDefault="00960313" w:rsidP="0021402F">
            <w:pPr>
              <w:pStyle w:val="TableHeader"/>
              <w:keepNext/>
            </w:pPr>
            <w:r w:rsidRPr="008B2CBA">
              <w:t>Percentage</w:t>
            </w:r>
          </w:p>
        </w:tc>
      </w:tr>
      <w:tr w:rsidR="008E2444" w:rsidRPr="00F477F6" w14:paraId="13FEFEC2" w14:textId="77777777" w:rsidTr="00D922A5">
        <w:trPr>
          <w:trHeight w:val="562"/>
        </w:trPr>
        <w:tc>
          <w:tcPr>
            <w:tcW w:w="1660" w:type="dxa"/>
            <w:tcBorders>
              <w:top w:val="nil"/>
              <w:left w:val="single" w:sz="8" w:space="0" w:color="auto"/>
              <w:bottom w:val="single" w:sz="8" w:space="0" w:color="auto"/>
              <w:right w:val="single" w:sz="8" w:space="0" w:color="auto"/>
            </w:tcBorders>
            <w:shd w:val="clear" w:color="auto" w:fill="auto"/>
            <w:vAlign w:val="center"/>
            <w:hideMark/>
          </w:tcPr>
          <w:p w14:paraId="7EC062C1" w14:textId="77777777" w:rsidR="008E2444" w:rsidRPr="00F477F6" w:rsidRDefault="008E2444" w:rsidP="0021402F">
            <w:pPr>
              <w:pStyle w:val="TableText"/>
              <w:keepNext/>
              <w:rPr>
                <w:lang w:eastAsia="en-AU"/>
              </w:rPr>
            </w:pPr>
            <w:r w:rsidRPr="00F477F6">
              <w:rPr>
                <w:lang w:eastAsia="en-AU"/>
              </w:rPr>
              <w:t>Public sector</w:t>
            </w:r>
          </w:p>
        </w:tc>
        <w:tc>
          <w:tcPr>
            <w:tcW w:w="1606" w:type="dxa"/>
            <w:tcBorders>
              <w:top w:val="nil"/>
              <w:left w:val="nil"/>
              <w:bottom w:val="single" w:sz="8" w:space="0" w:color="auto"/>
              <w:right w:val="single" w:sz="8" w:space="0" w:color="auto"/>
            </w:tcBorders>
            <w:shd w:val="clear" w:color="auto" w:fill="auto"/>
            <w:vAlign w:val="center"/>
            <w:hideMark/>
          </w:tcPr>
          <w:p w14:paraId="3599760F" w14:textId="39678D58" w:rsidR="008E2444" w:rsidRPr="00F57F39" w:rsidRDefault="008E2444" w:rsidP="0021402F">
            <w:pPr>
              <w:pStyle w:val="TableTextcentred"/>
              <w:keepNext/>
            </w:pPr>
            <w:r w:rsidRPr="00F57F39">
              <w:t>31,818</w:t>
            </w:r>
          </w:p>
        </w:tc>
        <w:tc>
          <w:tcPr>
            <w:tcW w:w="1569" w:type="dxa"/>
            <w:tcBorders>
              <w:top w:val="nil"/>
              <w:left w:val="nil"/>
              <w:bottom w:val="single" w:sz="8" w:space="0" w:color="auto"/>
              <w:right w:val="single" w:sz="8" w:space="0" w:color="auto"/>
            </w:tcBorders>
            <w:shd w:val="clear" w:color="auto" w:fill="auto"/>
            <w:noWrap/>
            <w:vAlign w:val="center"/>
            <w:hideMark/>
          </w:tcPr>
          <w:p w14:paraId="5B52DF29" w14:textId="0A6924D9" w:rsidR="008E2444" w:rsidRPr="00F57F39" w:rsidRDefault="008E2444" w:rsidP="0021402F">
            <w:pPr>
              <w:pStyle w:val="TableTextcentred"/>
              <w:keepNext/>
            </w:pPr>
            <w:r w:rsidRPr="00F57F39">
              <w:t>62%</w:t>
            </w:r>
          </w:p>
        </w:tc>
        <w:tc>
          <w:tcPr>
            <w:tcW w:w="1559" w:type="dxa"/>
            <w:tcBorders>
              <w:top w:val="nil"/>
              <w:left w:val="nil"/>
              <w:bottom w:val="single" w:sz="8" w:space="0" w:color="auto"/>
              <w:right w:val="single" w:sz="8" w:space="0" w:color="auto"/>
            </w:tcBorders>
            <w:shd w:val="clear" w:color="auto" w:fill="auto"/>
            <w:vAlign w:val="center"/>
            <w:hideMark/>
          </w:tcPr>
          <w:p w14:paraId="15480D33" w14:textId="58F46480" w:rsidR="008E2444" w:rsidRPr="00F57F39" w:rsidRDefault="008E2444" w:rsidP="0021402F">
            <w:pPr>
              <w:pStyle w:val="TableTextcentred"/>
              <w:keepNext/>
            </w:pPr>
            <w:r w:rsidRPr="00F57F39">
              <w:t>28,247</w:t>
            </w:r>
          </w:p>
        </w:tc>
        <w:tc>
          <w:tcPr>
            <w:tcW w:w="1701" w:type="dxa"/>
            <w:tcBorders>
              <w:top w:val="nil"/>
              <w:left w:val="nil"/>
              <w:bottom w:val="single" w:sz="8" w:space="0" w:color="auto"/>
              <w:right w:val="single" w:sz="8" w:space="0" w:color="auto"/>
            </w:tcBorders>
            <w:shd w:val="clear" w:color="auto" w:fill="auto"/>
            <w:noWrap/>
            <w:vAlign w:val="center"/>
            <w:hideMark/>
          </w:tcPr>
          <w:p w14:paraId="082F2730" w14:textId="193300D0" w:rsidR="008E2444" w:rsidRPr="00F57F39" w:rsidRDefault="008E2444" w:rsidP="0021402F">
            <w:pPr>
              <w:pStyle w:val="TableTextcentred"/>
              <w:keepNext/>
            </w:pPr>
            <w:r w:rsidRPr="00F57F39">
              <w:t>55%</w:t>
            </w:r>
          </w:p>
        </w:tc>
      </w:tr>
      <w:tr w:rsidR="008E2444" w:rsidRPr="00F477F6" w14:paraId="7FABD2B9" w14:textId="77777777" w:rsidTr="008E2444">
        <w:trPr>
          <w:trHeight w:val="511"/>
        </w:trPr>
        <w:tc>
          <w:tcPr>
            <w:tcW w:w="1660" w:type="dxa"/>
            <w:tcBorders>
              <w:top w:val="nil"/>
              <w:left w:val="single" w:sz="8" w:space="0" w:color="auto"/>
              <w:bottom w:val="nil"/>
              <w:right w:val="single" w:sz="8" w:space="0" w:color="auto"/>
            </w:tcBorders>
            <w:shd w:val="clear" w:color="auto" w:fill="auto"/>
            <w:vAlign w:val="center"/>
            <w:hideMark/>
          </w:tcPr>
          <w:p w14:paraId="3880134C" w14:textId="77777777" w:rsidR="008E2444" w:rsidRPr="00F477F6" w:rsidRDefault="008E2444" w:rsidP="0021402F">
            <w:pPr>
              <w:pStyle w:val="TableText"/>
              <w:keepNext/>
              <w:rPr>
                <w:lang w:eastAsia="en-AU"/>
              </w:rPr>
            </w:pPr>
            <w:r w:rsidRPr="00F477F6">
              <w:rPr>
                <w:lang w:eastAsia="en-AU"/>
              </w:rPr>
              <w:t>Private sector</w:t>
            </w:r>
          </w:p>
        </w:tc>
        <w:tc>
          <w:tcPr>
            <w:tcW w:w="1606" w:type="dxa"/>
            <w:tcBorders>
              <w:top w:val="nil"/>
              <w:left w:val="nil"/>
              <w:bottom w:val="nil"/>
              <w:right w:val="single" w:sz="8" w:space="0" w:color="auto"/>
            </w:tcBorders>
            <w:shd w:val="clear" w:color="auto" w:fill="auto"/>
            <w:vAlign w:val="center"/>
            <w:hideMark/>
          </w:tcPr>
          <w:p w14:paraId="247114A4" w14:textId="70AFAB6F" w:rsidR="008E2444" w:rsidRPr="00F57F39" w:rsidRDefault="008E2444" w:rsidP="0021402F">
            <w:pPr>
              <w:pStyle w:val="TableTextcentred"/>
              <w:keepNext/>
            </w:pPr>
            <w:r w:rsidRPr="00F57F39">
              <w:t>19,893</w:t>
            </w:r>
          </w:p>
        </w:tc>
        <w:tc>
          <w:tcPr>
            <w:tcW w:w="1569" w:type="dxa"/>
            <w:tcBorders>
              <w:top w:val="nil"/>
              <w:left w:val="nil"/>
              <w:bottom w:val="nil"/>
              <w:right w:val="single" w:sz="8" w:space="0" w:color="auto"/>
            </w:tcBorders>
            <w:shd w:val="clear" w:color="auto" w:fill="auto"/>
            <w:noWrap/>
            <w:vAlign w:val="center"/>
            <w:hideMark/>
          </w:tcPr>
          <w:p w14:paraId="21319CBD" w14:textId="1B5C66F2" w:rsidR="008E2444" w:rsidRPr="00F57F39" w:rsidRDefault="008E2444" w:rsidP="0021402F">
            <w:pPr>
              <w:pStyle w:val="TableTextcentred"/>
              <w:keepNext/>
            </w:pPr>
            <w:r w:rsidRPr="00F57F39">
              <w:t>38%</w:t>
            </w:r>
          </w:p>
        </w:tc>
        <w:tc>
          <w:tcPr>
            <w:tcW w:w="1559" w:type="dxa"/>
            <w:tcBorders>
              <w:top w:val="nil"/>
              <w:left w:val="nil"/>
              <w:bottom w:val="nil"/>
              <w:right w:val="single" w:sz="8" w:space="0" w:color="auto"/>
            </w:tcBorders>
            <w:shd w:val="clear" w:color="auto" w:fill="auto"/>
            <w:vAlign w:val="center"/>
            <w:hideMark/>
          </w:tcPr>
          <w:p w14:paraId="0756CB3E" w14:textId="120CC997" w:rsidR="008E2444" w:rsidRPr="00F57F39" w:rsidRDefault="008E2444" w:rsidP="0021402F">
            <w:pPr>
              <w:pStyle w:val="TableTextcentred"/>
              <w:keepNext/>
            </w:pPr>
            <w:r w:rsidRPr="00F57F39">
              <w:t>23,353</w:t>
            </w:r>
          </w:p>
        </w:tc>
        <w:tc>
          <w:tcPr>
            <w:tcW w:w="1701" w:type="dxa"/>
            <w:tcBorders>
              <w:top w:val="nil"/>
              <w:left w:val="nil"/>
              <w:bottom w:val="nil"/>
              <w:right w:val="single" w:sz="8" w:space="0" w:color="auto"/>
            </w:tcBorders>
            <w:shd w:val="clear" w:color="auto" w:fill="auto"/>
            <w:noWrap/>
            <w:vAlign w:val="center"/>
            <w:hideMark/>
          </w:tcPr>
          <w:p w14:paraId="27BFAF10" w14:textId="4C6ADA4C" w:rsidR="008E2444" w:rsidRPr="00F57F39" w:rsidRDefault="008E2444" w:rsidP="0021402F">
            <w:pPr>
              <w:pStyle w:val="TableTextcentred"/>
              <w:keepNext/>
            </w:pPr>
            <w:r w:rsidRPr="00F57F39">
              <w:t>45%</w:t>
            </w:r>
          </w:p>
        </w:tc>
      </w:tr>
    </w:tbl>
    <w:p w14:paraId="04BDD3E5" w14:textId="7B81AA7A" w:rsidR="008E2444" w:rsidRPr="00F477F6" w:rsidRDefault="00CD2720" w:rsidP="00D20D53">
      <w:pPr>
        <w:pStyle w:val="Tablenote"/>
      </w:pPr>
      <w:r>
        <w:t xml:space="preserve">(a) </w:t>
      </w:r>
      <w:r w:rsidR="008E2444" w:rsidRPr="00F477F6">
        <w:t>Excludes 24 enrolled nurses who did not state their sector of employment.</w:t>
      </w:r>
    </w:p>
    <w:p w14:paraId="017698B7" w14:textId="77777777" w:rsidR="008E2444" w:rsidRPr="00F477F6" w:rsidRDefault="008E2444" w:rsidP="00D20D53">
      <w:pPr>
        <w:pStyle w:val="Tablenote"/>
      </w:pPr>
      <w:r w:rsidRPr="00F477F6">
        <w:t>Source: AIHW Nursing and Midwifery Labour Force Survey 2009 and NHWDS: nurses and midwives 2012.</w:t>
      </w:r>
    </w:p>
    <w:p w14:paraId="04CFE37A" w14:textId="6C1AF802" w:rsidR="00C82054" w:rsidRPr="00F477F6" w:rsidRDefault="004B340A" w:rsidP="00641259">
      <w:pPr>
        <w:pStyle w:val="Heading2"/>
      </w:pPr>
      <w:r w:rsidRPr="00F477F6">
        <w:t>Nursing student commencements and completions are increasing</w:t>
      </w:r>
      <w:bookmarkEnd w:id="72"/>
      <w:bookmarkEnd w:id="73"/>
      <w:bookmarkEnd w:id="74"/>
      <w:bookmarkEnd w:id="75"/>
      <w:bookmarkEnd w:id="76"/>
    </w:p>
    <w:p w14:paraId="365676EB" w14:textId="0FE2017C" w:rsidR="0012614E" w:rsidRPr="00F477F6" w:rsidRDefault="0012614E" w:rsidP="00D20D53">
      <w:pPr>
        <w:pStyle w:val="Heading3"/>
        <w:rPr>
          <w:lang w:val="en-AU"/>
        </w:rPr>
      </w:pPr>
      <w:r w:rsidRPr="00F477F6">
        <w:rPr>
          <w:lang w:val="en-AU"/>
        </w:rPr>
        <w:t xml:space="preserve">Registered </w:t>
      </w:r>
      <w:r w:rsidR="003554F9" w:rsidRPr="00F477F6">
        <w:rPr>
          <w:lang w:val="en-AU"/>
        </w:rPr>
        <w:t>n</w:t>
      </w:r>
      <w:r w:rsidRPr="00F477F6">
        <w:rPr>
          <w:lang w:val="en-AU"/>
        </w:rPr>
        <w:t xml:space="preserve">urse </w:t>
      </w:r>
      <w:r w:rsidR="003554F9" w:rsidRPr="00F477F6">
        <w:rPr>
          <w:lang w:val="en-AU"/>
        </w:rPr>
        <w:t>s</w:t>
      </w:r>
      <w:r w:rsidRPr="00F477F6">
        <w:rPr>
          <w:lang w:val="en-AU"/>
        </w:rPr>
        <w:t>tudents</w:t>
      </w:r>
    </w:p>
    <w:p w14:paraId="25CA0B09" w14:textId="2129C8D5" w:rsidR="00D03708" w:rsidRPr="00F477F6" w:rsidRDefault="00DE7488" w:rsidP="00D20D53">
      <w:r w:rsidRPr="00F477F6">
        <w:t xml:space="preserve">Overall, commencing student enrolments in </w:t>
      </w:r>
      <w:r w:rsidR="007D55F4" w:rsidRPr="00F477F6">
        <w:t>programs of study</w:t>
      </w:r>
      <w:r w:rsidR="003554F9" w:rsidRPr="00F477F6">
        <w:t xml:space="preserve"> required for </w:t>
      </w:r>
      <w:r w:rsidRPr="00F477F6">
        <w:t>initial registration as a</w:t>
      </w:r>
      <w:r w:rsidR="003554F9" w:rsidRPr="00F477F6">
        <w:t xml:space="preserve"> RN</w:t>
      </w:r>
      <w:r w:rsidR="001262DE" w:rsidRPr="00F477F6">
        <w:t xml:space="preserve"> increased 17 per</w:t>
      </w:r>
      <w:r w:rsidRPr="00F477F6">
        <w:t>ce</w:t>
      </w:r>
      <w:r w:rsidR="004B340A" w:rsidRPr="00F477F6">
        <w:t>nt from 2009 to 2012 (</w:t>
      </w:r>
      <w:r w:rsidR="000355C9" w:rsidRPr="00F477F6">
        <w:fldChar w:fldCharType="begin"/>
      </w:r>
      <w:r w:rsidR="000355C9" w:rsidRPr="00F477F6">
        <w:instrText xml:space="preserve"> REF _Ref387393318 \h </w:instrText>
      </w:r>
      <w:r w:rsidR="00FE114D" w:rsidRPr="00F477F6">
        <w:instrText xml:space="preserve"> \* MERGEFORMAT </w:instrText>
      </w:r>
      <w:r w:rsidR="000355C9" w:rsidRPr="00F477F6">
        <w:fldChar w:fldCharType="separate"/>
      </w:r>
      <w:r w:rsidR="00641259" w:rsidRPr="00F477F6">
        <w:t xml:space="preserve">Figure </w:t>
      </w:r>
      <w:r w:rsidR="00641259">
        <w:rPr>
          <w:noProof/>
        </w:rPr>
        <w:t>4</w:t>
      </w:r>
      <w:r w:rsidR="000355C9" w:rsidRPr="00F477F6">
        <w:fldChar w:fldCharType="end"/>
      </w:r>
      <w:r w:rsidRPr="00F477F6">
        <w:t>). This comprised a rise in domestic</w:t>
      </w:r>
      <w:r w:rsidR="00782CC3" w:rsidRPr="00F477F6">
        <w:t xml:space="preserve"> </w:t>
      </w:r>
      <w:r w:rsidR="001262DE" w:rsidRPr="00F477F6">
        <w:t>commencing enrolments of 23 per</w:t>
      </w:r>
      <w:r w:rsidRPr="00F477F6">
        <w:t>cent, and a fall in overseas</w:t>
      </w:r>
      <w:r w:rsidR="00782CC3" w:rsidRPr="00F477F6">
        <w:t xml:space="preserve"> student</w:t>
      </w:r>
      <w:r w:rsidRPr="00F477F6">
        <w:t xml:space="preserve"> </w:t>
      </w:r>
      <w:r w:rsidR="001262DE" w:rsidRPr="00F477F6">
        <w:t>commencing enrolments of 11 per</w:t>
      </w:r>
      <w:r w:rsidRPr="00F477F6">
        <w:t>cent</w:t>
      </w:r>
      <w:r w:rsidR="003554F9" w:rsidRPr="00F477F6">
        <w:t xml:space="preserve"> over the same period.</w:t>
      </w:r>
    </w:p>
    <w:p w14:paraId="1126608B" w14:textId="00B8A420" w:rsidR="00054615" w:rsidRPr="00F477F6" w:rsidRDefault="000355C9" w:rsidP="00D20D53">
      <w:pPr>
        <w:pStyle w:val="Caption"/>
      </w:pPr>
      <w:bookmarkStart w:id="78" w:name="_Ref387393318"/>
      <w:bookmarkStart w:id="79" w:name="_Toc407783217"/>
      <w:r w:rsidRPr="00F477F6">
        <w:t xml:space="preserve">Figure </w:t>
      </w:r>
      <w:fldSimple w:instr=" SEQ Figure \* ARABIC ">
        <w:r w:rsidR="00641259">
          <w:rPr>
            <w:noProof/>
          </w:rPr>
          <w:t>4</w:t>
        </w:r>
      </w:fldSimple>
      <w:bookmarkEnd w:id="78"/>
      <w:r w:rsidR="00054615" w:rsidRPr="00F477F6">
        <w:t xml:space="preserve">: Commencing enrolments, students undertaking </w:t>
      </w:r>
      <w:r w:rsidR="007D55F4" w:rsidRPr="00F477F6">
        <w:t>programs of study</w:t>
      </w:r>
      <w:r w:rsidR="00054615" w:rsidRPr="00F477F6">
        <w:t xml:space="preserve"> required for initial registration</w:t>
      </w:r>
      <w:r w:rsidR="00731279" w:rsidRPr="00F477F6">
        <w:t xml:space="preserve"> as a </w:t>
      </w:r>
      <w:r w:rsidR="003554F9" w:rsidRPr="00F477F6">
        <w:t>RN</w:t>
      </w:r>
      <w:r w:rsidR="00054615" w:rsidRPr="00F477F6">
        <w:t>, 2009 to 2012</w:t>
      </w:r>
      <w:bookmarkEnd w:id="79"/>
    </w:p>
    <w:p w14:paraId="08526BB9" w14:textId="77777777" w:rsidR="007F2FCD" w:rsidRPr="00D20D53" w:rsidRDefault="00054615" w:rsidP="00D20D53">
      <w:r w:rsidRPr="00F477F6">
        <w:rPr>
          <w:noProof/>
          <w:lang w:eastAsia="en-AU"/>
        </w:rPr>
        <w:drawing>
          <wp:inline distT="0" distB="0" distL="0" distR="0" wp14:anchorId="1423AE21" wp14:editId="477B33E9">
            <wp:extent cx="5229225" cy="2914650"/>
            <wp:effectExtent l="0" t="0" r="9525" b="19050"/>
            <wp:docPr id="76" name="Chart 76" descr="The figure shows the commencing enrolment number for students undertaking programs of study required for initial registration as a RN. &#10;In 2009 there were 15,232 students in total comprising of 12,526 domestic students and 2,706 international students.&#10;In 2010 there were 16,628 students in total comprising of 13,838 domestic students and 2,790 international students.&#10;In 2011 there were 16,338 students in total comprising of 13,779 domestic students and 2,559 international students.&#10;In 2012 there were 17,790 students in total comprising of 15,384 domestic students and 2,406 international students." title="Figure 4: Commencing enrolments, students undertaking programs of study required for initial registration as a RN, 2009 to 20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1338C9C8" w14:textId="1FEFA63F" w:rsidR="003554F9" w:rsidRPr="00F477F6" w:rsidRDefault="003554F9" w:rsidP="00D20D53">
      <w:pPr>
        <w:pStyle w:val="Tablenote"/>
      </w:pPr>
      <w:r w:rsidRPr="00F477F6">
        <w:t>Source</w:t>
      </w:r>
      <w:r w:rsidR="00337D1F" w:rsidRPr="00F477F6">
        <w:t>: Department of Education</w:t>
      </w:r>
    </w:p>
    <w:p w14:paraId="7D25CF5F" w14:textId="6DC18386" w:rsidR="003C1E87" w:rsidRPr="00F477F6" w:rsidRDefault="00121A67" w:rsidP="00D20D53">
      <w:pPr>
        <w:rPr>
          <w:rFonts w:eastAsia="Calibri" w:cs="Times New Roman"/>
        </w:rPr>
      </w:pPr>
      <w:r w:rsidRPr="00F477F6">
        <w:t>It</w:t>
      </w:r>
      <w:r w:rsidR="003C1E87" w:rsidRPr="00F477F6">
        <w:t xml:space="preserve"> is expected that the</w:t>
      </w:r>
      <w:r w:rsidRPr="00F477F6">
        <w:t xml:space="preserve"> </w:t>
      </w:r>
      <w:r w:rsidR="003C1E87" w:rsidRPr="00F477F6">
        <w:t>nursing profession will continue to be a female-dominated profession</w:t>
      </w:r>
      <w:r w:rsidRPr="00F477F6">
        <w:t>, with f</w:t>
      </w:r>
      <w:r w:rsidR="003C1E87" w:rsidRPr="00F477F6">
        <w:t>emales account</w:t>
      </w:r>
      <w:r w:rsidRPr="00F477F6">
        <w:t>ing</w:t>
      </w:r>
      <w:r w:rsidR="001262DE" w:rsidRPr="00F477F6">
        <w:t xml:space="preserve"> for almost 90 per</w:t>
      </w:r>
      <w:r w:rsidR="003C1E87" w:rsidRPr="00F477F6">
        <w:t xml:space="preserve">cent of commencing enrolments from 2009 to 2012 </w:t>
      </w:r>
      <w:r w:rsidR="003C1E87" w:rsidRPr="00F477F6">
        <w:rPr>
          <w:rFonts w:eastAsia="Calibri" w:cs="Times New Roman"/>
        </w:rPr>
        <w:t>(</w:t>
      </w:r>
      <w:r w:rsidR="007321A8" w:rsidRPr="00F477F6">
        <w:fldChar w:fldCharType="begin"/>
      </w:r>
      <w:r w:rsidR="007321A8" w:rsidRPr="00F477F6">
        <w:rPr>
          <w:rFonts w:eastAsia="Calibri" w:cs="Times New Roman"/>
        </w:rPr>
        <w:instrText xml:space="preserve"> REF _Ref387394534 \h </w:instrText>
      </w:r>
      <w:r w:rsidR="00FE114D" w:rsidRPr="00F477F6">
        <w:instrText xml:space="preserve"> \* MERGEFORMAT </w:instrText>
      </w:r>
      <w:r w:rsidR="007321A8" w:rsidRPr="00F477F6">
        <w:fldChar w:fldCharType="separate"/>
      </w:r>
      <w:r w:rsidR="00641259" w:rsidRPr="00F477F6">
        <w:t xml:space="preserve">Table </w:t>
      </w:r>
      <w:r w:rsidR="00641259">
        <w:rPr>
          <w:noProof/>
        </w:rPr>
        <w:t>5</w:t>
      </w:r>
      <w:r w:rsidR="007321A8" w:rsidRPr="00F477F6">
        <w:fldChar w:fldCharType="end"/>
      </w:r>
      <w:r w:rsidR="003C1E87" w:rsidRPr="00F477F6">
        <w:rPr>
          <w:rFonts w:eastAsia="Calibri" w:cs="Times New Roman"/>
        </w:rPr>
        <w:t>).</w:t>
      </w:r>
    </w:p>
    <w:p w14:paraId="327A706F" w14:textId="626BA761" w:rsidR="00054615" w:rsidRPr="00F477F6" w:rsidRDefault="00B2497A" w:rsidP="00D20D53">
      <w:pPr>
        <w:pStyle w:val="Caption"/>
      </w:pPr>
      <w:bookmarkStart w:id="80" w:name="_Ref387394534"/>
      <w:bookmarkStart w:id="81" w:name="_Toc407783202"/>
      <w:r w:rsidRPr="00F477F6">
        <w:lastRenderedPageBreak/>
        <w:t xml:space="preserve">Table </w:t>
      </w:r>
      <w:fldSimple w:instr=" SEQ Table \* ARABIC ">
        <w:r w:rsidR="00641259">
          <w:rPr>
            <w:noProof/>
          </w:rPr>
          <w:t>5</w:t>
        </w:r>
      </w:fldSimple>
      <w:bookmarkEnd w:id="80"/>
      <w:r w:rsidR="000E1950" w:rsidRPr="00F477F6">
        <w:t xml:space="preserve">: Commencing enrolments, students </w:t>
      </w:r>
      <w:r w:rsidR="00121A67" w:rsidRPr="00F477F6">
        <w:t xml:space="preserve">undertaking </w:t>
      </w:r>
      <w:r w:rsidR="007D55F4" w:rsidRPr="00F477F6">
        <w:t>programs of study</w:t>
      </w:r>
      <w:r w:rsidR="00121A67" w:rsidRPr="00F477F6">
        <w:t xml:space="preserve"> required for initial registration as a RN</w:t>
      </w:r>
      <w:r w:rsidR="000E1950" w:rsidRPr="00F477F6">
        <w:t>, by gender, 2009 to 2012</w:t>
      </w:r>
      <w:bookmarkEnd w:id="81"/>
    </w:p>
    <w:tbl>
      <w:tblPr>
        <w:tblW w:w="7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4"/>
        <w:gridCol w:w="1134"/>
        <w:gridCol w:w="1134"/>
        <w:gridCol w:w="1134"/>
        <w:gridCol w:w="1134"/>
      </w:tblGrid>
      <w:tr w:rsidR="000E1950" w:rsidRPr="00D20D53" w14:paraId="62038D24" w14:textId="77777777" w:rsidTr="003D1C45">
        <w:trPr>
          <w:trHeight w:val="272"/>
          <w:tblHeader/>
        </w:trPr>
        <w:tc>
          <w:tcPr>
            <w:tcW w:w="3364" w:type="dxa"/>
            <w:shd w:val="clear" w:color="auto" w:fill="0070C0"/>
            <w:noWrap/>
            <w:vAlign w:val="bottom"/>
            <w:hideMark/>
          </w:tcPr>
          <w:p w14:paraId="1E3823D9" w14:textId="77777777" w:rsidR="000E1950" w:rsidRPr="00D20D53" w:rsidRDefault="000E1950" w:rsidP="0021402F">
            <w:pPr>
              <w:pStyle w:val="TableHeader"/>
              <w:keepNext/>
            </w:pPr>
            <w:bookmarkStart w:id="82" w:name="Title_4"/>
            <w:bookmarkEnd w:id="82"/>
          </w:p>
        </w:tc>
        <w:tc>
          <w:tcPr>
            <w:tcW w:w="1134" w:type="dxa"/>
            <w:shd w:val="clear" w:color="auto" w:fill="0070C0"/>
            <w:noWrap/>
            <w:vAlign w:val="bottom"/>
            <w:hideMark/>
          </w:tcPr>
          <w:p w14:paraId="6AC40748" w14:textId="77777777" w:rsidR="000E1950" w:rsidRPr="00D20D53" w:rsidRDefault="000E1950" w:rsidP="0021402F">
            <w:pPr>
              <w:pStyle w:val="TableHeader"/>
              <w:keepNext/>
            </w:pPr>
            <w:r w:rsidRPr="00D20D53">
              <w:t>2009</w:t>
            </w:r>
          </w:p>
        </w:tc>
        <w:tc>
          <w:tcPr>
            <w:tcW w:w="1134" w:type="dxa"/>
            <w:shd w:val="clear" w:color="auto" w:fill="0070C0"/>
            <w:noWrap/>
            <w:vAlign w:val="bottom"/>
            <w:hideMark/>
          </w:tcPr>
          <w:p w14:paraId="7D5851FC" w14:textId="77777777" w:rsidR="000E1950" w:rsidRPr="00D20D53" w:rsidRDefault="000E1950" w:rsidP="0021402F">
            <w:pPr>
              <w:pStyle w:val="TableHeader"/>
              <w:keepNext/>
            </w:pPr>
            <w:r w:rsidRPr="00D20D53">
              <w:t>2010</w:t>
            </w:r>
          </w:p>
        </w:tc>
        <w:tc>
          <w:tcPr>
            <w:tcW w:w="1134" w:type="dxa"/>
            <w:shd w:val="clear" w:color="auto" w:fill="0070C0"/>
            <w:noWrap/>
            <w:vAlign w:val="bottom"/>
            <w:hideMark/>
          </w:tcPr>
          <w:p w14:paraId="404E21EA" w14:textId="77777777" w:rsidR="000E1950" w:rsidRPr="00D20D53" w:rsidRDefault="000E1950" w:rsidP="0021402F">
            <w:pPr>
              <w:pStyle w:val="TableHeader"/>
              <w:keepNext/>
            </w:pPr>
            <w:r w:rsidRPr="00D20D53">
              <w:t>2011</w:t>
            </w:r>
          </w:p>
        </w:tc>
        <w:tc>
          <w:tcPr>
            <w:tcW w:w="1134" w:type="dxa"/>
            <w:shd w:val="clear" w:color="auto" w:fill="0070C0"/>
          </w:tcPr>
          <w:p w14:paraId="1077E11B" w14:textId="77777777" w:rsidR="000E1950" w:rsidRPr="00D20D53" w:rsidRDefault="000E1950" w:rsidP="0021402F">
            <w:pPr>
              <w:pStyle w:val="TableHeader"/>
              <w:keepNext/>
            </w:pPr>
            <w:r w:rsidRPr="00D20D53">
              <w:t>2012</w:t>
            </w:r>
          </w:p>
        </w:tc>
      </w:tr>
      <w:tr w:rsidR="000E1950" w:rsidRPr="00F477F6" w14:paraId="6C95C804" w14:textId="77777777" w:rsidTr="00121A67">
        <w:trPr>
          <w:trHeight w:val="272"/>
        </w:trPr>
        <w:tc>
          <w:tcPr>
            <w:tcW w:w="3364" w:type="dxa"/>
            <w:shd w:val="clear" w:color="auto" w:fill="auto"/>
            <w:noWrap/>
            <w:vAlign w:val="bottom"/>
          </w:tcPr>
          <w:p w14:paraId="3D4A9118" w14:textId="77777777" w:rsidR="000E1950" w:rsidRPr="00D20D53" w:rsidRDefault="000E1950" w:rsidP="0021402F">
            <w:pPr>
              <w:pStyle w:val="TableText"/>
              <w:keepNext/>
            </w:pPr>
            <w:r w:rsidRPr="00D20D53">
              <w:t>Commencing enrolments (number)</w:t>
            </w:r>
          </w:p>
        </w:tc>
        <w:tc>
          <w:tcPr>
            <w:tcW w:w="1134" w:type="dxa"/>
            <w:shd w:val="clear" w:color="auto" w:fill="auto"/>
            <w:noWrap/>
            <w:vAlign w:val="center"/>
          </w:tcPr>
          <w:p w14:paraId="70AD1896" w14:textId="54132F6C" w:rsidR="000E1950" w:rsidRPr="00D20D53" w:rsidRDefault="000E1950" w:rsidP="0021402F">
            <w:pPr>
              <w:pStyle w:val="TableText"/>
              <w:keepNext/>
              <w:jc w:val="right"/>
            </w:pPr>
            <w:r w:rsidRPr="00D20D53">
              <w:t>15</w:t>
            </w:r>
            <w:r w:rsidR="00476BD7" w:rsidRPr="00D20D53">
              <w:t>,</w:t>
            </w:r>
            <w:r w:rsidRPr="00D20D53">
              <w:t>232</w:t>
            </w:r>
          </w:p>
        </w:tc>
        <w:tc>
          <w:tcPr>
            <w:tcW w:w="1134" w:type="dxa"/>
            <w:shd w:val="clear" w:color="auto" w:fill="auto"/>
            <w:noWrap/>
            <w:vAlign w:val="center"/>
          </w:tcPr>
          <w:p w14:paraId="3B952EA6" w14:textId="7F0F19F9" w:rsidR="000E1950" w:rsidRPr="00D20D53" w:rsidRDefault="000E1950" w:rsidP="0021402F">
            <w:pPr>
              <w:pStyle w:val="TableText"/>
              <w:keepNext/>
              <w:jc w:val="right"/>
            </w:pPr>
            <w:r w:rsidRPr="00D20D53">
              <w:t>16</w:t>
            </w:r>
            <w:r w:rsidR="00476BD7" w:rsidRPr="00D20D53">
              <w:t>,</w:t>
            </w:r>
            <w:r w:rsidRPr="00D20D53">
              <w:t>628</w:t>
            </w:r>
          </w:p>
        </w:tc>
        <w:tc>
          <w:tcPr>
            <w:tcW w:w="1134" w:type="dxa"/>
            <w:shd w:val="clear" w:color="auto" w:fill="auto"/>
            <w:noWrap/>
            <w:vAlign w:val="center"/>
          </w:tcPr>
          <w:p w14:paraId="652B6F64" w14:textId="01645A33" w:rsidR="000E1950" w:rsidRPr="00D20D53" w:rsidRDefault="000E1950" w:rsidP="0021402F">
            <w:pPr>
              <w:pStyle w:val="TableText"/>
              <w:keepNext/>
              <w:jc w:val="right"/>
            </w:pPr>
            <w:r w:rsidRPr="00D20D53">
              <w:t>16</w:t>
            </w:r>
            <w:r w:rsidR="00476BD7" w:rsidRPr="00D20D53">
              <w:t>,</w:t>
            </w:r>
            <w:r w:rsidRPr="00D20D53">
              <w:t>338</w:t>
            </w:r>
          </w:p>
        </w:tc>
        <w:tc>
          <w:tcPr>
            <w:tcW w:w="1134" w:type="dxa"/>
            <w:vAlign w:val="center"/>
          </w:tcPr>
          <w:p w14:paraId="4E5D4E68" w14:textId="01E50A02" w:rsidR="000E1950" w:rsidRPr="00D20D53" w:rsidRDefault="000E1950" w:rsidP="0021402F">
            <w:pPr>
              <w:pStyle w:val="TableText"/>
              <w:keepNext/>
              <w:jc w:val="right"/>
            </w:pPr>
            <w:r w:rsidRPr="00D20D53">
              <w:t>17</w:t>
            </w:r>
            <w:r w:rsidR="00476BD7" w:rsidRPr="00D20D53">
              <w:t>,</w:t>
            </w:r>
            <w:r w:rsidRPr="00D20D53">
              <w:t>790</w:t>
            </w:r>
          </w:p>
        </w:tc>
      </w:tr>
      <w:tr w:rsidR="000E1950" w:rsidRPr="00F477F6" w14:paraId="23060C3D" w14:textId="77777777" w:rsidTr="00121A67">
        <w:trPr>
          <w:trHeight w:val="272"/>
        </w:trPr>
        <w:tc>
          <w:tcPr>
            <w:tcW w:w="3364" w:type="dxa"/>
            <w:shd w:val="clear" w:color="auto" w:fill="auto"/>
            <w:noWrap/>
            <w:vAlign w:val="bottom"/>
            <w:hideMark/>
          </w:tcPr>
          <w:p w14:paraId="4927324B" w14:textId="77777777" w:rsidR="000E1950" w:rsidRPr="00D20D53" w:rsidRDefault="000E1950" w:rsidP="0021402F">
            <w:pPr>
              <w:pStyle w:val="TableText"/>
              <w:keepNext/>
            </w:pPr>
            <w:r w:rsidRPr="00D20D53">
              <w:t>% Female</w:t>
            </w:r>
          </w:p>
        </w:tc>
        <w:tc>
          <w:tcPr>
            <w:tcW w:w="1134" w:type="dxa"/>
            <w:shd w:val="clear" w:color="auto" w:fill="auto"/>
            <w:noWrap/>
            <w:vAlign w:val="center"/>
            <w:hideMark/>
          </w:tcPr>
          <w:p w14:paraId="7FC1565C" w14:textId="77777777" w:rsidR="000E1950" w:rsidRPr="00D20D53" w:rsidRDefault="000E1950" w:rsidP="0021402F">
            <w:pPr>
              <w:pStyle w:val="TableText"/>
              <w:keepNext/>
              <w:jc w:val="right"/>
            </w:pPr>
            <w:r w:rsidRPr="00D20D53">
              <w:t>86.7</w:t>
            </w:r>
          </w:p>
        </w:tc>
        <w:tc>
          <w:tcPr>
            <w:tcW w:w="1134" w:type="dxa"/>
            <w:shd w:val="clear" w:color="auto" w:fill="auto"/>
            <w:noWrap/>
            <w:vAlign w:val="center"/>
            <w:hideMark/>
          </w:tcPr>
          <w:p w14:paraId="371B15F0" w14:textId="77777777" w:rsidR="000E1950" w:rsidRPr="00D20D53" w:rsidRDefault="000E1950" w:rsidP="0021402F">
            <w:pPr>
              <w:pStyle w:val="TableText"/>
              <w:keepNext/>
              <w:jc w:val="right"/>
            </w:pPr>
            <w:r w:rsidRPr="00D20D53">
              <w:t>86.0</w:t>
            </w:r>
          </w:p>
        </w:tc>
        <w:tc>
          <w:tcPr>
            <w:tcW w:w="1134" w:type="dxa"/>
            <w:shd w:val="clear" w:color="auto" w:fill="auto"/>
            <w:noWrap/>
            <w:vAlign w:val="center"/>
            <w:hideMark/>
          </w:tcPr>
          <w:p w14:paraId="25255E3F" w14:textId="77777777" w:rsidR="000E1950" w:rsidRPr="00D20D53" w:rsidRDefault="000E1950" w:rsidP="0021402F">
            <w:pPr>
              <w:pStyle w:val="TableText"/>
              <w:keepNext/>
              <w:jc w:val="right"/>
            </w:pPr>
            <w:r w:rsidRPr="00D20D53">
              <w:t>86.4</w:t>
            </w:r>
          </w:p>
        </w:tc>
        <w:tc>
          <w:tcPr>
            <w:tcW w:w="1134" w:type="dxa"/>
            <w:vAlign w:val="center"/>
          </w:tcPr>
          <w:p w14:paraId="259D6A5C" w14:textId="77777777" w:rsidR="000E1950" w:rsidRPr="00D20D53" w:rsidRDefault="000E1950" w:rsidP="0021402F">
            <w:pPr>
              <w:pStyle w:val="TableText"/>
              <w:keepNext/>
              <w:jc w:val="right"/>
            </w:pPr>
            <w:r w:rsidRPr="00D20D53">
              <w:t>86.2</w:t>
            </w:r>
          </w:p>
        </w:tc>
      </w:tr>
      <w:tr w:rsidR="000E1950" w:rsidRPr="00F477F6" w14:paraId="406F6833" w14:textId="77777777" w:rsidTr="00121A67">
        <w:trPr>
          <w:trHeight w:val="272"/>
        </w:trPr>
        <w:tc>
          <w:tcPr>
            <w:tcW w:w="3364" w:type="dxa"/>
            <w:shd w:val="clear" w:color="auto" w:fill="auto"/>
            <w:noWrap/>
            <w:vAlign w:val="bottom"/>
            <w:hideMark/>
          </w:tcPr>
          <w:p w14:paraId="3A103835" w14:textId="77777777" w:rsidR="000E1950" w:rsidRPr="00D20D53" w:rsidRDefault="000E1950" w:rsidP="0021402F">
            <w:pPr>
              <w:pStyle w:val="TableText"/>
              <w:keepNext/>
            </w:pPr>
            <w:r w:rsidRPr="00D20D53">
              <w:t>% Male</w:t>
            </w:r>
          </w:p>
        </w:tc>
        <w:tc>
          <w:tcPr>
            <w:tcW w:w="1134" w:type="dxa"/>
            <w:shd w:val="clear" w:color="auto" w:fill="auto"/>
            <w:noWrap/>
            <w:vAlign w:val="center"/>
            <w:hideMark/>
          </w:tcPr>
          <w:p w14:paraId="1B491E00" w14:textId="77777777" w:rsidR="000E1950" w:rsidRPr="00D20D53" w:rsidRDefault="000E1950" w:rsidP="0021402F">
            <w:pPr>
              <w:pStyle w:val="TableText"/>
              <w:keepNext/>
              <w:jc w:val="right"/>
            </w:pPr>
            <w:r w:rsidRPr="00D20D53">
              <w:t>13.3</w:t>
            </w:r>
          </w:p>
        </w:tc>
        <w:tc>
          <w:tcPr>
            <w:tcW w:w="1134" w:type="dxa"/>
            <w:shd w:val="clear" w:color="auto" w:fill="auto"/>
            <w:noWrap/>
            <w:vAlign w:val="center"/>
            <w:hideMark/>
          </w:tcPr>
          <w:p w14:paraId="5F10AA2F" w14:textId="77777777" w:rsidR="000E1950" w:rsidRPr="00D20D53" w:rsidRDefault="000E1950" w:rsidP="0021402F">
            <w:pPr>
              <w:pStyle w:val="TableText"/>
              <w:keepNext/>
              <w:jc w:val="right"/>
            </w:pPr>
            <w:r w:rsidRPr="00D20D53">
              <w:t>14.0</w:t>
            </w:r>
          </w:p>
        </w:tc>
        <w:tc>
          <w:tcPr>
            <w:tcW w:w="1134" w:type="dxa"/>
            <w:shd w:val="clear" w:color="auto" w:fill="auto"/>
            <w:noWrap/>
            <w:vAlign w:val="center"/>
            <w:hideMark/>
          </w:tcPr>
          <w:p w14:paraId="1D5DB228" w14:textId="77777777" w:rsidR="000E1950" w:rsidRPr="00D20D53" w:rsidRDefault="000E1950" w:rsidP="0021402F">
            <w:pPr>
              <w:pStyle w:val="TableText"/>
              <w:keepNext/>
              <w:jc w:val="right"/>
            </w:pPr>
            <w:r w:rsidRPr="00D20D53">
              <w:t>13.6</w:t>
            </w:r>
          </w:p>
        </w:tc>
        <w:tc>
          <w:tcPr>
            <w:tcW w:w="1134" w:type="dxa"/>
            <w:vAlign w:val="center"/>
          </w:tcPr>
          <w:p w14:paraId="2E885D48" w14:textId="77777777" w:rsidR="000E1950" w:rsidRPr="00D20D53" w:rsidRDefault="000E1950" w:rsidP="0021402F">
            <w:pPr>
              <w:pStyle w:val="TableText"/>
              <w:keepNext/>
              <w:jc w:val="right"/>
            </w:pPr>
            <w:r w:rsidRPr="00D20D53">
              <w:t>13.8</w:t>
            </w:r>
          </w:p>
        </w:tc>
      </w:tr>
    </w:tbl>
    <w:p w14:paraId="25C2862D" w14:textId="77777777" w:rsidR="000E0B95" w:rsidRPr="00F477F6" w:rsidRDefault="000E0B95" w:rsidP="00D20D53">
      <w:pPr>
        <w:pStyle w:val="Tablenote"/>
      </w:pPr>
      <w:r w:rsidRPr="00F477F6">
        <w:t>Source: Department of Education</w:t>
      </w:r>
    </w:p>
    <w:p w14:paraId="1C9A879B" w14:textId="30761414" w:rsidR="0040627C" w:rsidRPr="00F477F6" w:rsidRDefault="00416602" w:rsidP="00D20D53">
      <w:pPr>
        <w:rPr>
          <w:rFonts w:eastAsia="Calibri" w:cs="Times New Roman"/>
        </w:rPr>
      </w:pPr>
      <w:r w:rsidRPr="00F477F6">
        <w:t xml:space="preserve">Consistent with the increase in commencing enrolments, the number of course completions for initial registration as a </w:t>
      </w:r>
      <w:r w:rsidR="000E0B95" w:rsidRPr="00F477F6">
        <w:t>RN</w:t>
      </w:r>
      <w:r w:rsidRPr="00F477F6">
        <w:t xml:space="preserve"> has also increased, from 9,008 in 20</w:t>
      </w:r>
      <w:r w:rsidR="001262DE" w:rsidRPr="00F477F6">
        <w:t>09 to 10,635 in 2012 (up 18 per</w:t>
      </w:r>
      <w:r w:rsidRPr="00F477F6">
        <w:t>cent). Within this, d</w:t>
      </w:r>
      <w:r w:rsidR="001262DE" w:rsidRPr="00F477F6">
        <w:t>omestic completions rose 17 per</w:t>
      </w:r>
      <w:r w:rsidRPr="00F477F6">
        <w:t xml:space="preserve">cent, from 7,266 to 8,516, and overseas completions rose 22 </w:t>
      </w:r>
      <w:r w:rsidR="001262DE" w:rsidRPr="00F477F6">
        <w:t>per</w:t>
      </w:r>
      <w:r w:rsidR="000E0B95" w:rsidRPr="00F477F6">
        <w:t>cent, from 1,742 to 2,119 (</w:t>
      </w:r>
      <w:r w:rsidR="00406188" w:rsidRPr="00F477F6">
        <w:t>figure 5)</w:t>
      </w:r>
      <w:r w:rsidR="005B639B" w:rsidRPr="00F477F6">
        <w:rPr>
          <w:rFonts w:eastAsia="Calibri" w:cs="Times New Roman"/>
        </w:rPr>
        <w:t>.</w:t>
      </w:r>
    </w:p>
    <w:p w14:paraId="13506712" w14:textId="56C73846" w:rsidR="007F2FCD" w:rsidRPr="00F477F6" w:rsidRDefault="000355C9" w:rsidP="00D20D53">
      <w:pPr>
        <w:pStyle w:val="Caption"/>
      </w:pPr>
      <w:bookmarkStart w:id="83" w:name="_Ref387393351"/>
      <w:bookmarkStart w:id="84" w:name="_Toc407783218"/>
      <w:r w:rsidRPr="00F477F6">
        <w:t xml:space="preserve">Figure </w:t>
      </w:r>
      <w:fldSimple w:instr=" SEQ Figure \* ARABIC ">
        <w:r w:rsidR="00641259">
          <w:rPr>
            <w:noProof/>
          </w:rPr>
          <w:t>5</w:t>
        </w:r>
      </w:fldSimple>
      <w:bookmarkEnd w:id="83"/>
      <w:r w:rsidR="007F2FCD" w:rsidRPr="00F477F6">
        <w:t xml:space="preserve">: Students completing </w:t>
      </w:r>
      <w:r w:rsidR="006C6850" w:rsidRPr="00F477F6">
        <w:t>programs of study</w:t>
      </w:r>
      <w:r w:rsidR="007F2FCD" w:rsidRPr="00F477F6">
        <w:t xml:space="preserve"> required for initial registration</w:t>
      </w:r>
      <w:r w:rsidR="00ED27F1" w:rsidRPr="00F477F6">
        <w:t xml:space="preserve"> as a registered nurse</w:t>
      </w:r>
      <w:r w:rsidR="007F2FCD" w:rsidRPr="00F477F6">
        <w:t>, 2009 to 2012</w:t>
      </w:r>
      <w:bookmarkEnd w:id="84"/>
    </w:p>
    <w:p w14:paraId="0E8ED36A" w14:textId="77777777" w:rsidR="007F2FCD" w:rsidRPr="00F477F6" w:rsidRDefault="007F2FCD" w:rsidP="00D20D53">
      <w:pPr>
        <w:rPr>
          <w:lang w:eastAsia="x-none"/>
        </w:rPr>
      </w:pPr>
      <w:r w:rsidRPr="00F477F6">
        <w:rPr>
          <w:noProof/>
          <w:lang w:eastAsia="en-AU"/>
        </w:rPr>
        <w:drawing>
          <wp:inline distT="0" distB="0" distL="0" distR="0" wp14:anchorId="079EFFFE" wp14:editId="6F691293">
            <wp:extent cx="5210175" cy="3086100"/>
            <wp:effectExtent l="0" t="0" r="9525" b="19050"/>
            <wp:docPr id="75" name="Chart 75" descr="The figure shows the total number of students completing programs of study required for initial registration as a registered nurse from 2009 to 2012.&#10;In 2009 there were 9,008 students in total comprising of 7,266 domestic students and 1,742 international students.&#10;In 2010 there were 9,445 students in total comprising of 7,452 domestic students and 1,993 international students.&#10;In 2011 there were 10,072 students in total comprising of 7,936 domestic students and 2,136 international students.&#10;In 2012 there were 10,635 students in total comprising of 8,516 domestic students and 2,119 international students.&#10;&#10;The source of the data is the Department of Education, 2013" title="Figure 5: Students completing programs of study required for initial registration as a registered nurse, 2009 to 20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185153FD" w14:textId="6C33CD0D" w:rsidR="002E7040" w:rsidRPr="00F477F6" w:rsidRDefault="007F2FCD" w:rsidP="00D20D53">
      <w:pPr>
        <w:pStyle w:val="Tablenote"/>
      </w:pPr>
      <w:r w:rsidRPr="00F477F6">
        <w:t xml:space="preserve">Source: </w:t>
      </w:r>
      <w:r w:rsidR="000E0B95" w:rsidRPr="00F477F6">
        <w:t>Department of Education</w:t>
      </w:r>
    </w:p>
    <w:p w14:paraId="5A92D9B7" w14:textId="08ADF964" w:rsidR="0012614E" w:rsidRPr="00F477F6" w:rsidRDefault="0012614E" w:rsidP="00D20D53">
      <w:pPr>
        <w:pStyle w:val="Heading3"/>
        <w:rPr>
          <w:lang w:val="en-AU"/>
        </w:rPr>
      </w:pPr>
      <w:r w:rsidRPr="00F477F6">
        <w:rPr>
          <w:lang w:val="en-AU"/>
        </w:rPr>
        <w:t xml:space="preserve">Enrolled </w:t>
      </w:r>
      <w:r w:rsidR="000E0B95" w:rsidRPr="00F477F6">
        <w:rPr>
          <w:lang w:val="en-AU"/>
        </w:rPr>
        <w:t>n</w:t>
      </w:r>
      <w:r w:rsidRPr="00F477F6">
        <w:rPr>
          <w:lang w:val="en-AU"/>
        </w:rPr>
        <w:t xml:space="preserve">urse </w:t>
      </w:r>
      <w:r w:rsidR="000E0B95" w:rsidRPr="00F477F6">
        <w:rPr>
          <w:lang w:val="en-AU"/>
        </w:rPr>
        <w:t>s</w:t>
      </w:r>
      <w:r w:rsidRPr="00F477F6">
        <w:rPr>
          <w:lang w:val="en-AU"/>
        </w:rPr>
        <w:t>tudents</w:t>
      </w:r>
    </w:p>
    <w:p w14:paraId="648E28B4" w14:textId="3CED0DAC" w:rsidR="00416602" w:rsidRPr="00F477F6" w:rsidRDefault="003B751B" w:rsidP="00D20D53">
      <w:pPr>
        <w:rPr>
          <w:rFonts w:eastAsia="Calibri" w:cs="Times New Roman"/>
        </w:rPr>
      </w:pPr>
      <w:r w:rsidRPr="00F477F6">
        <w:t>EN</w:t>
      </w:r>
      <w:r w:rsidR="00416602" w:rsidRPr="00F477F6">
        <w:t xml:space="preserve"> commencing enrolments ha</w:t>
      </w:r>
      <w:r w:rsidR="000E0B95" w:rsidRPr="00F477F6">
        <w:t>ve</w:t>
      </w:r>
      <w:r w:rsidR="00416602" w:rsidRPr="00F477F6">
        <w:t xml:space="preserve"> incr</w:t>
      </w:r>
      <w:r w:rsidR="001262DE" w:rsidRPr="00F477F6">
        <w:t>eased by over one-third (38 per</w:t>
      </w:r>
      <w:r w:rsidR="00416602" w:rsidRPr="00F477F6">
        <w:t xml:space="preserve">cent) over the period 2009 to 2012 </w:t>
      </w:r>
      <w:r w:rsidR="0012614E" w:rsidRPr="00F477F6">
        <w:rPr>
          <w:rFonts w:eastAsia="Calibri" w:cs="Times New Roman"/>
        </w:rPr>
        <w:t>(</w:t>
      </w:r>
      <w:bookmarkStart w:id="85" w:name="_Ref382995950"/>
      <w:r w:rsidR="000355C9" w:rsidRPr="00F477F6">
        <w:rPr>
          <w:rFonts w:eastAsia="Calibri" w:cs="Times New Roman"/>
        </w:rPr>
        <w:fldChar w:fldCharType="begin"/>
      </w:r>
      <w:r w:rsidR="000355C9" w:rsidRPr="00F477F6">
        <w:rPr>
          <w:rFonts w:eastAsia="Calibri" w:cs="Times New Roman"/>
        </w:rPr>
        <w:instrText xml:space="preserve"> REF _Ref387393384 \h </w:instrText>
      </w:r>
      <w:r w:rsidR="00FE114D" w:rsidRPr="00F477F6">
        <w:rPr>
          <w:rFonts w:eastAsia="Calibri" w:cs="Times New Roman"/>
        </w:rPr>
        <w:instrText xml:space="preserve"> \* MERGEFORMAT </w:instrText>
      </w:r>
      <w:r w:rsidR="000355C9" w:rsidRPr="00F477F6">
        <w:rPr>
          <w:rFonts w:eastAsia="Calibri" w:cs="Times New Roman"/>
        </w:rPr>
      </w:r>
      <w:r w:rsidR="000355C9" w:rsidRPr="00F477F6">
        <w:rPr>
          <w:rFonts w:eastAsia="Calibri" w:cs="Times New Roman"/>
        </w:rPr>
        <w:fldChar w:fldCharType="separate"/>
      </w:r>
      <w:r w:rsidR="00641259" w:rsidRPr="00F477F6">
        <w:t xml:space="preserve">Figure </w:t>
      </w:r>
      <w:r w:rsidR="00641259">
        <w:rPr>
          <w:noProof/>
        </w:rPr>
        <w:t>6</w:t>
      </w:r>
      <w:r w:rsidR="000355C9" w:rsidRPr="00F477F6">
        <w:rPr>
          <w:rFonts w:eastAsia="Calibri" w:cs="Times New Roman"/>
        </w:rPr>
        <w:fldChar w:fldCharType="end"/>
      </w:r>
      <w:r w:rsidR="00416602" w:rsidRPr="00F477F6">
        <w:rPr>
          <w:rFonts w:eastAsia="Calibri" w:cs="Times New Roman"/>
        </w:rPr>
        <w:t>).</w:t>
      </w:r>
    </w:p>
    <w:p w14:paraId="3CBC7FB8" w14:textId="49557AC6" w:rsidR="00B34117" w:rsidRPr="00F477F6" w:rsidRDefault="000355C9" w:rsidP="00D20D53">
      <w:pPr>
        <w:pStyle w:val="Caption"/>
      </w:pPr>
      <w:bookmarkStart w:id="86" w:name="_Ref387393384"/>
      <w:bookmarkStart w:id="87" w:name="_Toc407783219"/>
      <w:bookmarkEnd w:id="85"/>
      <w:r w:rsidRPr="00F477F6">
        <w:lastRenderedPageBreak/>
        <w:t xml:space="preserve">Figure </w:t>
      </w:r>
      <w:fldSimple w:instr=" SEQ Figure \* ARABIC ">
        <w:r w:rsidR="00641259">
          <w:rPr>
            <w:noProof/>
          </w:rPr>
          <w:t>6</w:t>
        </w:r>
      </w:fldSimple>
      <w:bookmarkEnd w:id="86"/>
      <w:r w:rsidR="00B34117" w:rsidRPr="00F477F6">
        <w:t>: Enrolled nurse commencing enrolments, 2009 to 2012</w:t>
      </w:r>
      <w:bookmarkEnd w:id="87"/>
    </w:p>
    <w:p w14:paraId="76ED736A" w14:textId="48F10816" w:rsidR="00CB54CB" w:rsidRPr="00D20D53" w:rsidRDefault="00CB54CB" w:rsidP="00D20D53">
      <w:r w:rsidRPr="00F477F6">
        <w:rPr>
          <w:noProof/>
          <w:lang w:eastAsia="en-AU"/>
        </w:rPr>
        <w:drawing>
          <wp:inline distT="0" distB="0" distL="0" distR="0" wp14:anchorId="61D011E0" wp14:editId="794E6929">
            <wp:extent cx="4572000" cy="2876550"/>
            <wp:effectExtent l="0" t="0" r="19050" b="19050"/>
            <wp:docPr id="6" name="Chart 6" descr="The figure shows the total number of Enrolled nurse commencing enrolments from 2009 to 2012 by gender.&#10;&#10;In 2009 there were 16,731 students in total comprising of 14,504 females and 2,227 males.&#10;In 2010 there were 19,658 students in total comprising of 17,026 females and 2,632 males.&#10;In 2011 there were 23,125 students in total comprising of 19,900 females and 3,225 males.&#10;In 2012 there were 23,068 students in total comprising of 20,116 females and 2,952 males.&#10;&#10;&#10;&#10;" title="Figure 6: Enrolled nurse commencing enrolments, 2009 to 20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150B2DF4" w14:textId="77777777" w:rsidR="00B34117" w:rsidRPr="00F477F6" w:rsidRDefault="00B34117" w:rsidP="00D20D53">
      <w:pPr>
        <w:pStyle w:val="Tablenote"/>
      </w:pPr>
      <w:r w:rsidRPr="00F477F6">
        <w:t>Source: NCVER</w:t>
      </w:r>
      <w:r w:rsidR="00A656E3" w:rsidRPr="00F477F6">
        <w:t xml:space="preserve"> VET provider collection</w:t>
      </w:r>
    </w:p>
    <w:p w14:paraId="62AEAECF" w14:textId="2CFA86AB" w:rsidR="00E53E4A" w:rsidRPr="00F477F6" w:rsidRDefault="003008B9" w:rsidP="00D20D53">
      <w:r w:rsidRPr="00F477F6">
        <w:t>Figure 7</w:t>
      </w:r>
      <w:r w:rsidR="00016929">
        <w:t xml:space="preserve"> </w:t>
      </w:r>
      <w:r w:rsidR="00E53E4A" w:rsidRPr="00F477F6">
        <w:t xml:space="preserve">shows the number of </w:t>
      </w:r>
      <w:r w:rsidR="006D775F" w:rsidRPr="00F477F6">
        <w:t>EN</w:t>
      </w:r>
      <w:r w:rsidR="00E53E4A" w:rsidRPr="00F477F6">
        <w:t xml:space="preserve"> qualifications completed, with a substantial increase in qualifications completed in 2012 compared with the previous selected years. </w:t>
      </w:r>
    </w:p>
    <w:p w14:paraId="68EEAE7F" w14:textId="4D2048A6" w:rsidR="00C24D8D" w:rsidRPr="00F477F6" w:rsidRDefault="000355C9" w:rsidP="00D20D53">
      <w:pPr>
        <w:pStyle w:val="Caption"/>
      </w:pPr>
      <w:bookmarkStart w:id="88" w:name="_Ref387393408"/>
      <w:bookmarkStart w:id="89" w:name="_Toc407783220"/>
      <w:bookmarkStart w:id="90" w:name="_Toc380412524"/>
      <w:r w:rsidRPr="00F477F6">
        <w:t xml:space="preserve">Figure </w:t>
      </w:r>
      <w:fldSimple w:instr=" SEQ Figure \* ARABIC ">
        <w:r w:rsidR="00641259">
          <w:rPr>
            <w:noProof/>
          </w:rPr>
          <w:t>7</w:t>
        </w:r>
      </w:fldSimple>
      <w:bookmarkEnd w:id="88"/>
      <w:r w:rsidR="004E22A4" w:rsidRPr="00F477F6">
        <w:t xml:space="preserve">: Enrolled nurse </w:t>
      </w:r>
      <w:r w:rsidR="0011069F" w:rsidRPr="00F477F6">
        <w:t>course completions, 2009 to 2012</w:t>
      </w:r>
      <w:bookmarkEnd w:id="89"/>
    </w:p>
    <w:p w14:paraId="0ADA4782" w14:textId="5583F7F7" w:rsidR="00406188" w:rsidRPr="00D20D53" w:rsidRDefault="00406188" w:rsidP="00D20D53">
      <w:r w:rsidRPr="00D20D53">
        <w:rPr>
          <w:noProof/>
          <w:lang w:eastAsia="en-AU"/>
        </w:rPr>
        <w:drawing>
          <wp:inline distT="0" distB="0" distL="0" distR="0" wp14:anchorId="1FE4E8D1" wp14:editId="38C972C2">
            <wp:extent cx="4628257" cy="2333625"/>
            <wp:effectExtent l="0" t="0" r="1270" b="0"/>
            <wp:docPr id="11" name="Picture 11" descr="The figure shows the total number of Enrolled nurse course completions from 2009 to 2012 by gender.&#10;&#10;In 2009 there were 3,871 students in total comprising of 3,337 females and 534 males.&#10;In 2010 there were 4,317 students in total comprising of 3,738 females and 579 males.&#10;In 2011 there were 4,716 students in total comprising of 4,026 females and 690 males.&#10;In 2012 there were 6,885 students in total comprising of 6,099 females and 786 males.&#10;&#10;&#10;&#10;" title="Figure 7: Enrolled nurse course completions, 2009 to 2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633595" cy="2336317"/>
                    </a:xfrm>
                    <a:prstGeom prst="rect">
                      <a:avLst/>
                    </a:prstGeom>
                    <a:noFill/>
                  </pic:spPr>
                </pic:pic>
              </a:graphicData>
            </a:graphic>
          </wp:inline>
        </w:drawing>
      </w:r>
    </w:p>
    <w:p w14:paraId="225F0611" w14:textId="150EBB5C" w:rsidR="00DD3E03" w:rsidRPr="00F477F6" w:rsidRDefault="00DD3E03" w:rsidP="00D20D53">
      <w:pPr>
        <w:pStyle w:val="Tablenote"/>
      </w:pPr>
      <w:r w:rsidRPr="00F477F6">
        <w:t>Source: NCVER VET provider collection</w:t>
      </w:r>
    </w:p>
    <w:p w14:paraId="50DCD3CC" w14:textId="6B1FB585" w:rsidR="00FF08AB" w:rsidRPr="00F477F6" w:rsidRDefault="00FF08AB" w:rsidP="00641259">
      <w:pPr>
        <w:pStyle w:val="Heading2"/>
      </w:pPr>
      <w:bookmarkStart w:id="91" w:name="_Toc387325910"/>
      <w:bookmarkStart w:id="92" w:name="_Toc387326044"/>
      <w:bookmarkStart w:id="93" w:name="_Toc387400871"/>
      <w:bookmarkStart w:id="94" w:name="_Toc387400914"/>
      <w:bookmarkStart w:id="95" w:name="_Toc387401310"/>
      <w:r w:rsidRPr="00F477F6">
        <w:t>How many nurses are from overseas?</w:t>
      </w:r>
      <w:bookmarkEnd w:id="91"/>
      <w:bookmarkEnd w:id="92"/>
      <w:bookmarkEnd w:id="93"/>
      <w:bookmarkEnd w:id="94"/>
      <w:bookmarkEnd w:id="95"/>
    </w:p>
    <w:p w14:paraId="42B61413" w14:textId="6F2BA6BE" w:rsidR="00FF08AB" w:rsidRPr="00F477F6" w:rsidRDefault="00FF08AB" w:rsidP="00D20D53">
      <w:r w:rsidRPr="00F477F6">
        <w:t>A range of temporary and permanent visa options exi</w:t>
      </w:r>
      <w:r w:rsidR="005821BB" w:rsidRPr="00F477F6">
        <w:t>s</w:t>
      </w:r>
      <w:r w:rsidRPr="00F477F6">
        <w:t xml:space="preserve">t </w:t>
      </w:r>
      <w:r w:rsidR="005821BB" w:rsidRPr="00F477F6">
        <w:t>for</w:t>
      </w:r>
      <w:r w:rsidRPr="00F477F6">
        <w:t xml:space="preserve"> nurses wishing to work in Australia. </w:t>
      </w:r>
      <w:r w:rsidR="007321A8" w:rsidRPr="00F477F6">
        <w:fldChar w:fldCharType="begin"/>
      </w:r>
      <w:r w:rsidR="007321A8" w:rsidRPr="00F477F6">
        <w:instrText xml:space="preserve"> REF _Ref387394560 \h </w:instrText>
      </w:r>
      <w:r w:rsidR="00406188" w:rsidRPr="00F477F6">
        <w:instrText xml:space="preserve"> \* MERGEFORMAT </w:instrText>
      </w:r>
      <w:r w:rsidR="007321A8" w:rsidRPr="00F477F6">
        <w:fldChar w:fldCharType="separate"/>
      </w:r>
      <w:r w:rsidR="00641259" w:rsidRPr="00F477F6">
        <w:t xml:space="preserve">Table </w:t>
      </w:r>
      <w:r w:rsidR="00641259">
        <w:rPr>
          <w:noProof/>
        </w:rPr>
        <w:t>6</w:t>
      </w:r>
      <w:r w:rsidR="007321A8" w:rsidRPr="00F477F6">
        <w:fldChar w:fldCharType="end"/>
      </w:r>
      <w:r w:rsidR="007321A8" w:rsidRPr="00F477F6">
        <w:t xml:space="preserve"> </w:t>
      </w:r>
      <w:r w:rsidRPr="00F477F6">
        <w:t>show</w:t>
      </w:r>
      <w:r w:rsidR="004134DE" w:rsidRPr="00F477F6">
        <w:t>s</w:t>
      </w:r>
      <w:r w:rsidRPr="00F477F6">
        <w:t xml:space="preserve"> the number of </w:t>
      </w:r>
      <w:r w:rsidR="004134DE" w:rsidRPr="00F477F6">
        <w:t xml:space="preserve">temporary and permanent </w:t>
      </w:r>
      <w:r w:rsidRPr="00F477F6">
        <w:t xml:space="preserve">visas granted </w:t>
      </w:r>
      <w:r w:rsidR="004134DE" w:rsidRPr="00F477F6">
        <w:t xml:space="preserve">to RNs from 2006 to 2012. The number of </w:t>
      </w:r>
      <w:r w:rsidRPr="00F477F6">
        <w:t>RNs granted a permanent visa appears to have substantially declined since 2006</w:t>
      </w:r>
      <w:r w:rsidR="004134DE" w:rsidRPr="00F477F6">
        <w:t xml:space="preserve">; however a contributing factor to this is likely to be </w:t>
      </w:r>
      <w:r w:rsidRPr="00F477F6">
        <w:t xml:space="preserve">recent changes in the reporting methodology used by the </w:t>
      </w:r>
      <w:r w:rsidR="00125CBF" w:rsidRPr="00F477F6">
        <w:t xml:space="preserve">Australian Government </w:t>
      </w:r>
      <w:r w:rsidRPr="00F477F6">
        <w:t>Department of Immigration and Border Protection</w:t>
      </w:r>
      <w:r w:rsidR="004134DE" w:rsidRPr="00F477F6">
        <w:t>,</w:t>
      </w:r>
      <w:r w:rsidRPr="00F477F6">
        <w:t xml:space="preserve"> which minimises the likelihood of double counting permanent migrants who may have already held a temporary working visa. </w:t>
      </w:r>
    </w:p>
    <w:p w14:paraId="7B340906" w14:textId="75814760" w:rsidR="00FF08AB" w:rsidRPr="00F477F6" w:rsidRDefault="00B2497A" w:rsidP="00D20D53">
      <w:pPr>
        <w:pStyle w:val="Caption"/>
      </w:pPr>
      <w:bookmarkStart w:id="96" w:name="_Ref387394560"/>
      <w:bookmarkStart w:id="97" w:name="_Toc407783203"/>
      <w:r w:rsidRPr="00F477F6">
        <w:lastRenderedPageBreak/>
        <w:t xml:space="preserve">Table </w:t>
      </w:r>
      <w:fldSimple w:instr=" SEQ Table \* ARABIC ">
        <w:r w:rsidR="00641259">
          <w:rPr>
            <w:noProof/>
          </w:rPr>
          <w:t>6</w:t>
        </w:r>
      </w:fldSimple>
      <w:bookmarkEnd w:id="96"/>
      <w:r w:rsidR="00FF08AB" w:rsidRPr="00F477F6">
        <w:t>: Number of temporary and permanent visas granted to registered nurses, 2006</w:t>
      </w:r>
      <w:r w:rsidR="004134DE" w:rsidRPr="00F477F6">
        <w:t xml:space="preserve"> to 2</w:t>
      </w:r>
      <w:r w:rsidR="00FF08AB" w:rsidRPr="00F477F6">
        <w:t>012</w:t>
      </w:r>
      <w:bookmarkEnd w:id="97"/>
    </w:p>
    <w:tbl>
      <w:tblPr>
        <w:tblW w:w="9905" w:type="dxa"/>
        <w:tblCellMar>
          <w:left w:w="0" w:type="dxa"/>
          <w:right w:w="0" w:type="dxa"/>
        </w:tblCellMar>
        <w:tblLook w:val="04A0" w:firstRow="1" w:lastRow="0" w:firstColumn="1" w:lastColumn="0" w:noHBand="0" w:noVBand="1"/>
      </w:tblPr>
      <w:tblGrid>
        <w:gridCol w:w="1780"/>
        <w:gridCol w:w="1189"/>
        <w:gridCol w:w="1163"/>
        <w:gridCol w:w="1149"/>
        <w:gridCol w:w="1163"/>
        <w:gridCol w:w="1149"/>
        <w:gridCol w:w="1163"/>
        <w:gridCol w:w="1149"/>
      </w:tblGrid>
      <w:tr w:rsidR="00FF08AB" w:rsidRPr="00F12244" w14:paraId="010B59E6" w14:textId="77777777" w:rsidTr="00FF08AB">
        <w:trPr>
          <w:trHeight w:val="585"/>
        </w:trPr>
        <w:tc>
          <w:tcPr>
            <w:tcW w:w="1780" w:type="dxa"/>
            <w:tcBorders>
              <w:top w:val="nil"/>
              <w:left w:val="single" w:sz="8" w:space="0" w:color="auto"/>
              <w:bottom w:val="single" w:sz="8" w:space="0" w:color="auto"/>
              <w:right w:val="single" w:sz="8" w:space="0" w:color="auto"/>
            </w:tcBorders>
            <w:shd w:val="clear" w:color="auto" w:fill="0070C0"/>
            <w:noWrap/>
            <w:tcMar>
              <w:top w:w="0" w:type="dxa"/>
              <w:left w:w="108" w:type="dxa"/>
              <w:bottom w:w="0" w:type="dxa"/>
              <w:right w:w="108" w:type="dxa"/>
            </w:tcMar>
            <w:hideMark/>
          </w:tcPr>
          <w:p w14:paraId="164B2564" w14:textId="1D1EFF3C" w:rsidR="00FF08AB" w:rsidRPr="00F12244" w:rsidRDefault="008E2444" w:rsidP="00F12244">
            <w:pPr>
              <w:pStyle w:val="TableHeader"/>
            </w:pPr>
            <w:r w:rsidRPr="00F12244">
              <w:t>Visa type</w:t>
            </w:r>
            <w:bookmarkStart w:id="98" w:name="ColumnTitle_5"/>
            <w:bookmarkEnd w:id="98"/>
          </w:p>
        </w:tc>
        <w:tc>
          <w:tcPr>
            <w:tcW w:w="1189" w:type="dxa"/>
            <w:tcBorders>
              <w:top w:val="nil"/>
              <w:left w:val="nil"/>
              <w:bottom w:val="single" w:sz="8" w:space="0" w:color="auto"/>
              <w:right w:val="single" w:sz="8" w:space="0" w:color="auto"/>
            </w:tcBorders>
            <w:shd w:val="clear" w:color="auto" w:fill="0070C0"/>
            <w:tcMar>
              <w:top w:w="0" w:type="dxa"/>
              <w:left w:w="108" w:type="dxa"/>
              <w:bottom w:w="0" w:type="dxa"/>
              <w:right w:w="108" w:type="dxa"/>
            </w:tcMar>
            <w:hideMark/>
          </w:tcPr>
          <w:p w14:paraId="5BE62AB1" w14:textId="77777777" w:rsidR="00FF08AB" w:rsidRPr="00F12244" w:rsidRDefault="00FF08AB" w:rsidP="00F12244">
            <w:pPr>
              <w:pStyle w:val="TableHeader"/>
              <w:jc w:val="center"/>
            </w:pPr>
            <w:r w:rsidRPr="00F12244">
              <w:t>2006</w:t>
            </w:r>
          </w:p>
        </w:tc>
        <w:tc>
          <w:tcPr>
            <w:tcW w:w="1163" w:type="dxa"/>
            <w:tcBorders>
              <w:top w:val="nil"/>
              <w:left w:val="nil"/>
              <w:bottom w:val="single" w:sz="8" w:space="0" w:color="auto"/>
              <w:right w:val="single" w:sz="8" w:space="0" w:color="auto"/>
            </w:tcBorders>
            <w:shd w:val="clear" w:color="auto" w:fill="0070C0"/>
            <w:tcMar>
              <w:top w:w="0" w:type="dxa"/>
              <w:left w:w="108" w:type="dxa"/>
              <w:bottom w:w="0" w:type="dxa"/>
              <w:right w:w="108" w:type="dxa"/>
            </w:tcMar>
            <w:hideMark/>
          </w:tcPr>
          <w:p w14:paraId="2800BF70" w14:textId="77777777" w:rsidR="00FF08AB" w:rsidRPr="00F12244" w:rsidRDefault="00FF08AB" w:rsidP="00F12244">
            <w:pPr>
              <w:pStyle w:val="TableHeader"/>
              <w:jc w:val="center"/>
            </w:pPr>
            <w:r w:rsidRPr="00F12244">
              <w:t>2007</w:t>
            </w:r>
          </w:p>
        </w:tc>
        <w:tc>
          <w:tcPr>
            <w:tcW w:w="1149" w:type="dxa"/>
            <w:tcBorders>
              <w:top w:val="nil"/>
              <w:left w:val="nil"/>
              <w:bottom w:val="single" w:sz="8" w:space="0" w:color="auto"/>
              <w:right w:val="single" w:sz="8" w:space="0" w:color="auto"/>
            </w:tcBorders>
            <w:shd w:val="clear" w:color="auto" w:fill="0070C0"/>
            <w:tcMar>
              <w:top w:w="0" w:type="dxa"/>
              <w:left w:w="108" w:type="dxa"/>
              <w:bottom w:w="0" w:type="dxa"/>
              <w:right w:w="108" w:type="dxa"/>
            </w:tcMar>
            <w:hideMark/>
          </w:tcPr>
          <w:p w14:paraId="3FBCFE2F" w14:textId="77777777" w:rsidR="00FF08AB" w:rsidRPr="00F12244" w:rsidRDefault="00FF08AB" w:rsidP="00F12244">
            <w:pPr>
              <w:pStyle w:val="TableHeader"/>
              <w:jc w:val="center"/>
            </w:pPr>
            <w:r w:rsidRPr="00F12244">
              <w:t>2008</w:t>
            </w:r>
          </w:p>
        </w:tc>
        <w:tc>
          <w:tcPr>
            <w:tcW w:w="1163" w:type="dxa"/>
            <w:tcBorders>
              <w:top w:val="nil"/>
              <w:left w:val="nil"/>
              <w:bottom w:val="single" w:sz="8" w:space="0" w:color="auto"/>
              <w:right w:val="single" w:sz="8" w:space="0" w:color="auto"/>
            </w:tcBorders>
            <w:shd w:val="clear" w:color="auto" w:fill="0070C0"/>
            <w:tcMar>
              <w:top w:w="0" w:type="dxa"/>
              <w:left w:w="108" w:type="dxa"/>
              <w:bottom w:w="0" w:type="dxa"/>
              <w:right w:w="108" w:type="dxa"/>
            </w:tcMar>
            <w:hideMark/>
          </w:tcPr>
          <w:p w14:paraId="50702A63" w14:textId="77777777" w:rsidR="00FF08AB" w:rsidRPr="00F12244" w:rsidRDefault="00FF08AB" w:rsidP="00F12244">
            <w:pPr>
              <w:pStyle w:val="TableHeader"/>
              <w:jc w:val="center"/>
            </w:pPr>
            <w:r w:rsidRPr="00F12244">
              <w:t>2009</w:t>
            </w:r>
          </w:p>
        </w:tc>
        <w:tc>
          <w:tcPr>
            <w:tcW w:w="1149" w:type="dxa"/>
            <w:tcBorders>
              <w:top w:val="nil"/>
              <w:left w:val="nil"/>
              <w:bottom w:val="single" w:sz="8" w:space="0" w:color="auto"/>
              <w:right w:val="single" w:sz="8" w:space="0" w:color="auto"/>
            </w:tcBorders>
            <w:shd w:val="clear" w:color="auto" w:fill="0070C0"/>
            <w:tcMar>
              <w:top w:w="0" w:type="dxa"/>
              <w:left w:w="108" w:type="dxa"/>
              <w:bottom w:w="0" w:type="dxa"/>
              <w:right w:w="108" w:type="dxa"/>
            </w:tcMar>
            <w:hideMark/>
          </w:tcPr>
          <w:p w14:paraId="7A170595" w14:textId="77777777" w:rsidR="00FF08AB" w:rsidRPr="00F12244" w:rsidRDefault="00FF08AB" w:rsidP="00F12244">
            <w:pPr>
              <w:pStyle w:val="TableHeader"/>
              <w:jc w:val="center"/>
            </w:pPr>
            <w:r w:rsidRPr="00F12244">
              <w:t>2010</w:t>
            </w:r>
          </w:p>
        </w:tc>
        <w:tc>
          <w:tcPr>
            <w:tcW w:w="1163" w:type="dxa"/>
            <w:tcBorders>
              <w:top w:val="nil"/>
              <w:left w:val="nil"/>
              <w:bottom w:val="single" w:sz="8" w:space="0" w:color="auto"/>
              <w:right w:val="single" w:sz="8" w:space="0" w:color="auto"/>
            </w:tcBorders>
            <w:shd w:val="clear" w:color="auto" w:fill="0070C0"/>
            <w:tcMar>
              <w:top w:w="0" w:type="dxa"/>
              <w:left w:w="108" w:type="dxa"/>
              <w:bottom w:w="0" w:type="dxa"/>
              <w:right w:w="108" w:type="dxa"/>
            </w:tcMar>
            <w:hideMark/>
          </w:tcPr>
          <w:p w14:paraId="603E1B5D" w14:textId="77777777" w:rsidR="00FF08AB" w:rsidRPr="00F12244" w:rsidRDefault="00FF08AB" w:rsidP="00F12244">
            <w:pPr>
              <w:pStyle w:val="TableHeader"/>
              <w:jc w:val="center"/>
            </w:pPr>
            <w:r w:rsidRPr="00F12244">
              <w:t>2011</w:t>
            </w:r>
          </w:p>
        </w:tc>
        <w:tc>
          <w:tcPr>
            <w:tcW w:w="1149" w:type="dxa"/>
            <w:tcBorders>
              <w:top w:val="nil"/>
              <w:left w:val="nil"/>
              <w:bottom w:val="single" w:sz="8" w:space="0" w:color="auto"/>
              <w:right w:val="single" w:sz="8" w:space="0" w:color="auto"/>
            </w:tcBorders>
            <w:shd w:val="clear" w:color="auto" w:fill="0070C0"/>
            <w:tcMar>
              <w:top w:w="0" w:type="dxa"/>
              <w:left w:w="108" w:type="dxa"/>
              <w:bottom w:w="0" w:type="dxa"/>
              <w:right w:w="108" w:type="dxa"/>
            </w:tcMar>
            <w:hideMark/>
          </w:tcPr>
          <w:p w14:paraId="49ACB0E7" w14:textId="77777777" w:rsidR="00FF08AB" w:rsidRPr="00F12244" w:rsidRDefault="00FF08AB" w:rsidP="00F12244">
            <w:pPr>
              <w:pStyle w:val="TableHeader"/>
              <w:jc w:val="center"/>
            </w:pPr>
            <w:r w:rsidRPr="00F12244">
              <w:t>2012</w:t>
            </w:r>
          </w:p>
        </w:tc>
      </w:tr>
      <w:tr w:rsidR="00FF08AB" w:rsidRPr="00F477F6" w14:paraId="558C0DD8" w14:textId="77777777" w:rsidTr="001D3F14">
        <w:trPr>
          <w:trHeight w:val="300"/>
        </w:trPr>
        <w:tc>
          <w:tcPr>
            <w:tcW w:w="1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B848713" w14:textId="77777777" w:rsidR="00FF08AB" w:rsidRPr="008B2CBA" w:rsidRDefault="00FF08AB" w:rsidP="008B2CBA">
            <w:pPr>
              <w:pStyle w:val="TableText"/>
            </w:pPr>
            <w:r w:rsidRPr="008B2CBA">
              <w:t>Temporary</w:t>
            </w:r>
          </w:p>
        </w:tc>
        <w:tc>
          <w:tcPr>
            <w:tcW w:w="1189"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63EB86D" w14:textId="77777777" w:rsidR="00FF08AB" w:rsidRPr="008B2CBA" w:rsidRDefault="00FF08AB" w:rsidP="008B2CBA">
            <w:pPr>
              <w:pStyle w:val="TableText"/>
              <w:jc w:val="right"/>
            </w:pPr>
            <w:r w:rsidRPr="008B2CBA">
              <w:t>2782</w:t>
            </w:r>
          </w:p>
        </w:tc>
        <w:tc>
          <w:tcPr>
            <w:tcW w:w="1163"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F35E860" w14:textId="77777777" w:rsidR="00FF08AB" w:rsidRPr="008B2CBA" w:rsidRDefault="00FF08AB" w:rsidP="008B2CBA">
            <w:pPr>
              <w:pStyle w:val="TableText"/>
              <w:jc w:val="right"/>
            </w:pPr>
            <w:r w:rsidRPr="008B2CBA">
              <w:t>3272</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bottom"/>
          </w:tcPr>
          <w:p w14:paraId="5220AAF7" w14:textId="77777777" w:rsidR="00FF08AB" w:rsidRPr="008B2CBA" w:rsidRDefault="00FF08AB" w:rsidP="008B2CBA">
            <w:pPr>
              <w:pStyle w:val="TableText"/>
              <w:jc w:val="right"/>
            </w:pPr>
            <w:r w:rsidRPr="008B2CBA">
              <w:t>3762</w:t>
            </w:r>
          </w:p>
        </w:tc>
        <w:tc>
          <w:tcPr>
            <w:tcW w:w="1163" w:type="dxa"/>
            <w:tcBorders>
              <w:top w:val="nil"/>
              <w:left w:val="nil"/>
              <w:bottom w:val="single" w:sz="8" w:space="0" w:color="auto"/>
              <w:right w:val="single" w:sz="8" w:space="0" w:color="auto"/>
            </w:tcBorders>
            <w:tcMar>
              <w:top w:w="0" w:type="dxa"/>
              <w:left w:w="108" w:type="dxa"/>
              <w:bottom w:w="0" w:type="dxa"/>
              <w:right w:w="108" w:type="dxa"/>
            </w:tcMar>
            <w:vAlign w:val="bottom"/>
          </w:tcPr>
          <w:p w14:paraId="4A4BA02B" w14:textId="77777777" w:rsidR="00FF08AB" w:rsidRPr="008B2CBA" w:rsidRDefault="00FF08AB" w:rsidP="008B2CBA">
            <w:pPr>
              <w:pStyle w:val="TableText"/>
              <w:jc w:val="right"/>
            </w:pPr>
            <w:r w:rsidRPr="008B2CBA">
              <w:t>3456</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bottom"/>
          </w:tcPr>
          <w:p w14:paraId="524C74AD" w14:textId="77777777" w:rsidR="00FF08AB" w:rsidRPr="008B2CBA" w:rsidRDefault="00FF08AB" w:rsidP="008B2CBA">
            <w:pPr>
              <w:pStyle w:val="TableText"/>
              <w:jc w:val="right"/>
            </w:pPr>
            <w:r w:rsidRPr="008B2CBA">
              <w:t>2319</w:t>
            </w:r>
          </w:p>
        </w:tc>
        <w:tc>
          <w:tcPr>
            <w:tcW w:w="1163" w:type="dxa"/>
            <w:tcBorders>
              <w:top w:val="nil"/>
              <w:left w:val="nil"/>
              <w:bottom w:val="single" w:sz="8" w:space="0" w:color="auto"/>
              <w:right w:val="single" w:sz="8" w:space="0" w:color="auto"/>
            </w:tcBorders>
            <w:tcMar>
              <w:top w:w="0" w:type="dxa"/>
              <w:left w:w="108" w:type="dxa"/>
              <w:bottom w:w="0" w:type="dxa"/>
              <w:right w:w="108" w:type="dxa"/>
            </w:tcMar>
            <w:vAlign w:val="bottom"/>
          </w:tcPr>
          <w:p w14:paraId="5A24EFA1" w14:textId="77777777" w:rsidR="00FF08AB" w:rsidRPr="008B2CBA" w:rsidRDefault="00FF08AB" w:rsidP="008B2CBA">
            <w:pPr>
              <w:pStyle w:val="TableText"/>
              <w:jc w:val="right"/>
            </w:pPr>
            <w:r w:rsidRPr="008B2CBA">
              <w:t>2747</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bottom"/>
          </w:tcPr>
          <w:p w14:paraId="5609EB13" w14:textId="77777777" w:rsidR="00FF08AB" w:rsidRPr="008B2CBA" w:rsidRDefault="00FF08AB" w:rsidP="008B2CBA">
            <w:pPr>
              <w:pStyle w:val="TableText"/>
              <w:jc w:val="right"/>
            </w:pPr>
            <w:r w:rsidRPr="008B2CBA">
              <w:t>3124</w:t>
            </w:r>
          </w:p>
        </w:tc>
      </w:tr>
      <w:tr w:rsidR="00FF08AB" w:rsidRPr="00F477F6" w14:paraId="66D1B2AD" w14:textId="77777777" w:rsidTr="001D3F14">
        <w:trPr>
          <w:trHeight w:val="300"/>
        </w:trPr>
        <w:tc>
          <w:tcPr>
            <w:tcW w:w="1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8FBFE6B" w14:textId="77777777" w:rsidR="00FF08AB" w:rsidRPr="008B2CBA" w:rsidRDefault="00FF08AB" w:rsidP="008B2CBA">
            <w:pPr>
              <w:pStyle w:val="TableText"/>
            </w:pPr>
            <w:r w:rsidRPr="008B2CBA">
              <w:t>Permanent</w:t>
            </w:r>
          </w:p>
        </w:tc>
        <w:tc>
          <w:tcPr>
            <w:tcW w:w="1189"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65C3EBC" w14:textId="77777777" w:rsidR="00FF08AB" w:rsidRPr="008B2CBA" w:rsidRDefault="00FF08AB" w:rsidP="008B2CBA">
            <w:pPr>
              <w:pStyle w:val="TableText"/>
              <w:jc w:val="right"/>
            </w:pPr>
            <w:r w:rsidRPr="008B2CBA">
              <w:t>1863</w:t>
            </w:r>
          </w:p>
        </w:tc>
        <w:tc>
          <w:tcPr>
            <w:tcW w:w="1163"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BDFB9D7" w14:textId="77777777" w:rsidR="00FF08AB" w:rsidRPr="008B2CBA" w:rsidRDefault="00FF08AB" w:rsidP="008B2CBA">
            <w:pPr>
              <w:pStyle w:val="TableText"/>
              <w:jc w:val="right"/>
            </w:pPr>
            <w:r w:rsidRPr="008B2CBA">
              <w:t>1103</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bottom"/>
          </w:tcPr>
          <w:p w14:paraId="60E95D92" w14:textId="77777777" w:rsidR="00FF08AB" w:rsidRPr="008B2CBA" w:rsidRDefault="00FF08AB" w:rsidP="008B2CBA">
            <w:pPr>
              <w:pStyle w:val="TableText"/>
              <w:jc w:val="right"/>
            </w:pPr>
            <w:r w:rsidRPr="008B2CBA">
              <w:t>1054</w:t>
            </w:r>
          </w:p>
        </w:tc>
        <w:tc>
          <w:tcPr>
            <w:tcW w:w="1163" w:type="dxa"/>
            <w:tcBorders>
              <w:top w:val="nil"/>
              <w:left w:val="nil"/>
              <w:bottom w:val="single" w:sz="8" w:space="0" w:color="auto"/>
              <w:right w:val="single" w:sz="8" w:space="0" w:color="auto"/>
            </w:tcBorders>
            <w:tcMar>
              <w:top w:w="0" w:type="dxa"/>
              <w:left w:w="108" w:type="dxa"/>
              <w:bottom w:w="0" w:type="dxa"/>
              <w:right w:w="108" w:type="dxa"/>
            </w:tcMar>
            <w:vAlign w:val="bottom"/>
          </w:tcPr>
          <w:p w14:paraId="73B79C87" w14:textId="77777777" w:rsidR="00FF08AB" w:rsidRPr="008B2CBA" w:rsidRDefault="00FF08AB" w:rsidP="008B2CBA">
            <w:pPr>
              <w:pStyle w:val="TableText"/>
              <w:jc w:val="right"/>
            </w:pPr>
            <w:r w:rsidRPr="008B2CBA">
              <w:t>1213</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bottom"/>
          </w:tcPr>
          <w:p w14:paraId="65FCD5DC" w14:textId="77777777" w:rsidR="00FF08AB" w:rsidRPr="008B2CBA" w:rsidRDefault="00FF08AB" w:rsidP="008B2CBA">
            <w:pPr>
              <w:pStyle w:val="TableText"/>
              <w:jc w:val="right"/>
            </w:pPr>
            <w:r w:rsidRPr="008B2CBA">
              <w:t>926</w:t>
            </w:r>
          </w:p>
        </w:tc>
        <w:tc>
          <w:tcPr>
            <w:tcW w:w="1163" w:type="dxa"/>
            <w:tcBorders>
              <w:top w:val="nil"/>
              <w:left w:val="nil"/>
              <w:bottom w:val="single" w:sz="8" w:space="0" w:color="auto"/>
              <w:right w:val="single" w:sz="8" w:space="0" w:color="auto"/>
            </w:tcBorders>
            <w:tcMar>
              <w:top w:w="0" w:type="dxa"/>
              <w:left w:w="108" w:type="dxa"/>
              <w:bottom w:w="0" w:type="dxa"/>
              <w:right w:w="108" w:type="dxa"/>
            </w:tcMar>
            <w:vAlign w:val="bottom"/>
          </w:tcPr>
          <w:p w14:paraId="2FA54BA3" w14:textId="77777777" w:rsidR="00FF08AB" w:rsidRPr="008B2CBA" w:rsidRDefault="00FF08AB" w:rsidP="008B2CBA">
            <w:pPr>
              <w:pStyle w:val="TableText"/>
              <w:jc w:val="right"/>
            </w:pPr>
            <w:r w:rsidRPr="008B2CBA">
              <w:t>708</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bottom"/>
          </w:tcPr>
          <w:p w14:paraId="73538993" w14:textId="77777777" w:rsidR="00FF08AB" w:rsidRPr="008B2CBA" w:rsidRDefault="00FF08AB" w:rsidP="008B2CBA">
            <w:pPr>
              <w:pStyle w:val="TableText"/>
              <w:jc w:val="right"/>
            </w:pPr>
            <w:r w:rsidRPr="008B2CBA">
              <w:t>612</w:t>
            </w:r>
          </w:p>
        </w:tc>
      </w:tr>
      <w:tr w:rsidR="00FF08AB" w:rsidRPr="00F12244" w14:paraId="5A8B1DDE" w14:textId="77777777" w:rsidTr="001D3F14">
        <w:trPr>
          <w:trHeight w:val="285"/>
        </w:trPr>
        <w:tc>
          <w:tcPr>
            <w:tcW w:w="1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5C094CE" w14:textId="77777777" w:rsidR="00FF08AB" w:rsidRPr="00F12244" w:rsidRDefault="00FF08AB" w:rsidP="008B2CBA">
            <w:pPr>
              <w:pStyle w:val="TableText"/>
              <w:rPr>
                <w:b/>
              </w:rPr>
            </w:pPr>
            <w:r w:rsidRPr="00F12244">
              <w:rPr>
                <w:b/>
              </w:rPr>
              <w:t>Total</w:t>
            </w:r>
          </w:p>
        </w:tc>
        <w:tc>
          <w:tcPr>
            <w:tcW w:w="1189"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8196347" w14:textId="77777777" w:rsidR="00FF08AB" w:rsidRPr="00F12244" w:rsidRDefault="00FF08AB" w:rsidP="008B2CBA">
            <w:pPr>
              <w:pStyle w:val="TableText"/>
              <w:jc w:val="right"/>
              <w:rPr>
                <w:b/>
              </w:rPr>
            </w:pPr>
            <w:r w:rsidRPr="00F12244">
              <w:rPr>
                <w:b/>
              </w:rPr>
              <w:t>4645</w:t>
            </w:r>
          </w:p>
        </w:tc>
        <w:tc>
          <w:tcPr>
            <w:tcW w:w="1163"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102565D" w14:textId="77777777" w:rsidR="00FF08AB" w:rsidRPr="00F12244" w:rsidRDefault="00FF08AB" w:rsidP="008B2CBA">
            <w:pPr>
              <w:pStyle w:val="TableText"/>
              <w:jc w:val="right"/>
              <w:rPr>
                <w:b/>
              </w:rPr>
            </w:pPr>
            <w:r w:rsidRPr="00F12244">
              <w:rPr>
                <w:b/>
              </w:rPr>
              <w:t>4375</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bottom"/>
          </w:tcPr>
          <w:p w14:paraId="71B7F0C5" w14:textId="77777777" w:rsidR="00FF08AB" w:rsidRPr="00F12244" w:rsidRDefault="00FF08AB" w:rsidP="008B2CBA">
            <w:pPr>
              <w:pStyle w:val="TableText"/>
              <w:jc w:val="right"/>
              <w:rPr>
                <w:b/>
              </w:rPr>
            </w:pPr>
            <w:r w:rsidRPr="00F12244">
              <w:rPr>
                <w:b/>
              </w:rPr>
              <w:t>4816</w:t>
            </w:r>
          </w:p>
        </w:tc>
        <w:tc>
          <w:tcPr>
            <w:tcW w:w="1163" w:type="dxa"/>
            <w:tcBorders>
              <w:top w:val="nil"/>
              <w:left w:val="nil"/>
              <w:bottom w:val="single" w:sz="8" w:space="0" w:color="auto"/>
              <w:right w:val="single" w:sz="8" w:space="0" w:color="auto"/>
            </w:tcBorders>
            <w:tcMar>
              <w:top w:w="0" w:type="dxa"/>
              <w:left w:w="108" w:type="dxa"/>
              <w:bottom w:w="0" w:type="dxa"/>
              <w:right w:w="108" w:type="dxa"/>
            </w:tcMar>
            <w:vAlign w:val="bottom"/>
          </w:tcPr>
          <w:p w14:paraId="389C9E3E" w14:textId="77777777" w:rsidR="00FF08AB" w:rsidRPr="00F12244" w:rsidRDefault="00FF08AB" w:rsidP="008B2CBA">
            <w:pPr>
              <w:pStyle w:val="TableText"/>
              <w:jc w:val="right"/>
              <w:rPr>
                <w:b/>
              </w:rPr>
            </w:pPr>
            <w:r w:rsidRPr="00F12244">
              <w:rPr>
                <w:b/>
              </w:rPr>
              <w:t>4669</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bottom"/>
          </w:tcPr>
          <w:p w14:paraId="6B6F80EB" w14:textId="77777777" w:rsidR="00FF08AB" w:rsidRPr="00F12244" w:rsidRDefault="00FF08AB" w:rsidP="008B2CBA">
            <w:pPr>
              <w:pStyle w:val="TableText"/>
              <w:jc w:val="right"/>
              <w:rPr>
                <w:b/>
              </w:rPr>
            </w:pPr>
            <w:r w:rsidRPr="00F12244">
              <w:rPr>
                <w:b/>
              </w:rPr>
              <w:t>3245</w:t>
            </w:r>
          </w:p>
        </w:tc>
        <w:tc>
          <w:tcPr>
            <w:tcW w:w="1163" w:type="dxa"/>
            <w:tcBorders>
              <w:top w:val="nil"/>
              <w:left w:val="nil"/>
              <w:bottom w:val="single" w:sz="8" w:space="0" w:color="auto"/>
              <w:right w:val="single" w:sz="8" w:space="0" w:color="auto"/>
            </w:tcBorders>
            <w:tcMar>
              <w:top w:w="0" w:type="dxa"/>
              <w:left w:w="108" w:type="dxa"/>
              <w:bottom w:w="0" w:type="dxa"/>
              <w:right w:w="108" w:type="dxa"/>
            </w:tcMar>
            <w:vAlign w:val="bottom"/>
          </w:tcPr>
          <w:p w14:paraId="2FB1B3C1" w14:textId="77777777" w:rsidR="00FF08AB" w:rsidRPr="00F12244" w:rsidRDefault="00FF08AB" w:rsidP="008B2CBA">
            <w:pPr>
              <w:pStyle w:val="TableText"/>
              <w:jc w:val="right"/>
              <w:rPr>
                <w:b/>
              </w:rPr>
            </w:pPr>
            <w:r w:rsidRPr="00F12244">
              <w:rPr>
                <w:b/>
              </w:rPr>
              <w:t>3455</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bottom"/>
          </w:tcPr>
          <w:p w14:paraId="4F49BAAB" w14:textId="77777777" w:rsidR="00FF08AB" w:rsidRPr="00F12244" w:rsidRDefault="00FF08AB" w:rsidP="008B2CBA">
            <w:pPr>
              <w:pStyle w:val="TableText"/>
              <w:jc w:val="right"/>
              <w:rPr>
                <w:b/>
              </w:rPr>
            </w:pPr>
            <w:r w:rsidRPr="00F12244">
              <w:rPr>
                <w:b/>
              </w:rPr>
              <w:t>3736</w:t>
            </w:r>
          </w:p>
        </w:tc>
      </w:tr>
    </w:tbl>
    <w:p w14:paraId="2605AF22" w14:textId="51F597C3" w:rsidR="00FF08AB" w:rsidRPr="00F477F6" w:rsidRDefault="00FF08AB" w:rsidP="00D20D53">
      <w:pPr>
        <w:pStyle w:val="Tablenote"/>
      </w:pPr>
      <w:r w:rsidRPr="00F477F6">
        <w:t xml:space="preserve">Source: </w:t>
      </w:r>
      <w:r w:rsidR="004134DE" w:rsidRPr="00F477F6">
        <w:t>Department of Immigration and Border Protection</w:t>
      </w:r>
    </w:p>
    <w:p w14:paraId="4AC8AA37" w14:textId="36881E16" w:rsidR="00E43D16" w:rsidRPr="00F477F6" w:rsidRDefault="007321A8" w:rsidP="00D20D53">
      <w:r w:rsidRPr="00F477F6">
        <w:rPr>
          <w:rFonts w:eastAsia="Calibri" w:cs="Times New Roman"/>
        </w:rPr>
        <w:fldChar w:fldCharType="begin"/>
      </w:r>
      <w:r w:rsidRPr="00F477F6">
        <w:instrText xml:space="preserve"> REF _Ref387394584 \h </w:instrText>
      </w:r>
      <w:r w:rsidR="00695F00" w:rsidRPr="00F477F6">
        <w:rPr>
          <w:rFonts w:eastAsia="Calibri" w:cs="Times New Roman"/>
        </w:rPr>
        <w:instrText xml:space="preserve"> \* MERGEFORMAT </w:instrText>
      </w:r>
      <w:r w:rsidRPr="00F477F6">
        <w:rPr>
          <w:rFonts w:eastAsia="Calibri" w:cs="Times New Roman"/>
        </w:rPr>
      </w:r>
      <w:r w:rsidRPr="00F477F6">
        <w:rPr>
          <w:rFonts w:eastAsia="Calibri" w:cs="Times New Roman"/>
        </w:rPr>
        <w:fldChar w:fldCharType="separate"/>
      </w:r>
      <w:r w:rsidR="00641259" w:rsidRPr="00F477F6">
        <w:t xml:space="preserve">Table </w:t>
      </w:r>
      <w:r w:rsidR="00641259">
        <w:rPr>
          <w:noProof/>
        </w:rPr>
        <w:t>7</w:t>
      </w:r>
      <w:r w:rsidRPr="00F477F6">
        <w:rPr>
          <w:rFonts w:eastAsia="Calibri" w:cs="Times New Roman"/>
        </w:rPr>
        <w:fldChar w:fldCharType="end"/>
      </w:r>
      <w:r w:rsidR="00E43D16" w:rsidRPr="00F477F6">
        <w:t xml:space="preserve"> shows that while few permanent and temporary visas were granted to ENs over the selected years, the highest numbers were granted in 2012. This is likely a reflection of ENs being added to the skilled occupation list from 2012.</w:t>
      </w:r>
    </w:p>
    <w:p w14:paraId="431C6AE4" w14:textId="249AE1AE" w:rsidR="00FF08AB" w:rsidRPr="00F477F6" w:rsidRDefault="00B2497A" w:rsidP="00D20D53">
      <w:pPr>
        <w:pStyle w:val="Caption"/>
      </w:pPr>
      <w:bookmarkStart w:id="99" w:name="_Ref387394584"/>
      <w:bookmarkStart w:id="100" w:name="_Toc407783204"/>
      <w:r w:rsidRPr="00F477F6">
        <w:t xml:space="preserve">Table </w:t>
      </w:r>
      <w:fldSimple w:instr=" SEQ Table \* ARABIC ">
        <w:r w:rsidR="00641259">
          <w:rPr>
            <w:noProof/>
          </w:rPr>
          <w:t>7</w:t>
        </w:r>
      </w:fldSimple>
      <w:bookmarkEnd w:id="99"/>
      <w:r w:rsidR="00FF08AB" w:rsidRPr="00F477F6">
        <w:t>: Number of temporary and permanent visas granted to enrolled nurses, 2006</w:t>
      </w:r>
      <w:r w:rsidR="004134DE" w:rsidRPr="00F477F6">
        <w:t xml:space="preserve"> to </w:t>
      </w:r>
      <w:r w:rsidR="00FF08AB" w:rsidRPr="00F477F6">
        <w:t>2012</w:t>
      </w:r>
      <w:bookmarkEnd w:id="100"/>
    </w:p>
    <w:tbl>
      <w:tblPr>
        <w:tblW w:w="9905" w:type="dxa"/>
        <w:tblCellMar>
          <w:left w:w="0" w:type="dxa"/>
          <w:right w:w="0" w:type="dxa"/>
        </w:tblCellMar>
        <w:tblLook w:val="04A0" w:firstRow="1" w:lastRow="0" w:firstColumn="1" w:lastColumn="0" w:noHBand="0" w:noVBand="1"/>
      </w:tblPr>
      <w:tblGrid>
        <w:gridCol w:w="1780"/>
        <w:gridCol w:w="1189"/>
        <w:gridCol w:w="1163"/>
        <w:gridCol w:w="1149"/>
        <w:gridCol w:w="1163"/>
        <w:gridCol w:w="1149"/>
        <w:gridCol w:w="1163"/>
        <w:gridCol w:w="1149"/>
      </w:tblGrid>
      <w:tr w:rsidR="00FF08AB" w:rsidRPr="00F12244" w14:paraId="3E9E1ABC" w14:textId="77777777" w:rsidTr="008C74CC">
        <w:trPr>
          <w:trHeight w:val="585"/>
        </w:trPr>
        <w:tc>
          <w:tcPr>
            <w:tcW w:w="1780" w:type="dxa"/>
            <w:tcBorders>
              <w:top w:val="nil"/>
              <w:left w:val="single" w:sz="8" w:space="0" w:color="auto"/>
              <w:bottom w:val="single" w:sz="8" w:space="0" w:color="auto"/>
              <w:right w:val="single" w:sz="8" w:space="0" w:color="auto"/>
            </w:tcBorders>
            <w:shd w:val="clear" w:color="auto" w:fill="0070C0"/>
            <w:noWrap/>
            <w:tcMar>
              <w:top w:w="0" w:type="dxa"/>
              <w:left w:w="108" w:type="dxa"/>
              <w:bottom w:w="0" w:type="dxa"/>
              <w:right w:w="108" w:type="dxa"/>
            </w:tcMar>
            <w:hideMark/>
          </w:tcPr>
          <w:p w14:paraId="343D87DE" w14:textId="53658767" w:rsidR="00FF08AB" w:rsidRPr="00F12244" w:rsidRDefault="008E2444" w:rsidP="00F12244">
            <w:pPr>
              <w:pStyle w:val="TableHeader"/>
            </w:pPr>
            <w:r w:rsidRPr="00F12244">
              <w:t>Visa type</w:t>
            </w:r>
            <w:bookmarkStart w:id="101" w:name="ColumnTitle_6"/>
            <w:bookmarkEnd w:id="101"/>
          </w:p>
        </w:tc>
        <w:tc>
          <w:tcPr>
            <w:tcW w:w="1189" w:type="dxa"/>
            <w:tcBorders>
              <w:top w:val="nil"/>
              <w:left w:val="nil"/>
              <w:bottom w:val="single" w:sz="8" w:space="0" w:color="auto"/>
              <w:right w:val="single" w:sz="8" w:space="0" w:color="auto"/>
            </w:tcBorders>
            <w:shd w:val="clear" w:color="auto" w:fill="0070C0"/>
            <w:tcMar>
              <w:top w:w="0" w:type="dxa"/>
              <w:left w:w="108" w:type="dxa"/>
              <w:bottom w:w="0" w:type="dxa"/>
              <w:right w:w="108" w:type="dxa"/>
            </w:tcMar>
            <w:vAlign w:val="center"/>
            <w:hideMark/>
          </w:tcPr>
          <w:p w14:paraId="37921DB9" w14:textId="77777777" w:rsidR="00FF08AB" w:rsidRPr="00F12244" w:rsidRDefault="00FF08AB" w:rsidP="00F12244">
            <w:pPr>
              <w:pStyle w:val="TableHeader"/>
              <w:jc w:val="center"/>
            </w:pPr>
            <w:r w:rsidRPr="00F12244">
              <w:t>2006</w:t>
            </w:r>
          </w:p>
        </w:tc>
        <w:tc>
          <w:tcPr>
            <w:tcW w:w="1163" w:type="dxa"/>
            <w:tcBorders>
              <w:top w:val="nil"/>
              <w:left w:val="nil"/>
              <w:bottom w:val="single" w:sz="8" w:space="0" w:color="auto"/>
              <w:right w:val="single" w:sz="8" w:space="0" w:color="auto"/>
            </w:tcBorders>
            <w:shd w:val="clear" w:color="auto" w:fill="0070C0"/>
            <w:tcMar>
              <w:top w:w="0" w:type="dxa"/>
              <w:left w:w="108" w:type="dxa"/>
              <w:bottom w:w="0" w:type="dxa"/>
              <w:right w:w="108" w:type="dxa"/>
            </w:tcMar>
            <w:vAlign w:val="center"/>
            <w:hideMark/>
          </w:tcPr>
          <w:p w14:paraId="7B8B2662" w14:textId="77777777" w:rsidR="00FF08AB" w:rsidRPr="00F12244" w:rsidRDefault="00FF08AB" w:rsidP="00F12244">
            <w:pPr>
              <w:pStyle w:val="TableHeader"/>
              <w:jc w:val="center"/>
            </w:pPr>
            <w:r w:rsidRPr="00F12244">
              <w:t>2007</w:t>
            </w:r>
          </w:p>
        </w:tc>
        <w:tc>
          <w:tcPr>
            <w:tcW w:w="1149" w:type="dxa"/>
            <w:tcBorders>
              <w:top w:val="nil"/>
              <w:left w:val="nil"/>
              <w:bottom w:val="single" w:sz="8" w:space="0" w:color="auto"/>
              <w:right w:val="single" w:sz="8" w:space="0" w:color="auto"/>
            </w:tcBorders>
            <w:shd w:val="clear" w:color="auto" w:fill="0070C0"/>
            <w:tcMar>
              <w:top w:w="0" w:type="dxa"/>
              <w:left w:w="108" w:type="dxa"/>
              <w:bottom w:w="0" w:type="dxa"/>
              <w:right w:w="108" w:type="dxa"/>
            </w:tcMar>
            <w:vAlign w:val="center"/>
            <w:hideMark/>
          </w:tcPr>
          <w:p w14:paraId="244C7830" w14:textId="77777777" w:rsidR="00FF08AB" w:rsidRPr="00F12244" w:rsidRDefault="00FF08AB" w:rsidP="00F12244">
            <w:pPr>
              <w:pStyle w:val="TableHeader"/>
              <w:jc w:val="center"/>
            </w:pPr>
            <w:r w:rsidRPr="00F12244">
              <w:t>2008</w:t>
            </w:r>
          </w:p>
        </w:tc>
        <w:tc>
          <w:tcPr>
            <w:tcW w:w="1163" w:type="dxa"/>
            <w:tcBorders>
              <w:top w:val="nil"/>
              <w:left w:val="nil"/>
              <w:bottom w:val="single" w:sz="8" w:space="0" w:color="auto"/>
              <w:right w:val="single" w:sz="8" w:space="0" w:color="auto"/>
            </w:tcBorders>
            <w:shd w:val="clear" w:color="auto" w:fill="0070C0"/>
            <w:tcMar>
              <w:top w:w="0" w:type="dxa"/>
              <w:left w:w="108" w:type="dxa"/>
              <w:bottom w:w="0" w:type="dxa"/>
              <w:right w:w="108" w:type="dxa"/>
            </w:tcMar>
            <w:vAlign w:val="center"/>
            <w:hideMark/>
          </w:tcPr>
          <w:p w14:paraId="24AB8336" w14:textId="77777777" w:rsidR="00FF08AB" w:rsidRPr="00F12244" w:rsidRDefault="00FF08AB" w:rsidP="00F12244">
            <w:pPr>
              <w:pStyle w:val="TableHeader"/>
              <w:jc w:val="center"/>
            </w:pPr>
            <w:r w:rsidRPr="00F12244">
              <w:t>2009</w:t>
            </w:r>
          </w:p>
        </w:tc>
        <w:tc>
          <w:tcPr>
            <w:tcW w:w="1149" w:type="dxa"/>
            <w:tcBorders>
              <w:top w:val="nil"/>
              <w:left w:val="nil"/>
              <w:bottom w:val="single" w:sz="8" w:space="0" w:color="auto"/>
              <w:right w:val="single" w:sz="8" w:space="0" w:color="auto"/>
            </w:tcBorders>
            <w:shd w:val="clear" w:color="auto" w:fill="0070C0"/>
            <w:tcMar>
              <w:top w:w="0" w:type="dxa"/>
              <w:left w:w="108" w:type="dxa"/>
              <w:bottom w:w="0" w:type="dxa"/>
              <w:right w:w="108" w:type="dxa"/>
            </w:tcMar>
            <w:vAlign w:val="center"/>
            <w:hideMark/>
          </w:tcPr>
          <w:p w14:paraId="62D563D1" w14:textId="77777777" w:rsidR="00FF08AB" w:rsidRPr="00F12244" w:rsidRDefault="00FF08AB" w:rsidP="00F12244">
            <w:pPr>
              <w:pStyle w:val="TableHeader"/>
              <w:jc w:val="center"/>
            </w:pPr>
            <w:r w:rsidRPr="00F12244">
              <w:t>2010</w:t>
            </w:r>
          </w:p>
        </w:tc>
        <w:tc>
          <w:tcPr>
            <w:tcW w:w="1163" w:type="dxa"/>
            <w:tcBorders>
              <w:top w:val="nil"/>
              <w:left w:val="nil"/>
              <w:bottom w:val="single" w:sz="8" w:space="0" w:color="auto"/>
              <w:right w:val="single" w:sz="8" w:space="0" w:color="auto"/>
            </w:tcBorders>
            <w:shd w:val="clear" w:color="auto" w:fill="0070C0"/>
            <w:tcMar>
              <w:top w:w="0" w:type="dxa"/>
              <w:left w:w="108" w:type="dxa"/>
              <w:bottom w:w="0" w:type="dxa"/>
              <w:right w:w="108" w:type="dxa"/>
            </w:tcMar>
            <w:vAlign w:val="center"/>
            <w:hideMark/>
          </w:tcPr>
          <w:p w14:paraId="2F63216B" w14:textId="77777777" w:rsidR="00FF08AB" w:rsidRPr="00F12244" w:rsidRDefault="00FF08AB" w:rsidP="00F12244">
            <w:pPr>
              <w:pStyle w:val="TableHeader"/>
              <w:jc w:val="center"/>
            </w:pPr>
            <w:r w:rsidRPr="00F12244">
              <w:t>2011</w:t>
            </w:r>
          </w:p>
        </w:tc>
        <w:tc>
          <w:tcPr>
            <w:tcW w:w="1149" w:type="dxa"/>
            <w:tcBorders>
              <w:top w:val="nil"/>
              <w:left w:val="nil"/>
              <w:bottom w:val="single" w:sz="8" w:space="0" w:color="auto"/>
              <w:right w:val="single" w:sz="8" w:space="0" w:color="auto"/>
            </w:tcBorders>
            <w:shd w:val="clear" w:color="auto" w:fill="0070C0"/>
            <w:tcMar>
              <w:top w:w="0" w:type="dxa"/>
              <w:left w:w="108" w:type="dxa"/>
              <w:bottom w:w="0" w:type="dxa"/>
              <w:right w:w="108" w:type="dxa"/>
            </w:tcMar>
            <w:vAlign w:val="center"/>
            <w:hideMark/>
          </w:tcPr>
          <w:p w14:paraId="0905CD35" w14:textId="77777777" w:rsidR="00FF08AB" w:rsidRPr="00F12244" w:rsidRDefault="00FF08AB" w:rsidP="00F12244">
            <w:pPr>
              <w:pStyle w:val="TableHeader"/>
              <w:jc w:val="center"/>
            </w:pPr>
            <w:r w:rsidRPr="00F12244">
              <w:t>2012</w:t>
            </w:r>
          </w:p>
        </w:tc>
      </w:tr>
      <w:tr w:rsidR="00FF08AB" w:rsidRPr="00F477F6" w14:paraId="45894E1D" w14:textId="77777777" w:rsidTr="008C74CC">
        <w:trPr>
          <w:trHeight w:val="300"/>
        </w:trPr>
        <w:tc>
          <w:tcPr>
            <w:tcW w:w="1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27465C7" w14:textId="77777777" w:rsidR="00FF08AB" w:rsidRPr="008B2CBA" w:rsidRDefault="00FF08AB" w:rsidP="008B2CBA">
            <w:pPr>
              <w:pStyle w:val="TableText"/>
            </w:pPr>
            <w:r w:rsidRPr="008B2CBA">
              <w:t>Temporary</w:t>
            </w:r>
          </w:p>
        </w:tc>
        <w:tc>
          <w:tcPr>
            <w:tcW w:w="118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6716812" w14:textId="77777777" w:rsidR="00FF08AB" w:rsidRPr="008B2CBA" w:rsidRDefault="00FF08AB" w:rsidP="008B2CBA">
            <w:pPr>
              <w:pStyle w:val="TableText"/>
              <w:jc w:val="right"/>
            </w:pPr>
            <w:r w:rsidRPr="008B2CBA">
              <w:t>33</w:t>
            </w:r>
          </w:p>
        </w:tc>
        <w:tc>
          <w:tcPr>
            <w:tcW w:w="116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7B26024" w14:textId="77777777" w:rsidR="00FF08AB" w:rsidRPr="008B2CBA" w:rsidRDefault="00FF08AB" w:rsidP="008B2CBA">
            <w:pPr>
              <w:pStyle w:val="TableText"/>
              <w:jc w:val="right"/>
            </w:pPr>
            <w:r w:rsidRPr="008B2CBA">
              <w:t>26</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center"/>
          </w:tcPr>
          <w:p w14:paraId="711F2A9A" w14:textId="77777777" w:rsidR="00FF08AB" w:rsidRPr="008B2CBA" w:rsidRDefault="00FF08AB" w:rsidP="008B2CBA">
            <w:pPr>
              <w:pStyle w:val="TableText"/>
              <w:jc w:val="right"/>
            </w:pPr>
            <w:r w:rsidRPr="008B2CBA">
              <w:t>36</w:t>
            </w:r>
          </w:p>
        </w:tc>
        <w:tc>
          <w:tcPr>
            <w:tcW w:w="1163" w:type="dxa"/>
            <w:tcBorders>
              <w:top w:val="nil"/>
              <w:left w:val="nil"/>
              <w:bottom w:val="single" w:sz="8" w:space="0" w:color="auto"/>
              <w:right w:val="single" w:sz="8" w:space="0" w:color="auto"/>
            </w:tcBorders>
            <w:tcMar>
              <w:top w:w="0" w:type="dxa"/>
              <w:left w:w="108" w:type="dxa"/>
              <w:bottom w:w="0" w:type="dxa"/>
              <w:right w:w="108" w:type="dxa"/>
            </w:tcMar>
            <w:vAlign w:val="center"/>
          </w:tcPr>
          <w:p w14:paraId="53B25ADE" w14:textId="77777777" w:rsidR="00FF08AB" w:rsidRPr="008B2CBA" w:rsidRDefault="00FF08AB" w:rsidP="008B2CBA">
            <w:pPr>
              <w:pStyle w:val="TableText"/>
              <w:jc w:val="right"/>
            </w:pPr>
            <w:r w:rsidRPr="008B2CBA">
              <w:t>41</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center"/>
          </w:tcPr>
          <w:p w14:paraId="7C54D97A" w14:textId="77777777" w:rsidR="00FF08AB" w:rsidRPr="008B2CBA" w:rsidRDefault="00FF08AB" w:rsidP="008B2CBA">
            <w:pPr>
              <w:pStyle w:val="TableText"/>
              <w:jc w:val="right"/>
            </w:pPr>
            <w:r w:rsidRPr="008B2CBA">
              <w:t>40</w:t>
            </w:r>
          </w:p>
        </w:tc>
        <w:tc>
          <w:tcPr>
            <w:tcW w:w="1163" w:type="dxa"/>
            <w:tcBorders>
              <w:top w:val="nil"/>
              <w:left w:val="nil"/>
              <w:bottom w:val="single" w:sz="8" w:space="0" w:color="auto"/>
              <w:right w:val="single" w:sz="8" w:space="0" w:color="auto"/>
            </w:tcBorders>
            <w:tcMar>
              <w:top w:w="0" w:type="dxa"/>
              <w:left w:w="108" w:type="dxa"/>
              <w:bottom w:w="0" w:type="dxa"/>
              <w:right w:w="108" w:type="dxa"/>
            </w:tcMar>
            <w:vAlign w:val="center"/>
          </w:tcPr>
          <w:p w14:paraId="5E280D90" w14:textId="77777777" w:rsidR="00FF08AB" w:rsidRPr="008B2CBA" w:rsidRDefault="00FF08AB" w:rsidP="008B2CBA">
            <w:pPr>
              <w:pStyle w:val="TableText"/>
              <w:jc w:val="right"/>
            </w:pPr>
            <w:r w:rsidRPr="008B2CBA">
              <w:t>41</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center"/>
          </w:tcPr>
          <w:p w14:paraId="419D2B0C" w14:textId="77777777" w:rsidR="00FF08AB" w:rsidRPr="008B2CBA" w:rsidRDefault="00FF08AB" w:rsidP="008B2CBA">
            <w:pPr>
              <w:pStyle w:val="TableText"/>
              <w:jc w:val="right"/>
            </w:pPr>
            <w:r w:rsidRPr="008B2CBA">
              <w:t>67</w:t>
            </w:r>
          </w:p>
        </w:tc>
      </w:tr>
      <w:tr w:rsidR="00FF08AB" w:rsidRPr="00F477F6" w14:paraId="08D87328" w14:textId="77777777" w:rsidTr="008C74CC">
        <w:trPr>
          <w:trHeight w:val="300"/>
        </w:trPr>
        <w:tc>
          <w:tcPr>
            <w:tcW w:w="1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F8697CF" w14:textId="77777777" w:rsidR="00FF08AB" w:rsidRPr="008B2CBA" w:rsidRDefault="00FF08AB" w:rsidP="008B2CBA">
            <w:pPr>
              <w:pStyle w:val="TableText"/>
            </w:pPr>
            <w:r w:rsidRPr="008B2CBA">
              <w:t>Permanent</w:t>
            </w:r>
          </w:p>
        </w:tc>
        <w:tc>
          <w:tcPr>
            <w:tcW w:w="118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97AC1E8" w14:textId="3213B11F" w:rsidR="00FF08AB" w:rsidRPr="008B2CBA" w:rsidRDefault="00E53E4A" w:rsidP="008B2CBA">
            <w:pPr>
              <w:pStyle w:val="TableText"/>
              <w:jc w:val="right"/>
            </w:pPr>
            <w:r w:rsidRPr="008B2CBA">
              <w:t>0</w:t>
            </w:r>
          </w:p>
        </w:tc>
        <w:tc>
          <w:tcPr>
            <w:tcW w:w="116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56DB5B9" w14:textId="77777777" w:rsidR="00FF08AB" w:rsidRPr="008B2CBA" w:rsidRDefault="00FF08AB" w:rsidP="008B2CBA">
            <w:pPr>
              <w:pStyle w:val="TableText"/>
              <w:jc w:val="right"/>
            </w:pPr>
            <w:r w:rsidRPr="008B2CBA">
              <w:t>3</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center"/>
          </w:tcPr>
          <w:p w14:paraId="3CE16F3F" w14:textId="77777777" w:rsidR="00FF08AB" w:rsidRPr="008B2CBA" w:rsidRDefault="00FF08AB" w:rsidP="008B2CBA">
            <w:pPr>
              <w:pStyle w:val="TableText"/>
              <w:jc w:val="right"/>
            </w:pPr>
            <w:r w:rsidRPr="008B2CBA">
              <w:t>3</w:t>
            </w:r>
          </w:p>
        </w:tc>
        <w:tc>
          <w:tcPr>
            <w:tcW w:w="1163" w:type="dxa"/>
            <w:tcBorders>
              <w:top w:val="nil"/>
              <w:left w:val="nil"/>
              <w:bottom w:val="single" w:sz="8" w:space="0" w:color="auto"/>
              <w:right w:val="single" w:sz="8" w:space="0" w:color="auto"/>
            </w:tcBorders>
            <w:tcMar>
              <w:top w:w="0" w:type="dxa"/>
              <w:left w:w="108" w:type="dxa"/>
              <w:bottom w:w="0" w:type="dxa"/>
              <w:right w:w="108" w:type="dxa"/>
            </w:tcMar>
            <w:vAlign w:val="center"/>
          </w:tcPr>
          <w:p w14:paraId="2F759316" w14:textId="77777777" w:rsidR="00FF08AB" w:rsidRPr="008B2CBA" w:rsidRDefault="00FF08AB" w:rsidP="008B2CBA">
            <w:pPr>
              <w:pStyle w:val="TableText"/>
              <w:jc w:val="right"/>
            </w:pPr>
            <w:r w:rsidRPr="008B2CBA">
              <w:t>1</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center"/>
          </w:tcPr>
          <w:p w14:paraId="4C988C9B" w14:textId="77777777" w:rsidR="00FF08AB" w:rsidRPr="008B2CBA" w:rsidRDefault="00FF08AB" w:rsidP="008B2CBA">
            <w:pPr>
              <w:pStyle w:val="TableText"/>
              <w:jc w:val="right"/>
            </w:pPr>
            <w:r w:rsidRPr="008B2CBA">
              <w:t>7</w:t>
            </w:r>
          </w:p>
        </w:tc>
        <w:tc>
          <w:tcPr>
            <w:tcW w:w="1163" w:type="dxa"/>
            <w:tcBorders>
              <w:top w:val="nil"/>
              <w:left w:val="nil"/>
              <w:bottom w:val="single" w:sz="8" w:space="0" w:color="auto"/>
              <w:right w:val="single" w:sz="8" w:space="0" w:color="auto"/>
            </w:tcBorders>
            <w:tcMar>
              <w:top w:w="0" w:type="dxa"/>
              <w:left w:w="108" w:type="dxa"/>
              <w:bottom w:w="0" w:type="dxa"/>
              <w:right w:w="108" w:type="dxa"/>
            </w:tcMar>
            <w:vAlign w:val="center"/>
          </w:tcPr>
          <w:p w14:paraId="1356F971" w14:textId="77777777" w:rsidR="00FF08AB" w:rsidRPr="008B2CBA" w:rsidRDefault="00FF08AB" w:rsidP="008B2CBA">
            <w:pPr>
              <w:pStyle w:val="TableText"/>
              <w:jc w:val="right"/>
            </w:pPr>
            <w:r w:rsidRPr="008B2CBA">
              <w:t>9</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center"/>
          </w:tcPr>
          <w:p w14:paraId="0AAC2372" w14:textId="77777777" w:rsidR="00FF08AB" w:rsidRPr="008B2CBA" w:rsidRDefault="00FF08AB" w:rsidP="008B2CBA">
            <w:pPr>
              <w:pStyle w:val="TableText"/>
              <w:jc w:val="right"/>
            </w:pPr>
            <w:r w:rsidRPr="008B2CBA">
              <w:t>21</w:t>
            </w:r>
          </w:p>
        </w:tc>
      </w:tr>
      <w:tr w:rsidR="00FF08AB" w:rsidRPr="00F12244" w14:paraId="64AF1E56" w14:textId="77777777" w:rsidTr="008C74CC">
        <w:trPr>
          <w:trHeight w:val="285"/>
        </w:trPr>
        <w:tc>
          <w:tcPr>
            <w:tcW w:w="1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2C6757C" w14:textId="77777777" w:rsidR="00FF08AB" w:rsidRPr="00F12244" w:rsidRDefault="00FF08AB" w:rsidP="008B2CBA">
            <w:pPr>
              <w:pStyle w:val="TableText"/>
              <w:rPr>
                <w:b/>
              </w:rPr>
            </w:pPr>
            <w:r w:rsidRPr="00F12244">
              <w:rPr>
                <w:b/>
              </w:rPr>
              <w:t>Total</w:t>
            </w:r>
          </w:p>
        </w:tc>
        <w:tc>
          <w:tcPr>
            <w:tcW w:w="118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295F97A" w14:textId="77777777" w:rsidR="00FF08AB" w:rsidRPr="00F12244" w:rsidRDefault="00FF08AB" w:rsidP="008B2CBA">
            <w:pPr>
              <w:pStyle w:val="TableText"/>
              <w:jc w:val="right"/>
              <w:rPr>
                <w:b/>
              </w:rPr>
            </w:pPr>
            <w:r w:rsidRPr="00F12244">
              <w:rPr>
                <w:b/>
              </w:rPr>
              <w:t>33</w:t>
            </w:r>
          </w:p>
        </w:tc>
        <w:tc>
          <w:tcPr>
            <w:tcW w:w="116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E9098A9" w14:textId="77777777" w:rsidR="00FF08AB" w:rsidRPr="00F12244" w:rsidRDefault="00FF08AB" w:rsidP="008B2CBA">
            <w:pPr>
              <w:pStyle w:val="TableText"/>
              <w:jc w:val="right"/>
              <w:rPr>
                <w:b/>
              </w:rPr>
            </w:pPr>
            <w:r w:rsidRPr="00F12244">
              <w:rPr>
                <w:b/>
              </w:rPr>
              <w:t>29</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center"/>
          </w:tcPr>
          <w:p w14:paraId="5C3D4EFA" w14:textId="77777777" w:rsidR="00FF08AB" w:rsidRPr="00F12244" w:rsidRDefault="00FF08AB" w:rsidP="008B2CBA">
            <w:pPr>
              <w:pStyle w:val="TableText"/>
              <w:jc w:val="right"/>
              <w:rPr>
                <w:b/>
              </w:rPr>
            </w:pPr>
            <w:r w:rsidRPr="00F12244">
              <w:rPr>
                <w:b/>
              </w:rPr>
              <w:t>39</w:t>
            </w:r>
          </w:p>
        </w:tc>
        <w:tc>
          <w:tcPr>
            <w:tcW w:w="1163" w:type="dxa"/>
            <w:tcBorders>
              <w:top w:val="nil"/>
              <w:left w:val="nil"/>
              <w:bottom w:val="single" w:sz="8" w:space="0" w:color="auto"/>
              <w:right w:val="single" w:sz="8" w:space="0" w:color="auto"/>
            </w:tcBorders>
            <w:tcMar>
              <w:top w:w="0" w:type="dxa"/>
              <w:left w:w="108" w:type="dxa"/>
              <w:bottom w:w="0" w:type="dxa"/>
              <w:right w:w="108" w:type="dxa"/>
            </w:tcMar>
            <w:vAlign w:val="center"/>
          </w:tcPr>
          <w:p w14:paraId="370BC6E1" w14:textId="77777777" w:rsidR="00FF08AB" w:rsidRPr="00F12244" w:rsidRDefault="00FF08AB" w:rsidP="008B2CBA">
            <w:pPr>
              <w:pStyle w:val="TableText"/>
              <w:jc w:val="right"/>
              <w:rPr>
                <w:b/>
              </w:rPr>
            </w:pPr>
            <w:r w:rsidRPr="00F12244">
              <w:rPr>
                <w:b/>
              </w:rPr>
              <w:t>42</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center"/>
          </w:tcPr>
          <w:p w14:paraId="59D97B74" w14:textId="77777777" w:rsidR="00FF08AB" w:rsidRPr="00F12244" w:rsidRDefault="00FF08AB" w:rsidP="008B2CBA">
            <w:pPr>
              <w:pStyle w:val="TableText"/>
              <w:jc w:val="right"/>
              <w:rPr>
                <w:b/>
              </w:rPr>
            </w:pPr>
            <w:r w:rsidRPr="00F12244">
              <w:rPr>
                <w:b/>
              </w:rPr>
              <w:t>47</w:t>
            </w:r>
          </w:p>
        </w:tc>
        <w:tc>
          <w:tcPr>
            <w:tcW w:w="1163" w:type="dxa"/>
            <w:tcBorders>
              <w:top w:val="nil"/>
              <w:left w:val="nil"/>
              <w:bottom w:val="single" w:sz="8" w:space="0" w:color="auto"/>
              <w:right w:val="single" w:sz="8" w:space="0" w:color="auto"/>
            </w:tcBorders>
            <w:tcMar>
              <w:top w:w="0" w:type="dxa"/>
              <w:left w:w="108" w:type="dxa"/>
              <w:bottom w:w="0" w:type="dxa"/>
              <w:right w:w="108" w:type="dxa"/>
            </w:tcMar>
            <w:vAlign w:val="center"/>
          </w:tcPr>
          <w:p w14:paraId="0762098E" w14:textId="77777777" w:rsidR="00FF08AB" w:rsidRPr="00F12244" w:rsidRDefault="00FF08AB" w:rsidP="008B2CBA">
            <w:pPr>
              <w:pStyle w:val="TableText"/>
              <w:jc w:val="right"/>
              <w:rPr>
                <w:b/>
              </w:rPr>
            </w:pPr>
            <w:r w:rsidRPr="00F12244">
              <w:rPr>
                <w:b/>
              </w:rPr>
              <w:t>50</w:t>
            </w:r>
          </w:p>
        </w:tc>
        <w:tc>
          <w:tcPr>
            <w:tcW w:w="1149" w:type="dxa"/>
            <w:tcBorders>
              <w:top w:val="nil"/>
              <w:left w:val="nil"/>
              <w:bottom w:val="single" w:sz="8" w:space="0" w:color="auto"/>
              <w:right w:val="single" w:sz="8" w:space="0" w:color="auto"/>
            </w:tcBorders>
            <w:tcMar>
              <w:top w:w="0" w:type="dxa"/>
              <w:left w:w="108" w:type="dxa"/>
              <w:bottom w:w="0" w:type="dxa"/>
              <w:right w:w="108" w:type="dxa"/>
            </w:tcMar>
            <w:vAlign w:val="center"/>
          </w:tcPr>
          <w:p w14:paraId="57153C17" w14:textId="77777777" w:rsidR="00FF08AB" w:rsidRPr="00F12244" w:rsidRDefault="00FF08AB" w:rsidP="008B2CBA">
            <w:pPr>
              <w:pStyle w:val="TableText"/>
              <w:jc w:val="right"/>
              <w:rPr>
                <w:b/>
              </w:rPr>
            </w:pPr>
            <w:r w:rsidRPr="00F12244">
              <w:rPr>
                <w:b/>
              </w:rPr>
              <w:t>88</w:t>
            </w:r>
          </w:p>
        </w:tc>
      </w:tr>
    </w:tbl>
    <w:p w14:paraId="61F0E955" w14:textId="77777777" w:rsidR="004134DE" w:rsidRPr="00F477F6" w:rsidRDefault="004134DE" w:rsidP="00D20D53">
      <w:pPr>
        <w:pStyle w:val="Tablenote"/>
      </w:pPr>
      <w:r w:rsidRPr="00F477F6">
        <w:t>Source: Department of Immigration and Border Protection</w:t>
      </w:r>
    </w:p>
    <w:p w14:paraId="4B638961" w14:textId="6BE8D771" w:rsidR="005A3E74" w:rsidRPr="00F477F6" w:rsidRDefault="005A3E74" w:rsidP="00D20D53">
      <w:pPr>
        <w:pStyle w:val="Heading1"/>
      </w:pPr>
      <w:bookmarkStart w:id="102" w:name="_Toc407783192"/>
      <w:bookmarkStart w:id="103" w:name="_Ref357438448"/>
      <w:bookmarkEnd w:id="32"/>
      <w:bookmarkEnd w:id="90"/>
      <w:r w:rsidRPr="00F477F6">
        <w:lastRenderedPageBreak/>
        <w:t>Australia’s future nursing workforce</w:t>
      </w:r>
      <w:bookmarkEnd w:id="102"/>
    </w:p>
    <w:p w14:paraId="181B0655" w14:textId="27FC8CCC" w:rsidR="004B340A" w:rsidRPr="00F477F6" w:rsidRDefault="004B340A" w:rsidP="00D20D53">
      <w:r w:rsidRPr="00F477F6">
        <w:t>This section provides the results of HWA’s updated workforce planning projections for the nursing workforce.</w:t>
      </w:r>
      <w:r w:rsidR="00D7748F" w:rsidRPr="00F477F6">
        <w:t xml:space="preserve"> Firstly, summary information on the projection methodology is presented, followed by the workforce planning projection results. </w:t>
      </w:r>
      <w:r w:rsidRPr="00F477F6">
        <w:t>Due to changes in the scenarios modelled, caution should be used when comparing the results in this publication with those presented in HW2025.</w:t>
      </w:r>
    </w:p>
    <w:p w14:paraId="112EB301" w14:textId="77777777" w:rsidR="00D7748F" w:rsidRPr="00F477F6" w:rsidRDefault="00D7748F" w:rsidP="00641259">
      <w:pPr>
        <w:pStyle w:val="Heading2"/>
      </w:pPr>
      <w:bookmarkStart w:id="104" w:name="_Toc387326046"/>
      <w:bookmarkStart w:id="105" w:name="_Toc387400873"/>
      <w:bookmarkStart w:id="106" w:name="_Toc387400916"/>
      <w:bookmarkStart w:id="107" w:name="_Toc387401312"/>
      <w:r w:rsidRPr="00F477F6">
        <w:t>Workforce planning methodology</w:t>
      </w:r>
      <w:bookmarkEnd w:id="104"/>
      <w:bookmarkEnd w:id="105"/>
      <w:bookmarkEnd w:id="106"/>
      <w:bookmarkEnd w:id="107"/>
    </w:p>
    <w:p w14:paraId="3533A519" w14:textId="1B931814" w:rsidR="00D7748F" w:rsidRPr="00F477F6" w:rsidRDefault="00D7748F" w:rsidP="00D20D53">
      <w:r w:rsidRPr="00F477F6">
        <w:t xml:space="preserve">Workforce projections require two components – estimating future workforce supply and estimating future demand for the workforce. Summary information on the methodology is presented below, with detailed information contained in Appendix </w:t>
      </w:r>
      <w:r w:rsidR="00B453C6" w:rsidRPr="00F477F6">
        <w:t>C</w:t>
      </w:r>
      <w:r w:rsidRPr="00F477F6">
        <w:t xml:space="preserve">. </w:t>
      </w:r>
    </w:p>
    <w:p w14:paraId="4795E077" w14:textId="33BA48B1" w:rsidR="00D7748F" w:rsidRPr="00F477F6" w:rsidRDefault="00D7748F" w:rsidP="00D20D53">
      <w:pPr>
        <w:pStyle w:val="Heading3"/>
        <w:rPr>
          <w:lang w:val="en-AU"/>
        </w:rPr>
      </w:pPr>
      <w:r w:rsidRPr="00F477F6">
        <w:rPr>
          <w:lang w:val="en-AU"/>
        </w:rPr>
        <w:t xml:space="preserve">Projecting workforce supply </w:t>
      </w:r>
    </w:p>
    <w:p w14:paraId="23633DEB" w14:textId="728AC134" w:rsidR="00A61DED" w:rsidRPr="00F477F6" w:rsidRDefault="00D7748F" w:rsidP="00D20D53">
      <w:r w:rsidRPr="00F477F6">
        <w:t xml:space="preserve">AFHW – Nurses uses a dynamic stock and flow model to estimate future workforce supply. It takes the conditions in 2012 and projects them into the future without change using a </w:t>
      </w:r>
      <w:r w:rsidR="00A61DED" w:rsidRPr="00F477F6">
        <w:t>process</w:t>
      </w:r>
      <w:r w:rsidRPr="00F477F6">
        <w:t xml:space="preserve"> where people entering and exiting the workforce (flows) periodically adjust the initial number in the workforce (stock). The workforce is broken down into age and gender cohorts and different flow rates are applied to each cohort. The model then takes these different flow rates into account by progressive ageing of the workforce through iteration of the stock and flow process.</w:t>
      </w:r>
    </w:p>
    <w:p w14:paraId="287A06CA" w14:textId="72C97E11" w:rsidR="00D7748F" w:rsidRPr="00F477F6" w:rsidRDefault="00A61DED" w:rsidP="00D20D53">
      <w:pPr>
        <w:pStyle w:val="Heading3"/>
        <w:rPr>
          <w:lang w:val="en-AU"/>
        </w:rPr>
      </w:pPr>
      <w:r w:rsidRPr="00F477F6">
        <w:rPr>
          <w:lang w:val="en-AU"/>
        </w:rPr>
        <w:t>Projecting workforce d</w:t>
      </w:r>
      <w:r w:rsidR="00D7748F" w:rsidRPr="00F477F6">
        <w:rPr>
          <w:lang w:val="en-AU"/>
        </w:rPr>
        <w:t>emand</w:t>
      </w:r>
    </w:p>
    <w:p w14:paraId="6E44C5E6" w14:textId="689E077D" w:rsidR="00A61DED" w:rsidRPr="00D20D53" w:rsidRDefault="00A61DED" w:rsidP="00D20D53">
      <w:r w:rsidRPr="00D20D53">
        <w:t xml:space="preserve">The demand projections use the utilisation approach. This means that while expected change in population size and composition is accounted for over the projection period, there is an assumption that the current patterns of service use remain unchanged. </w:t>
      </w:r>
    </w:p>
    <w:p w14:paraId="5F68EBC2" w14:textId="77777777" w:rsidR="00A61DED" w:rsidRPr="00F477F6" w:rsidRDefault="00A61DED" w:rsidP="00D20D53">
      <w:r w:rsidRPr="00F477F6">
        <w:t>In projecting 2012 conditions into the future the modelling takes into account factors including:</w:t>
      </w:r>
    </w:p>
    <w:p w14:paraId="57295E32" w14:textId="77777777" w:rsidR="00A61DED" w:rsidRPr="00F477F6" w:rsidRDefault="00A61DED" w:rsidP="00D20D53">
      <w:pPr>
        <w:pStyle w:val="ListParagraph"/>
        <w:numPr>
          <w:ilvl w:val="0"/>
          <w:numId w:val="15"/>
        </w:numPr>
      </w:pPr>
      <w:r w:rsidRPr="00F477F6">
        <w:t>Known patterns in graduation rates of nursing students and their subsequent movement into employment.</w:t>
      </w:r>
    </w:p>
    <w:p w14:paraId="690F9381" w14:textId="77777777" w:rsidR="00A61DED" w:rsidRPr="00F477F6" w:rsidRDefault="00A61DED" w:rsidP="00D20D53">
      <w:pPr>
        <w:pStyle w:val="ListParagraph"/>
        <w:numPr>
          <w:ilvl w:val="0"/>
          <w:numId w:val="15"/>
        </w:numPr>
      </w:pPr>
      <w:r w:rsidRPr="00F477F6">
        <w:t>The ageing of the current workforce and demographics of new entrants into the workforce.</w:t>
      </w:r>
    </w:p>
    <w:p w14:paraId="159AB8EC" w14:textId="77777777" w:rsidR="00A61DED" w:rsidRPr="00F477F6" w:rsidRDefault="00A61DED" w:rsidP="00D20D53">
      <w:pPr>
        <w:pStyle w:val="ListParagraph"/>
        <w:numPr>
          <w:ilvl w:val="0"/>
          <w:numId w:val="15"/>
        </w:numPr>
      </w:pPr>
      <w:r w:rsidRPr="00F477F6">
        <w:t>Current hours of work broken down into age and gender cohorts to capture the known changes in hours.</w:t>
      </w:r>
    </w:p>
    <w:p w14:paraId="0040CA69" w14:textId="73C4D3F7" w:rsidR="00D7748F" w:rsidRPr="00F477F6" w:rsidRDefault="00A61DED" w:rsidP="00D20D53">
      <w:pPr>
        <w:pStyle w:val="ListParagraph"/>
        <w:numPr>
          <w:ilvl w:val="0"/>
          <w:numId w:val="15"/>
        </w:numPr>
      </w:pPr>
      <w:r w:rsidRPr="00F477F6">
        <w:t>Migration is held constant throughout.</w:t>
      </w:r>
    </w:p>
    <w:p w14:paraId="3C1AFA99" w14:textId="4D4713AE" w:rsidR="00D7748F" w:rsidRPr="00F477F6" w:rsidRDefault="00A61DED" w:rsidP="00D20D53">
      <w:pPr>
        <w:pStyle w:val="Heading3"/>
        <w:rPr>
          <w:lang w:val="en-AU"/>
        </w:rPr>
      </w:pPr>
      <w:r w:rsidRPr="00F477F6">
        <w:rPr>
          <w:lang w:val="en-AU"/>
        </w:rPr>
        <w:t>Scenario modelling</w:t>
      </w:r>
    </w:p>
    <w:p w14:paraId="720C82A4" w14:textId="2EEF2F48" w:rsidR="00D7748F" w:rsidRPr="00D20D53" w:rsidRDefault="00A61DED" w:rsidP="00D20D53">
      <w:r w:rsidRPr="00CD2720">
        <w:t>The workforce projections developed using the methods described above are based on the assumption of existing workforce supply trends and service use continuing into the future. However changes in supply streams and service use are likely</w:t>
      </w:r>
      <w:r w:rsidR="000977A8" w:rsidRPr="00CD2720">
        <w:t xml:space="preserve">. Therefore </w:t>
      </w:r>
      <w:r w:rsidRPr="00CD2720">
        <w:t>scenario planning is used to present alternative future</w:t>
      </w:r>
      <w:r w:rsidR="000977A8" w:rsidRPr="00CD2720">
        <w:t xml:space="preserve">s that represent </w:t>
      </w:r>
      <w:r w:rsidRPr="00D20D53">
        <w:t>particular vision</w:t>
      </w:r>
      <w:r w:rsidR="000977A8" w:rsidRPr="00D20D53">
        <w:t>s</w:t>
      </w:r>
      <w:r w:rsidRPr="00D20D53">
        <w:t xml:space="preserve"> of future health care delivery, and in the health workforce context, scenarios are often developed to demonstrate potential government policy decisions on future workforce supply and demand, higher education/training sector activities, employer practices, trends within the existing health workforce and trends within service demand</w:t>
      </w:r>
      <w:r w:rsidR="000977A8" w:rsidRPr="00D20D53">
        <w:t xml:space="preserve">. Changes that a scenario may seek to quantify include </w:t>
      </w:r>
      <w:r w:rsidR="00D7748F" w:rsidRPr="00D20D53">
        <w:t xml:space="preserve">constrained economic circumstances, changing models of care, changing scopes of practice, technology changes, improved preventative health </w:t>
      </w:r>
      <w:r w:rsidR="00D7748F" w:rsidRPr="00D20D53">
        <w:lastRenderedPageBreak/>
        <w:t>measures, changes to education and workforce retention levels or changed workforce inflows through training or immigration.</w:t>
      </w:r>
    </w:p>
    <w:p w14:paraId="64FCBD38" w14:textId="4498C902" w:rsidR="00D7748F" w:rsidRPr="00F477F6" w:rsidRDefault="00D7748F" w:rsidP="00D20D53">
      <w:r w:rsidRPr="00F477F6">
        <w:t xml:space="preserve">The scenarios </w:t>
      </w:r>
      <w:r w:rsidR="000977A8" w:rsidRPr="00F477F6">
        <w:t xml:space="preserve">presented </w:t>
      </w:r>
      <w:r w:rsidRPr="00F477F6">
        <w:t xml:space="preserve">in this </w:t>
      </w:r>
      <w:r w:rsidR="000977A8" w:rsidRPr="00F477F6">
        <w:t>publication are:</w:t>
      </w:r>
    </w:p>
    <w:p w14:paraId="4EF4000F" w14:textId="65583A8A" w:rsidR="00D7748F" w:rsidRPr="00F477F6" w:rsidRDefault="00D7748F" w:rsidP="00D20D53">
      <w:pPr>
        <w:pStyle w:val="ListParagraph"/>
        <w:numPr>
          <w:ilvl w:val="0"/>
          <w:numId w:val="16"/>
        </w:numPr>
      </w:pPr>
      <w:r w:rsidRPr="00CD2720">
        <w:rPr>
          <w:b/>
        </w:rPr>
        <w:t xml:space="preserve">Constrained </w:t>
      </w:r>
      <w:r w:rsidR="000977A8" w:rsidRPr="00CD2720">
        <w:rPr>
          <w:b/>
        </w:rPr>
        <w:t xml:space="preserve">labour </w:t>
      </w:r>
      <w:r w:rsidRPr="00CD2720">
        <w:rPr>
          <w:b/>
        </w:rPr>
        <w:t>demand</w:t>
      </w:r>
      <w:r w:rsidRPr="00F477F6">
        <w:t xml:space="preserve"> which limits demand for nursing services to predicted economic growth</w:t>
      </w:r>
      <w:r w:rsidR="005F6256" w:rsidRPr="00F477F6">
        <w:t>.</w:t>
      </w:r>
    </w:p>
    <w:p w14:paraId="0CFF2DC5" w14:textId="3700B827" w:rsidR="000977A8" w:rsidRPr="00F477F6" w:rsidRDefault="000977A8" w:rsidP="00D20D53">
      <w:pPr>
        <w:pStyle w:val="ListParagraph"/>
        <w:numPr>
          <w:ilvl w:val="0"/>
          <w:numId w:val="16"/>
        </w:numPr>
      </w:pPr>
      <w:r w:rsidRPr="00CD2720">
        <w:rPr>
          <w:b/>
        </w:rPr>
        <w:t>Combined scenario</w:t>
      </w:r>
      <w:r w:rsidRPr="00F477F6">
        <w:t xml:space="preserve"> which demonstrates the combined effects of the constrained </w:t>
      </w:r>
      <w:r w:rsidR="005F6256" w:rsidRPr="00F477F6">
        <w:t>labour</w:t>
      </w:r>
      <w:r w:rsidRPr="00F477F6">
        <w:t xml:space="preserve"> demand scenario, </w:t>
      </w:r>
      <w:r w:rsidR="005F6256" w:rsidRPr="00F477F6">
        <w:t>along with reduced nursing course</w:t>
      </w:r>
      <w:r w:rsidRPr="00F477F6">
        <w:t xml:space="preserve"> attriti</w:t>
      </w:r>
      <w:r w:rsidR="005F6256" w:rsidRPr="00F477F6">
        <w:t xml:space="preserve">on rates, increased employment </w:t>
      </w:r>
      <w:r w:rsidRPr="00F477F6">
        <w:t xml:space="preserve">rates for newly graduated nurses and improvements in retention of early career RNs </w:t>
      </w:r>
      <w:r w:rsidR="005F6256" w:rsidRPr="00F477F6">
        <w:t>and all ENs under 60</w:t>
      </w:r>
      <w:r w:rsidR="00063B49" w:rsidRPr="00F477F6">
        <w:t xml:space="preserve"> years of age</w:t>
      </w:r>
      <w:r w:rsidR="005F6256" w:rsidRPr="00F477F6">
        <w:t>.</w:t>
      </w:r>
    </w:p>
    <w:p w14:paraId="430F1546" w14:textId="04CAB852" w:rsidR="000977A8" w:rsidRPr="00F477F6" w:rsidRDefault="000977A8" w:rsidP="00D20D53">
      <w:pPr>
        <w:pStyle w:val="ListParagraph"/>
        <w:numPr>
          <w:ilvl w:val="0"/>
          <w:numId w:val="16"/>
        </w:numPr>
      </w:pPr>
      <w:r w:rsidRPr="00CD2720">
        <w:rPr>
          <w:b/>
        </w:rPr>
        <w:t>Changes to the existing skill mix</w:t>
      </w:r>
      <w:r w:rsidRPr="00F477F6">
        <w:t xml:space="preserve"> in selected settings and the consequent national workforce impact</w:t>
      </w:r>
      <w:r w:rsidR="005F6256" w:rsidRPr="00F477F6">
        <w:t>.</w:t>
      </w:r>
      <w:r w:rsidRPr="00F477F6">
        <w:t xml:space="preserve"> </w:t>
      </w:r>
    </w:p>
    <w:p w14:paraId="57DBE725" w14:textId="77777777" w:rsidR="00135711" w:rsidRPr="00F477F6" w:rsidRDefault="00135711" w:rsidP="00D20D53">
      <w:r w:rsidRPr="00F477F6">
        <w:t xml:space="preserve">Additional scenarios replicating those presented in HW2025 are available in the publication </w:t>
      </w:r>
      <w:r w:rsidRPr="00F477F6">
        <w:rPr>
          <w:i/>
        </w:rPr>
        <w:t>AFHW – Nurses – Detailed Report</w:t>
      </w:r>
      <w:r w:rsidRPr="00F477F6">
        <w:t xml:space="preserve">. </w:t>
      </w:r>
    </w:p>
    <w:p w14:paraId="4ADD3EC7" w14:textId="743AF036" w:rsidR="00F46704" w:rsidRPr="00F477F6" w:rsidRDefault="000977A8" w:rsidP="00D20D53">
      <w:r w:rsidRPr="00F477F6">
        <w:t xml:space="preserve">It is important to note the scenarios are not predictions of what will </w:t>
      </w:r>
      <w:r w:rsidR="00B453C6" w:rsidRPr="00F477F6">
        <w:t xml:space="preserve">happen over the period to 2030 – </w:t>
      </w:r>
      <w:r w:rsidRPr="00F477F6">
        <w:t xml:space="preserve">each provides an estimate of likely outcomes given the set of conditions upon which it is based. </w:t>
      </w:r>
      <w:bookmarkStart w:id="108" w:name="_Toc377370477"/>
      <w:bookmarkStart w:id="109" w:name="_Ref378153547"/>
      <w:bookmarkStart w:id="110" w:name="_Toc383596003"/>
    </w:p>
    <w:p w14:paraId="237CF21D" w14:textId="77777777" w:rsidR="005F6256" w:rsidRPr="00F477F6" w:rsidRDefault="005F6256" w:rsidP="00D20D53">
      <w:pPr>
        <w:pStyle w:val="Heading3"/>
        <w:rPr>
          <w:lang w:val="en-AU"/>
        </w:rPr>
      </w:pPr>
      <w:r w:rsidRPr="00F477F6">
        <w:rPr>
          <w:lang w:val="en-AU"/>
        </w:rPr>
        <w:t>Nursing student attrition</w:t>
      </w:r>
    </w:p>
    <w:p w14:paraId="08121875" w14:textId="484B26C8" w:rsidR="00135711" w:rsidRPr="00F477F6" w:rsidRDefault="00135711" w:rsidP="00D20D53">
      <w:r w:rsidRPr="00F477F6">
        <w:t>Th</w:t>
      </w:r>
      <w:r w:rsidR="007D0488" w:rsidRPr="00F477F6">
        <w:t xml:space="preserve">e method used to calculate </w:t>
      </w:r>
      <w:r w:rsidRPr="00F477F6">
        <w:t xml:space="preserve">RN student attrition rates is outlined here given its importance in determining RN nurse supply. </w:t>
      </w:r>
    </w:p>
    <w:p w14:paraId="4177199B" w14:textId="06F7E012" w:rsidR="005F6256" w:rsidRPr="00F477F6" w:rsidRDefault="005F6256" w:rsidP="00D20D53">
      <w:r w:rsidRPr="00F477F6">
        <w:t xml:space="preserve">In the workforce planning projections, new graduates are </w:t>
      </w:r>
      <w:r w:rsidR="007D0488" w:rsidRPr="00F477F6">
        <w:t>one</w:t>
      </w:r>
      <w:r w:rsidRPr="00F477F6">
        <w:t xml:space="preserve"> workforce supply stream. Therefore an estimate of graduate numbers needs to be calculated for this input. To do this, HWA uses historical trends in student commencements to project an estimated number of </w:t>
      </w:r>
      <w:r w:rsidR="007D0488" w:rsidRPr="00F477F6">
        <w:t xml:space="preserve">future </w:t>
      </w:r>
      <w:r w:rsidRPr="00F477F6">
        <w:t xml:space="preserve">student commencements (up to </w:t>
      </w:r>
      <w:r w:rsidR="007D0488" w:rsidRPr="00F477F6">
        <w:t xml:space="preserve">a </w:t>
      </w:r>
      <w:r w:rsidRPr="00F477F6">
        <w:t xml:space="preserve">maximum of </w:t>
      </w:r>
      <w:r w:rsidR="00125CBF" w:rsidRPr="00F477F6">
        <w:t>three</w:t>
      </w:r>
      <w:r w:rsidR="00F46704" w:rsidRPr="00F477F6">
        <w:t xml:space="preserve"> </w:t>
      </w:r>
      <w:r w:rsidRPr="00F477F6">
        <w:t xml:space="preserve">years in the future). A student attrition rate is then applied to the projected student commencements to determine the number of graduates to include as the supply stream in the </w:t>
      </w:r>
      <w:r w:rsidR="00125CBF" w:rsidRPr="00F477F6">
        <w:t xml:space="preserve">workforce planning projection. </w:t>
      </w:r>
    </w:p>
    <w:p w14:paraId="4BEA5395" w14:textId="6B22D0D5" w:rsidR="006551FC" w:rsidRPr="00F477F6" w:rsidRDefault="005F6256" w:rsidP="00D20D53">
      <w:r w:rsidRPr="00F477F6">
        <w:t xml:space="preserve">For RNs, HWA used higher education statistics from the Australian Government Department of Education on student commencements and completions (definitions of these terms are contained in Appendix </w:t>
      </w:r>
      <w:r w:rsidR="00B453C6" w:rsidRPr="00F477F6">
        <w:t>C</w:t>
      </w:r>
      <w:r w:rsidRPr="00F477F6">
        <w:t xml:space="preserve">). </w:t>
      </w:r>
    </w:p>
    <w:p w14:paraId="4405F590" w14:textId="0DF80573" w:rsidR="006551FC" w:rsidRPr="00F477F6" w:rsidRDefault="005F6256" w:rsidP="00D20D53">
      <w:r w:rsidRPr="00F477F6">
        <w:t>The attrition rate for RNs was calculate</w:t>
      </w:r>
      <w:r w:rsidR="00125CBF" w:rsidRPr="00F477F6">
        <w:t xml:space="preserve">d using the following formula: </w:t>
      </w:r>
    </w:p>
    <w:p w14:paraId="4A0885E8" w14:textId="65FC111E" w:rsidR="006551FC" w:rsidRPr="00F477F6" w:rsidRDefault="006551FC" w:rsidP="00D20D53">
      <w:pPr>
        <w:rPr>
          <w:lang w:eastAsia="en-AU"/>
        </w:rPr>
      </w:pPr>
      <w:r w:rsidRPr="00F477F6">
        <w:rPr>
          <w:lang w:eastAsia="en-AU"/>
        </w:rPr>
        <w:t>([Commencements in Year X] - [Completions in Year X+2])</w:t>
      </w:r>
      <w:r w:rsidR="00125CBF" w:rsidRPr="00F477F6">
        <w:rPr>
          <w:lang w:eastAsia="en-AU"/>
        </w:rPr>
        <w:t xml:space="preserve"> </w:t>
      </w:r>
      <w:r w:rsidRPr="00F477F6">
        <w:rPr>
          <w:lang w:eastAsia="en-AU"/>
        </w:rPr>
        <w:t>/</w:t>
      </w:r>
      <w:r w:rsidR="00125CBF" w:rsidRPr="00F477F6">
        <w:rPr>
          <w:lang w:eastAsia="en-AU"/>
        </w:rPr>
        <w:t xml:space="preserve"> </w:t>
      </w:r>
      <w:r w:rsidRPr="00F477F6">
        <w:rPr>
          <w:lang w:eastAsia="en-AU"/>
        </w:rPr>
        <w:t xml:space="preserve">[Commencements in Year </w:t>
      </w:r>
      <w:r w:rsidR="00125CBF" w:rsidRPr="00F477F6">
        <w:rPr>
          <w:lang w:eastAsia="en-AU"/>
        </w:rPr>
        <w:t>X</w:t>
      </w:r>
      <w:r w:rsidRPr="00F477F6">
        <w:rPr>
          <w:lang w:eastAsia="en-AU"/>
        </w:rPr>
        <w:t>]</w:t>
      </w:r>
    </w:p>
    <w:p w14:paraId="72741B17" w14:textId="5A93FE71" w:rsidR="00A77403" w:rsidRPr="00F477F6" w:rsidRDefault="005F6256" w:rsidP="00D20D53">
      <w:pPr>
        <w:rPr>
          <w:lang w:eastAsia="en-AU"/>
        </w:rPr>
      </w:pPr>
      <w:r w:rsidRPr="00F477F6">
        <w:rPr>
          <w:lang w:eastAsia="en-AU"/>
        </w:rPr>
        <w:t xml:space="preserve">Rates were calculated for four </w:t>
      </w:r>
      <w:r w:rsidR="00F46704" w:rsidRPr="00F477F6">
        <w:rPr>
          <w:lang w:eastAsia="en-AU"/>
        </w:rPr>
        <w:t xml:space="preserve">periods </w:t>
      </w:r>
      <w:r w:rsidR="006551FC" w:rsidRPr="00F477F6">
        <w:rPr>
          <w:lang w:eastAsia="en-AU"/>
        </w:rPr>
        <w:t xml:space="preserve">(commencing years 2007 to 2010 and completion years </w:t>
      </w:r>
      <w:r w:rsidRPr="00F477F6">
        <w:rPr>
          <w:lang w:eastAsia="en-AU"/>
        </w:rPr>
        <w:t xml:space="preserve">2009 to 2012). The average of the rates for each of the four </w:t>
      </w:r>
      <w:r w:rsidR="00F46704" w:rsidRPr="00F477F6">
        <w:rPr>
          <w:lang w:eastAsia="en-AU"/>
        </w:rPr>
        <w:t xml:space="preserve">periods </w:t>
      </w:r>
      <w:r w:rsidRPr="00F477F6">
        <w:rPr>
          <w:lang w:eastAsia="en-AU"/>
        </w:rPr>
        <w:t>was then calculated, and applied to the projected student commencements to obtain t</w:t>
      </w:r>
      <w:r w:rsidR="00125CBF" w:rsidRPr="00F477F6">
        <w:rPr>
          <w:lang w:eastAsia="en-AU"/>
        </w:rPr>
        <w:t>he estimated graduate numbers. Please note, the method HWA uses for calculating attrition for workforce planning purposes may differ to methods tertiary institutions use for their own planning and evaluation purposes.</w:t>
      </w:r>
      <w:r w:rsidR="00872DB4" w:rsidRPr="00F477F6">
        <w:rPr>
          <w:lang w:eastAsia="en-AU"/>
        </w:rPr>
        <w:t xml:space="preserve"> </w:t>
      </w:r>
    </w:p>
    <w:p w14:paraId="1B0A8199" w14:textId="15FA7CCF" w:rsidR="005F6256" w:rsidRPr="00F477F6" w:rsidRDefault="005F6256" w:rsidP="00D20D53">
      <w:r w:rsidRPr="00F477F6">
        <w:t>For RN students, the historical attrition rat</w:t>
      </w:r>
      <w:r w:rsidR="001262DE" w:rsidRPr="00F477F6">
        <w:t>e (2000 to 2006) has been 21per</w:t>
      </w:r>
      <w:r w:rsidRPr="00F477F6">
        <w:t>cent. The current overall attrition rate (using the commencing years 2007 to 2010 and completion years 2009 to 20</w:t>
      </w:r>
      <w:r w:rsidR="001262DE" w:rsidRPr="00F477F6">
        <w:t>12) was calculated to be 34 per</w:t>
      </w:r>
      <w:r w:rsidRPr="00F477F6">
        <w:t>cent (noting that attrition rates varied across educational institutions, from a low of 18 perc</w:t>
      </w:r>
      <w:r w:rsidR="001262DE" w:rsidRPr="00F477F6">
        <w:t>ent to a high of 54 per</w:t>
      </w:r>
      <w:r w:rsidR="00125CBF" w:rsidRPr="00F477F6">
        <w:t xml:space="preserve">cent). </w:t>
      </w:r>
    </w:p>
    <w:p w14:paraId="49299A8B" w14:textId="3DDCF29B" w:rsidR="005F6256" w:rsidRPr="00F477F6" w:rsidRDefault="005F6256" w:rsidP="00D20D53">
      <w:r w:rsidRPr="00F477F6">
        <w:lastRenderedPageBreak/>
        <w:t xml:space="preserve">For ENs, an attrition rate </w:t>
      </w:r>
      <w:r w:rsidR="006551FC" w:rsidRPr="00F477F6">
        <w:t>could not</w:t>
      </w:r>
      <w:r w:rsidRPr="00F477F6">
        <w:t xml:space="preserve"> be calculated. This is because of difficulties in identifying EN course commencements, as people often enrol in an EN course to only complete a specific module, rather than to qualify as an EN. Therefore for ENs, graduate inflows into the workforce planning projections were </w:t>
      </w:r>
      <w:r w:rsidR="00F46704" w:rsidRPr="00F477F6">
        <w:t xml:space="preserve">the 2012 </w:t>
      </w:r>
      <w:r w:rsidRPr="00F477F6">
        <w:t>EN course completions, which was then held constant across the projection period.</w:t>
      </w:r>
    </w:p>
    <w:p w14:paraId="23A188A5" w14:textId="120E4995" w:rsidR="00A61DED" w:rsidRPr="00F477F6" w:rsidRDefault="00A61DED" w:rsidP="00D20D53">
      <w:pPr>
        <w:pStyle w:val="Heading3"/>
        <w:rPr>
          <w:lang w:val="en-AU"/>
        </w:rPr>
      </w:pPr>
      <w:r w:rsidRPr="00F477F6">
        <w:rPr>
          <w:lang w:val="en-AU"/>
        </w:rPr>
        <w:t>Data developments</w:t>
      </w:r>
      <w:r w:rsidR="005F6256" w:rsidRPr="00F477F6">
        <w:rPr>
          <w:lang w:val="en-AU"/>
        </w:rPr>
        <w:t xml:space="preserve"> since HW2025</w:t>
      </w:r>
    </w:p>
    <w:p w14:paraId="0703E8E7" w14:textId="7FA4FE51" w:rsidR="00A61DED" w:rsidRPr="00F477F6" w:rsidRDefault="00A61DED" w:rsidP="00D20D53">
      <w:r w:rsidRPr="00F477F6">
        <w:t xml:space="preserve">Recent developments such as national health professional regulation and the HWA National Statistical Resource have significantly improved data quality and consistency, resulting in a more robust basis for future workforce planning. These changes, in addition to increased sophistication in the </w:t>
      </w:r>
      <w:r w:rsidR="006551FC" w:rsidRPr="00F477F6">
        <w:t>workforce planning projection</w:t>
      </w:r>
      <w:r w:rsidRPr="00F477F6">
        <w:t xml:space="preserve"> methodology, improve the accuracy of the </w:t>
      </w:r>
      <w:r w:rsidR="006551FC" w:rsidRPr="00F477F6">
        <w:t xml:space="preserve">workforce </w:t>
      </w:r>
      <w:r w:rsidRPr="00F477F6">
        <w:t>projections. In particular, national registration of selected health professions through AHPRA, and the workforce survey administered at the time of registration renewal, now allows for:</w:t>
      </w:r>
    </w:p>
    <w:p w14:paraId="3C0A99EB" w14:textId="0FB97974" w:rsidR="00A61DED" w:rsidRPr="00F477F6" w:rsidRDefault="00A61DED" w:rsidP="00D20D53">
      <w:pPr>
        <w:pStyle w:val="ListParagraph"/>
        <w:numPr>
          <w:ilvl w:val="0"/>
          <w:numId w:val="17"/>
        </w:numPr>
      </w:pPr>
      <w:r w:rsidRPr="00F477F6">
        <w:t>Longitudinal tracking of individual practitioners</w:t>
      </w:r>
      <w:r w:rsidR="009B2B5F" w:rsidRPr="00F477F6">
        <w:t>.</w:t>
      </w:r>
      <w:r w:rsidRPr="00F477F6">
        <w:t xml:space="preserve"> </w:t>
      </w:r>
    </w:p>
    <w:p w14:paraId="77BD577E" w14:textId="1FA5C153" w:rsidR="006551FC" w:rsidRPr="00F477F6" w:rsidRDefault="00A61DED" w:rsidP="00D20D53">
      <w:pPr>
        <w:pStyle w:val="ListParagraph"/>
        <w:numPr>
          <w:ilvl w:val="0"/>
          <w:numId w:val="17"/>
        </w:numPr>
      </w:pPr>
      <w:r w:rsidRPr="00F477F6">
        <w:t xml:space="preserve">The ability to distinguish between dual registrant RNs, midwives and RNs working in midwifery (for increased accuracy of the attribution of working hours). </w:t>
      </w:r>
    </w:p>
    <w:p w14:paraId="3CAE7369" w14:textId="40753761" w:rsidR="00A61DED" w:rsidRPr="00F477F6" w:rsidRDefault="00A61DED" w:rsidP="00D20D53">
      <w:r w:rsidRPr="00F477F6">
        <w:t>The workforce projections presented in AFHW – Nurses incorporate these recent data developments, reflected by:</w:t>
      </w:r>
    </w:p>
    <w:p w14:paraId="0B8E53FF" w14:textId="59750884" w:rsidR="00A61DED" w:rsidRPr="00F477F6" w:rsidRDefault="00A61DED" w:rsidP="00D20D53">
      <w:pPr>
        <w:pStyle w:val="ListParagraph"/>
        <w:numPr>
          <w:ilvl w:val="0"/>
          <w:numId w:val="18"/>
        </w:numPr>
      </w:pPr>
      <w:r w:rsidRPr="00F477F6">
        <w:t>Basing the opening workforce data on labour force surveys undertaken by AHPRA with a 2012 start year rather than the Australian Institute of Health and Welfare labour force survey with a 2009 start year</w:t>
      </w:r>
      <w:r w:rsidR="009B2B5F" w:rsidRPr="00F477F6">
        <w:t>.</w:t>
      </w:r>
    </w:p>
    <w:p w14:paraId="6E3910BC" w14:textId="79D4A4B0" w:rsidR="00A61DED" w:rsidRPr="00F477F6" w:rsidRDefault="00A61DED" w:rsidP="00D20D53">
      <w:pPr>
        <w:pStyle w:val="ListParagraph"/>
        <w:numPr>
          <w:ilvl w:val="0"/>
          <w:numId w:val="18"/>
        </w:numPr>
      </w:pPr>
      <w:r w:rsidRPr="00F477F6">
        <w:t>Producing workforce projections out to 2030 rather than 2025</w:t>
      </w:r>
      <w:r w:rsidR="009B2B5F" w:rsidRPr="00F477F6">
        <w:t>.</w:t>
      </w:r>
    </w:p>
    <w:p w14:paraId="1E43F7DB" w14:textId="77777777" w:rsidR="00A61DED" w:rsidRPr="00F477F6" w:rsidRDefault="00A61DED" w:rsidP="00D20D53">
      <w:pPr>
        <w:pStyle w:val="ListParagraph"/>
        <w:numPr>
          <w:ilvl w:val="0"/>
          <w:numId w:val="18"/>
        </w:numPr>
      </w:pPr>
      <w:r w:rsidRPr="00F477F6">
        <w:t>Updating demand, migration and new graduates inputs to the latest available information.</w:t>
      </w:r>
    </w:p>
    <w:p w14:paraId="603AD46B" w14:textId="46A49A14" w:rsidR="006551FC" w:rsidRPr="00F477F6" w:rsidRDefault="006551FC" w:rsidP="00641259">
      <w:pPr>
        <w:pStyle w:val="Heading2"/>
      </w:pPr>
      <w:bookmarkStart w:id="111" w:name="_Toc387326047"/>
      <w:bookmarkStart w:id="112" w:name="_Toc387400874"/>
      <w:bookmarkStart w:id="113" w:name="_Toc387400917"/>
      <w:bookmarkStart w:id="114" w:name="_Toc387401313"/>
      <w:bookmarkEnd w:id="108"/>
      <w:bookmarkEnd w:id="109"/>
      <w:bookmarkEnd w:id="110"/>
      <w:r w:rsidRPr="00F477F6">
        <w:t xml:space="preserve">Workforce planning </w:t>
      </w:r>
      <w:r w:rsidR="00D43F13" w:rsidRPr="00F477F6">
        <w:t xml:space="preserve">projection </w:t>
      </w:r>
      <w:r w:rsidRPr="00F477F6">
        <w:t>results</w:t>
      </w:r>
      <w:bookmarkEnd w:id="111"/>
      <w:bookmarkEnd w:id="112"/>
      <w:bookmarkEnd w:id="113"/>
      <w:bookmarkEnd w:id="114"/>
    </w:p>
    <w:p w14:paraId="7327F601" w14:textId="7952DD4D" w:rsidR="00D43F13" w:rsidRPr="00F477F6" w:rsidRDefault="00D43F13" w:rsidP="00D20D53">
      <w:pPr>
        <w:rPr>
          <w:rFonts w:eastAsia="Times New Roman" w:cs="Times New Roman"/>
          <w:b/>
          <w:lang w:eastAsia="x-none"/>
        </w:rPr>
      </w:pPr>
      <w:r w:rsidRPr="00F477F6">
        <w:t xml:space="preserve">Reflecting the inherent uncertainty involved in workforce projections, the results presented graphically make used of a variation band. This means the results for both supply </w:t>
      </w:r>
      <w:r w:rsidR="009B2B5F" w:rsidRPr="00F477F6">
        <w:t xml:space="preserve">and demand </w:t>
      </w:r>
      <w:r w:rsidRPr="00F477F6">
        <w:t>projections are displayed with a +/- two percent ‘variation’ allowance through to the end of the projection period. Areas of intersection within these variation bands suggest a workforce projected to be in relative balance from the initial starting point.</w:t>
      </w:r>
    </w:p>
    <w:p w14:paraId="100A706F" w14:textId="4988F798" w:rsidR="00FE4978" w:rsidRPr="00F477F6" w:rsidRDefault="00FE4978" w:rsidP="00D20D53">
      <w:pPr>
        <w:pStyle w:val="Heading3"/>
        <w:rPr>
          <w:lang w:val="en-AU"/>
        </w:rPr>
      </w:pPr>
      <w:r w:rsidRPr="00F477F6">
        <w:rPr>
          <w:lang w:val="en-AU"/>
        </w:rPr>
        <w:t xml:space="preserve">Comparison </w:t>
      </w:r>
      <w:r w:rsidR="005A3E74" w:rsidRPr="00F477F6">
        <w:rPr>
          <w:lang w:val="en-AU"/>
        </w:rPr>
        <w:t>scenario</w:t>
      </w:r>
    </w:p>
    <w:p w14:paraId="6F74E86B" w14:textId="756C4AD7" w:rsidR="006551FC" w:rsidRPr="00F477F6" w:rsidRDefault="006551FC" w:rsidP="00D20D53">
      <w:r w:rsidRPr="00F477F6">
        <w:t xml:space="preserve">This section provides an update of the forecast outputs for the </w:t>
      </w:r>
      <w:r w:rsidR="00330A11" w:rsidRPr="00F477F6">
        <w:t xml:space="preserve">nursing </w:t>
      </w:r>
      <w:r w:rsidRPr="00F477F6">
        <w:t>workforce as the comparison (or baseline) scenario</w:t>
      </w:r>
      <w:r w:rsidR="00330A11" w:rsidRPr="00F477F6">
        <w:t xml:space="preserve">, constructed using the methodology outlined earlier in the publication. The result of this workforce modelling is not a </w:t>
      </w:r>
      <w:r w:rsidRPr="00F477F6">
        <w:t>prediction of the future, rather it provides a comparison scenario that allows us to see a “do nothing” outcome and compare the effects of taking action.</w:t>
      </w:r>
    </w:p>
    <w:p w14:paraId="26960A04" w14:textId="0F2653D8" w:rsidR="00131B32" w:rsidRPr="00F477F6" w:rsidRDefault="00131B32" w:rsidP="00D20D53">
      <w:r w:rsidRPr="00F477F6">
        <w:t>The comparison scenario demonstrates that rela</w:t>
      </w:r>
      <w:r w:rsidR="003C453F" w:rsidRPr="00F477F6">
        <w:t>tive to the starting point, demand for the nursing workforce immediately exceeds supply, with the gap gradually increasing over the projection period (with demand projected to exceed supply by approximately 85,000 in 2025 and 123,000 in 2030</w:t>
      </w:r>
      <w:r w:rsidR="001A3412" w:rsidRPr="00F477F6">
        <w:t xml:space="preserve">, see </w:t>
      </w:r>
      <w:r w:rsidR="000355C9" w:rsidRPr="00F477F6">
        <w:fldChar w:fldCharType="begin"/>
      </w:r>
      <w:r w:rsidR="000355C9" w:rsidRPr="00F477F6">
        <w:instrText xml:space="preserve"> REF _Ref387393456 \h </w:instrText>
      </w:r>
      <w:r w:rsidR="00695F00" w:rsidRPr="00F477F6">
        <w:instrText xml:space="preserve"> \* MERGEFORMAT </w:instrText>
      </w:r>
      <w:r w:rsidR="000355C9" w:rsidRPr="00F477F6">
        <w:fldChar w:fldCharType="separate"/>
      </w:r>
      <w:r w:rsidR="00641259" w:rsidRPr="00F477F6">
        <w:rPr>
          <w:noProof/>
        </w:rPr>
        <w:t>Figure</w:t>
      </w:r>
      <w:r w:rsidR="00641259" w:rsidRPr="00F477F6">
        <w:t xml:space="preserve"> </w:t>
      </w:r>
      <w:r w:rsidR="00641259">
        <w:rPr>
          <w:noProof/>
        </w:rPr>
        <w:t>8</w:t>
      </w:r>
      <w:r w:rsidR="000355C9" w:rsidRPr="00F477F6">
        <w:fldChar w:fldCharType="end"/>
      </w:r>
      <w:r w:rsidR="000355C9" w:rsidRPr="00F477F6">
        <w:t xml:space="preserve"> </w:t>
      </w:r>
      <w:r w:rsidR="00276998" w:rsidRPr="00F477F6">
        <w:t xml:space="preserve">and </w:t>
      </w:r>
      <w:r w:rsidR="007321A8" w:rsidRPr="00F477F6">
        <w:fldChar w:fldCharType="begin"/>
      </w:r>
      <w:r w:rsidR="007321A8" w:rsidRPr="00F477F6">
        <w:instrText xml:space="preserve"> REF _Ref387394620 \h </w:instrText>
      </w:r>
      <w:r w:rsidR="00695F00" w:rsidRPr="00F477F6">
        <w:instrText xml:space="preserve"> \* MERGEFORMAT </w:instrText>
      </w:r>
      <w:r w:rsidR="007321A8" w:rsidRPr="00F477F6">
        <w:fldChar w:fldCharType="separate"/>
      </w:r>
      <w:r w:rsidR="00641259" w:rsidRPr="00F477F6">
        <w:t xml:space="preserve">Table </w:t>
      </w:r>
      <w:r w:rsidR="00641259">
        <w:rPr>
          <w:noProof/>
        </w:rPr>
        <w:t>8</w:t>
      </w:r>
      <w:r w:rsidR="007321A8" w:rsidRPr="00F477F6">
        <w:fldChar w:fldCharType="end"/>
      </w:r>
      <w:r w:rsidR="00276998" w:rsidRPr="00F477F6">
        <w:t>)</w:t>
      </w:r>
      <w:r w:rsidR="003C453F" w:rsidRPr="00F477F6">
        <w:t xml:space="preserve">. </w:t>
      </w:r>
    </w:p>
    <w:p w14:paraId="25D6CC8D" w14:textId="77777777" w:rsidR="00037243" w:rsidRPr="00F477F6" w:rsidRDefault="00D43F13" w:rsidP="00D20D53">
      <w:r w:rsidRPr="00F477F6">
        <w:t xml:space="preserve">The result for 2025 </w:t>
      </w:r>
      <w:r w:rsidR="00037243" w:rsidRPr="00F477F6">
        <w:t>is lower than the original nursing</w:t>
      </w:r>
      <w:r w:rsidRPr="00F477F6">
        <w:t xml:space="preserve"> workforce planning projections published in HW2025 – which projected a shortfall of approximately 109,000 nurses in 2025 under current settings. </w:t>
      </w:r>
      <w:r w:rsidR="0060359B" w:rsidRPr="00F477F6">
        <w:t xml:space="preserve">This change was the result of </w:t>
      </w:r>
      <w:r w:rsidR="00037243" w:rsidRPr="00F477F6">
        <w:t xml:space="preserve">changes in the behaviours of nurses </w:t>
      </w:r>
      <w:r w:rsidR="00037243" w:rsidRPr="00F477F6">
        <w:lastRenderedPageBreak/>
        <w:t>and employers, which is reflected in the most recent data used in generating the workforce planning projections, specifically:</w:t>
      </w:r>
    </w:p>
    <w:p w14:paraId="3C720ED2" w14:textId="77777777" w:rsidR="00037243" w:rsidRPr="00F477F6" w:rsidRDefault="00037243" w:rsidP="00D20D53">
      <w:pPr>
        <w:pStyle w:val="ListParagraph"/>
        <w:numPr>
          <w:ilvl w:val="0"/>
          <w:numId w:val="19"/>
        </w:numPr>
      </w:pPr>
      <w:r w:rsidRPr="00F477F6">
        <w:t xml:space="preserve">Lower exit rates in </w:t>
      </w:r>
      <w:r w:rsidRPr="00CD2720">
        <w:rPr>
          <w:i/>
        </w:rPr>
        <w:t>AFHW – Nurses</w:t>
      </w:r>
      <w:r w:rsidRPr="00F477F6">
        <w:t xml:space="preserve"> than those used in the HW2025 workforce planning projections, from more nurses remaining in the workforce than expected. </w:t>
      </w:r>
    </w:p>
    <w:p w14:paraId="7EAF60B5" w14:textId="3DC98586" w:rsidR="00037243" w:rsidRPr="00F477F6" w:rsidRDefault="00037243" w:rsidP="00D20D53">
      <w:pPr>
        <w:pStyle w:val="ListParagraph"/>
        <w:numPr>
          <w:ilvl w:val="0"/>
          <w:numId w:val="19"/>
        </w:numPr>
      </w:pPr>
      <w:r w:rsidRPr="00F477F6">
        <w:t xml:space="preserve">Lower demand rates for nurses working in acute care in </w:t>
      </w:r>
      <w:r w:rsidRPr="00CD2720">
        <w:rPr>
          <w:i/>
        </w:rPr>
        <w:t>AFHW – Nurses</w:t>
      </w:r>
      <w:r w:rsidRPr="00F477F6">
        <w:t xml:space="preserve"> (2.6 pe</w:t>
      </w:r>
      <w:r w:rsidR="001262DE" w:rsidRPr="00F477F6">
        <w:t>r</w:t>
      </w:r>
      <w:r w:rsidRPr="00F477F6">
        <w:t>cent) compared wit</w:t>
      </w:r>
      <w:r w:rsidR="001262DE" w:rsidRPr="00F477F6">
        <w:t>h those used in HW2025 (2.2 per</w:t>
      </w:r>
      <w:r w:rsidRPr="00F477F6">
        <w:t>cent), reflecting lower labour demand than projected, particularly in the public sector.</w:t>
      </w:r>
    </w:p>
    <w:p w14:paraId="2D2A2FC7" w14:textId="30EA317D" w:rsidR="00037243" w:rsidRPr="00F477F6" w:rsidRDefault="00037243" w:rsidP="00D20D53">
      <w:r w:rsidRPr="00F477F6">
        <w:t>These changes reflect economic conditions, changes in policy in public sector health systems and other external impacts.</w:t>
      </w:r>
    </w:p>
    <w:p w14:paraId="7A49FBFC" w14:textId="5EF62190" w:rsidR="00E153DD" w:rsidRPr="00F477F6" w:rsidRDefault="000355C9" w:rsidP="00D20D53">
      <w:pPr>
        <w:pStyle w:val="Caption"/>
      </w:pPr>
      <w:bookmarkStart w:id="115" w:name="_Ref387393456"/>
      <w:bookmarkStart w:id="116" w:name="_Toc407783221"/>
      <w:r w:rsidRPr="00F477F6">
        <w:t xml:space="preserve">Figure </w:t>
      </w:r>
      <w:fldSimple w:instr=" SEQ Figure \* ARABIC ">
        <w:r w:rsidR="00641259">
          <w:rPr>
            <w:noProof/>
          </w:rPr>
          <w:t>8</w:t>
        </w:r>
      </w:fldSimple>
      <w:bookmarkEnd w:id="115"/>
      <w:r w:rsidR="00E153DD" w:rsidRPr="00F477F6">
        <w:t xml:space="preserve">: Comparison scenario, registered </w:t>
      </w:r>
      <w:r w:rsidR="003C453F" w:rsidRPr="00F477F6">
        <w:t xml:space="preserve">nurses </w:t>
      </w:r>
      <w:r w:rsidR="00E153DD" w:rsidRPr="00F477F6">
        <w:t>and enrolled nurses, 2012 to 2030</w:t>
      </w:r>
      <w:bookmarkEnd w:id="116"/>
    </w:p>
    <w:p w14:paraId="62E41FE5" w14:textId="00622ABE" w:rsidR="001A3412" w:rsidRPr="00D20D53" w:rsidRDefault="009439CD" w:rsidP="00D20D53">
      <w:r w:rsidRPr="00D20D53">
        <w:rPr>
          <w:noProof/>
          <w:lang w:eastAsia="en-AU"/>
        </w:rPr>
        <w:drawing>
          <wp:inline distT="0" distB="0" distL="0" distR="0" wp14:anchorId="4E4C796D" wp14:editId="65E1D3FA">
            <wp:extent cx="6015418" cy="3381375"/>
            <wp:effectExtent l="0" t="0" r="4445" b="0"/>
            <wp:docPr id="4" name="Picture 4" descr="The figure shows the results of the comparison scenario modelled in the report. &#10;&#10;It demonstrates that relative to the starting point, demand for the nursing workforce immediately exceeds supply, with the gap gradually increasing over the projection period (with demand projected to exceed supply by approximately 85,000 in 2025 and 123,000 in 2030). " title="Figure 8: Comparison scenario, registered nurses and enrolled nurses, 2012 to 2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3"/>
                    <a:srcRect l="6349" t="5664" r="7054" b="7485"/>
                    <a:stretch/>
                  </pic:blipFill>
                  <pic:spPr bwMode="auto">
                    <a:xfrm>
                      <a:off x="0" y="0"/>
                      <a:ext cx="6017893" cy="3382766"/>
                    </a:xfrm>
                    <a:prstGeom prst="rect">
                      <a:avLst/>
                    </a:prstGeom>
                    <a:ln>
                      <a:noFill/>
                    </a:ln>
                    <a:extLst>
                      <a:ext uri="{53640926-AAD7-44D8-BBD7-CCE9431645EC}">
                        <a14:shadowObscured xmlns:a14="http://schemas.microsoft.com/office/drawing/2010/main"/>
                      </a:ext>
                    </a:extLst>
                  </pic:spPr>
                </pic:pic>
              </a:graphicData>
            </a:graphic>
          </wp:inline>
        </w:drawing>
      </w:r>
    </w:p>
    <w:p w14:paraId="4825D126" w14:textId="6490306C" w:rsidR="001A3412" w:rsidRPr="00F477F6" w:rsidRDefault="00B2497A" w:rsidP="00D20D53">
      <w:pPr>
        <w:pStyle w:val="Caption"/>
      </w:pPr>
      <w:bookmarkStart w:id="117" w:name="_Ref387394620"/>
      <w:bookmarkStart w:id="118" w:name="_Toc407783205"/>
      <w:r w:rsidRPr="00F477F6">
        <w:t xml:space="preserve">Table </w:t>
      </w:r>
      <w:fldSimple w:instr=" SEQ Table \* ARABIC ">
        <w:r w:rsidR="00641259">
          <w:rPr>
            <w:noProof/>
          </w:rPr>
          <w:t>8</w:t>
        </w:r>
      </w:fldSimple>
      <w:bookmarkEnd w:id="117"/>
      <w:r w:rsidR="001A3412" w:rsidRPr="00F477F6">
        <w:t xml:space="preserve">: </w:t>
      </w:r>
      <w:r w:rsidR="00276998" w:rsidRPr="00F477F6">
        <w:t>Comparison scenario, r</w:t>
      </w:r>
      <w:r w:rsidR="001A3412" w:rsidRPr="00F477F6">
        <w:t>egiste</w:t>
      </w:r>
      <w:r w:rsidR="00276998" w:rsidRPr="00F477F6">
        <w:t>red nurses and enrolled nurses</w:t>
      </w:r>
      <w:r w:rsidR="001A3412" w:rsidRPr="00F477F6">
        <w:t>, selected years</w:t>
      </w:r>
      <w:bookmarkEnd w:id="118"/>
    </w:p>
    <w:tbl>
      <w:tblPr>
        <w:tblW w:w="5000" w:type="pct"/>
        <w:tblLook w:val="04A0" w:firstRow="1" w:lastRow="0" w:firstColumn="1" w:lastColumn="0" w:noHBand="0" w:noVBand="1"/>
      </w:tblPr>
      <w:tblGrid>
        <w:gridCol w:w="3167"/>
        <w:gridCol w:w="1148"/>
        <w:gridCol w:w="1378"/>
        <w:gridCol w:w="1378"/>
        <w:gridCol w:w="1378"/>
        <w:gridCol w:w="1378"/>
      </w:tblGrid>
      <w:tr w:rsidR="001A3412" w:rsidRPr="008B2CBA" w14:paraId="312B805B" w14:textId="77777777" w:rsidTr="003008B9">
        <w:trPr>
          <w:trHeight w:val="300"/>
          <w:tblHeader/>
        </w:trPr>
        <w:tc>
          <w:tcPr>
            <w:tcW w:w="1611" w:type="pct"/>
            <w:tcBorders>
              <w:top w:val="nil"/>
              <w:left w:val="single" w:sz="4" w:space="0" w:color="auto"/>
              <w:bottom w:val="nil"/>
              <w:right w:val="nil"/>
            </w:tcBorders>
            <w:shd w:val="clear" w:color="000000" w:fill="0070C0"/>
            <w:noWrap/>
            <w:vAlign w:val="bottom"/>
            <w:hideMark/>
          </w:tcPr>
          <w:p w14:paraId="229E29F3" w14:textId="697B4EC7" w:rsidR="001A3412" w:rsidRPr="008B2CBA" w:rsidRDefault="001A3412" w:rsidP="008B2CBA">
            <w:pPr>
              <w:pStyle w:val="TableHeader"/>
            </w:pPr>
            <w:bookmarkStart w:id="119" w:name="Title_7"/>
            <w:bookmarkEnd w:id="119"/>
          </w:p>
        </w:tc>
        <w:tc>
          <w:tcPr>
            <w:tcW w:w="584" w:type="pct"/>
            <w:tcBorders>
              <w:top w:val="nil"/>
              <w:left w:val="nil"/>
              <w:bottom w:val="nil"/>
              <w:right w:val="nil"/>
            </w:tcBorders>
            <w:shd w:val="clear" w:color="000000" w:fill="0070C0"/>
            <w:noWrap/>
            <w:vAlign w:val="bottom"/>
            <w:hideMark/>
          </w:tcPr>
          <w:p w14:paraId="28BC096C" w14:textId="77777777" w:rsidR="001A3412" w:rsidRPr="008B2CBA" w:rsidRDefault="001A3412" w:rsidP="008B2CBA">
            <w:pPr>
              <w:pStyle w:val="TableHeader"/>
            </w:pPr>
            <w:r w:rsidRPr="008B2CBA">
              <w:t>2012</w:t>
            </w:r>
          </w:p>
        </w:tc>
        <w:tc>
          <w:tcPr>
            <w:tcW w:w="701" w:type="pct"/>
            <w:tcBorders>
              <w:top w:val="nil"/>
              <w:left w:val="nil"/>
              <w:bottom w:val="nil"/>
              <w:right w:val="nil"/>
            </w:tcBorders>
            <w:shd w:val="clear" w:color="000000" w:fill="0070C0"/>
            <w:noWrap/>
            <w:vAlign w:val="bottom"/>
            <w:hideMark/>
          </w:tcPr>
          <w:p w14:paraId="50C24C46" w14:textId="77777777" w:rsidR="001A3412" w:rsidRPr="008B2CBA" w:rsidRDefault="001A3412" w:rsidP="008B2CBA">
            <w:pPr>
              <w:pStyle w:val="TableHeader"/>
            </w:pPr>
            <w:r w:rsidRPr="008B2CBA">
              <w:t>2016</w:t>
            </w:r>
          </w:p>
        </w:tc>
        <w:tc>
          <w:tcPr>
            <w:tcW w:w="701" w:type="pct"/>
            <w:tcBorders>
              <w:top w:val="nil"/>
              <w:left w:val="nil"/>
              <w:bottom w:val="nil"/>
              <w:right w:val="nil"/>
            </w:tcBorders>
            <w:shd w:val="clear" w:color="000000" w:fill="0070C0"/>
            <w:noWrap/>
            <w:vAlign w:val="bottom"/>
            <w:hideMark/>
          </w:tcPr>
          <w:p w14:paraId="48F503AE" w14:textId="77777777" w:rsidR="001A3412" w:rsidRPr="008B2CBA" w:rsidRDefault="001A3412" w:rsidP="008B2CBA">
            <w:pPr>
              <w:pStyle w:val="TableHeader"/>
            </w:pPr>
            <w:r w:rsidRPr="008B2CBA">
              <w:t>2018</w:t>
            </w:r>
          </w:p>
        </w:tc>
        <w:tc>
          <w:tcPr>
            <w:tcW w:w="701" w:type="pct"/>
            <w:tcBorders>
              <w:top w:val="nil"/>
              <w:left w:val="nil"/>
              <w:bottom w:val="nil"/>
              <w:right w:val="nil"/>
            </w:tcBorders>
            <w:shd w:val="clear" w:color="000000" w:fill="0070C0"/>
            <w:noWrap/>
            <w:vAlign w:val="bottom"/>
            <w:hideMark/>
          </w:tcPr>
          <w:p w14:paraId="7A9AF36A" w14:textId="77777777" w:rsidR="001A3412" w:rsidRPr="008B2CBA" w:rsidRDefault="001A3412" w:rsidP="008B2CBA">
            <w:pPr>
              <w:pStyle w:val="TableHeader"/>
            </w:pPr>
            <w:r w:rsidRPr="008B2CBA">
              <w:t>2025</w:t>
            </w:r>
          </w:p>
        </w:tc>
        <w:tc>
          <w:tcPr>
            <w:tcW w:w="701" w:type="pct"/>
            <w:tcBorders>
              <w:top w:val="nil"/>
              <w:left w:val="nil"/>
              <w:bottom w:val="nil"/>
              <w:right w:val="single" w:sz="4" w:space="0" w:color="auto"/>
            </w:tcBorders>
            <w:shd w:val="clear" w:color="000000" w:fill="0070C0"/>
            <w:noWrap/>
            <w:vAlign w:val="bottom"/>
            <w:hideMark/>
          </w:tcPr>
          <w:p w14:paraId="2579151B" w14:textId="77777777" w:rsidR="001A3412" w:rsidRPr="008B2CBA" w:rsidRDefault="001A3412" w:rsidP="008B2CBA">
            <w:pPr>
              <w:pStyle w:val="TableHeader"/>
            </w:pPr>
            <w:r w:rsidRPr="008B2CBA">
              <w:t>2030</w:t>
            </w:r>
          </w:p>
        </w:tc>
      </w:tr>
      <w:tr w:rsidR="001A3412" w:rsidRPr="00F477F6" w14:paraId="1F8B8CDB" w14:textId="77777777" w:rsidTr="00406188">
        <w:trPr>
          <w:trHeight w:val="300"/>
        </w:trPr>
        <w:tc>
          <w:tcPr>
            <w:tcW w:w="1611" w:type="pct"/>
            <w:tcBorders>
              <w:top w:val="nil"/>
              <w:left w:val="single" w:sz="4" w:space="0" w:color="auto"/>
              <w:bottom w:val="nil"/>
              <w:right w:val="nil"/>
            </w:tcBorders>
            <w:shd w:val="clear" w:color="auto" w:fill="auto"/>
            <w:noWrap/>
            <w:vAlign w:val="bottom"/>
            <w:hideMark/>
          </w:tcPr>
          <w:p w14:paraId="6CE7EAD6" w14:textId="77777777" w:rsidR="001A3412" w:rsidRPr="00F477F6" w:rsidRDefault="001A3412" w:rsidP="008B2CBA">
            <w:pPr>
              <w:pStyle w:val="TableText"/>
            </w:pPr>
            <w:r w:rsidRPr="00F477F6">
              <w:t>Supply</w:t>
            </w:r>
          </w:p>
        </w:tc>
        <w:tc>
          <w:tcPr>
            <w:tcW w:w="584" w:type="pct"/>
            <w:tcBorders>
              <w:top w:val="nil"/>
              <w:left w:val="nil"/>
              <w:bottom w:val="nil"/>
              <w:right w:val="nil"/>
            </w:tcBorders>
            <w:shd w:val="clear" w:color="auto" w:fill="auto"/>
            <w:noWrap/>
            <w:vAlign w:val="bottom"/>
            <w:hideMark/>
          </w:tcPr>
          <w:p w14:paraId="18291466" w14:textId="77777777" w:rsidR="001A3412" w:rsidRPr="00F477F6" w:rsidRDefault="001A3412" w:rsidP="008B2CBA">
            <w:pPr>
              <w:pStyle w:val="TableText"/>
              <w:jc w:val="right"/>
            </w:pPr>
            <w:r w:rsidRPr="00F477F6">
              <w:t>263,212</w:t>
            </w:r>
          </w:p>
        </w:tc>
        <w:tc>
          <w:tcPr>
            <w:tcW w:w="701" w:type="pct"/>
            <w:tcBorders>
              <w:top w:val="nil"/>
              <w:left w:val="nil"/>
              <w:bottom w:val="nil"/>
              <w:right w:val="nil"/>
            </w:tcBorders>
            <w:shd w:val="clear" w:color="auto" w:fill="auto"/>
            <w:noWrap/>
            <w:vAlign w:val="bottom"/>
            <w:hideMark/>
          </w:tcPr>
          <w:p w14:paraId="7B003BE2" w14:textId="77777777" w:rsidR="001A3412" w:rsidRPr="00F477F6" w:rsidRDefault="001A3412" w:rsidP="008B2CBA">
            <w:pPr>
              <w:pStyle w:val="TableText"/>
              <w:jc w:val="right"/>
            </w:pPr>
            <w:r w:rsidRPr="00F477F6">
              <w:t>281,491</w:t>
            </w:r>
          </w:p>
        </w:tc>
        <w:tc>
          <w:tcPr>
            <w:tcW w:w="701" w:type="pct"/>
            <w:tcBorders>
              <w:top w:val="nil"/>
              <w:left w:val="nil"/>
              <w:bottom w:val="nil"/>
              <w:right w:val="nil"/>
            </w:tcBorders>
            <w:shd w:val="clear" w:color="auto" w:fill="auto"/>
            <w:noWrap/>
            <w:vAlign w:val="bottom"/>
            <w:hideMark/>
          </w:tcPr>
          <w:p w14:paraId="53063B18" w14:textId="77777777" w:rsidR="001A3412" w:rsidRPr="00F477F6" w:rsidRDefault="001A3412" w:rsidP="008B2CBA">
            <w:pPr>
              <w:pStyle w:val="TableText"/>
              <w:jc w:val="right"/>
            </w:pPr>
            <w:r w:rsidRPr="00F477F6">
              <w:t>279,206</w:t>
            </w:r>
          </w:p>
        </w:tc>
        <w:tc>
          <w:tcPr>
            <w:tcW w:w="701" w:type="pct"/>
            <w:tcBorders>
              <w:top w:val="nil"/>
              <w:left w:val="nil"/>
              <w:bottom w:val="nil"/>
              <w:right w:val="nil"/>
            </w:tcBorders>
            <w:shd w:val="clear" w:color="auto" w:fill="auto"/>
            <w:noWrap/>
            <w:vAlign w:val="bottom"/>
            <w:hideMark/>
          </w:tcPr>
          <w:p w14:paraId="3115FA6F" w14:textId="77777777" w:rsidR="001A3412" w:rsidRPr="00F477F6" w:rsidRDefault="001A3412" w:rsidP="008B2CBA">
            <w:pPr>
              <w:pStyle w:val="TableText"/>
              <w:jc w:val="right"/>
            </w:pPr>
            <w:r w:rsidRPr="00F477F6">
              <w:t>273,522</w:t>
            </w:r>
          </w:p>
        </w:tc>
        <w:tc>
          <w:tcPr>
            <w:tcW w:w="701" w:type="pct"/>
            <w:tcBorders>
              <w:top w:val="nil"/>
              <w:left w:val="nil"/>
              <w:bottom w:val="nil"/>
              <w:right w:val="single" w:sz="4" w:space="0" w:color="auto"/>
            </w:tcBorders>
            <w:shd w:val="clear" w:color="auto" w:fill="auto"/>
            <w:noWrap/>
            <w:vAlign w:val="bottom"/>
            <w:hideMark/>
          </w:tcPr>
          <w:p w14:paraId="333551B0" w14:textId="77777777" w:rsidR="001A3412" w:rsidRPr="00F477F6" w:rsidRDefault="001A3412" w:rsidP="008B2CBA">
            <w:pPr>
              <w:pStyle w:val="TableText"/>
              <w:jc w:val="right"/>
            </w:pPr>
            <w:r w:rsidRPr="00F477F6">
              <w:t>271,657</w:t>
            </w:r>
          </w:p>
        </w:tc>
      </w:tr>
      <w:tr w:rsidR="001A3412" w:rsidRPr="00F477F6" w14:paraId="5EC5393E" w14:textId="77777777" w:rsidTr="00406188">
        <w:trPr>
          <w:trHeight w:val="300"/>
        </w:trPr>
        <w:tc>
          <w:tcPr>
            <w:tcW w:w="1611" w:type="pct"/>
            <w:tcBorders>
              <w:top w:val="nil"/>
              <w:left w:val="single" w:sz="4" w:space="0" w:color="auto"/>
              <w:bottom w:val="nil"/>
              <w:right w:val="nil"/>
            </w:tcBorders>
            <w:shd w:val="clear" w:color="auto" w:fill="auto"/>
            <w:noWrap/>
            <w:vAlign w:val="bottom"/>
            <w:hideMark/>
          </w:tcPr>
          <w:p w14:paraId="47A75EB6" w14:textId="77777777" w:rsidR="001A3412" w:rsidRPr="00F477F6" w:rsidRDefault="001A3412" w:rsidP="008B2CBA">
            <w:pPr>
              <w:pStyle w:val="TableText"/>
            </w:pPr>
            <w:r w:rsidRPr="00F477F6">
              <w:t>Demand</w:t>
            </w:r>
          </w:p>
        </w:tc>
        <w:tc>
          <w:tcPr>
            <w:tcW w:w="584" w:type="pct"/>
            <w:tcBorders>
              <w:top w:val="nil"/>
              <w:left w:val="nil"/>
              <w:bottom w:val="nil"/>
              <w:right w:val="nil"/>
            </w:tcBorders>
            <w:shd w:val="clear" w:color="auto" w:fill="auto"/>
            <w:noWrap/>
            <w:vAlign w:val="bottom"/>
            <w:hideMark/>
          </w:tcPr>
          <w:p w14:paraId="7AE94BF2" w14:textId="77777777" w:rsidR="001A3412" w:rsidRPr="00F477F6" w:rsidRDefault="001A3412" w:rsidP="008B2CBA">
            <w:pPr>
              <w:pStyle w:val="TableText"/>
              <w:jc w:val="right"/>
            </w:pPr>
            <w:r w:rsidRPr="00F477F6">
              <w:t>263,212</w:t>
            </w:r>
          </w:p>
        </w:tc>
        <w:tc>
          <w:tcPr>
            <w:tcW w:w="701" w:type="pct"/>
            <w:tcBorders>
              <w:top w:val="nil"/>
              <w:left w:val="nil"/>
              <w:bottom w:val="nil"/>
              <w:right w:val="nil"/>
            </w:tcBorders>
            <w:shd w:val="clear" w:color="auto" w:fill="auto"/>
            <w:noWrap/>
            <w:vAlign w:val="bottom"/>
            <w:hideMark/>
          </w:tcPr>
          <w:p w14:paraId="63138F54" w14:textId="77777777" w:rsidR="001A3412" w:rsidRPr="00F477F6" w:rsidRDefault="001A3412" w:rsidP="008B2CBA">
            <w:pPr>
              <w:pStyle w:val="TableText"/>
              <w:jc w:val="right"/>
            </w:pPr>
            <w:r w:rsidRPr="00F477F6">
              <w:t>292,942</w:t>
            </w:r>
          </w:p>
        </w:tc>
        <w:tc>
          <w:tcPr>
            <w:tcW w:w="701" w:type="pct"/>
            <w:tcBorders>
              <w:top w:val="nil"/>
              <w:left w:val="nil"/>
              <w:bottom w:val="nil"/>
              <w:right w:val="nil"/>
            </w:tcBorders>
            <w:shd w:val="clear" w:color="auto" w:fill="auto"/>
            <w:noWrap/>
            <w:vAlign w:val="bottom"/>
            <w:hideMark/>
          </w:tcPr>
          <w:p w14:paraId="006E72A5" w14:textId="77777777" w:rsidR="001A3412" w:rsidRPr="00F477F6" w:rsidRDefault="001A3412" w:rsidP="008B2CBA">
            <w:pPr>
              <w:pStyle w:val="TableText"/>
              <w:jc w:val="right"/>
            </w:pPr>
            <w:r w:rsidRPr="00F477F6">
              <w:t>307,625</w:t>
            </w:r>
          </w:p>
        </w:tc>
        <w:tc>
          <w:tcPr>
            <w:tcW w:w="701" w:type="pct"/>
            <w:tcBorders>
              <w:top w:val="nil"/>
              <w:left w:val="nil"/>
              <w:bottom w:val="nil"/>
              <w:right w:val="nil"/>
            </w:tcBorders>
            <w:shd w:val="clear" w:color="auto" w:fill="auto"/>
            <w:noWrap/>
            <w:vAlign w:val="bottom"/>
            <w:hideMark/>
          </w:tcPr>
          <w:p w14:paraId="2830D15A" w14:textId="77777777" w:rsidR="001A3412" w:rsidRPr="00F477F6" w:rsidRDefault="001A3412" w:rsidP="008B2CBA">
            <w:pPr>
              <w:pStyle w:val="TableText"/>
              <w:jc w:val="right"/>
            </w:pPr>
            <w:r w:rsidRPr="00F477F6">
              <w:t>358,879</w:t>
            </w:r>
          </w:p>
        </w:tc>
        <w:tc>
          <w:tcPr>
            <w:tcW w:w="701" w:type="pct"/>
            <w:tcBorders>
              <w:top w:val="nil"/>
              <w:left w:val="nil"/>
              <w:bottom w:val="nil"/>
              <w:right w:val="single" w:sz="4" w:space="0" w:color="auto"/>
            </w:tcBorders>
            <w:shd w:val="clear" w:color="auto" w:fill="auto"/>
            <w:noWrap/>
            <w:vAlign w:val="bottom"/>
            <w:hideMark/>
          </w:tcPr>
          <w:p w14:paraId="73DC2004" w14:textId="77777777" w:rsidR="001A3412" w:rsidRPr="00F477F6" w:rsidRDefault="001A3412" w:rsidP="008B2CBA">
            <w:pPr>
              <w:pStyle w:val="TableText"/>
              <w:jc w:val="right"/>
            </w:pPr>
            <w:r w:rsidRPr="00F477F6">
              <w:t>394,503</w:t>
            </w:r>
          </w:p>
        </w:tc>
      </w:tr>
      <w:tr w:rsidR="001A3412" w:rsidRPr="00F477F6" w14:paraId="199CE931" w14:textId="77777777" w:rsidTr="00406188">
        <w:trPr>
          <w:trHeight w:val="300"/>
        </w:trPr>
        <w:tc>
          <w:tcPr>
            <w:tcW w:w="1611" w:type="pct"/>
            <w:tcBorders>
              <w:top w:val="nil"/>
              <w:left w:val="single" w:sz="4" w:space="0" w:color="auto"/>
              <w:bottom w:val="single" w:sz="4" w:space="0" w:color="auto"/>
              <w:right w:val="nil"/>
            </w:tcBorders>
            <w:shd w:val="clear" w:color="auto" w:fill="auto"/>
            <w:noWrap/>
            <w:vAlign w:val="bottom"/>
            <w:hideMark/>
          </w:tcPr>
          <w:p w14:paraId="4F31E474" w14:textId="77777777" w:rsidR="001A3412" w:rsidRPr="00F477F6" w:rsidRDefault="001A3412" w:rsidP="008B2CBA">
            <w:pPr>
              <w:pStyle w:val="TableText"/>
            </w:pPr>
            <w:r w:rsidRPr="00F477F6">
              <w:t>Excess/Shortfall</w:t>
            </w:r>
          </w:p>
        </w:tc>
        <w:tc>
          <w:tcPr>
            <w:tcW w:w="584" w:type="pct"/>
            <w:tcBorders>
              <w:top w:val="nil"/>
              <w:left w:val="nil"/>
              <w:bottom w:val="single" w:sz="4" w:space="0" w:color="auto"/>
              <w:right w:val="nil"/>
            </w:tcBorders>
            <w:shd w:val="clear" w:color="auto" w:fill="auto"/>
            <w:noWrap/>
            <w:vAlign w:val="bottom"/>
            <w:hideMark/>
          </w:tcPr>
          <w:p w14:paraId="48160351" w14:textId="77777777" w:rsidR="001A3412" w:rsidRPr="00F477F6" w:rsidRDefault="001A3412" w:rsidP="008B2CBA">
            <w:pPr>
              <w:pStyle w:val="TableText"/>
              <w:jc w:val="right"/>
            </w:pPr>
            <w:r w:rsidRPr="00F477F6">
              <w:t>0</w:t>
            </w:r>
          </w:p>
        </w:tc>
        <w:tc>
          <w:tcPr>
            <w:tcW w:w="701" w:type="pct"/>
            <w:tcBorders>
              <w:top w:val="nil"/>
              <w:left w:val="nil"/>
              <w:bottom w:val="single" w:sz="4" w:space="0" w:color="auto"/>
              <w:right w:val="nil"/>
            </w:tcBorders>
            <w:shd w:val="clear" w:color="auto" w:fill="auto"/>
            <w:noWrap/>
            <w:vAlign w:val="bottom"/>
            <w:hideMark/>
          </w:tcPr>
          <w:p w14:paraId="0F8A17B7" w14:textId="77777777" w:rsidR="001A3412" w:rsidRPr="008B2CBA" w:rsidRDefault="001A3412" w:rsidP="008B2CBA">
            <w:pPr>
              <w:pStyle w:val="TableText"/>
              <w:jc w:val="right"/>
              <w:rPr>
                <w:b/>
              </w:rPr>
            </w:pPr>
            <w:r w:rsidRPr="008B2CBA">
              <w:rPr>
                <w:b/>
                <w:color w:val="FF0000"/>
              </w:rPr>
              <w:t>-11,451</w:t>
            </w:r>
          </w:p>
        </w:tc>
        <w:tc>
          <w:tcPr>
            <w:tcW w:w="701" w:type="pct"/>
            <w:tcBorders>
              <w:top w:val="nil"/>
              <w:left w:val="nil"/>
              <w:bottom w:val="single" w:sz="4" w:space="0" w:color="auto"/>
              <w:right w:val="nil"/>
            </w:tcBorders>
            <w:shd w:val="clear" w:color="auto" w:fill="auto"/>
            <w:noWrap/>
            <w:vAlign w:val="bottom"/>
            <w:hideMark/>
          </w:tcPr>
          <w:p w14:paraId="3FBC806D" w14:textId="77777777" w:rsidR="001A3412" w:rsidRPr="008B2CBA" w:rsidRDefault="001A3412" w:rsidP="008B2CBA">
            <w:pPr>
              <w:pStyle w:val="TableText"/>
              <w:jc w:val="right"/>
              <w:rPr>
                <w:b/>
              </w:rPr>
            </w:pPr>
            <w:r w:rsidRPr="008B2CBA">
              <w:rPr>
                <w:b/>
                <w:color w:val="FF0000"/>
              </w:rPr>
              <w:t>-28,419</w:t>
            </w:r>
          </w:p>
        </w:tc>
        <w:tc>
          <w:tcPr>
            <w:tcW w:w="701" w:type="pct"/>
            <w:tcBorders>
              <w:top w:val="nil"/>
              <w:left w:val="nil"/>
              <w:bottom w:val="single" w:sz="4" w:space="0" w:color="auto"/>
              <w:right w:val="nil"/>
            </w:tcBorders>
            <w:shd w:val="clear" w:color="auto" w:fill="auto"/>
            <w:noWrap/>
            <w:vAlign w:val="bottom"/>
            <w:hideMark/>
          </w:tcPr>
          <w:p w14:paraId="3D97B13C" w14:textId="2AE298DF" w:rsidR="001A3412" w:rsidRPr="008B2CBA" w:rsidRDefault="001A3412" w:rsidP="008B2CBA">
            <w:pPr>
              <w:pStyle w:val="TableText"/>
              <w:jc w:val="right"/>
              <w:rPr>
                <w:b/>
              </w:rPr>
            </w:pPr>
            <w:r w:rsidRPr="008B2CBA">
              <w:rPr>
                <w:b/>
                <w:color w:val="FF0000"/>
              </w:rPr>
              <w:t>-85,35</w:t>
            </w:r>
            <w:r w:rsidR="001B7535" w:rsidRPr="008B2CBA">
              <w:rPr>
                <w:b/>
                <w:color w:val="FF0000"/>
              </w:rPr>
              <w:t>7</w:t>
            </w:r>
          </w:p>
        </w:tc>
        <w:tc>
          <w:tcPr>
            <w:tcW w:w="701" w:type="pct"/>
            <w:tcBorders>
              <w:top w:val="nil"/>
              <w:left w:val="nil"/>
              <w:bottom w:val="single" w:sz="4" w:space="0" w:color="auto"/>
              <w:right w:val="single" w:sz="4" w:space="0" w:color="auto"/>
            </w:tcBorders>
            <w:shd w:val="clear" w:color="auto" w:fill="auto"/>
            <w:noWrap/>
            <w:vAlign w:val="bottom"/>
            <w:hideMark/>
          </w:tcPr>
          <w:p w14:paraId="7F772A41" w14:textId="77777777" w:rsidR="001A3412" w:rsidRPr="008B2CBA" w:rsidRDefault="001A3412" w:rsidP="008B2CBA">
            <w:pPr>
              <w:pStyle w:val="TableText"/>
              <w:jc w:val="right"/>
              <w:rPr>
                <w:b/>
              </w:rPr>
            </w:pPr>
            <w:r w:rsidRPr="008B2CBA">
              <w:rPr>
                <w:b/>
                <w:color w:val="FF0000"/>
              </w:rPr>
              <w:t>-122,846</w:t>
            </w:r>
          </w:p>
        </w:tc>
      </w:tr>
    </w:tbl>
    <w:p w14:paraId="56C1E867" w14:textId="02AFAEC2" w:rsidR="00060627" w:rsidRPr="00F477F6" w:rsidRDefault="006551FC" w:rsidP="00D20D53">
      <w:pPr>
        <w:pStyle w:val="Heading3"/>
        <w:rPr>
          <w:lang w:val="en-AU"/>
        </w:rPr>
      </w:pPr>
      <w:r w:rsidRPr="00F477F6">
        <w:rPr>
          <w:lang w:val="en-AU"/>
        </w:rPr>
        <w:t>Constrained labour demand scenario</w:t>
      </w:r>
    </w:p>
    <w:p w14:paraId="0619CD3A" w14:textId="4442E8AA" w:rsidR="009439CD" w:rsidRPr="00F477F6" w:rsidRDefault="009B609B" w:rsidP="00D20D53">
      <w:r w:rsidRPr="00F477F6">
        <w:t xml:space="preserve">The </w:t>
      </w:r>
      <w:r w:rsidR="009439CD" w:rsidRPr="00F477F6">
        <w:t xml:space="preserve">comparison scenario is constructed on the assumption that existing </w:t>
      </w:r>
      <w:r w:rsidRPr="00F477F6">
        <w:t xml:space="preserve">workforce supply and service use </w:t>
      </w:r>
      <w:r w:rsidR="0060359B" w:rsidRPr="00F477F6">
        <w:t xml:space="preserve">trends </w:t>
      </w:r>
      <w:r w:rsidRPr="00F477F6">
        <w:t>continu</w:t>
      </w:r>
      <w:r w:rsidR="009439CD" w:rsidRPr="00F477F6">
        <w:t xml:space="preserve">e </w:t>
      </w:r>
      <w:r w:rsidRPr="00F477F6">
        <w:t>into the future. However changes in supply streams</w:t>
      </w:r>
      <w:r w:rsidR="009439CD" w:rsidRPr="00F477F6">
        <w:t xml:space="preserve">, service use and other factors such as funding are likely to affect future nursing workforce supply and demand. </w:t>
      </w:r>
    </w:p>
    <w:p w14:paraId="34732A40" w14:textId="6CB20ECB" w:rsidR="00135711" w:rsidRPr="00F477F6" w:rsidRDefault="009439CD" w:rsidP="00D20D53">
      <w:r w:rsidRPr="00F477F6">
        <w:t xml:space="preserve">A major factor affecting future workforce supply and demand is the economic environment. </w:t>
      </w:r>
      <w:r w:rsidR="0022702A" w:rsidRPr="00F477F6">
        <w:t xml:space="preserve">Health service provision relies </w:t>
      </w:r>
      <w:r w:rsidR="00135711" w:rsidRPr="00F477F6">
        <w:t xml:space="preserve">substantially upon </w:t>
      </w:r>
      <w:r w:rsidR="0022702A" w:rsidRPr="00F477F6">
        <w:t xml:space="preserve">government funding, </w:t>
      </w:r>
      <w:r w:rsidR="0022702A" w:rsidRPr="00F477F6">
        <w:lastRenderedPageBreak/>
        <w:t xml:space="preserve">governments are a major </w:t>
      </w:r>
      <w:r w:rsidRPr="00F477F6">
        <w:t xml:space="preserve">employer of nurses and additionally service demand may be affected by people’s ability to access services. </w:t>
      </w:r>
      <w:r w:rsidR="00135711" w:rsidRPr="00F477F6">
        <w:t>Beyond government revenue, overall economic conditions will also affect the resources available to individuals and families to support their health care needs.</w:t>
      </w:r>
    </w:p>
    <w:p w14:paraId="44339AF6" w14:textId="24609258" w:rsidR="0022702A" w:rsidRPr="00F477F6" w:rsidRDefault="0022702A" w:rsidP="00D20D53">
      <w:r w:rsidRPr="00F477F6">
        <w:t>Commonwealth</w:t>
      </w:r>
      <w:r w:rsidR="00F67C19" w:rsidRPr="00F477F6">
        <w:t xml:space="preserve"> Treasury’s projections for the future show a lower long-run economic growth rate in the decades ahead (2.7</w:t>
      </w:r>
      <w:r w:rsidRPr="00F477F6">
        <w:t xml:space="preserve"> </w:t>
      </w:r>
      <w:r w:rsidR="001262DE" w:rsidRPr="00F477F6">
        <w:t>per</w:t>
      </w:r>
      <w:r w:rsidR="009432C4" w:rsidRPr="00F477F6">
        <w:t>cent</w:t>
      </w:r>
      <w:r w:rsidR="00F67C19" w:rsidRPr="00F477F6">
        <w:t xml:space="preserve"> p</w:t>
      </w:r>
      <w:r w:rsidR="0060359B" w:rsidRPr="00F477F6">
        <w:t>er annum</w:t>
      </w:r>
      <w:r w:rsidR="00F67C19" w:rsidRPr="00F477F6">
        <w:t>) versus the long-run historical growth rate (3.3</w:t>
      </w:r>
      <w:r w:rsidRPr="00F477F6">
        <w:t xml:space="preserve"> </w:t>
      </w:r>
      <w:r w:rsidR="001262DE" w:rsidRPr="00F477F6">
        <w:t>per</w:t>
      </w:r>
      <w:r w:rsidR="009432C4" w:rsidRPr="00F477F6">
        <w:t>cent</w:t>
      </w:r>
      <w:r w:rsidR="00F67C19" w:rsidRPr="00F477F6">
        <w:t xml:space="preserve"> p</w:t>
      </w:r>
      <w:r w:rsidR="0060359B" w:rsidRPr="00F477F6">
        <w:t>er annum</w:t>
      </w:r>
      <w:r w:rsidR="00F67C19" w:rsidRPr="00F477F6">
        <w:t>)</w:t>
      </w:r>
      <w:r w:rsidRPr="00F477F6">
        <w:t xml:space="preserve">. </w:t>
      </w:r>
      <w:r w:rsidR="00135711" w:rsidRPr="00F477F6">
        <w:t>A slowing economy will impact government revenues and private wealth, which will affect capacity to pay for health services, and is likely to have a consequent impact on labour demand across the health workforce, including for nurses</w:t>
      </w:r>
      <w:r w:rsidR="00323A07" w:rsidRPr="00F477F6">
        <w:t xml:space="preserve">. </w:t>
      </w:r>
    </w:p>
    <w:p w14:paraId="1B1C8B84" w14:textId="08F026CC" w:rsidR="00F67C19" w:rsidRPr="00F477F6" w:rsidRDefault="00323A07" w:rsidP="00D20D53">
      <w:r w:rsidRPr="00F477F6">
        <w:t>Th</w:t>
      </w:r>
      <w:r w:rsidR="0022702A" w:rsidRPr="00F477F6">
        <w:t>e</w:t>
      </w:r>
      <w:r w:rsidR="0085429E" w:rsidRPr="00F477F6">
        <w:t>refore the</w:t>
      </w:r>
      <w:r w:rsidR="0022702A" w:rsidRPr="00F477F6">
        <w:t xml:space="preserve"> constrained labour demand scenario is used to demonstrate the effect of </w:t>
      </w:r>
      <w:r w:rsidR="0060359B" w:rsidRPr="00F477F6">
        <w:t>s</w:t>
      </w:r>
      <w:r w:rsidR="0022702A" w:rsidRPr="00F477F6">
        <w:t xml:space="preserve">lower economic growth into the future and the potential impact this </w:t>
      </w:r>
      <w:r w:rsidR="0085429E" w:rsidRPr="00F477F6">
        <w:t xml:space="preserve">would have </w:t>
      </w:r>
      <w:r w:rsidR="0022702A" w:rsidRPr="00F477F6">
        <w:t>on the</w:t>
      </w:r>
      <w:r w:rsidR="00F504FB" w:rsidRPr="00D20D53">
        <w:t xml:space="preserve"> affordability of existing utilisation patterns of nursing services, </w:t>
      </w:r>
      <w:r w:rsidR="0022702A" w:rsidRPr="00F477F6">
        <w:t>and consequently, the rate of grow</w:t>
      </w:r>
      <w:r w:rsidR="00F504FB" w:rsidRPr="00F477F6">
        <w:t>th in nursing workforce demand.</w:t>
      </w:r>
      <w:r w:rsidR="0085429E" w:rsidRPr="00F477F6">
        <w:t xml:space="preserve"> </w:t>
      </w:r>
    </w:p>
    <w:p w14:paraId="5A05F631" w14:textId="24D52237" w:rsidR="002D34F2" w:rsidRPr="00F477F6" w:rsidRDefault="000355C9" w:rsidP="00D20D53">
      <w:r w:rsidRPr="00F477F6">
        <w:fldChar w:fldCharType="begin"/>
      </w:r>
      <w:r w:rsidRPr="00F477F6">
        <w:instrText xml:space="preserve"> REF _Ref387393512 \h </w:instrText>
      </w:r>
      <w:r w:rsidR="00695F00" w:rsidRPr="00F477F6">
        <w:instrText xml:space="preserve"> \* MERGEFORMAT </w:instrText>
      </w:r>
      <w:r w:rsidRPr="00F477F6">
        <w:fldChar w:fldCharType="separate"/>
      </w:r>
      <w:r w:rsidR="00641259" w:rsidRPr="00F477F6">
        <w:t xml:space="preserve">Figure </w:t>
      </w:r>
      <w:r w:rsidR="00641259">
        <w:rPr>
          <w:noProof/>
        </w:rPr>
        <w:t>9</w:t>
      </w:r>
      <w:r w:rsidRPr="00F477F6">
        <w:fldChar w:fldCharType="end"/>
      </w:r>
      <w:r w:rsidR="003932B4" w:rsidRPr="00F477F6">
        <w:t xml:space="preserve"> and </w:t>
      </w:r>
      <w:r w:rsidR="007321A8" w:rsidRPr="00F477F6">
        <w:fldChar w:fldCharType="begin"/>
      </w:r>
      <w:r w:rsidR="007321A8" w:rsidRPr="00F477F6">
        <w:instrText xml:space="preserve"> REF _Ref387394654 \h </w:instrText>
      </w:r>
      <w:r w:rsidR="00695F00" w:rsidRPr="00F477F6">
        <w:instrText xml:space="preserve"> \* MERGEFORMAT </w:instrText>
      </w:r>
      <w:r w:rsidR="007321A8" w:rsidRPr="00F477F6">
        <w:fldChar w:fldCharType="separate"/>
      </w:r>
      <w:r w:rsidR="00641259" w:rsidRPr="00F477F6">
        <w:t xml:space="preserve">Table </w:t>
      </w:r>
      <w:r w:rsidR="00641259">
        <w:rPr>
          <w:noProof/>
        </w:rPr>
        <w:t>9</w:t>
      </w:r>
      <w:r w:rsidR="007321A8" w:rsidRPr="00F477F6">
        <w:fldChar w:fldCharType="end"/>
      </w:r>
      <w:r w:rsidR="003932B4" w:rsidRPr="00F477F6">
        <w:t xml:space="preserve"> provide the results of the constrained labour demand scenario. It shows that </w:t>
      </w:r>
      <w:r w:rsidR="0085429E" w:rsidRPr="00F477F6">
        <w:t>the projected workforce gap in 2030 reduces relative to the comparison scenario. However, it is still projected that demand for nurses would substantially exceed supply in 2030 (by approximately 94,000 nurses)</w:t>
      </w:r>
      <w:r w:rsidR="00BA2980" w:rsidRPr="00F477F6">
        <w:t xml:space="preserve">. </w:t>
      </w:r>
    </w:p>
    <w:p w14:paraId="4FA4B2FA" w14:textId="4FEA98B9" w:rsidR="0069395C" w:rsidRPr="00F477F6" w:rsidRDefault="000355C9" w:rsidP="00D20D53">
      <w:pPr>
        <w:pStyle w:val="Caption"/>
      </w:pPr>
      <w:bookmarkStart w:id="120" w:name="_Ref387393512"/>
      <w:bookmarkStart w:id="121" w:name="_Ref384999660"/>
      <w:bookmarkStart w:id="122" w:name="_Toc407783222"/>
      <w:r w:rsidRPr="00F477F6">
        <w:t xml:space="preserve">Figure </w:t>
      </w:r>
      <w:fldSimple w:instr=" SEQ Figure \* ARABIC ">
        <w:r w:rsidR="00641259">
          <w:rPr>
            <w:noProof/>
          </w:rPr>
          <w:t>9</w:t>
        </w:r>
      </w:fldSimple>
      <w:bookmarkEnd w:id="120"/>
      <w:r w:rsidR="0069395C" w:rsidRPr="00F477F6">
        <w:t xml:space="preserve">: Constrained </w:t>
      </w:r>
      <w:r w:rsidR="00742C06" w:rsidRPr="00F477F6">
        <w:t xml:space="preserve">labour </w:t>
      </w:r>
      <w:r w:rsidR="0069395C" w:rsidRPr="00F477F6">
        <w:t>demand, registered and enrolled nurses, 2012 to 2030</w:t>
      </w:r>
      <w:bookmarkEnd w:id="121"/>
      <w:bookmarkEnd w:id="122"/>
    </w:p>
    <w:p w14:paraId="342A25F8" w14:textId="6DD2BA34" w:rsidR="003932B4" w:rsidRPr="00D20D53" w:rsidRDefault="00C7197B" w:rsidP="00D20D53">
      <w:r w:rsidRPr="00D20D53">
        <w:rPr>
          <w:noProof/>
          <w:lang w:eastAsia="en-AU"/>
        </w:rPr>
        <w:drawing>
          <wp:inline distT="0" distB="0" distL="0" distR="0" wp14:anchorId="7007B4B0" wp14:editId="4F4C8DC2">
            <wp:extent cx="5934075" cy="3467100"/>
            <wp:effectExtent l="0" t="0" r="9525" b="0"/>
            <wp:docPr id="2" name="Picture 2" descr="The figure show the constrained labour demand scenario relative to the comparison demand scenario. It shows the projected workforce gap across the years 2012 to 2030. &#10;&#10;Under the constrained labour demand scenario it is predicted that there be a shortfall of 93,900 nurses by 2030. &#10;&#10;Under the comparison scenario it is predicted that there may be a shortfall of 122,846 nurses by 2030." title="Figure 9: Constrained labour demand, registered and enrolled nurses, 2012 to 2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34075" cy="3467100"/>
                    </a:xfrm>
                    <a:prstGeom prst="rect">
                      <a:avLst/>
                    </a:prstGeom>
                    <a:noFill/>
                    <a:ln>
                      <a:noFill/>
                    </a:ln>
                  </pic:spPr>
                </pic:pic>
              </a:graphicData>
            </a:graphic>
          </wp:inline>
        </w:drawing>
      </w:r>
    </w:p>
    <w:p w14:paraId="2C4DF843" w14:textId="5A061B5C" w:rsidR="00276998" w:rsidRPr="00F477F6" w:rsidRDefault="00B2497A" w:rsidP="00D20D53">
      <w:pPr>
        <w:pStyle w:val="Caption"/>
      </w:pPr>
      <w:bookmarkStart w:id="123" w:name="_Ref387394654"/>
      <w:bookmarkStart w:id="124" w:name="_Toc407783206"/>
      <w:r w:rsidRPr="00F477F6">
        <w:lastRenderedPageBreak/>
        <w:t xml:space="preserve">Table </w:t>
      </w:r>
      <w:fldSimple w:instr=" SEQ Table \* ARABIC ">
        <w:r w:rsidR="00641259">
          <w:rPr>
            <w:noProof/>
          </w:rPr>
          <w:t>9</w:t>
        </w:r>
      </w:fldSimple>
      <w:bookmarkEnd w:id="123"/>
      <w:r w:rsidR="00276998" w:rsidRPr="00F477F6">
        <w:t>: Constrained labour demand scenario, registered nurses and enrolled nurses, selected years</w:t>
      </w:r>
      <w:bookmarkEnd w:id="124"/>
    </w:p>
    <w:tbl>
      <w:tblPr>
        <w:tblStyle w:val="MediumShading1-Accent1"/>
        <w:tblW w:w="5000" w:type="pct"/>
        <w:tblLook w:val="04A0" w:firstRow="1" w:lastRow="0" w:firstColumn="1" w:lastColumn="0" w:noHBand="0" w:noVBand="1"/>
        <w:tblCaption w:val="Table 9: Constrained labour demand scenario, registered nurses and enrolled nurses, selected years"/>
        <w:tblDescription w:val="The table presents the results of the constrained labour demand scenario and the comparison scenario. &#10;&#10;Under the comparison scenario, where current trends are projected into the future ( &quot;do nothing&quot; scenario), there is projected to be a shortfall of 11,451 nurses in 2016, 45,144 in 2020, 85,357 in 2025 before growing to 122,846 in 2030.&#10;Under the constrained labour demand scenario there is projected to be a shortfall of 8,169 nurses in 2016, 34,933 nurses in 2020, 65,970 nurses in 2025 before growing to 93,900 in 2030."/>
      </w:tblPr>
      <w:tblGrid>
        <w:gridCol w:w="4386"/>
        <w:gridCol w:w="1112"/>
        <w:gridCol w:w="1012"/>
        <w:gridCol w:w="1063"/>
        <w:gridCol w:w="1063"/>
        <w:gridCol w:w="1191"/>
      </w:tblGrid>
      <w:tr w:rsidR="0063176E" w:rsidRPr="00F57F39" w14:paraId="7986D54A" w14:textId="77777777" w:rsidTr="003008B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231" w:type="pct"/>
            <w:vAlign w:val="center"/>
          </w:tcPr>
          <w:p w14:paraId="0BB06F84" w14:textId="0BF598EE" w:rsidR="00276998" w:rsidRPr="00F57F39" w:rsidRDefault="00276998" w:rsidP="0034420F">
            <w:pPr>
              <w:pStyle w:val="TableHeader"/>
              <w:keepNext/>
              <w:rPr>
                <w:b/>
              </w:rPr>
            </w:pPr>
            <w:bookmarkStart w:id="125" w:name="ColumnTitle_8"/>
            <w:bookmarkStart w:id="126" w:name="Title_8"/>
            <w:bookmarkEnd w:id="125"/>
            <w:bookmarkEnd w:id="126"/>
          </w:p>
        </w:tc>
        <w:tc>
          <w:tcPr>
            <w:tcW w:w="566" w:type="pct"/>
            <w:vAlign w:val="center"/>
          </w:tcPr>
          <w:p w14:paraId="0AB2E07D" w14:textId="5BE354FC" w:rsidR="00276998" w:rsidRPr="00F57F39" w:rsidRDefault="00276998" w:rsidP="0034420F">
            <w:pPr>
              <w:pStyle w:val="TableHeader"/>
              <w:keepNext/>
              <w:jc w:val="center"/>
              <w:cnfStyle w:val="100000000000" w:firstRow="1" w:lastRow="0" w:firstColumn="0" w:lastColumn="0" w:oddVBand="0" w:evenVBand="0" w:oddHBand="0" w:evenHBand="0" w:firstRowFirstColumn="0" w:firstRowLastColumn="0" w:lastRowFirstColumn="0" w:lastRowLastColumn="0"/>
              <w:rPr>
                <w:b/>
              </w:rPr>
            </w:pPr>
            <w:r w:rsidRPr="00F57F39">
              <w:rPr>
                <w:b/>
              </w:rPr>
              <w:t>2012</w:t>
            </w:r>
          </w:p>
        </w:tc>
        <w:tc>
          <w:tcPr>
            <w:tcW w:w="515" w:type="pct"/>
            <w:vAlign w:val="center"/>
          </w:tcPr>
          <w:p w14:paraId="0B5AE478" w14:textId="3B40237C" w:rsidR="00276998" w:rsidRPr="00F57F39" w:rsidRDefault="00276998" w:rsidP="0034420F">
            <w:pPr>
              <w:pStyle w:val="TableHeader"/>
              <w:keepNext/>
              <w:jc w:val="center"/>
              <w:cnfStyle w:val="100000000000" w:firstRow="1" w:lastRow="0" w:firstColumn="0" w:lastColumn="0" w:oddVBand="0" w:evenVBand="0" w:oddHBand="0" w:evenHBand="0" w:firstRowFirstColumn="0" w:firstRowLastColumn="0" w:lastRowFirstColumn="0" w:lastRowLastColumn="0"/>
              <w:rPr>
                <w:b/>
              </w:rPr>
            </w:pPr>
            <w:r w:rsidRPr="00F57F39">
              <w:rPr>
                <w:b/>
              </w:rPr>
              <w:t>2016</w:t>
            </w:r>
          </w:p>
        </w:tc>
        <w:tc>
          <w:tcPr>
            <w:tcW w:w="541" w:type="pct"/>
            <w:vAlign w:val="center"/>
          </w:tcPr>
          <w:p w14:paraId="38FB86E4" w14:textId="269E2104" w:rsidR="00276998" w:rsidRPr="00F57F39" w:rsidRDefault="00276998" w:rsidP="0034420F">
            <w:pPr>
              <w:pStyle w:val="TableHeader"/>
              <w:keepNext/>
              <w:jc w:val="center"/>
              <w:cnfStyle w:val="100000000000" w:firstRow="1" w:lastRow="0" w:firstColumn="0" w:lastColumn="0" w:oddVBand="0" w:evenVBand="0" w:oddHBand="0" w:evenHBand="0" w:firstRowFirstColumn="0" w:firstRowLastColumn="0" w:lastRowFirstColumn="0" w:lastRowLastColumn="0"/>
              <w:rPr>
                <w:b/>
              </w:rPr>
            </w:pPr>
            <w:r w:rsidRPr="00F57F39">
              <w:rPr>
                <w:b/>
              </w:rPr>
              <w:t>2020</w:t>
            </w:r>
          </w:p>
        </w:tc>
        <w:tc>
          <w:tcPr>
            <w:tcW w:w="541" w:type="pct"/>
            <w:vAlign w:val="center"/>
          </w:tcPr>
          <w:p w14:paraId="2472B49E" w14:textId="1B656F8C" w:rsidR="00276998" w:rsidRPr="00F57F39" w:rsidRDefault="00276998" w:rsidP="0034420F">
            <w:pPr>
              <w:pStyle w:val="TableHeader"/>
              <w:keepNext/>
              <w:jc w:val="center"/>
              <w:cnfStyle w:val="100000000000" w:firstRow="1" w:lastRow="0" w:firstColumn="0" w:lastColumn="0" w:oddVBand="0" w:evenVBand="0" w:oddHBand="0" w:evenHBand="0" w:firstRowFirstColumn="0" w:firstRowLastColumn="0" w:lastRowFirstColumn="0" w:lastRowLastColumn="0"/>
              <w:rPr>
                <w:b/>
              </w:rPr>
            </w:pPr>
            <w:r w:rsidRPr="00F57F39">
              <w:rPr>
                <w:b/>
              </w:rPr>
              <w:t>2025</w:t>
            </w:r>
          </w:p>
        </w:tc>
        <w:tc>
          <w:tcPr>
            <w:tcW w:w="606" w:type="pct"/>
            <w:vAlign w:val="center"/>
          </w:tcPr>
          <w:p w14:paraId="5F87D86E" w14:textId="1D750037" w:rsidR="00276998" w:rsidRPr="00F57F39" w:rsidRDefault="00276998" w:rsidP="0034420F">
            <w:pPr>
              <w:pStyle w:val="TableHeader"/>
              <w:keepNext/>
              <w:jc w:val="center"/>
              <w:cnfStyle w:val="100000000000" w:firstRow="1" w:lastRow="0" w:firstColumn="0" w:lastColumn="0" w:oddVBand="0" w:evenVBand="0" w:oddHBand="0" w:evenHBand="0" w:firstRowFirstColumn="0" w:firstRowLastColumn="0" w:lastRowFirstColumn="0" w:lastRowLastColumn="0"/>
              <w:rPr>
                <w:b/>
              </w:rPr>
            </w:pPr>
            <w:r w:rsidRPr="00F57F39">
              <w:rPr>
                <w:b/>
              </w:rPr>
              <w:t>2030</w:t>
            </w:r>
          </w:p>
        </w:tc>
      </w:tr>
      <w:tr w:rsidR="0063176E" w:rsidRPr="00F477F6" w14:paraId="09ED6459" w14:textId="77777777" w:rsidTr="0040618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1" w:type="pct"/>
            <w:vAlign w:val="center"/>
          </w:tcPr>
          <w:p w14:paraId="44B17636" w14:textId="2C95F3DB" w:rsidR="00276998" w:rsidRPr="00F477F6" w:rsidRDefault="00276998" w:rsidP="0034420F">
            <w:pPr>
              <w:pStyle w:val="TableText"/>
              <w:keepNext/>
            </w:pPr>
            <w:r w:rsidRPr="00F477F6">
              <w:t>Comparison supply</w:t>
            </w:r>
          </w:p>
        </w:tc>
        <w:tc>
          <w:tcPr>
            <w:tcW w:w="566" w:type="pct"/>
            <w:vAlign w:val="center"/>
          </w:tcPr>
          <w:p w14:paraId="6710D90C" w14:textId="0FB8E30A" w:rsidR="00276998" w:rsidRPr="00F477F6" w:rsidRDefault="00276998" w:rsidP="0034420F">
            <w:pPr>
              <w:pStyle w:val="TableText"/>
              <w:keepNext/>
              <w:jc w:val="right"/>
              <w:cnfStyle w:val="000000100000" w:firstRow="0" w:lastRow="0" w:firstColumn="0" w:lastColumn="0" w:oddVBand="0" w:evenVBand="0" w:oddHBand="1" w:evenHBand="0" w:firstRowFirstColumn="0" w:firstRowLastColumn="0" w:lastRowFirstColumn="0" w:lastRowLastColumn="0"/>
            </w:pPr>
            <w:r w:rsidRPr="00F477F6">
              <w:t>263,212</w:t>
            </w:r>
          </w:p>
        </w:tc>
        <w:tc>
          <w:tcPr>
            <w:tcW w:w="515" w:type="pct"/>
            <w:vAlign w:val="center"/>
          </w:tcPr>
          <w:p w14:paraId="0C637CA0" w14:textId="42EABF3D" w:rsidR="00276998" w:rsidRPr="00F477F6" w:rsidRDefault="00276998" w:rsidP="0034420F">
            <w:pPr>
              <w:pStyle w:val="TableText"/>
              <w:keepNext/>
              <w:jc w:val="right"/>
              <w:cnfStyle w:val="000000100000" w:firstRow="0" w:lastRow="0" w:firstColumn="0" w:lastColumn="0" w:oddVBand="0" w:evenVBand="0" w:oddHBand="1" w:evenHBand="0" w:firstRowFirstColumn="0" w:firstRowLastColumn="0" w:lastRowFirstColumn="0" w:lastRowLastColumn="0"/>
            </w:pPr>
            <w:r w:rsidRPr="00F477F6">
              <w:t>281,491</w:t>
            </w:r>
          </w:p>
        </w:tc>
        <w:tc>
          <w:tcPr>
            <w:tcW w:w="541" w:type="pct"/>
            <w:vAlign w:val="center"/>
          </w:tcPr>
          <w:p w14:paraId="5FB0C2BE" w14:textId="42B76160" w:rsidR="00276998" w:rsidRPr="00F477F6" w:rsidRDefault="00276998" w:rsidP="0034420F">
            <w:pPr>
              <w:pStyle w:val="TableText"/>
              <w:keepNext/>
              <w:jc w:val="right"/>
              <w:cnfStyle w:val="000000100000" w:firstRow="0" w:lastRow="0" w:firstColumn="0" w:lastColumn="0" w:oddVBand="0" w:evenVBand="0" w:oddHBand="1" w:evenHBand="0" w:firstRowFirstColumn="0" w:firstRowLastColumn="0" w:lastRowFirstColumn="0" w:lastRowLastColumn="0"/>
            </w:pPr>
            <w:r w:rsidRPr="00F477F6">
              <w:t xml:space="preserve"> 277,304</w:t>
            </w:r>
          </w:p>
        </w:tc>
        <w:tc>
          <w:tcPr>
            <w:tcW w:w="541" w:type="pct"/>
            <w:vAlign w:val="center"/>
          </w:tcPr>
          <w:p w14:paraId="1B2BCAD8" w14:textId="101F6E07" w:rsidR="00276998" w:rsidRPr="00F477F6" w:rsidRDefault="00276998" w:rsidP="0034420F">
            <w:pPr>
              <w:pStyle w:val="TableText"/>
              <w:keepNext/>
              <w:jc w:val="right"/>
              <w:cnfStyle w:val="000000100000" w:firstRow="0" w:lastRow="0" w:firstColumn="0" w:lastColumn="0" w:oddVBand="0" w:evenVBand="0" w:oddHBand="1" w:evenHBand="0" w:firstRowFirstColumn="0" w:firstRowLastColumn="0" w:lastRowFirstColumn="0" w:lastRowLastColumn="0"/>
            </w:pPr>
            <w:r w:rsidRPr="00F477F6">
              <w:t>273,522</w:t>
            </w:r>
          </w:p>
        </w:tc>
        <w:tc>
          <w:tcPr>
            <w:tcW w:w="606" w:type="pct"/>
            <w:vAlign w:val="center"/>
          </w:tcPr>
          <w:p w14:paraId="7A116F72" w14:textId="20CCC754" w:rsidR="00276998" w:rsidRPr="00F477F6" w:rsidRDefault="00276998" w:rsidP="0034420F">
            <w:pPr>
              <w:pStyle w:val="TableText"/>
              <w:keepNext/>
              <w:jc w:val="right"/>
              <w:cnfStyle w:val="000000100000" w:firstRow="0" w:lastRow="0" w:firstColumn="0" w:lastColumn="0" w:oddVBand="0" w:evenVBand="0" w:oddHBand="1" w:evenHBand="0" w:firstRowFirstColumn="0" w:firstRowLastColumn="0" w:lastRowFirstColumn="0" w:lastRowLastColumn="0"/>
            </w:pPr>
            <w:r w:rsidRPr="00F477F6">
              <w:t>271,657</w:t>
            </w:r>
          </w:p>
        </w:tc>
      </w:tr>
      <w:tr w:rsidR="0063176E" w:rsidRPr="00F477F6" w14:paraId="5AF242D1" w14:textId="77777777" w:rsidTr="0040618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1" w:type="pct"/>
            <w:vAlign w:val="center"/>
          </w:tcPr>
          <w:p w14:paraId="732F6E97" w14:textId="6B07B19D" w:rsidR="00276998" w:rsidRPr="00F477F6" w:rsidRDefault="00276998" w:rsidP="0034420F">
            <w:pPr>
              <w:pStyle w:val="TableText"/>
              <w:keepNext/>
            </w:pPr>
            <w:r w:rsidRPr="00F477F6">
              <w:t>Comparison demand</w:t>
            </w:r>
          </w:p>
        </w:tc>
        <w:tc>
          <w:tcPr>
            <w:tcW w:w="566" w:type="pct"/>
            <w:vAlign w:val="center"/>
          </w:tcPr>
          <w:p w14:paraId="7DB282E6" w14:textId="2135B48C" w:rsidR="00276998" w:rsidRPr="00F477F6" w:rsidRDefault="00276998" w:rsidP="0034420F">
            <w:pPr>
              <w:pStyle w:val="TableText"/>
              <w:keepNext/>
              <w:jc w:val="right"/>
              <w:cnfStyle w:val="000000010000" w:firstRow="0" w:lastRow="0" w:firstColumn="0" w:lastColumn="0" w:oddVBand="0" w:evenVBand="0" w:oddHBand="0" w:evenHBand="1" w:firstRowFirstColumn="0" w:firstRowLastColumn="0" w:lastRowFirstColumn="0" w:lastRowLastColumn="0"/>
            </w:pPr>
            <w:r w:rsidRPr="00F477F6">
              <w:t>263,212</w:t>
            </w:r>
          </w:p>
        </w:tc>
        <w:tc>
          <w:tcPr>
            <w:tcW w:w="515" w:type="pct"/>
            <w:vAlign w:val="center"/>
          </w:tcPr>
          <w:p w14:paraId="4454AF0F" w14:textId="245C108A" w:rsidR="00276998" w:rsidRPr="00F477F6" w:rsidRDefault="00276998" w:rsidP="0034420F">
            <w:pPr>
              <w:pStyle w:val="TableText"/>
              <w:keepNext/>
              <w:jc w:val="right"/>
              <w:cnfStyle w:val="000000010000" w:firstRow="0" w:lastRow="0" w:firstColumn="0" w:lastColumn="0" w:oddVBand="0" w:evenVBand="0" w:oddHBand="0" w:evenHBand="1" w:firstRowFirstColumn="0" w:firstRowLastColumn="0" w:lastRowFirstColumn="0" w:lastRowLastColumn="0"/>
            </w:pPr>
            <w:r w:rsidRPr="00F477F6">
              <w:t>292,942</w:t>
            </w:r>
          </w:p>
        </w:tc>
        <w:tc>
          <w:tcPr>
            <w:tcW w:w="541" w:type="pct"/>
            <w:vAlign w:val="center"/>
          </w:tcPr>
          <w:p w14:paraId="7FCCB5E0" w14:textId="7AF34204" w:rsidR="00276998" w:rsidRPr="00F477F6" w:rsidRDefault="00276998" w:rsidP="0034420F">
            <w:pPr>
              <w:pStyle w:val="TableText"/>
              <w:keepNext/>
              <w:jc w:val="right"/>
              <w:cnfStyle w:val="000000010000" w:firstRow="0" w:lastRow="0" w:firstColumn="0" w:lastColumn="0" w:oddVBand="0" w:evenVBand="0" w:oddHBand="0" w:evenHBand="1" w:firstRowFirstColumn="0" w:firstRowLastColumn="0" w:lastRowFirstColumn="0" w:lastRowLastColumn="0"/>
            </w:pPr>
            <w:r w:rsidRPr="00F477F6">
              <w:t xml:space="preserve"> 322,448</w:t>
            </w:r>
          </w:p>
        </w:tc>
        <w:tc>
          <w:tcPr>
            <w:tcW w:w="541" w:type="pct"/>
            <w:vAlign w:val="center"/>
          </w:tcPr>
          <w:p w14:paraId="6B6A5400" w14:textId="61388305" w:rsidR="00276998" w:rsidRPr="00F477F6" w:rsidRDefault="00276998" w:rsidP="0034420F">
            <w:pPr>
              <w:pStyle w:val="TableText"/>
              <w:keepNext/>
              <w:jc w:val="right"/>
              <w:cnfStyle w:val="000000010000" w:firstRow="0" w:lastRow="0" w:firstColumn="0" w:lastColumn="0" w:oddVBand="0" w:evenVBand="0" w:oddHBand="0" w:evenHBand="1" w:firstRowFirstColumn="0" w:firstRowLastColumn="0" w:lastRowFirstColumn="0" w:lastRowLastColumn="0"/>
            </w:pPr>
            <w:r w:rsidRPr="00F477F6">
              <w:t>358,879</w:t>
            </w:r>
          </w:p>
        </w:tc>
        <w:tc>
          <w:tcPr>
            <w:tcW w:w="606" w:type="pct"/>
            <w:vAlign w:val="center"/>
          </w:tcPr>
          <w:p w14:paraId="69256721" w14:textId="5007427D" w:rsidR="00276998" w:rsidRPr="00F477F6" w:rsidRDefault="00276998" w:rsidP="0034420F">
            <w:pPr>
              <w:pStyle w:val="TableText"/>
              <w:keepNext/>
              <w:jc w:val="right"/>
              <w:cnfStyle w:val="000000010000" w:firstRow="0" w:lastRow="0" w:firstColumn="0" w:lastColumn="0" w:oddVBand="0" w:evenVBand="0" w:oddHBand="0" w:evenHBand="1" w:firstRowFirstColumn="0" w:firstRowLastColumn="0" w:lastRowFirstColumn="0" w:lastRowLastColumn="0"/>
            </w:pPr>
            <w:r w:rsidRPr="00F477F6">
              <w:t>394,503</w:t>
            </w:r>
          </w:p>
        </w:tc>
      </w:tr>
      <w:tr w:rsidR="0063176E" w:rsidRPr="00F477F6" w14:paraId="56862C7E" w14:textId="77777777" w:rsidTr="0040618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1" w:type="pct"/>
            <w:vAlign w:val="center"/>
          </w:tcPr>
          <w:p w14:paraId="1AFA1FFF" w14:textId="418E8FEC" w:rsidR="00276998" w:rsidRPr="00F477F6" w:rsidRDefault="00276998" w:rsidP="0034420F">
            <w:pPr>
              <w:pStyle w:val="TableText"/>
              <w:keepNext/>
            </w:pPr>
            <w:r w:rsidRPr="00F477F6">
              <w:t>Comparison projected excess/shortfall</w:t>
            </w:r>
          </w:p>
        </w:tc>
        <w:tc>
          <w:tcPr>
            <w:tcW w:w="566" w:type="pct"/>
            <w:vAlign w:val="center"/>
          </w:tcPr>
          <w:p w14:paraId="08AA4BD6" w14:textId="520F65EC" w:rsidR="00276998" w:rsidRPr="008B2CBA" w:rsidRDefault="00276998" w:rsidP="0034420F">
            <w:pPr>
              <w:pStyle w:val="TableText"/>
              <w:keepNext/>
              <w:jc w:val="right"/>
              <w:cnfStyle w:val="000000100000" w:firstRow="0" w:lastRow="0" w:firstColumn="0" w:lastColumn="0" w:oddVBand="0" w:evenVBand="0" w:oddHBand="1" w:evenHBand="0" w:firstRowFirstColumn="0" w:firstRowLastColumn="0" w:lastRowFirstColumn="0" w:lastRowLastColumn="0"/>
              <w:rPr>
                <w:b/>
              </w:rPr>
            </w:pPr>
            <w:r w:rsidRPr="008B2CBA">
              <w:rPr>
                <w:b/>
              </w:rPr>
              <w:t>0</w:t>
            </w:r>
          </w:p>
        </w:tc>
        <w:tc>
          <w:tcPr>
            <w:tcW w:w="515" w:type="pct"/>
            <w:vAlign w:val="center"/>
          </w:tcPr>
          <w:p w14:paraId="082C0E30" w14:textId="0FBEFF25" w:rsidR="00276998" w:rsidRPr="008B2CBA" w:rsidRDefault="00276998" w:rsidP="0034420F">
            <w:pPr>
              <w:pStyle w:val="TableText"/>
              <w:keepNext/>
              <w:jc w:val="right"/>
              <w:cnfStyle w:val="000000100000" w:firstRow="0" w:lastRow="0" w:firstColumn="0" w:lastColumn="0" w:oddVBand="0" w:evenVBand="0" w:oddHBand="1" w:evenHBand="0" w:firstRowFirstColumn="0" w:firstRowLastColumn="0" w:lastRowFirstColumn="0" w:lastRowLastColumn="0"/>
              <w:rPr>
                <w:b/>
              </w:rPr>
            </w:pPr>
            <w:r w:rsidRPr="008B2CBA">
              <w:rPr>
                <w:b/>
                <w:color w:val="FF0000"/>
              </w:rPr>
              <w:t>-11,451</w:t>
            </w:r>
          </w:p>
        </w:tc>
        <w:tc>
          <w:tcPr>
            <w:tcW w:w="541" w:type="pct"/>
            <w:vAlign w:val="center"/>
          </w:tcPr>
          <w:p w14:paraId="1D28F8D1" w14:textId="2D4ED9AD" w:rsidR="00276998" w:rsidRPr="008B2CBA" w:rsidRDefault="00276998" w:rsidP="0034420F">
            <w:pPr>
              <w:pStyle w:val="TableText"/>
              <w:keepNext/>
              <w:jc w:val="right"/>
              <w:cnfStyle w:val="000000100000" w:firstRow="0" w:lastRow="0" w:firstColumn="0" w:lastColumn="0" w:oddVBand="0" w:evenVBand="0" w:oddHBand="1" w:evenHBand="0" w:firstRowFirstColumn="0" w:firstRowLastColumn="0" w:lastRowFirstColumn="0" w:lastRowLastColumn="0"/>
              <w:rPr>
                <w:b/>
              </w:rPr>
            </w:pPr>
            <w:r w:rsidRPr="008B2CBA">
              <w:rPr>
                <w:b/>
                <w:color w:val="FF0000"/>
              </w:rPr>
              <w:t>-45,144</w:t>
            </w:r>
          </w:p>
        </w:tc>
        <w:tc>
          <w:tcPr>
            <w:tcW w:w="541" w:type="pct"/>
            <w:vAlign w:val="center"/>
          </w:tcPr>
          <w:p w14:paraId="47DE384D" w14:textId="33C5F071" w:rsidR="00276998" w:rsidRPr="008B2CBA" w:rsidRDefault="00276998" w:rsidP="0034420F">
            <w:pPr>
              <w:pStyle w:val="TableText"/>
              <w:keepNext/>
              <w:jc w:val="right"/>
              <w:cnfStyle w:val="000000100000" w:firstRow="0" w:lastRow="0" w:firstColumn="0" w:lastColumn="0" w:oddVBand="0" w:evenVBand="0" w:oddHBand="1" w:evenHBand="0" w:firstRowFirstColumn="0" w:firstRowLastColumn="0" w:lastRowFirstColumn="0" w:lastRowLastColumn="0"/>
              <w:rPr>
                <w:b/>
              </w:rPr>
            </w:pPr>
            <w:r w:rsidRPr="008B2CBA">
              <w:rPr>
                <w:b/>
                <w:color w:val="FF0000"/>
              </w:rPr>
              <w:t>-85,35</w:t>
            </w:r>
            <w:r w:rsidR="001B7535" w:rsidRPr="008B2CBA">
              <w:rPr>
                <w:b/>
                <w:color w:val="FF0000"/>
              </w:rPr>
              <w:t>7</w:t>
            </w:r>
          </w:p>
        </w:tc>
        <w:tc>
          <w:tcPr>
            <w:tcW w:w="606" w:type="pct"/>
            <w:vAlign w:val="center"/>
          </w:tcPr>
          <w:p w14:paraId="3322BBAA" w14:textId="68A1ED69" w:rsidR="00276998" w:rsidRPr="008B2CBA" w:rsidRDefault="00276998" w:rsidP="0034420F">
            <w:pPr>
              <w:pStyle w:val="TableText"/>
              <w:keepNext/>
              <w:jc w:val="right"/>
              <w:cnfStyle w:val="000000100000" w:firstRow="0" w:lastRow="0" w:firstColumn="0" w:lastColumn="0" w:oddVBand="0" w:evenVBand="0" w:oddHBand="1" w:evenHBand="0" w:firstRowFirstColumn="0" w:firstRowLastColumn="0" w:lastRowFirstColumn="0" w:lastRowLastColumn="0"/>
              <w:rPr>
                <w:b/>
              </w:rPr>
            </w:pPr>
            <w:r w:rsidRPr="008B2CBA">
              <w:rPr>
                <w:b/>
                <w:color w:val="FF0000"/>
              </w:rPr>
              <w:t>-122,846</w:t>
            </w:r>
          </w:p>
        </w:tc>
      </w:tr>
      <w:tr w:rsidR="0063176E" w:rsidRPr="00F477F6" w14:paraId="407E9595" w14:textId="77777777" w:rsidTr="0040618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1" w:type="pct"/>
            <w:vAlign w:val="center"/>
          </w:tcPr>
          <w:p w14:paraId="7465BF67" w14:textId="5A43C7BA" w:rsidR="00276998" w:rsidRPr="00F477F6" w:rsidRDefault="00276998" w:rsidP="0034420F">
            <w:pPr>
              <w:pStyle w:val="TableText"/>
              <w:keepNext/>
            </w:pPr>
            <w:r w:rsidRPr="00F477F6">
              <w:t>Constrained labour demand</w:t>
            </w:r>
          </w:p>
        </w:tc>
        <w:tc>
          <w:tcPr>
            <w:tcW w:w="566" w:type="pct"/>
            <w:vAlign w:val="center"/>
          </w:tcPr>
          <w:p w14:paraId="7E6CC641" w14:textId="092FDC43" w:rsidR="00276998" w:rsidRPr="00F477F6" w:rsidRDefault="00276998" w:rsidP="0034420F">
            <w:pPr>
              <w:pStyle w:val="TableText"/>
              <w:keepNext/>
              <w:jc w:val="right"/>
              <w:cnfStyle w:val="000000010000" w:firstRow="0" w:lastRow="0" w:firstColumn="0" w:lastColumn="0" w:oddVBand="0" w:evenVBand="0" w:oddHBand="0" w:evenHBand="1" w:firstRowFirstColumn="0" w:firstRowLastColumn="0" w:lastRowFirstColumn="0" w:lastRowLastColumn="0"/>
            </w:pPr>
            <w:r w:rsidRPr="00F477F6">
              <w:t>263,212</w:t>
            </w:r>
          </w:p>
        </w:tc>
        <w:tc>
          <w:tcPr>
            <w:tcW w:w="515" w:type="pct"/>
            <w:vAlign w:val="center"/>
          </w:tcPr>
          <w:p w14:paraId="2DFEA4EC" w14:textId="0C21B103" w:rsidR="00276998" w:rsidRPr="00F477F6" w:rsidRDefault="00276998" w:rsidP="0034420F">
            <w:pPr>
              <w:pStyle w:val="TableText"/>
              <w:keepNext/>
              <w:jc w:val="right"/>
              <w:cnfStyle w:val="000000010000" w:firstRow="0" w:lastRow="0" w:firstColumn="0" w:lastColumn="0" w:oddVBand="0" w:evenVBand="0" w:oddHBand="0" w:evenHBand="1" w:firstRowFirstColumn="0" w:firstRowLastColumn="0" w:lastRowFirstColumn="0" w:lastRowLastColumn="0"/>
            </w:pPr>
            <w:r w:rsidRPr="00F477F6">
              <w:t>289,660</w:t>
            </w:r>
          </w:p>
        </w:tc>
        <w:tc>
          <w:tcPr>
            <w:tcW w:w="541" w:type="pct"/>
            <w:vAlign w:val="center"/>
          </w:tcPr>
          <w:p w14:paraId="1D09CE93" w14:textId="03907C30" w:rsidR="00276998" w:rsidRPr="00F477F6" w:rsidRDefault="00276998" w:rsidP="0034420F">
            <w:pPr>
              <w:pStyle w:val="TableText"/>
              <w:keepNext/>
              <w:jc w:val="right"/>
              <w:cnfStyle w:val="000000010000" w:firstRow="0" w:lastRow="0" w:firstColumn="0" w:lastColumn="0" w:oddVBand="0" w:evenVBand="0" w:oddHBand="0" w:evenHBand="1" w:firstRowFirstColumn="0" w:firstRowLastColumn="0" w:lastRowFirstColumn="0" w:lastRowLastColumn="0"/>
            </w:pPr>
            <w:r w:rsidRPr="00F477F6">
              <w:t>312,237</w:t>
            </w:r>
          </w:p>
        </w:tc>
        <w:tc>
          <w:tcPr>
            <w:tcW w:w="541" w:type="pct"/>
            <w:vAlign w:val="center"/>
          </w:tcPr>
          <w:p w14:paraId="1C4692E7" w14:textId="58F8E479" w:rsidR="00276998" w:rsidRPr="00F477F6" w:rsidRDefault="00276998" w:rsidP="0034420F">
            <w:pPr>
              <w:pStyle w:val="TableText"/>
              <w:keepNext/>
              <w:jc w:val="right"/>
              <w:cnfStyle w:val="000000010000" w:firstRow="0" w:lastRow="0" w:firstColumn="0" w:lastColumn="0" w:oddVBand="0" w:evenVBand="0" w:oddHBand="0" w:evenHBand="1" w:firstRowFirstColumn="0" w:firstRowLastColumn="0" w:lastRowFirstColumn="0" w:lastRowLastColumn="0"/>
            </w:pPr>
            <w:r w:rsidRPr="00F477F6">
              <w:t>339,492</w:t>
            </w:r>
          </w:p>
        </w:tc>
        <w:tc>
          <w:tcPr>
            <w:tcW w:w="606" w:type="pct"/>
            <w:vAlign w:val="center"/>
          </w:tcPr>
          <w:p w14:paraId="5A7E75EB" w14:textId="5F61E825" w:rsidR="00276998" w:rsidRPr="00F477F6" w:rsidRDefault="00276998" w:rsidP="0034420F">
            <w:pPr>
              <w:pStyle w:val="TableText"/>
              <w:keepNext/>
              <w:jc w:val="right"/>
              <w:cnfStyle w:val="000000010000" w:firstRow="0" w:lastRow="0" w:firstColumn="0" w:lastColumn="0" w:oddVBand="0" w:evenVBand="0" w:oddHBand="0" w:evenHBand="1" w:firstRowFirstColumn="0" w:firstRowLastColumn="0" w:lastRowFirstColumn="0" w:lastRowLastColumn="0"/>
            </w:pPr>
            <w:r w:rsidRPr="00F477F6">
              <w:t xml:space="preserve">365,557 </w:t>
            </w:r>
          </w:p>
        </w:tc>
      </w:tr>
      <w:tr w:rsidR="0063176E" w:rsidRPr="00F477F6" w14:paraId="297E8B94" w14:textId="77777777" w:rsidTr="0040618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1" w:type="pct"/>
            <w:vAlign w:val="center"/>
          </w:tcPr>
          <w:p w14:paraId="533D4D78" w14:textId="54C3C71F" w:rsidR="00276998" w:rsidRPr="00F477F6" w:rsidRDefault="00276998" w:rsidP="0034420F">
            <w:pPr>
              <w:pStyle w:val="TableText"/>
              <w:keepNext/>
            </w:pPr>
            <w:r w:rsidRPr="00F57F39">
              <w:t xml:space="preserve">Constrained labour demand </w:t>
            </w:r>
            <w:r w:rsidR="0063176E" w:rsidRPr="00F57F39">
              <w:t>excess/shortfall</w:t>
            </w:r>
            <w:r w:rsidR="0063176E" w:rsidRPr="00F477F6">
              <w:rPr>
                <w:vertAlign w:val="superscript"/>
              </w:rPr>
              <w:t>(a)</w:t>
            </w:r>
          </w:p>
        </w:tc>
        <w:tc>
          <w:tcPr>
            <w:tcW w:w="566" w:type="pct"/>
            <w:vAlign w:val="center"/>
          </w:tcPr>
          <w:p w14:paraId="71D1D459" w14:textId="4BA5F37F" w:rsidR="00276998" w:rsidRPr="008B2CBA" w:rsidRDefault="00276998" w:rsidP="0034420F">
            <w:pPr>
              <w:pStyle w:val="TableTextcentred"/>
              <w:keepNext/>
              <w:jc w:val="right"/>
              <w:cnfStyle w:val="000000100000" w:firstRow="0" w:lastRow="0" w:firstColumn="0" w:lastColumn="0" w:oddVBand="0" w:evenVBand="0" w:oddHBand="1" w:evenHBand="0" w:firstRowFirstColumn="0" w:firstRowLastColumn="0" w:lastRowFirstColumn="0" w:lastRowLastColumn="0"/>
              <w:rPr>
                <w:b/>
              </w:rPr>
            </w:pPr>
            <w:r w:rsidRPr="008B2CBA">
              <w:rPr>
                <w:b/>
              </w:rPr>
              <w:t>0</w:t>
            </w:r>
          </w:p>
        </w:tc>
        <w:tc>
          <w:tcPr>
            <w:tcW w:w="515" w:type="pct"/>
            <w:vAlign w:val="center"/>
          </w:tcPr>
          <w:p w14:paraId="19CC5FC8" w14:textId="04EE587E" w:rsidR="00276998" w:rsidRPr="008B2CBA" w:rsidRDefault="00276998" w:rsidP="0034420F">
            <w:pPr>
              <w:pStyle w:val="TableText"/>
              <w:keepNext/>
              <w:jc w:val="right"/>
              <w:cnfStyle w:val="000000100000" w:firstRow="0" w:lastRow="0" w:firstColumn="0" w:lastColumn="0" w:oddVBand="0" w:evenVBand="0" w:oddHBand="1" w:evenHBand="0" w:firstRowFirstColumn="0" w:firstRowLastColumn="0" w:lastRowFirstColumn="0" w:lastRowLastColumn="0"/>
              <w:rPr>
                <w:b/>
              </w:rPr>
            </w:pPr>
            <w:r w:rsidRPr="008B2CBA">
              <w:rPr>
                <w:b/>
                <w:color w:val="FF0000"/>
              </w:rPr>
              <w:t>-8,169</w:t>
            </w:r>
          </w:p>
        </w:tc>
        <w:tc>
          <w:tcPr>
            <w:tcW w:w="541" w:type="pct"/>
            <w:vAlign w:val="center"/>
          </w:tcPr>
          <w:p w14:paraId="50834276" w14:textId="387B1DD0" w:rsidR="00276998" w:rsidRPr="008B2CBA" w:rsidRDefault="00276998" w:rsidP="0034420F">
            <w:pPr>
              <w:pStyle w:val="TableText"/>
              <w:keepNext/>
              <w:jc w:val="right"/>
              <w:cnfStyle w:val="000000100000" w:firstRow="0" w:lastRow="0" w:firstColumn="0" w:lastColumn="0" w:oddVBand="0" w:evenVBand="0" w:oddHBand="1" w:evenHBand="0" w:firstRowFirstColumn="0" w:firstRowLastColumn="0" w:lastRowFirstColumn="0" w:lastRowLastColumn="0"/>
              <w:rPr>
                <w:b/>
              </w:rPr>
            </w:pPr>
            <w:r w:rsidRPr="008B2CBA">
              <w:rPr>
                <w:b/>
                <w:color w:val="FF0000"/>
              </w:rPr>
              <w:t>-34,93</w:t>
            </w:r>
            <w:r w:rsidR="00325A24" w:rsidRPr="008B2CBA">
              <w:rPr>
                <w:b/>
                <w:color w:val="FF0000"/>
              </w:rPr>
              <w:t>3</w:t>
            </w:r>
          </w:p>
        </w:tc>
        <w:tc>
          <w:tcPr>
            <w:tcW w:w="541" w:type="pct"/>
            <w:vAlign w:val="center"/>
          </w:tcPr>
          <w:p w14:paraId="56999BA8" w14:textId="24163E6F" w:rsidR="00276998" w:rsidRPr="008B2CBA" w:rsidRDefault="00276998" w:rsidP="0034420F">
            <w:pPr>
              <w:pStyle w:val="TableText"/>
              <w:keepNext/>
              <w:jc w:val="right"/>
              <w:cnfStyle w:val="000000100000" w:firstRow="0" w:lastRow="0" w:firstColumn="0" w:lastColumn="0" w:oddVBand="0" w:evenVBand="0" w:oddHBand="1" w:evenHBand="0" w:firstRowFirstColumn="0" w:firstRowLastColumn="0" w:lastRowFirstColumn="0" w:lastRowLastColumn="0"/>
              <w:rPr>
                <w:b/>
              </w:rPr>
            </w:pPr>
            <w:r w:rsidRPr="008B2CBA">
              <w:rPr>
                <w:b/>
                <w:color w:val="FF0000"/>
              </w:rPr>
              <w:t>-65,970</w:t>
            </w:r>
          </w:p>
        </w:tc>
        <w:tc>
          <w:tcPr>
            <w:tcW w:w="606" w:type="pct"/>
            <w:vAlign w:val="center"/>
          </w:tcPr>
          <w:p w14:paraId="5DF5605C" w14:textId="663383C2" w:rsidR="00276998" w:rsidRPr="008B2CBA" w:rsidRDefault="00276998" w:rsidP="0034420F">
            <w:pPr>
              <w:pStyle w:val="TableText"/>
              <w:keepNext/>
              <w:jc w:val="right"/>
              <w:cnfStyle w:val="000000100000" w:firstRow="0" w:lastRow="0" w:firstColumn="0" w:lastColumn="0" w:oddVBand="0" w:evenVBand="0" w:oddHBand="1" w:evenHBand="0" w:firstRowFirstColumn="0" w:firstRowLastColumn="0" w:lastRowFirstColumn="0" w:lastRowLastColumn="0"/>
              <w:rPr>
                <w:b/>
              </w:rPr>
            </w:pPr>
            <w:r w:rsidRPr="008B2CBA">
              <w:rPr>
                <w:b/>
                <w:color w:val="FF0000"/>
              </w:rPr>
              <w:t>-93,90</w:t>
            </w:r>
            <w:r w:rsidR="00325A24" w:rsidRPr="008B2CBA">
              <w:rPr>
                <w:b/>
                <w:color w:val="FF0000"/>
              </w:rPr>
              <w:t>0</w:t>
            </w:r>
          </w:p>
        </w:tc>
      </w:tr>
    </w:tbl>
    <w:p w14:paraId="4639E121" w14:textId="65CE0DFC" w:rsidR="00276998" w:rsidRPr="00F477F6" w:rsidRDefault="0063176E" w:rsidP="00D20D53">
      <w:pPr>
        <w:pStyle w:val="Tablenote"/>
      </w:pPr>
      <w:r w:rsidRPr="00F477F6">
        <w:t xml:space="preserve">(a) Calculated as the comparison supply less the </w:t>
      </w:r>
      <w:r w:rsidR="002E16F0" w:rsidRPr="00F477F6">
        <w:t>constrained</w:t>
      </w:r>
      <w:r w:rsidRPr="00F477F6">
        <w:t xml:space="preserve"> labour demand.</w:t>
      </w:r>
    </w:p>
    <w:p w14:paraId="2BE46838" w14:textId="4CF9CA2C" w:rsidR="00236861" w:rsidRPr="00F477F6" w:rsidRDefault="00F477F6" w:rsidP="00D20D53">
      <w:pPr>
        <w:pStyle w:val="Heading3"/>
        <w:rPr>
          <w:lang w:val="en-AU"/>
        </w:rPr>
      </w:pPr>
      <w:r w:rsidRPr="00F477F6">
        <w:rPr>
          <w:lang w:val="en-AU"/>
        </w:rPr>
        <w:t>Combined scenario</w:t>
      </w:r>
    </w:p>
    <w:p w14:paraId="3BC67C1C" w14:textId="5DA997C6" w:rsidR="008118BF" w:rsidRPr="00F477F6" w:rsidRDefault="005A0FD9" w:rsidP="00D20D53">
      <w:r w:rsidRPr="00F477F6">
        <w:t xml:space="preserve">The constrained labour demand </w:t>
      </w:r>
      <w:r w:rsidR="008118BF" w:rsidRPr="00F477F6">
        <w:t>scenario demonstrate</w:t>
      </w:r>
      <w:r w:rsidR="00D87E51" w:rsidRPr="00F477F6">
        <w:t>s</w:t>
      </w:r>
      <w:r w:rsidR="008118BF" w:rsidRPr="00F477F6">
        <w:t xml:space="preserve"> that even with </w:t>
      </w:r>
      <w:r w:rsidR="00D87E51" w:rsidRPr="00F477F6">
        <w:t xml:space="preserve">the rate of nursing demand constrained by a slower economic environment, demand is </w:t>
      </w:r>
      <w:r w:rsidR="008118BF" w:rsidRPr="00F477F6">
        <w:t xml:space="preserve">still projected to substantially exceed future workforce supply. That scenario also only altered a single </w:t>
      </w:r>
      <w:r w:rsidRPr="00F477F6">
        <w:t xml:space="preserve">parameter in the model to generate an alternative future workforce scenario. While individual scenario modelling is important for understanding the effect of individual policy </w:t>
      </w:r>
      <w:r w:rsidR="008A0986" w:rsidRPr="00F477F6">
        <w:t>changes</w:t>
      </w:r>
      <w:r w:rsidRPr="00F477F6">
        <w:t xml:space="preserve">, in reality, multiple policy </w:t>
      </w:r>
      <w:r w:rsidR="008A0986" w:rsidRPr="00F477F6">
        <w:t>interventions</w:t>
      </w:r>
      <w:r w:rsidRPr="00F477F6">
        <w:t xml:space="preserve"> can be </w:t>
      </w:r>
      <w:r w:rsidR="008A0986" w:rsidRPr="00F477F6">
        <w:t xml:space="preserve">made </w:t>
      </w:r>
      <w:r w:rsidR="00236861" w:rsidRPr="00F477F6">
        <w:t xml:space="preserve">simultaneously to achieve an improved, coordinated outcome. </w:t>
      </w:r>
    </w:p>
    <w:p w14:paraId="2E904385" w14:textId="58C96037" w:rsidR="00D87E51" w:rsidRDefault="00D87E51" w:rsidP="00D20D53">
      <w:r w:rsidRPr="00F477F6">
        <w:t>HWA developed a combined scenario for the nursing workforce, which alters multiple parameters to provide a more realistic representation of what may be achieved in a real-world environment.</w:t>
      </w:r>
      <w:r w:rsidR="00872DB4" w:rsidRPr="00F477F6">
        <w:t xml:space="preserve"> </w:t>
      </w:r>
      <w:r w:rsidRPr="00F477F6">
        <w:t>The</w:t>
      </w:r>
      <w:r w:rsidR="008A0986" w:rsidRPr="00F477F6">
        <w:t xml:space="preserve"> assumptions adopted in the combined scenario have been informed by an expert Pro</w:t>
      </w:r>
      <w:r w:rsidR="00125CBF" w:rsidRPr="00F477F6">
        <w:t>ject</w:t>
      </w:r>
      <w:r w:rsidR="008A0986" w:rsidRPr="00F477F6">
        <w:t xml:space="preserve"> Advisory Group. </w:t>
      </w:r>
      <w:r w:rsidR="00236861" w:rsidRPr="00F477F6">
        <w:t>Th</w:t>
      </w:r>
      <w:r w:rsidRPr="00F477F6">
        <w:t>e combined scenario is comprised of the following components.</w:t>
      </w:r>
    </w:p>
    <w:p w14:paraId="3B0737E4" w14:textId="77777777" w:rsidR="00BD7C72" w:rsidRPr="00BD7C72" w:rsidRDefault="00BD7C72" w:rsidP="00D20D53">
      <w:pPr>
        <w:pStyle w:val="Heading4"/>
      </w:pPr>
      <w:r w:rsidRPr="00BD7C72">
        <w:t xml:space="preserve">Constrained labour demand </w:t>
      </w:r>
    </w:p>
    <w:p w14:paraId="407D00BC" w14:textId="3ED19E28" w:rsidR="00BD7C72" w:rsidRDefault="00BD7C72" w:rsidP="00D20D53">
      <w:r>
        <w:t>A</w:t>
      </w:r>
      <w:r w:rsidRPr="00BD7C72">
        <w:t>s outlined in the previous scenario results, Treasury projects reduced future economic growth. Therefore HWA is using the constrained labour demand scenario in this combined scenario, to reflect a more realistic measure of the future nursing workforce demand rate</w:t>
      </w:r>
      <w:r>
        <w:t>.</w:t>
      </w:r>
    </w:p>
    <w:p w14:paraId="714C4C91" w14:textId="7D97E57C" w:rsidR="00BD7C72" w:rsidRPr="00BD7C72" w:rsidRDefault="00BD7C72" w:rsidP="00D20D53">
      <w:pPr>
        <w:pStyle w:val="Heading4"/>
      </w:pPr>
      <w:r w:rsidRPr="00BD7C72">
        <w:t>A gradual annual reduction in the RN student attrition rate</w:t>
      </w:r>
    </w:p>
    <w:p w14:paraId="0479A850" w14:textId="77777777" w:rsidR="008E2444" w:rsidRDefault="00BD7C72" w:rsidP="00D20D53">
      <w:r w:rsidRPr="00D20D53">
        <w:t xml:space="preserve">The </w:t>
      </w:r>
      <w:r w:rsidRPr="00BD7C72">
        <w:t xml:space="preserve">attrition rate of students enrolled in programs of study required for initial registration as an RN is very high (calculated to be an average of 34 percent over the past four years). Many factors contribute to this (both positively and negatively), including </w:t>
      </w:r>
      <w:r w:rsidRPr="00BD7C72">
        <w:rPr>
          <w:rFonts w:eastAsia="Calibri" w:cs="Times New Roman"/>
        </w:rPr>
        <w:t xml:space="preserve">prior academic achievement, whether the course is the first preference of students, course fit (how well the course meets students’ aspirations), quality of teaching and other factors such as language and social-economic status. However as </w:t>
      </w:r>
      <w:r w:rsidRPr="00BD7C72">
        <w:t>nursing students represent the major supply source for the future nursing workforce, improvements in this rate is essential.</w:t>
      </w:r>
    </w:p>
    <w:p w14:paraId="274001B0" w14:textId="4A3AC4C0" w:rsidR="00BD7C72" w:rsidRDefault="00BD7C72" w:rsidP="00D20D53">
      <w:r w:rsidRPr="008E2444">
        <w:t>The combined scenario reduces attrition to 21 percent.</w:t>
      </w:r>
      <w:r w:rsidRPr="00BD7C72">
        <w:rPr>
          <w:b/>
        </w:rPr>
        <w:t xml:space="preserve"> </w:t>
      </w:r>
      <w:r w:rsidRPr="00BD7C72">
        <w:t>This is achieved by a two percent reduction per annum from 2017 until 2023, with the rate held constant (at 21 percent) thereafter.</w:t>
      </w:r>
    </w:p>
    <w:p w14:paraId="474BC953" w14:textId="459FA64D" w:rsidR="00BD7C72" w:rsidRPr="00BD7C72" w:rsidRDefault="00BD7C72" w:rsidP="00D20D53">
      <w:pPr>
        <w:pStyle w:val="Heading4"/>
      </w:pPr>
      <w:r w:rsidRPr="00BD7C72">
        <w:lastRenderedPageBreak/>
        <w:t>An increase in the employment rate of domestic graduate RNs and ENs</w:t>
      </w:r>
    </w:p>
    <w:p w14:paraId="0FF8BF68" w14:textId="77777777" w:rsidR="008E2444" w:rsidRDefault="00BD7C72" w:rsidP="00D20D53">
      <w:r w:rsidRPr="00BD7C72">
        <w:t>Analysis of the NHWDS showed that currently only 85 percent of RN graduates and 55 percent of EN graduates are immediately entering employment as a nurse. Contributing factors to these rates include some RN graduates being unable to find suitable graduate employment opportunities, graduates using their qualification to transition into other education opportunities, graduates choosing to enter alternate professions, and the effect of employer decisions on workforce size.</w:t>
      </w:r>
    </w:p>
    <w:p w14:paraId="721F33E5" w14:textId="54D3B758" w:rsidR="00BD7C72" w:rsidRDefault="00BD7C72" w:rsidP="00D20D53">
      <w:r w:rsidRPr="008E2444">
        <w:t xml:space="preserve">In the combined scenario, the rate of RN and EN domestic graduates entering employment is improved by ten percent respectively (to 95 percent for RN graduates and 65 percent for EN graduates). </w:t>
      </w:r>
      <w:r w:rsidRPr="00BD7C72">
        <w:t>This is achieved by a two percentage point increase per annum from 2017 until 2019, followed by a one percentage point increase per annum until 2023, with the rates held constant thereafter.</w:t>
      </w:r>
    </w:p>
    <w:p w14:paraId="18BBC43F" w14:textId="2CE5F5EC" w:rsidR="00BD7C72" w:rsidRPr="00BD7C72" w:rsidRDefault="00BD7C72" w:rsidP="00D20D53">
      <w:pPr>
        <w:pStyle w:val="Heading4"/>
      </w:pPr>
      <w:r w:rsidRPr="00BD7C72">
        <w:t xml:space="preserve">A small improvement in the retention of early career RNs and ENs aged under 60 years </w:t>
      </w:r>
    </w:p>
    <w:p w14:paraId="4626BE83" w14:textId="77777777" w:rsidR="008E2444" w:rsidRPr="00D20D53" w:rsidRDefault="00BD7C72" w:rsidP="00D20D53">
      <w:r w:rsidRPr="00D20D53">
        <w:t xml:space="preserve">The early </w:t>
      </w:r>
      <w:r w:rsidRPr="00BD7C72">
        <w:t>exit of nurses from the workforce gives rise to a loss of investment from training, a loss in productivity given the future years the nurse would otherwise have provided into the nursing workforce, and the significant cost of staff turnover. HWA analysis of the RN and EN workforces showed the rates at which nurses leave the profession vary by age, and that for RNs, exit rates are relatively high in early working years (even allowing for usual early career mobility), while EN exit rates are relatively high across all age cohorts. HW2025 demonstrated that retention of nurses has a major effect the projected nursing shortfall, and that if</w:t>
      </w:r>
      <w:r w:rsidRPr="00D20D53">
        <w:t xml:space="preserve"> measures can be implemented to retain nurses in the workforce, the projected nursing shortfall will substantially reduce.</w:t>
      </w:r>
    </w:p>
    <w:p w14:paraId="215E5FAB" w14:textId="576786E6" w:rsidR="00BD7C72" w:rsidRPr="008E2444" w:rsidRDefault="00BD7C72" w:rsidP="00D20D53">
      <w:pPr>
        <w:rPr>
          <w:rFonts w:eastAsia="Calibri" w:cs="Times New Roman"/>
        </w:rPr>
      </w:pPr>
      <w:r w:rsidRPr="008E2444">
        <w:t xml:space="preserve">In the combined scenario, the exit rate for RNs aged 20 to 29 years is reduced by three percentage points, from 7.2 percent to 4.2 percent (achieved by a </w:t>
      </w:r>
      <w:r w:rsidRPr="008E2444">
        <w:rPr>
          <w:lang w:eastAsia="x-none"/>
        </w:rPr>
        <w:t>0.025 annual percentage point drop from 2017 to 2028 and held constant thereafter); and the exit rate for RNs aged less than 60 years is reduced by one percentage point each year from 2017 (to no lower than the 2012 exit rate).</w:t>
      </w:r>
    </w:p>
    <w:p w14:paraId="72161F83" w14:textId="18B9BDD2" w:rsidR="0063176E" w:rsidRPr="00F477F6" w:rsidRDefault="000355C9" w:rsidP="00D20D53">
      <w:r w:rsidRPr="00F477F6">
        <w:fldChar w:fldCharType="begin"/>
      </w:r>
      <w:r w:rsidRPr="00F477F6">
        <w:instrText xml:space="preserve"> REF _Ref387393575 \h </w:instrText>
      </w:r>
      <w:r w:rsidR="00695F00" w:rsidRPr="00F477F6">
        <w:instrText xml:space="preserve"> \* MERGEFORMAT </w:instrText>
      </w:r>
      <w:r w:rsidRPr="00F477F6">
        <w:fldChar w:fldCharType="separate"/>
      </w:r>
      <w:r w:rsidR="00641259" w:rsidRPr="00F477F6">
        <w:t xml:space="preserve">Figure </w:t>
      </w:r>
      <w:r w:rsidR="00641259">
        <w:rPr>
          <w:noProof/>
        </w:rPr>
        <w:t>10</w:t>
      </w:r>
      <w:r w:rsidRPr="00F477F6">
        <w:fldChar w:fldCharType="end"/>
      </w:r>
      <w:r w:rsidRPr="00F477F6">
        <w:t xml:space="preserve"> </w:t>
      </w:r>
      <w:r w:rsidR="00872E63" w:rsidRPr="00F477F6">
        <w:t xml:space="preserve">and </w:t>
      </w:r>
      <w:r w:rsidR="007321A8" w:rsidRPr="00F477F6">
        <w:fldChar w:fldCharType="begin"/>
      </w:r>
      <w:r w:rsidR="007321A8" w:rsidRPr="00F477F6">
        <w:instrText xml:space="preserve"> REF _Ref387394721 \h </w:instrText>
      </w:r>
      <w:r w:rsidR="00695F00" w:rsidRPr="00F477F6">
        <w:instrText xml:space="preserve"> \* MERGEFORMAT </w:instrText>
      </w:r>
      <w:r w:rsidR="007321A8" w:rsidRPr="00F477F6">
        <w:fldChar w:fldCharType="separate"/>
      </w:r>
      <w:r w:rsidR="00641259" w:rsidRPr="00F477F6">
        <w:t xml:space="preserve">Table </w:t>
      </w:r>
      <w:r w:rsidR="00641259">
        <w:rPr>
          <w:noProof/>
        </w:rPr>
        <w:t>10</w:t>
      </w:r>
      <w:r w:rsidR="007321A8" w:rsidRPr="00F477F6">
        <w:fldChar w:fldCharType="end"/>
      </w:r>
      <w:r w:rsidR="007321A8" w:rsidRPr="00F477F6">
        <w:t xml:space="preserve"> </w:t>
      </w:r>
      <w:r w:rsidR="00872E63" w:rsidRPr="00F477F6">
        <w:t>present the results of the combined scenario. This shows a substantial reduction</w:t>
      </w:r>
      <w:r w:rsidR="00C07424" w:rsidRPr="00F477F6">
        <w:t xml:space="preserve"> </w:t>
      </w:r>
      <w:r w:rsidR="00872E63" w:rsidRPr="00F477F6">
        <w:t>in the proje</w:t>
      </w:r>
      <w:r w:rsidR="00C07424" w:rsidRPr="00F477F6">
        <w:t xml:space="preserve">cted nursing workforce shortfall relative to the comparison scenario. As a </w:t>
      </w:r>
      <w:r w:rsidR="0063176E" w:rsidRPr="00F477F6">
        <w:t>percentage of supply, the combined scenario reduces the shortfall of nurses from 45 percent</w:t>
      </w:r>
      <w:r w:rsidR="00C07424" w:rsidRPr="00F477F6">
        <w:t xml:space="preserve"> (in the comparison scenario) to 14 </w:t>
      </w:r>
      <w:r w:rsidR="001262DE" w:rsidRPr="00F477F6">
        <w:t>percent</w:t>
      </w:r>
      <w:r w:rsidR="00C07424" w:rsidRPr="00F477F6">
        <w:t>.</w:t>
      </w:r>
      <w:r w:rsidR="0063176E" w:rsidRPr="00F477F6">
        <w:t xml:space="preserve"> This highlights the s</w:t>
      </w:r>
      <w:r w:rsidR="00C07424" w:rsidRPr="00F477F6">
        <w:t xml:space="preserve">ubstantial impact that coordinated small improvements across several policy areas can have. </w:t>
      </w:r>
    </w:p>
    <w:p w14:paraId="0B7A55D8" w14:textId="77777777" w:rsidR="003008B9" w:rsidRPr="000576C4" w:rsidRDefault="003008B9" w:rsidP="00D20D53">
      <w:pPr>
        <w:pBdr>
          <w:top w:val="single" w:sz="4" w:space="1" w:color="auto"/>
          <w:left w:val="single" w:sz="4" w:space="4" w:color="auto"/>
          <w:bottom w:val="single" w:sz="4" w:space="1" w:color="auto"/>
          <w:right w:val="single" w:sz="4" w:space="4" w:color="auto"/>
        </w:pBdr>
        <w:rPr>
          <w:b/>
        </w:rPr>
      </w:pPr>
      <w:r w:rsidRPr="000576C4">
        <w:rPr>
          <w:b/>
        </w:rPr>
        <w:t>Key findings from the combined scenario</w:t>
      </w:r>
    </w:p>
    <w:p w14:paraId="6F3C02FA" w14:textId="77777777" w:rsidR="003008B9" w:rsidRPr="00D20D53" w:rsidRDefault="003008B9" w:rsidP="00D20D53">
      <w:pPr>
        <w:pBdr>
          <w:top w:val="single" w:sz="4" w:space="1" w:color="auto"/>
          <w:left w:val="single" w:sz="4" w:space="4" w:color="auto"/>
          <w:bottom w:val="single" w:sz="4" w:space="1" w:color="auto"/>
          <w:right w:val="single" w:sz="4" w:space="4" w:color="auto"/>
        </w:pBdr>
      </w:pPr>
      <w:r w:rsidRPr="00F477F6">
        <w:t>Actions</w:t>
      </w:r>
      <w:r w:rsidRPr="00D20D53">
        <w:t xml:space="preserve"> </w:t>
      </w:r>
      <w:r w:rsidRPr="00F477F6">
        <w:t>to address Findings 1 and 2 would increase future nursing supply.</w:t>
      </w:r>
      <w:r w:rsidRPr="00D20D53">
        <w:t xml:space="preserve"> </w:t>
      </w:r>
    </w:p>
    <w:p w14:paraId="6C4B23E8" w14:textId="77777777" w:rsidR="003008B9" w:rsidRPr="00F477F6" w:rsidRDefault="003008B9" w:rsidP="00D20D53">
      <w:pPr>
        <w:pBdr>
          <w:top w:val="single" w:sz="4" w:space="1" w:color="auto"/>
          <w:left w:val="single" w:sz="4" w:space="4" w:color="auto"/>
          <w:bottom w:val="single" w:sz="4" w:space="1" w:color="auto"/>
          <w:right w:val="single" w:sz="4" w:space="4" w:color="auto"/>
        </w:pBdr>
        <w:rPr>
          <w:rFonts w:eastAsia="Times New Roman" w:cs="Tahoma"/>
          <w:color w:val="000000"/>
        </w:rPr>
      </w:pPr>
      <w:r w:rsidRPr="00F477F6">
        <w:rPr>
          <w:rFonts w:eastAsia="Times New Roman" w:cs="Tahoma"/>
          <w:color w:val="000000"/>
        </w:rPr>
        <w:t xml:space="preserve">1. Reduced student attrition in courses required for initial registration as a Registered Nurse. </w:t>
      </w:r>
    </w:p>
    <w:p w14:paraId="19AD7B7C" w14:textId="77777777" w:rsidR="003008B9" w:rsidRPr="00F477F6" w:rsidRDefault="003008B9" w:rsidP="00D20D53">
      <w:pPr>
        <w:pBdr>
          <w:top w:val="single" w:sz="4" w:space="1" w:color="auto"/>
          <w:left w:val="single" w:sz="4" w:space="4" w:color="auto"/>
          <w:bottom w:val="single" w:sz="4" w:space="1" w:color="auto"/>
          <w:right w:val="single" w:sz="4" w:space="4" w:color="auto"/>
        </w:pBdr>
        <w:rPr>
          <w:rFonts w:eastAsia="Times New Roman" w:cs="Tahoma"/>
          <w:color w:val="000000"/>
        </w:rPr>
      </w:pPr>
      <w:r w:rsidRPr="00F477F6">
        <w:rPr>
          <w:rFonts w:eastAsia="Times New Roman" w:cs="Tahoma"/>
          <w:color w:val="000000"/>
        </w:rPr>
        <w:t xml:space="preserve">2. Improved rates of Registered Nurse and Enrolled Nurse graduates entering employment. </w:t>
      </w:r>
    </w:p>
    <w:p w14:paraId="2F6715CC" w14:textId="77777777" w:rsidR="003008B9" w:rsidRPr="00F477F6" w:rsidRDefault="003008B9" w:rsidP="00D20D53">
      <w:pPr>
        <w:pBdr>
          <w:top w:val="single" w:sz="4" w:space="1" w:color="auto"/>
          <w:left w:val="single" w:sz="4" w:space="4" w:color="auto"/>
          <w:bottom w:val="single" w:sz="4" w:space="1" w:color="auto"/>
          <w:right w:val="single" w:sz="4" w:space="4" w:color="auto"/>
        </w:pBdr>
      </w:pPr>
      <w:r w:rsidRPr="00F477F6">
        <w:t>Actions to address Findings 3 and 4 would also increase nursing supply through improved retention of nurses.</w:t>
      </w:r>
    </w:p>
    <w:p w14:paraId="20BBED1B" w14:textId="77777777" w:rsidR="003008B9" w:rsidRPr="00F477F6" w:rsidRDefault="003008B9" w:rsidP="00D20D53">
      <w:pPr>
        <w:pBdr>
          <w:top w:val="single" w:sz="4" w:space="1" w:color="auto"/>
          <w:left w:val="single" w:sz="4" w:space="4" w:color="auto"/>
          <w:bottom w:val="single" w:sz="4" w:space="1" w:color="auto"/>
          <w:right w:val="single" w:sz="4" w:space="4" w:color="auto"/>
        </w:pBdr>
        <w:rPr>
          <w:rFonts w:eastAsia="Times New Roman" w:cs="Tahoma"/>
          <w:color w:val="000000"/>
        </w:rPr>
      </w:pPr>
      <w:r w:rsidRPr="00F477F6">
        <w:rPr>
          <w:rFonts w:eastAsia="Times New Roman" w:cs="Tahoma"/>
          <w:color w:val="000000"/>
        </w:rPr>
        <w:t xml:space="preserve">3. A reduced exit rate for early career RNs. </w:t>
      </w:r>
    </w:p>
    <w:p w14:paraId="76BEA985" w14:textId="6483EEE9" w:rsidR="003008B9" w:rsidRPr="00F477F6" w:rsidRDefault="003008B9" w:rsidP="00D20D53">
      <w:pPr>
        <w:pBdr>
          <w:top w:val="single" w:sz="4" w:space="1" w:color="auto"/>
          <w:left w:val="single" w:sz="4" w:space="4" w:color="auto"/>
          <w:bottom w:val="single" w:sz="4" w:space="1" w:color="auto"/>
          <w:right w:val="single" w:sz="4" w:space="4" w:color="auto"/>
        </w:pBdr>
      </w:pPr>
      <w:r w:rsidRPr="00D20D53">
        <w:t>4. A reduced</w:t>
      </w:r>
      <w:r w:rsidRPr="00F477F6">
        <w:t xml:space="preserve"> exit rate for Enrolled Nursed aged under 60 years of age.</w:t>
      </w:r>
    </w:p>
    <w:p w14:paraId="0E2CBAA1" w14:textId="3375CF66" w:rsidR="0063176E" w:rsidRPr="00F477F6" w:rsidRDefault="000355C9" w:rsidP="00D20D53">
      <w:pPr>
        <w:pStyle w:val="Caption"/>
      </w:pPr>
      <w:bookmarkStart w:id="127" w:name="_Ref387393575"/>
      <w:bookmarkStart w:id="128" w:name="_Toc407783223"/>
      <w:r w:rsidRPr="00F477F6">
        <w:lastRenderedPageBreak/>
        <w:t xml:space="preserve">Figure </w:t>
      </w:r>
      <w:fldSimple w:instr=" SEQ Figure \* ARABIC ">
        <w:r w:rsidR="00641259">
          <w:rPr>
            <w:noProof/>
          </w:rPr>
          <w:t>10</w:t>
        </w:r>
      </w:fldSimple>
      <w:bookmarkEnd w:id="127"/>
      <w:r w:rsidRPr="00F477F6">
        <w:t>:</w:t>
      </w:r>
      <w:r w:rsidR="00872E63" w:rsidRPr="00F477F6">
        <w:t xml:space="preserve"> Combined scenario results, registered nurses and enrolled nurses, 2012 to 2030</w:t>
      </w:r>
      <w:bookmarkEnd w:id="128"/>
    </w:p>
    <w:p w14:paraId="0AE84A28" w14:textId="4D0C6450" w:rsidR="0063176E" w:rsidRPr="00D20D53" w:rsidRDefault="00872E63" w:rsidP="00D20D53">
      <w:r w:rsidRPr="00D20D53">
        <w:rPr>
          <w:noProof/>
          <w:lang w:eastAsia="en-AU"/>
        </w:rPr>
        <w:drawing>
          <wp:inline distT="0" distB="0" distL="0" distR="0" wp14:anchorId="08EE38A5" wp14:editId="6A211778">
            <wp:extent cx="5934075" cy="3000375"/>
            <wp:effectExtent l="0" t="0" r="9525" b="9525"/>
            <wp:docPr id="7" name="Picture 7" descr="The figure presents the results of the combined scenario. It shows a reduction in the projected nursing workforce shortfall relative to the comparison and constrained labour demand scenarios, from 45 percent to 14 percent. &#10;&#10;" title="Figure 10: Combined scenario results, registered nurses and enrolled nurses, 2012 to 2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34075" cy="3000375"/>
                    </a:xfrm>
                    <a:prstGeom prst="rect">
                      <a:avLst/>
                    </a:prstGeom>
                    <a:noFill/>
                    <a:ln>
                      <a:noFill/>
                    </a:ln>
                  </pic:spPr>
                </pic:pic>
              </a:graphicData>
            </a:graphic>
          </wp:inline>
        </w:drawing>
      </w:r>
    </w:p>
    <w:p w14:paraId="17684157" w14:textId="6887C82A" w:rsidR="00265C21" w:rsidRPr="00F477F6" w:rsidRDefault="00B2497A" w:rsidP="00D20D53">
      <w:pPr>
        <w:pStyle w:val="Caption"/>
      </w:pPr>
      <w:bookmarkStart w:id="129" w:name="_Ref387394721"/>
      <w:bookmarkStart w:id="130" w:name="_Ref385499822"/>
      <w:bookmarkStart w:id="131" w:name="_Toc407783207"/>
      <w:r w:rsidRPr="00F477F6">
        <w:t xml:space="preserve">Table </w:t>
      </w:r>
      <w:fldSimple w:instr=" SEQ Table \* ARABIC ">
        <w:r w:rsidR="00641259">
          <w:rPr>
            <w:noProof/>
          </w:rPr>
          <w:t>10</w:t>
        </w:r>
      </w:fldSimple>
      <w:bookmarkEnd w:id="129"/>
      <w:r w:rsidR="00265C21" w:rsidRPr="00F477F6">
        <w:t>: Combined scenario, registered and enrolled nurses, selected years</w:t>
      </w:r>
      <w:bookmarkEnd w:id="130"/>
      <w:bookmarkEnd w:id="131"/>
    </w:p>
    <w:tbl>
      <w:tblPr>
        <w:tblStyle w:val="MediumShading1-Accent1"/>
        <w:tblW w:w="5000" w:type="pct"/>
        <w:tblLook w:val="04A0" w:firstRow="1" w:lastRow="0" w:firstColumn="1" w:lastColumn="0" w:noHBand="0" w:noVBand="1"/>
        <w:tblCaption w:val="Table 9: Combined scenario, registered and enrolled nurses, selected years"/>
        <w:tblDescription w:val="The table presents the results of the combined scenario and the comparison scenario across selected years from 2012 to 2030. &#10;&#10;Under the comparison scenario, where current trends are projected into the future ( &quot;do nothing&quot; scenario), there is projected to be a shortfall of 11,451 nurses in 2016, 45,144 in 2020, 85,357 in 2025 before growing to 122,846 in 2030.&#10;&#10;Under the combined scenario there is projected to be a shortfall of 8,169 nurses in 2016, 28,614 nurses in 2020, 39,094 nurses in 2025 before growing to 44,835 in 2030."/>
      </w:tblPr>
      <w:tblGrid>
        <w:gridCol w:w="4386"/>
        <w:gridCol w:w="1114"/>
        <w:gridCol w:w="1012"/>
        <w:gridCol w:w="1063"/>
        <w:gridCol w:w="1063"/>
        <w:gridCol w:w="1189"/>
      </w:tblGrid>
      <w:tr w:rsidR="00717D43" w:rsidRPr="000576C4" w14:paraId="1A9C7334" w14:textId="77777777" w:rsidTr="003A2FD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231" w:type="pct"/>
            <w:vAlign w:val="center"/>
          </w:tcPr>
          <w:p w14:paraId="73795A9D" w14:textId="67F893C3" w:rsidR="00717D43" w:rsidRPr="000576C4" w:rsidRDefault="00717D43" w:rsidP="00D20D53">
            <w:pPr>
              <w:pStyle w:val="TableHeader"/>
              <w:rPr>
                <w:b/>
              </w:rPr>
            </w:pPr>
            <w:bookmarkStart w:id="132" w:name="ColumnTitle_9"/>
            <w:bookmarkStart w:id="133" w:name="Title_9"/>
            <w:bookmarkEnd w:id="132"/>
            <w:bookmarkEnd w:id="133"/>
          </w:p>
        </w:tc>
        <w:tc>
          <w:tcPr>
            <w:tcW w:w="567" w:type="pct"/>
            <w:vAlign w:val="center"/>
          </w:tcPr>
          <w:p w14:paraId="119631BF" w14:textId="77777777" w:rsidR="00717D43" w:rsidRPr="000576C4" w:rsidRDefault="00717D43" w:rsidP="00F12244">
            <w:pPr>
              <w:pStyle w:val="TableHeader"/>
              <w:jc w:val="center"/>
              <w:cnfStyle w:val="100000000000" w:firstRow="1" w:lastRow="0" w:firstColumn="0" w:lastColumn="0" w:oddVBand="0" w:evenVBand="0" w:oddHBand="0" w:evenHBand="0" w:firstRowFirstColumn="0" w:firstRowLastColumn="0" w:lastRowFirstColumn="0" w:lastRowLastColumn="0"/>
              <w:rPr>
                <w:b/>
              </w:rPr>
            </w:pPr>
            <w:r w:rsidRPr="000576C4">
              <w:rPr>
                <w:b/>
              </w:rPr>
              <w:t>2012</w:t>
            </w:r>
          </w:p>
        </w:tc>
        <w:tc>
          <w:tcPr>
            <w:tcW w:w="515" w:type="pct"/>
            <w:vAlign w:val="center"/>
          </w:tcPr>
          <w:p w14:paraId="49FF37D7" w14:textId="77777777" w:rsidR="00717D43" w:rsidRPr="000576C4" w:rsidRDefault="00717D43" w:rsidP="00F12244">
            <w:pPr>
              <w:pStyle w:val="TableHeader"/>
              <w:jc w:val="center"/>
              <w:cnfStyle w:val="100000000000" w:firstRow="1" w:lastRow="0" w:firstColumn="0" w:lastColumn="0" w:oddVBand="0" w:evenVBand="0" w:oddHBand="0" w:evenHBand="0" w:firstRowFirstColumn="0" w:firstRowLastColumn="0" w:lastRowFirstColumn="0" w:lastRowLastColumn="0"/>
              <w:rPr>
                <w:b/>
              </w:rPr>
            </w:pPr>
            <w:r w:rsidRPr="000576C4">
              <w:rPr>
                <w:b/>
              </w:rPr>
              <w:t>2016</w:t>
            </w:r>
          </w:p>
        </w:tc>
        <w:tc>
          <w:tcPr>
            <w:tcW w:w="541" w:type="pct"/>
            <w:vAlign w:val="center"/>
          </w:tcPr>
          <w:p w14:paraId="5F0E0992" w14:textId="77777777" w:rsidR="00717D43" w:rsidRPr="000576C4" w:rsidRDefault="00717D43" w:rsidP="00F12244">
            <w:pPr>
              <w:pStyle w:val="TableHeader"/>
              <w:jc w:val="center"/>
              <w:cnfStyle w:val="100000000000" w:firstRow="1" w:lastRow="0" w:firstColumn="0" w:lastColumn="0" w:oddVBand="0" w:evenVBand="0" w:oddHBand="0" w:evenHBand="0" w:firstRowFirstColumn="0" w:firstRowLastColumn="0" w:lastRowFirstColumn="0" w:lastRowLastColumn="0"/>
              <w:rPr>
                <w:b/>
              </w:rPr>
            </w:pPr>
            <w:r w:rsidRPr="000576C4">
              <w:rPr>
                <w:b/>
              </w:rPr>
              <w:t>2020</w:t>
            </w:r>
          </w:p>
        </w:tc>
        <w:tc>
          <w:tcPr>
            <w:tcW w:w="541" w:type="pct"/>
            <w:vAlign w:val="center"/>
          </w:tcPr>
          <w:p w14:paraId="38921768" w14:textId="77777777" w:rsidR="00717D43" w:rsidRPr="000576C4" w:rsidRDefault="00717D43" w:rsidP="00F12244">
            <w:pPr>
              <w:pStyle w:val="TableHeader"/>
              <w:jc w:val="center"/>
              <w:cnfStyle w:val="100000000000" w:firstRow="1" w:lastRow="0" w:firstColumn="0" w:lastColumn="0" w:oddVBand="0" w:evenVBand="0" w:oddHBand="0" w:evenHBand="0" w:firstRowFirstColumn="0" w:firstRowLastColumn="0" w:lastRowFirstColumn="0" w:lastRowLastColumn="0"/>
              <w:rPr>
                <w:b/>
              </w:rPr>
            </w:pPr>
            <w:r w:rsidRPr="000576C4">
              <w:rPr>
                <w:b/>
              </w:rPr>
              <w:t>2025</w:t>
            </w:r>
          </w:p>
        </w:tc>
        <w:tc>
          <w:tcPr>
            <w:tcW w:w="606" w:type="pct"/>
            <w:vAlign w:val="center"/>
          </w:tcPr>
          <w:p w14:paraId="5798C3CD" w14:textId="77777777" w:rsidR="00717D43" w:rsidRPr="000576C4" w:rsidRDefault="00717D43" w:rsidP="00F12244">
            <w:pPr>
              <w:pStyle w:val="TableHeader"/>
              <w:jc w:val="center"/>
              <w:cnfStyle w:val="100000000000" w:firstRow="1" w:lastRow="0" w:firstColumn="0" w:lastColumn="0" w:oddVBand="0" w:evenVBand="0" w:oddHBand="0" w:evenHBand="0" w:firstRowFirstColumn="0" w:firstRowLastColumn="0" w:lastRowFirstColumn="0" w:lastRowLastColumn="0"/>
              <w:rPr>
                <w:b/>
              </w:rPr>
            </w:pPr>
            <w:r w:rsidRPr="000576C4">
              <w:rPr>
                <w:b/>
              </w:rPr>
              <w:t>2030</w:t>
            </w:r>
          </w:p>
        </w:tc>
      </w:tr>
      <w:tr w:rsidR="00717D43" w:rsidRPr="00F477F6" w14:paraId="7FFA822F" w14:textId="77777777" w:rsidTr="0040618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1" w:type="pct"/>
            <w:vAlign w:val="center"/>
          </w:tcPr>
          <w:p w14:paraId="7EFC62A9" w14:textId="77777777" w:rsidR="00717D43" w:rsidRPr="00F477F6" w:rsidRDefault="00717D43" w:rsidP="00D20D53">
            <w:pPr>
              <w:pStyle w:val="TableText"/>
            </w:pPr>
            <w:r w:rsidRPr="00F477F6">
              <w:t>Comparison supply</w:t>
            </w:r>
          </w:p>
        </w:tc>
        <w:tc>
          <w:tcPr>
            <w:tcW w:w="567" w:type="pct"/>
            <w:vAlign w:val="center"/>
          </w:tcPr>
          <w:p w14:paraId="3361E641" w14:textId="77777777" w:rsidR="00717D43" w:rsidRPr="00D20D53" w:rsidRDefault="00717D43" w:rsidP="00D20D53">
            <w:pPr>
              <w:pStyle w:val="TableText"/>
              <w:jc w:val="right"/>
              <w:cnfStyle w:val="000000100000" w:firstRow="0" w:lastRow="0" w:firstColumn="0" w:lastColumn="0" w:oddVBand="0" w:evenVBand="0" w:oddHBand="1" w:evenHBand="0" w:firstRowFirstColumn="0" w:firstRowLastColumn="0" w:lastRowFirstColumn="0" w:lastRowLastColumn="0"/>
            </w:pPr>
            <w:r w:rsidRPr="00D20D53">
              <w:t>263,212</w:t>
            </w:r>
          </w:p>
        </w:tc>
        <w:tc>
          <w:tcPr>
            <w:tcW w:w="515" w:type="pct"/>
            <w:vAlign w:val="center"/>
          </w:tcPr>
          <w:p w14:paraId="4DCB2501" w14:textId="77777777" w:rsidR="00717D43" w:rsidRPr="00D20D53" w:rsidRDefault="00717D43" w:rsidP="00D20D53">
            <w:pPr>
              <w:pStyle w:val="TableText"/>
              <w:jc w:val="right"/>
              <w:cnfStyle w:val="000000100000" w:firstRow="0" w:lastRow="0" w:firstColumn="0" w:lastColumn="0" w:oddVBand="0" w:evenVBand="0" w:oddHBand="1" w:evenHBand="0" w:firstRowFirstColumn="0" w:firstRowLastColumn="0" w:lastRowFirstColumn="0" w:lastRowLastColumn="0"/>
            </w:pPr>
            <w:r w:rsidRPr="00D20D53">
              <w:t>281,491</w:t>
            </w:r>
          </w:p>
        </w:tc>
        <w:tc>
          <w:tcPr>
            <w:tcW w:w="541" w:type="pct"/>
            <w:vAlign w:val="center"/>
          </w:tcPr>
          <w:p w14:paraId="05576598" w14:textId="77777777" w:rsidR="00717D43" w:rsidRPr="00D20D53" w:rsidRDefault="00717D43" w:rsidP="00D20D53">
            <w:pPr>
              <w:pStyle w:val="TableText"/>
              <w:jc w:val="right"/>
              <w:cnfStyle w:val="000000100000" w:firstRow="0" w:lastRow="0" w:firstColumn="0" w:lastColumn="0" w:oddVBand="0" w:evenVBand="0" w:oddHBand="1" w:evenHBand="0" w:firstRowFirstColumn="0" w:firstRowLastColumn="0" w:lastRowFirstColumn="0" w:lastRowLastColumn="0"/>
            </w:pPr>
            <w:r w:rsidRPr="00D20D53">
              <w:t xml:space="preserve"> 277,304</w:t>
            </w:r>
          </w:p>
        </w:tc>
        <w:tc>
          <w:tcPr>
            <w:tcW w:w="541" w:type="pct"/>
            <w:vAlign w:val="center"/>
          </w:tcPr>
          <w:p w14:paraId="04E11D9D" w14:textId="77777777" w:rsidR="00717D43" w:rsidRPr="00D20D53" w:rsidRDefault="00717D43" w:rsidP="00D20D53">
            <w:pPr>
              <w:pStyle w:val="TableText"/>
              <w:jc w:val="right"/>
              <w:cnfStyle w:val="000000100000" w:firstRow="0" w:lastRow="0" w:firstColumn="0" w:lastColumn="0" w:oddVBand="0" w:evenVBand="0" w:oddHBand="1" w:evenHBand="0" w:firstRowFirstColumn="0" w:firstRowLastColumn="0" w:lastRowFirstColumn="0" w:lastRowLastColumn="0"/>
            </w:pPr>
            <w:r w:rsidRPr="00D20D53">
              <w:t>273,522</w:t>
            </w:r>
          </w:p>
        </w:tc>
        <w:tc>
          <w:tcPr>
            <w:tcW w:w="606" w:type="pct"/>
            <w:vAlign w:val="center"/>
          </w:tcPr>
          <w:p w14:paraId="4B39B5A6" w14:textId="77777777" w:rsidR="00717D43" w:rsidRPr="00D20D53" w:rsidRDefault="00717D43" w:rsidP="00D20D53">
            <w:pPr>
              <w:pStyle w:val="TableText"/>
              <w:jc w:val="right"/>
              <w:cnfStyle w:val="000000100000" w:firstRow="0" w:lastRow="0" w:firstColumn="0" w:lastColumn="0" w:oddVBand="0" w:evenVBand="0" w:oddHBand="1" w:evenHBand="0" w:firstRowFirstColumn="0" w:firstRowLastColumn="0" w:lastRowFirstColumn="0" w:lastRowLastColumn="0"/>
            </w:pPr>
            <w:r w:rsidRPr="00D20D53">
              <w:t>271,657</w:t>
            </w:r>
          </w:p>
        </w:tc>
      </w:tr>
      <w:tr w:rsidR="00717D43" w:rsidRPr="00F477F6" w14:paraId="23049B1B" w14:textId="77777777" w:rsidTr="0040618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1" w:type="pct"/>
            <w:vAlign w:val="center"/>
          </w:tcPr>
          <w:p w14:paraId="48613FF5" w14:textId="77777777" w:rsidR="00717D43" w:rsidRPr="00F477F6" w:rsidRDefault="00717D43" w:rsidP="00D20D53">
            <w:pPr>
              <w:pStyle w:val="TableText"/>
            </w:pPr>
            <w:r w:rsidRPr="00F477F6">
              <w:t>Comparison demand</w:t>
            </w:r>
          </w:p>
        </w:tc>
        <w:tc>
          <w:tcPr>
            <w:tcW w:w="567" w:type="pct"/>
            <w:vAlign w:val="center"/>
          </w:tcPr>
          <w:p w14:paraId="55DF6FA5" w14:textId="77777777" w:rsidR="00717D43" w:rsidRPr="00D20D53" w:rsidRDefault="00717D43" w:rsidP="00D20D53">
            <w:pPr>
              <w:pStyle w:val="TableText"/>
              <w:jc w:val="right"/>
              <w:cnfStyle w:val="000000010000" w:firstRow="0" w:lastRow="0" w:firstColumn="0" w:lastColumn="0" w:oddVBand="0" w:evenVBand="0" w:oddHBand="0" w:evenHBand="1" w:firstRowFirstColumn="0" w:firstRowLastColumn="0" w:lastRowFirstColumn="0" w:lastRowLastColumn="0"/>
            </w:pPr>
            <w:r w:rsidRPr="00D20D53">
              <w:t>263,212</w:t>
            </w:r>
          </w:p>
        </w:tc>
        <w:tc>
          <w:tcPr>
            <w:tcW w:w="515" w:type="pct"/>
            <w:vAlign w:val="center"/>
          </w:tcPr>
          <w:p w14:paraId="77CAFE61" w14:textId="77777777" w:rsidR="00717D43" w:rsidRPr="00D20D53" w:rsidRDefault="00717D43" w:rsidP="00D20D53">
            <w:pPr>
              <w:pStyle w:val="TableText"/>
              <w:jc w:val="right"/>
              <w:cnfStyle w:val="000000010000" w:firstRow="0" w:lastRow="0" w:firstColumn="0" w:lastColumn="0" w:oddVBand="0" w:evenVBand="0" w:oddHBand="0" w:evenHBand="1" w:firstRowFirstColumn="0" w:firstRowLastColumn="0" w:lastRowFirstColumn="0" w:lastRowLastColumn="0"/>
            </w:pPr>
            <w:r w:rsidRPr="00D20D53">
              <w:t>292,942</w:t>
            </w:r>
          </w:p>
        </w:tc>
        <w:tc>
          <w:tcPr>
            <w:tcW w:w="541" w:type="pct"/>
            <w:vAlign w:val="center"/>
          </w:tcPr>
          <w:p w14:paraId="418DCF97" w14:textId="56B34D15" w:rsidR="00717D43" w:rsidRPr="00D20D53" w:rsidRDefault="00717D43" w:rsidP="00D20D53">
            <w:pPr>
              <w:pStyle w:val="TableText"/>
              <w:jc w:val="right"/>
              <w:cnfStyle w:val="000000010000" w:firstRow="0" w:lastRow="0" w:firstColumn="0" w:lastColumn="0" w:oddVBand="0" w:evenVBand="0" w:oddHBand="0" w:evenHBand="1" w:firstRowFirstColumn="0" w:firstRowLastColumn="0" w:lastRowFirstColumn="0" w:lastRowLastColumn="0"/>
            </w:pPr>
            <w:r w:rsidRPr="00D20D53">
              <w:t>322,448</w:t>
            </w:r>
          </w:p>
        </w:tc>
        <w:tc>
          <w:tcPr>
            <w:tcW w:w="541" w:type="pct"/>
            <w:vAlign w:val="center"/>
          </w:tcPr>
          <w:p w14:paraId="7861B389" w14:textId="77777777" w:rsidR="00717D43" w:rsidRPr="00D20D53" w:rsidRDefault="00717D43" w:rsidP="00D20D53">
            <w:pPr>
              <w:pStyle w:val="TableText"/>
              <w:jc w:val="right"/>
              <w:cnfStyle w:val="000000010000" w:firstRow="0" w:lastRow="0" w:firstColumn="0" w:lastColumn="0" w:oddVBand="0" w:evenVBand="0" w:oddHBand="0" w:evenHBand="1" w:firstRowFirstColumn="0" w:firstRowLastColumn="0" w:lastRowFirstColumn="0" w:lastRowLastColumn="0"/>
            </w:pPr>
            <w:r w:rsidRPr="00D20D53">
              <w:t>358,879</w:t>
            </w:r>
          </w:p>
        </w:tc>
        <w:tc>
          <w:tcPr>
            <w:tcW w:w="606" w:type="pct"/>
            <w:vAlign w:val="center"/>
          </w:tcPr>
          <w:p w14:paraId="57318D3F" w14:textId="77777777" w:rsidR="00717D43" w:rsidRPr="00D20D53" w:rsidRDefault="00717D43" w:rsidP="00D20D53">
            <w:pPr>
              <w:pStyle w:val="TableText"/>
              <w:jc w:val="right"/>
              <w:cnfStyle w:val="000000010000" w:firstRow="0" w:lastRow="0" w:firstColumn="0" w:lastColumn="0" w:oddVBand="0" w:evenVBand="0" w:oddHBand="0" w:evenHBand="1" w:firstRowFirstColumn="0" w:firstRowLastColumn="0" w:lastRowFirstColumn="0" w:lastRowLastColumn="0"/>
            </w:pPr>
            <w:r w:rsidRPr="00D20D53">
              <w:t>394,503</w:t>
            </w:r>
          </w:p>
        </w:tc>
      </w:tr>
      <w:tr w:rsidR="00717D43" w:rsidRPr="00F477F6" w14:paraId="37E0A020" w14:textId="77777777" w:rsidTr="0040618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1" w:type="pct"/>
            <w:vAlign w:val="center"/>
          </w:tcPr>
          <w:p w14:paraId="02BF1FE6" w14:textId="77777777" w:rsidR="00717D43" w:rsidRPr="00F477F6" w:rsidRDefault="00717D43" w:rsidP="00D20D53">
            <w:pPr>
              <w:pStyle w:val="TableText"/>
            </w:pPr>
            <w:r w:rsidRPr="00F477F6">
              <w:t>Comparison projected excess/shortfall</w:t>
            </w:r>
          </w:p>
        </w:tc>
        <w:tc>
          <w:tcPr>
            <w:tcW w:w="567" w:type="pct"/>
            <w:vAlign w:val="center"/>
          </w:tcPr>
          <w:p w14:paraId="793759CC" w14:textId="646F4FC4" w:rsidR="00717D43" w:rsidRPr="00D20D53" w:rsidRDefault="00717D43" w:rsidP="00D20D53">
            <w:pPr>
              <w:pStyle w:val="TableText"/>
              <w:jc w:val="right"/>
              <w:cnfStyle w:val="000000100000" w:firstRow="0" w:lastRow="0" w:firstColumn="0" w:lastColumn="0" w:oddVBand="0" w:evenVBand="0" w:oddHBand="1" w:evenHBand="0" w:firstRowFirstColumn="0" w:firstRowLastColumn="0" w:lastRowFirstColumn="0" w:lastRowLastColumn="0"/>
              <w:rPr>
                <w:b/>
              </w:rPr>
            </w:pPr>
            <w:r w:rsidRPr="00D20D53">
              <w:rPr>
                <w:b/>
              </w:rPr>
              <w:t>0</w:t>
            </w:r>
          </w:p>
        </w:tc>
        <w:tc>
          <w:tcPr>
            <w:tcW w:w="515" w:type="pct"/>
            <w:vAlign w:val="center"/>
          </w:tcPr>
          <w:p w14:paraId="5B7CDD7F" w14:textId="77777777" w:rsidR="00717D43" w:rsidRPr="00D20D53" w:rsidRDefault="00717D43" w:rsidP="00D20D53">
            <w:pPr>
              <w:pStyle w:val="TableText"/>
              <w:jc w:val="right"/>
              <w:cnfStyle w:val="000000100000" w:firstRow="0" w:lastRow="0" w:firstColumn="0" w:lastColumn="0" w:oddVBand="0" w:evenVBand="0" w:oddHBand="1" w:evenHBand="0" w:firstRowFirstColumn="0" w:firstRowLastColumn="0" w:lastRowFirstColumn="0" w:lastRowLastColumn="0"/>
              <w:rPr>
                <w:b/>
                <w:color w:val="FF0000"/>
              </w:rPr>
            </w:pPr>
            <w:r w:rsidRPr="00D20D53">
              <w:rPr>
                <w:b/>
                <w:color w:val="FF0000"/>
              </w:rPr>
              <w:t>-11,451</w:t>
            </w:r>
          </w:p>
        </w:tc>
        <w:tc>
          <w:tcPr>
            <w:tcW w:w="541" w:type="pct"/>
            <w:vAlign w:val="center"/>
          </w:tcPr>
          <w:p w14:paraId="604A41C1" w14:textId="77777777" w:rsidR="00717D43" w:rsidRPr="00D20D53" w:rsidRDefault="00717D43" w:rsidP="00D20D53">
            <w:pPr>
              <w:pStyle w:val="TableText"/>
              <w:jc w:val="right"/>
              <w:cnfStyle w:val="000000100000" w:firstRow="0" w:lastRow="0" w:firstColumn="0" w:lastColumn="0" w:oddVBand="0" w:evenVBand="0" w:oddHBand="1" w:evenHBand="0" w:firstRowFirstColumn="0" w:firstRowLastColumn="0" w:lastRowFirstColumn="0" w:lastRowLastColumn="0"/>
              <w:rPr>
                <w:b/>
                <w:color w:val="FF0000"/>
              </w:rPr>
            </w:pPr>
            <w:r w:rsidRPr="00D20D53">
              <w:rPr>
                <w:b/>
                <w:color w:val="FF0000"/>
              </w:rPr>
              <w:t>-45,144</w:t>
            </w:r>
          </w:p>
        </w:tc>
        <w:tc>
          <w:tcPr>
            <w:tcW w:w="541" w:type="pct"/>
            <w:vAlign w:val="center"/>
          </w:tcPr>
          <w:p w14:paraId="1BC9632E" w14:textId="6152A974" w:rsidR="00717D43" w:rsidRPr="00D20D53" w:rsidRDefault="00717D43" w:rsidP="00D20D53">
            <w:pPr>
              <w:pStyle w:val="TableText"/>
              <w:jc w:val="right"/>
              <w:cnfStyle w:val="000000100000" w:firstRow="0" w:lastRow="0" w:firstColumn="0" w:lastColumn="0" w:oddVBand="0" w:evenVBand="0" w:oddHBand="1" w:evenHBand="0" w:firstRowFirstColumn="0" w:firstRowLastColumn="0" w:lastRowFirstColumn="0" w:lastRowLastColumn="0"/>
              <w:rPr>
                <w:b/>
                <w:color w:val="FF0000"/>
              </w:rPr>
            </w:pPr>
            <w:r w:rsidRPr="00D20D53">
              <w:rPr>
                <w:b/>
                <w:color w:val="FF0000"/>
              </w:rPr>
              <w:t>-85,35</w:t>
            </w:r>
            <w:r w:rsidR="00C02C5F" w:rsidRPr="00D20D53">
              <w:rPr>
                <w:b/>
                <w:color w:val="FF0000"/>
              </w:rPr>
              <w:t>7</w:t>
            </w:r>
          </w:p>
        </w:tc>
        <w:tc>
          <w:tcPr>
            <w:tcW w:w="606" w:type="pct"/>
            <w:vAlign w:val="center"/>
          </w:tcPr>
          <w:p w14:paraId="17EE9BED" w14:textId="77777777" w:rsidR="00717D43" w:rsidRPr="00D20D53" w:rsidRDefault="00717D43" w:rsidP="00D20D53">
            <w:pPr>
              <w:pStyle w:val="TableText"/>
              <w:jc w:val="right"/>
              <w:cnfStyle w:val="000000100000" w:firstRow="0" w:lastRow="0" w:firstColumn="0" w:lastColumn="0" w:oddVBand="0" w:evenVBand="0" w:oddHBand="1" w:evenHBand="0" w:firstRowFirstColumn="0" w:firstRowLastColumn="0" w:lastRowFirstColumn="0" w:lastRowLastColumn="0"/>
              <w:rPr>
                <w:b/>
                <w:color w:val="FF0000"/>
              </w:rPr>
            </w:pPr>
            <w:r w:rsidRPr="00D20D53">
              <w:rPr>
                <w:b/>
                <w:color w:val="FF0000"/>
              </w:rPr>
              <w:t>-122,846</w:t>
            </w:r>
          </w:p>
        </w:tc>
      </w:tr>
      <w:tr w:rsidR="00717D43" w:rsidRPr="00F477F6" w14:paraId="1287FCEF" w14:textId="77777777" w:rsidTr="0040618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1" w:type="pct"/>
          </w:tcPr>
          <w:p w14:paraId="4F2BBFA5" w14:textId="53373EFA" w:rsidR="00717D43" w:rsidRPr="00F477F6" w:rsidRDefault="00717D43" w:rsidP="00D20D53">
            <w:pPr>
              <w:pStyle w:val="TableText"/>
            </w:pPr>
            <w:r w:rsidRPr="00F477F6">
              <w:t>Combined scenario supply</w:t>
            </w:r>
          </w:p>
        </w:tc>
        <w:tc>
          <w:tcPr>
            <w:tcW w:w="567" w:type="pct"/>
          </w:tcPr>
          <w:p w14:paraId="5C640A2F" w14:textId="0977DE15" w:rsidR="00717D43" w:rsidRPr="00D20D53" w:rsidRDefault="00717D43" w:rsidP="00D20D53">
            <w:pPr>
              <w:pStyle w:val="TableText"/>
              <w:jc w:val="right"/>
              <w:cnfStyle w:val="000000010000" w:firstRow="0" w:lastRow="0" w:firstColumn="0" w:lastColumn="0" w:oddVBand="0" w:evenVBand="0" w:oddHBand="0" w:evenHBand="1" w:firstRowFirstColumn="0" w:firstRowLastColumn="0" w:lastRowFirstColumn="0" w:lastRowLastColumn="0"/>
            </w:pPr>
            <w:r w:rsidRPr="00D20D53">
              <w:t>263,212</w:t>
            </w:r>
          </w:p>
        </w:tc>
        <w:tc>
          <w:tcPr>
            <w:tcW w:w="515" w:type="pct"/>
          </w:tcPr>
          <w:p w14:paraId="04E7A6D6" w14:textId="568F7643" w:rsidR="00717D43" w:rsidRPr="00D20D53" w:rsidRDefault="00717D43" w:rsidP="00D20D53">
            <w:pPr>
              <w:pStyle w:val="TableText"/>
              <w:jc w:val="right"/>
              <w:cnfStyle w:val="000000010000" w:firstRow="0" w:lastRow="0" w:firstColumn="0" w:lastColumn="0" w:oddVBand="0" w:evenVBand="0" w:oddHBand="0" w:evenHBand="1" w:firstRowFirstColumn="0" w:firstRowLastColumn="0" w:lastRowFirstColumn="0" w:lastRowLastColumn="0"/>
            </w:pPr>
            <w:r w:rsidRPr="00D20D53">
              <w:t>281,491</w:t>
            </w:r>
          </w:p>
        </w:tc>
        <w:tc>
          <w:tcPr>
            <w:tcW w:w="541" w:type="pct"/>
          </w:tcPr>
          <w:p w14:paraId="45F81996" w14:textId="63F9BE43" w:rsidR="00717D43" w:rsidRPr="00D20D53" w:rsidRDefault="00717D43" w:rsidP="00D20D53">
            <w:pPr>
              <w:pStyle w:val="TableText"/>
              <w:jc w:val="right"/>
              <w:cnfStyle w:val="000000010000" w:firstRow="0" w:lastRow="0" w:firstColumn="0" w:lastColumn="0" w:oddVBand="0" w:evenVBand="0" w:oddHBand="0" w:evenHBand="1" w:firstRowFirstColumn="0" w:firstRowLastColumn="0" w:lastRowFirstColumn="0" w:lastRowLastColumn="0"/>
            </w:pPr>
            <w:r w:rsidRPr="00D20D53">
              <w:t>283,623</w:t>
            </w:r>
          </w:p>
        </w:tc>
        <w:tc>
          <w:tcPr>
            <w:tcW w:w="541" w:type="pct"/>
          </w:tcPr>
          <w:p w14:paraId="59FA7206" w14:textId="7F05000E" w:rsidR="00717D43" w:rsidRPr="00D20D53" w:rsidRDefault="00717D43" w:rsidP="00D20D53">
            <w:pPr>
              <w:pStyle w:val="TableText"/>
              <w:jc w:val="right"/>
              <w:cnfStyle w:val="000000010000" w:firstRow="0" w:lastRow="0" w:firstColumn="0" w:lastColumn="0" w:oddVBand="0" w:evenVBand="0" w:oddHBand="0" w:evenHBand="1" w:firstRowFirstColumn="0" w:firstRowLastColumn="0" w:lastRowFirstColumn="0" w:lastRowLastColumn="0"/>
            </w:pPr>
            <w:r w:rsidRPr="00D20D53">
              <w:t>300,398</w:t>
            </w:r>
          </w:p>
        </w:tc>
        <w:tc>
          <w:tcPr>
            <w:tcW w:w="606" w:type="pct"/>
          </w:tcPr>
          <w:p w14:paraId="77F5248C" w14:textId="52F62180" w:rsidR="00717D43" w:rsidRPr="00D20D53" w:rsidRDefault="00717D43" w:rsidP="00D20D53">
            <w:pPr>
              <w:pStyle w:val="TableText"/>
              <w:jc w:val="right"/>
              <w:cnfStyle w:val="000000010000" w:firstRow="0" w:lastRow="0" w:firstColumn="0" w:lastColumn="0" w:oddVBand="0" w:evenVBand="0" w:oddHBand="0" w:evenHBand="1" w:firstRowFirstColumn="0" w:firstRowLastColumn="0" w:lastRowFirstColumn="0" w:lastRowLastColumn="0"/>
            </w:pPr>
            <w:r w:rsidRPr="00D20D53">
              <w:t>32</w:t>
            </w:r>
            <w:r w:rsidR="00CC21BF" w:rsidRPr="00D20D53">
              <w:t>0</w:t>
            </w:r>
            <w:r w:rsidR="00AD717F" w:rsidRPr="00D20D53">
              <w:t>,</w:t>
            </w:r>
            <w:r w:rsidR="00CC21BF" w:rsidRPr="00D20D53">
              <w:t>722</w:t>
            </w:r>
          </w:p>
        </w:tc>
      </w:tr>
      <w:tr w:rsidR="00717D43" w:rsidRPr="00F477F6" w14:paraId="0943EB3F" w14:textId="77777777" w:rsidTr="0040618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1" w:type="pct"/>
            <w:vAlign w:val="center"/>
          </w:tcPr>
          <w:p w14:paraId="3F6BBAF9" w14:textId="77777777" w:rsidR="00717D43" w:rsidRPr="00F477F6" w:rsidRDefault="00717D43" w:rsidP="00D20D53">
            <w:pPr>
              <w:pStyle w:val="TableText"/>
            </w:pPr>
            <w:r w:rsidRPr="00F477F6">
              <w:t>Constrained labour demand</w:t>
            </w:r>
          </w:p>
        </w:tc>
        <w:tc>
          <w:tcPr>
            <w:tcW w:w="567" w:type="pct"/>
            <w:vAlign w:val="center"/>
          </w:tcPr>
          <w:p w14:paraId="22F0CA03" w14:textId="77777777" w:rsidR="00717D43" w:rsidRPr="00D20D53" w:rsidRDefault="00717D43" w:rsidP="00D20D53">
            <w:pPr>
              <w:pStyle w:val="TableText"/>
              <w:jc w:val="right"/>
              <w:cnfStyle w:val="000000100000" w:firstRow="0" w:lastRow="0" w:firstColumn="0" w:lastColumn="0" w:oddVBand="0" w:evenVBand="0" w:oddHBand="1" w:evenHBand="0" w:firstRowFirstColumn="0" w:firstRowLastColumn="0" w:lastRowFirstColumn="0" w:lastRowLastColumn="0"/>
            </w:pPr>
            <w:r w:rsidRPr="00D20D53">
              <w:t>263,212</w:t>
            </w:r>
          </w:p>
        </w:tc>
        <w:tc>
          <w:tcPr>
            <w:tcW w:w="515" w:type="pct"/>
            <w:vAlign w:val="center"/>
          </w:tcPr>
          <w:p w14:paraId="0A82899E" w14:textId="77777777" w:rsidR="00717D43" w:rsidRPr="00D20D53" w:rsidRDefault="00717D43" w:rsidP="00D20D53">
            <w:pPr>
              <w:pStyle w:val="TableText"/>
              <w:jc w:val="right"/>
              <w:cnfStyle w:val="000000100000" w:firstRow="0" w:lastRow="0" w:firstColumn="0" w:lastColumn="0" w:oddVBand="0" w:evenVBand="0" w:oddHBand="1" w:evenHBand="0" w:firstRowFirstColumn="0" w:firstRowLastColumn="0" w:lastRowFirstColumn="0" w:lastRowLastColumn="0"/>
            </w:pPr>
            <w:r w:rsidRPr="00D20D53">
              <w:t>289,660</w:t>
            </w:r>
          </w:p>
        </w:tc>
        <w:tc>
          <w:tcPr>
            <w:tcW w:w="541" w:type="pct"/>
            <w:vAlign w:val="center"/>
          </w:tcPr>
          <w:p w14:paraId="4CE63289" w14:textId="77777777" w:rsidR="00717D43" w:rsidRPr="00D20D53" w:rsidRDefault="00717D43" w:rsidP="00D20D53">
            <w:pPr>
              <w:pStyle w:val="TableText"/>
              <w:jc w:val="right"/>
              <w:cnfStyle w:val="000000100000" w:firstRow="0" w:lastRow="0" w:firstColumn="0" w:lastColumn="0" w:oddVBand="0" w:evenVBand="0" w:oddHBand="1" w:evenHBand="0" w:firstRowFirstColumn="0" w:firstRowLastColumn="0" w:lastRowFirstColumn="0" w:lastRowLastColumn="0"/>
            </w:pPr>
            <w:r w:rsidRPr="00D20D53">
              <w:t>312,237</w:t>
            </w:r>
          </w:p>
        </w:tc>
        <w:tc>
          <w:tcPr>
            <w:tcW w:w="541" w:type="pct"/>
            <w:vAlign w:val="center"/>
          </w:tcPr>
          <w:p w14:paraId="362D9E31" w14:textId="77777777" w:rsidR="00717D43" w:rsidRPr="00D20D53" w:rsidRDefault="00717D43" w:rsidP="00D20D53">
            <w:pPr>
              <w:pStyle w:val="TableText"/>
              <w:jc w:val="right"/>
              <w:cnfStyle w:val="000000100000" w:firstRow="0" w:lastRow="0" w:firstColumn="0" w:lastColumn="0" w:oddVBand="0" w:evenVBand="0" w:oddHBand="1" w:evenHBand="0" w:firstRowFirstColumn="0" w:firstRowLastColumn="0" w:lastRowFirstColumn="0" w:lastRowLastColumn="0"/>
            </w:pPr>
            <w:r w:rsidRPr="00D20D53">
              <w:t>339,492</w:t>
            </w:r>
          </w:p>
        </w:tc>
        <w:tc>
          <w:tcPr>
            <w:tcW w:w="606" w:type="pct"/>
            <w:vAlign w:val="center"/>
          </w:tcPr>
          <w:p w14:paraId="0F1A9146" w14:textId="77777777" w:rsidR="00717D43" w:rsidRPr="00D20D53" w:rsidRDefault="00717D43" w:rsidP="00D20D53">
            <w:pPr>
              <w:pStyle w:val="TableText"/>
              <w:jc w:val="right"/>
              <w:cnfStyle w:val="000000100000" w:firstRow="0" w:lastRow="0" w:firstColumn="0" w:lastColumn="0" w:oddVBand="0" w:evenVBand="0" w:oddHBand="1" w:evenHBand="0" w:firstRowFirstColumn="0" w:firstRowLastColumn="0" w:lastRowFirstColumn="0" w:lastRowLastColumn="0"/>
            </w:pPr>
            <w:r w:rsidRPr="00D20D53">
              <w:t xml:space="preserve">365,557 </w:t>
            </w:r>
          </w:p>
        </w:tc>
      </w:tr>
      <w:tr w:rsidR="00717D43" w:rsidRPr="00F477F6" w14:paraId="617AD627" w14:textId="77777777" w:rsidTr="0040618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1" w:type="pct"/>
            <w:vAlign w:val="center"/>
          </w:tcPr>
          <w:p w14:paraId="0DA487F0" w14:textId="717714F9" w:rsidR="00717D43" w:rsidRPr="00F477F6" w:rsidRDefault="00717D43" w:rsidP="00D20D53">
            <w:pPr>
              <w:pStyle w:val="TableText"/>
            </w:pPr>
            <w:r w:rsidRPr="00F477F6">
              <w:t>Excess/shortfall</w:t>
            </w:r>
            <w:r w:rsidRPr="00F477F6">
              <w:rPr>
                <w:vertAlign w:val="superscript"/>
              </w:rPr>
              <w:t>(a)</w:t>
            </w:r>
          </w:p>
        </w:tc>
        <w:tc>
          <w:tcPr>
            <w:tcW w:w="567" w:type="pct"/>
            <w:vAlign w:val="center"/>
          </w:tcPr>
          <w:p w14:paraId="7BFFB091" w14:textId="1D53FCAE" w:rsidR="00717D43" w:rsidRPr="00D20D53" w:rsidRDefault="00717D43" w:rsidP="00D20D53">
            <w:pPr>
              <w:pStyle w:val="TableText"/>
              <w:jc w:val="right"/>
              <w:cnfStyle w:val="000000010000" w:firstRow="0" w:lastRow="0" w:firstColumn="0" w:lastColumn="0" w:oddVBand="0" w:evenVBand="0" w:oddHBand="0" w:evenHBand="1" w:firstRowFirstColumn="0" w:firstRowLastColumn="0" w:lastRowFirstColumn="0" w:lastRowLastColumn="0"/>
              <w:rPr>
                <w:b/>
              </w:rPr>
            </w:pPr>
            <w:r w:rsidRPr="00D20D53">
              <w:rPr>
                <w:b/>
              </w:rPr>
              <w:t>0</w:t>
            </w:r>
          </w:p>
        </w:tc>
        <w:tc>
          <w:tcPr>
            <w:tcW w:w="515" w:type="pct"/>
            <w:vAlign w:val="center"/>
          </w:tcPr>
          <w:p w14:paraId="1B25953A" w14:textId="4D4B4EFF" w:rsidR="00717D43" w:rsidRPr="00D20D53" w:rsidRDefault="00717D43" w:rsidP="00D20D53">
            <w:pPr>
              <w:pStyle w:val="TableText"/>
              <w:jc w:val="right"/>
              <w:cnfStyle w:val="000000010000" w:firstRow="0" w:lastRow="0" w:firstColumn="0" w:lastColumn="0" w:oddVBand="0" w:evenVBand="0" w:oddHBand="0" w:evenHBand="1" w:firstRowFirstColumn="0" w:firstRowLastColumn="0" w:lastRowFirstColumn="0" w:lastRowLastColumn="0"/>
              <w:rPr>
                <w:b/>
                <w:color w:val="FF0000"/>
              </w:rPr>
            </w:pPr>
            <w:r w:rsidRPr="00D20D53">
              <w:rPr>
                <w:b/>
                <w:color w:val="FF0000"/>
              </w:rPr>
              <w:t xml:space="preserve">-8,169 </w:t>
            </w:r>
          </w:p>
        </w:tc>
        <w:tc>
          <w:tcPr>
            <w:tcW w:w="541" w:type="pct"/>
            <w:vAlign w:val="center"/>
          </w:tcPr>
          <w:p w14:paraId="0BDA90F0" w14:textId="7DE0129E" w:rsidR="00717D43" w:rsidRPr="00D20D53" w:rsidRDefault="00717D43" w:rsidP="00D20D53">
            <w:pPr>
              <w:pStyle w:val="TableText"/>
              <w:jc w:val="right"/>
              <w:cnfStyle w:val="000000010000" w:firstRow="0" w:lastRow="0" w:firstColumn="0" w:lastColumn="0" w:oddVBand="0" w:evenVBand="0" w:oddHBand="0" w:evenHBand="1" w:firstRowFirstColumn="0" w:firstRowLastColumn="0" w:lastRowFirstColumn="0" w:lastRowLastColumn="0"/>
              <w:rPr>
                <w:b/>
                <w:color w:val="FF0000"/>
              </w:rPr>
            </w:pPr>
            <w:r w:rsidRPr="00D20D53">
              <w:rPr>
                <w:b/>
                <w:color w:val="FF0000"/>
              </w:rPr>
              <w:t>-28,614</w:t>
            </w:r>
          </w:p>
        </w:tc>
        <w:tc>
          <w:tcPr>
            <w:tcW w:w="541" w:type="pct"/>
            <w:vAlign w:val="center"/>
          </w:tcPr>
          <w:p w14:paraId="5AF709DF" w14:textId="47700B7C" w:rsidR="00717D43" w:rsidRPr="00D20D53" w:rsidRDefault="00717D43" w:rsidP="00D20D53">
            <w:pPr>
              <w:pStyle w:val="TableText"/>
              <w:jc w:val="right"/>
              <w:cnfStyle w:val="000000010000" w:firstRow="0" w:lastRow="0" w:firstColumn="0" w:lastColumn="0" w:oddVBand="0" w:evenVBand="0" w:oddHBand="0" w:evenHBand="1" w:firstRowFirstColumn="0" w:firstRowLastColumn="0" w:lastRowFirstColumn="0" w:lastRowLastColumn="0"/>
              <w:rPr>
                <w:b/>
                <w:color w:val="FF0000"/>
              </w:rPr>
            </w:pPr>
            <w:r w:rsidRPr="00D20D53">
              <w:rPr>
                <w:b/>
                <w:color w:val="FF0000"/>
              </w:rPr>
              <w:t>-</w:t>
            </w:r>
            <w:r w:rsidR="00CC21BF" w:rsidRPr="00D20D53">
              <w:rPr>
                <w:b/>
                <w:color w:val="FF0000"/>
              </w:rPr>
              <w:t>39</w:t>
            </w:r>
            <w:r w:rsidR="00AD717F" w:rsidRPr="00D20D53">
              <w:rPr>
                <w:b/>
                <w:color w:val="FF0000"/>
              </w:rPr>
              <w:t>,</w:t>
            </w:r>
            <w:r w:rsidR="00CC21BF" w:rsidRPr="00D20D53">
              <w:rPr>
                <w:b/>
                <w:color w:val="FF0000"/>
              </w:rPr>
              <w:t>094</w:t>
            </w:r>
          </w:p>
        </w:tc>
        <w:tc>
          <w:tcPr>
            <w:tcW w:w="606" w:type="pct"/>
            <w:vAlign w:val="center"/>
          </w:tcPr>
          <w:p w14:paraId="5242A32D" w14:textId="307561AD" w:rsidR="00717D43" w:rsidRPr="00D20D53" w:rsidRDefault="00717D43" w:rsidP="00D20D53">
            <w:pPr>
              <w:pStyle w:val="TableText"/>
              <w:jc w:val="right"/>
              <w:cnfStyle w:val="000000010000" w:firstRow="0" w:lastRow="0" w:firstColumn="0" w:lastColumn="0" w:oddVBand="0" w:evenVBand="0" w:oddHBand="0" w:evenHBand="1" w:firstRowFirstColumn="0" w:firstRowLastColumn="0" w:lastRowFirstColumn="0" w:lastRowLastColumn="0"/>
              <w:rPr>
                <w:b/>
                <w:color w:val="FF0000"/>
              </w:rPr>
            </w:pPr>
            <w:r w:rsidRPr="00D20D53">
              <w:rPr>
                <w:b/>
                <w:color w:val="FF0000"/>
              </w:rPr>
              <w:t>-</w:t>
            </w:r>
            <w:r w:rsidR="00CC21BF" w:rsidRPr="00D20D53">
              <w:rPr>
                <w:b/>
                <w:color w:val="FF0000"/>
              </w:rPr>
              <w:t>44</w:t>
            </w:r>
            <w:r w:rsidR="00AD717F" w:rsidRPr="00D20D53">
              <w:rPr>
                <w:b/>
                <w:color w:val="FF0000"/>
              </w:rPr>
              <w:t>,</w:t>
            </w:r>
            <w:r w:rsidR="00CC21BF" w:rsidRPr="00D20D53">
              <w:rPr>
                <w:b/>
                <w:color w:val="FF0000"/>
              </w:rPr>
              <w:t>835</w:t>
            </w:r>
          </w:p>
        </w:tc>
      </w:tr>
    </w:tbl>
    <w:p w14:paraId="5E766140" w14:textId="2CFB5B1C" w:rsidR="00717D43" w:rsidRPr="00F477F6" w:rsidRDefault="00717D43" w:rsidP="00D20D53">
      <w:pPr>
        <w:pStyle w:val="Tablenote"/>
      </w:pPr>
      <w:r w:rsidRPr="00F477F6">
        <w:t xml:space="preserve">(a) Calculated as the combined scenario supply less the </w:t>
      </w:r>
      <w:r w:rsidR="002E16F0" w:rsidRPr="00F477F6">
        <w:t>constrained</w:t>
      </w:r>
      <w:r w:rsidRPr="00F477F6">
        <w:t xml:space="preserve"> labour demand.</w:t>
      </w:r>
    </w:p>
    <w:p w14:paraId="7B82DFD1" w14:textId="77777777" w:rsidR="00F12244" w:rsidRDefault="007321A8" w:rsidP="00D20D53">
      <w:r w:rsidRPr="00F477F6">
        <w:fldChar w:fldCharType="begin"/>
      </w:r>
      <w:r w:rsidRPr="00F477F6">
        <w:instrText xml:space="preserve"> REF _Ref387394751 \h </w:instrText>
      </w:r>
      <w:r w:rsidR="00695F00" w:rsidRPr="00F477F6">
        <w:instrText xml:space="preserve"> \* MERGEFORMAT </w:instrText>
      </w:r>
      <w:r w:rsidRPr="00F477F6">
        <w:fldChar w:fldCharType="separate"/>
      </w:r>
      <w:r w:rsidR="00641259" w:rsidRPr="00F477F6">
        <w:t xml:space="preserve">Table </w:t>
      </w:r>
      <w:r w:rsidR="00641259">
        <w:rPr>
          <w:noProof/>
        </w:rPr>
        <w:t>11</w:t>
      </w:r>
      <w:r w:rsidRPr="00F477F6">
        <w:fldChar w:fldCharType="end"/>
      </w:r>
      <w:r w:rsidR="00695F00" w:rsidRPr="00F477F6">
        <w:t xml:space="preserve"> </w:t>
      </w:r>
      <w:r w:rsidR="00C07424" w:rsidRPr="00F477F6">
        <w:t>shows the actual annual change in workforce supply headcount that results from each of the parameter changes incorporated in the combined scenario. The reduce</w:t>
      </w:r>
      <w:r w:rsidR="00B74895" w:rsidRPr="00F477F6">
        <w:t>d</w:t>
      </w:r>
      <w:r w:rsidR="00C07424" w:rsidRPr="00F477F6">
        <w:t xml:space="preserve"> exit rate has the greatest impact on increasing workforce supply across the projection period. This is consistent with HW2025 findings, which demonstrated nursing retention had the greatest impact on reducing the projected workforce gap. </w:t>
      </w:r>
    </w:p>
    <w:p w14:paraId="66D15128" w14:textId="77777777" w:rsidR="00F12244" w:rsidRDefault="00F12244" w:rsidP="00D20D53">
      <w:pPr>
        <w:sectPr w:rsidR="00F12244" w:rsidSect="00861E5A">
          <w:headerReference w:type="even" r:id="rId26"/>
          <w:headerReference w:type="first" r:id="rId27"/>
          <w:pgSz w:w="11906" w:h="16838"/>
          <w:pgMar w:top="1134" w:right="1274" w:bottom="851" w:left="1021" w:header="709" w:footer="28" w:gutter="0"/>
          <w:pgNumType w:start="1"/>
          <w:cols w:space="708"/>
          <w:docGrid w:linePitch="360"/>
        </w:sectPr>
      </w:pPr>
    </w:p>
    <w:p w14:paraId="4CF91EF5" w14:textId="416F926A" w:rsidR="00D30CF3" w:rsidRPr="00F477F6" w:rsidRDefault="00B2497A" w:rsidP="00D20D53">
      <w:pPr>
        <w:pStyle w:val="Caption"/>
      </w:pPr>
      <w:bookmarkStart w:id="134" w:name="_Ref387394751"/>
      <w:bookmarkStart w:id="135" w:name="_Toc407783208"/>
      <w:bookmarkStart w:id="136" w:name="_Ref385499808"/>
      <w:r w:rsidRPr="00F477F6">
        <w:lastRenderedPageBreak/>
        <w:t xml:space="preserve">Table </w:t>
      </w:r>
      <w:fldSimple w:instr=" SEQ Table \* ARABIC ">
        <w:r w:rsidR="00641259">
          <w:rPr>
            <w:noProof/>
          </w:rPr>
          <w:t>11</w:t>
        </w:r>
      </w:fldSimple>
      <w:bookmarkEnd w:id="134"/>
      <w:r w:rsidRPr="00F477F6">
        <w:t>:</w:t>
      </w:r>
      <w:r w:rsidR="004557AF" w:rsidRPr="00F477F6">
        <w:t xml:space="preserve"> </w:t>
      </w:r>
      <w:r w:rsidR="00717D43" w:rsidRPr="00F477F6">
        <w:t>Combined scenario, annual change in workforce supply headcount, 2017 to 2030</w:t>
      </w:r>
      <w:bookmarkEnd w:id="135"/>
      <w:r w:rsidR="00717D43" w:rsidRPr="00F477F6">
        <w:t xml:space="preserve"> </w:t>
      </w:r>
    </w:p>
    <w:tbl>
      <w:tblPr>
        <w:tblW w:w="5000" w:type="pct"/>
        <w:tblLook w:val="04A0" w:firstRow="1" w:lastRow="0" w:firstColumn="1" w:lastColumn="0" w:noHBand="0" w:noVBand="1"/>
      </w:tblPr>
      <w:tblGrid>
        <w:gridCol w:w="2476"/>
        <w:gridCol w:w="899"/>
        <w:gridCol w:w="899"/>
        <w:gridCol w:w="899"/>
        <w:gridCol w:w="899"/>
        <w:gridCol w:w="899"/>
        <w:gridCol w:w="899"/>
        <w:gridCol w:w="899"/>
        <w:gridCol w:w="900"/>
        <w:gridCol w:w="900"/>
        <w:gridCol w:w="900"/>
        <w:gridCol w:w="900"/>
        <w:gridCol w:w="900"/>
        <w:gridCol w:w="900"/>
        <w:gridCol w:w="900"/>
      </w:tblGrid>
      <w:tr w:rsidR="002B7AEB" w:rsidRPr="00F477F6" w14:paraId="70377D2D" w14:textId="77777777" w:rsidTr="00F12244">
        <w:trPr>
          <w:trHeight w:val="525"/>
          <w:tblHeader/>
        </w:trPr>
        <w:tc>
          <w:tcPr>
            <w:tcW w:w="630" w:type="pct"/>
            <w:tcBorders>
              <w:top w:val="nil"/>
              <w:left w:val="nil"/>
              <w:bottom w:val="nil"/>
              <w:right w:val="nil"/>
            </w:tcBorders>
            <w:shd w:val="clear" w:color="000000" w:fill="0070C0"/>
            <w:vAlign w:val="center"/>
            <w:hideMark/>
          </w:tcPr>
          <w:p w14:paraId="28B45660" w14:textId="5649302F" w:rsidR="004557AF" w:rsidRPr="00F477F6" w:rsidRDefault="00B72C39" w:rsidP="00D20D53">
            <w:pPr>
              <w:pStyle w:val="TableHeader"/>
              <w:keepNext/>
              <w:rPr>
                <w:szCs w:val="18"/>
              </w:rPr>
            </w:pPr>
            <w:r>
              <w:t>Type of change</w:t>
            </w:r>
            <w:bookmarkStart w:id="137" w:name="ColumnTitle_10"/>
            <w:bookmarkEnd w:id="137"/>
          </w:p>
        </w:tc>
        <w:tc>
          <w:tcPr>
            <w:tcW w:w="312" w:type="pct"/>
            <w:tcBorders>
              <w:top w:val="nil"/>
              <w:left w:val="nil"/>
              <w:bottom w:val="nil"/>
              <w:right w:val="nil"/>
            </w:tcBorders>
            <w:shd w:val="clear" w:color="000000" w:fill="0070C0"/>
            <w:noWrap/>
            <w:vAlign w:val="center"/>
            <w:hideMark/>
          </w:tcPr>
          <w:p w14:paraId="29626789" w14:textId="77777777" w:rsidR="004557AF" w:rsidRPr="00F477F6" w:rsidRDefault="004557AF" w:rsidP="00F12244">
            <w:pPr>
              <w:pStyle w:val="TableHeader"/>
              <w:keepNext/>
              <w:jc w:val="center"/>
            </w:pPr>
            <w:r w:rsidRPr="00F477F6">
              <w:t>2017</w:t>
            </w:r>
          </w:p>
        </w:tc>
        <w:tc>
          <w:tcPr>
            <w:tcW w:w="312" w:type="pct"/>
            <w:tcBorders>
              <w:top w:val="nil"/>
              <w:left w:val="nil"/>
              <w:bottom w:val="nil"/>
              <w:right w:val="nil"/>
            </w:tcBorders>
            <w:shd w:val="clear" w:color="000000" w:fill="0070C0"/>
            <w:noWrap/>
            <w:vAlign w:val="center"/>
            <w:hideMark/>
          </w:tcPr>
          <w:p w14:paraId="3F2AB143" w14:textId="77777777" w:rsidR="004557AF" w:rsidRPr="00F477F6" w:rsidRDefault="004557AF" w:rsidP="00F12244">
            <w:pPr>
              <w:pStyle w:val="TableHeader"/>
              <w:keepNext/>
              <w:jc w:val="center"/>
            </w:pPr>
            <w:r w:rsidRPr="00F477F6">
              <w:t>2018</w:t>
            </w:r>
          </w:p>
        </w:tc>
        <w:tc>
          <w:tcPr>
            <w:tcW w:w="312" w:type="pct"/>
            <w:tcBorders>
              <w:top w:val="nil"/>
              <w:left w:val="nil"/>
              <w:bottom w:val="nil"/>
              <w:right w:val="nil"/>
            </w:tcBorders>
            <w:shd w:val="clear" w:color="000000" w:fill="0070C0"/>
            <w:noWrap/>
            <w:vAlign w:val="center"/>
            <w:hideMark/>
          </w:tcPr>
          <w:p w14:paraId="63DF1D8C" w14:textId="77777777" w:rsidR="004557AF" w:rsidRPr="00F477F6" w:rsidRDefault="004557AF" w:rsidP="00F12244">
            <w:pPr>
              <w:pStyle w:val="TableHeader"/>
              <w:keepNext/>
              <w:jc w:val="center"/>
            </w:pPr>
            <w:r w:rsidRPr="00F477F6">
              <w:t>2019</w:t>
            </w:r>
          </w:p>
        </w:tc>
        <w:tc>
          <w:tcPr>
            <w:tcW w:w="312" w:type="pct"/>
            <w:tcBorders>
              <w:top w:val="nil"/>
              <w:left w:val="nil"/>
              <w:bottom w:val="nil"/>
              <w:right w:val="nil"/>
            </w:tcBorders>
            <w:shd w:val="clear" w:color="000000" w:fill="0070C0"/>
            <w:noWrap/>
            <w:vAlign w:val="center"/>
            <w:hideMark/>
          </w:tcPr>
          <w:p w14:paraId="017D6545" w14:textId="77777777" w:rsidR="004557AF" w:rsidRPr="00F477F6" w:rsidRDefault="004557AF" w:rsidP="00F12244">
            <w:pPr>
              <w:pStyle w:val="TableHeader"/>
              <w:keepNext/>
              <w:jc w:val="center"/>
            </w:pPr>
            <w:r w:rsidRPr="00F477F6">
              <w:t>2020</w:t>
            </w:r>
          </w:p>
        </w:tc>
        <w:tc>
          <w:tcPr>
            <w:tcW w:w="312" w:type="pct"/>
            <w:tcBorders>
              <w:top w:val="nil"/>
              <w:left w:val="nil"/>
              <w:bottom w:val="nil"/>
              <w:right w:val="nil"/>
            </w:tcBorders>
            <w:shd w:val="clear" w:color="000000" w:fill="0070C0"/>
            <w:noWrap/>
            <w:vAlign w:val="center"/>
            <w:hideMark/>
          </w:tcPr>
          <w:p w14:paraId="42A2C0A3" w14:textId="77777777" w:rsidR="004557AF" w:rsidRPr="00F477F6" w:rsidRDefault="004557AF" w:rsidP="00F12244">
            <w:pPr>
              <w:pStyle w:val="TableHeader"/>
              <w:keepNext/>
              <w:jc w:val="center"/>
            </w:pPr>
            <w:r w:rsidRPr="00F477F6">
              <w:t>2021</w:t>
            </w:r>
          </w:p>
        </w:tc>
        <w:tc>
          <w:tcPr>
            <w:tcW w:w="312" w:type="pct"/>
            <w:tcBorders>
              <w:top w:val="nil"/>
              <w:left w:val="nil"/>
              <w:bottom w:val="nil"/>
              <w:right w:val="nil"/>
            </w:tcBorders>
            <w:shd w:val="clear" w:color="000000" w:fill="0070C0"/>
            <w:noWrap/>
            <w:vAlign w:val="center"/>
            <w:hideMark/>
          </w:tcPr>
          <w:p w14:paraId="78C50C5F" w14:textId="77777777" w:rsidR="004557AF" w:rsidRPr="00F477F6" w:rsidRDefault="004557AF" w:rsidP="00F12244">
            <w:pPr>
              <w:pStyle w:val="TableHeader"/>
              <w:keepNext/>
              <w:jc w:val="center"/>
            </w:pPr>
            <w:r w:rsidRPr="00F477F6">
              <w:t>2022</w:t>
            </w:r>
          </w:p>
        </w:tc>
        <w:tc>
          <w:tcPr>
            <w:tcW w:w="312" w:type="pct"/>
            <w:tcBorders>
              <w:top w:val="nil"/>
              <w:left w:val="nil"/>
              <w:bottom w:val="nil"/>
              <w:right w:val="nil"/>
            </w:tcBorders>
            <w:shd w:val="clear" w:color="000000" w:fill="0070C0"/>
            <w:noWrap/>
            <w:vAlign w:val="center"/>
            <w:hideMark/>
          </w:tcPr>
          <w:p w14:paraId="3A78980A" w14:textId="77777777" w:rsidR="004557AF" w:rsidRPr="00F477F6" w:rsidRDefault="004557AF" w:rsidP="00F12244">
            <w:pPr>
              <w:pStyle w:val="TableHeader"/>
              <w:keepNext/>
              <w:jc w:val="center"/>
            </w:pPr>
            <w:r w:rsidRPr="00F477F6">
              <w:t>2023</w:t>
            </w:r>
          </w:p>
        </w:tc>
        <w:tc>
          <w:tcPr>
            <w:tcW w:w="312" w:type="pct"/>
            <w:tcBorders>
              <w:top w:val="nil"/>
              <w:left w:val="nil"/>
              <w:bottom w:val="nil"/>
              <w:right w:val="nil"/>
            </w:tcBorders>
            <w:shd w:val="clear" w:color="000000" w:fill="0070C0"/>
            <w:noWrap/>
            <w:vAlign w:val="center"/>
            <w:hideMark/>
          </w:tcPr>
          <w:p w14:paraId="3F6D9777" w14:textId="77777777" w:rsidR="004557AF" w:rsidRPr="00F477F6" w:rsidRDefault="004557AF" w:rsidP="00F12244">
            <w:pPr>
              <w:pStyle w:val="TableHeader"/>
              <w:keepNext/>
              <w:jc w:val="center"/>
            </w:pPr>
            <w:r w:rsidRPr="00F477F6">
              <w:t>2024</w:t>
            </w:r>
          </w:p>
        </w:tc>
        <w:tc>
          <w:tcPr>
            <w:tcW w:w="312" w:type="pct"/>
            <w:tcBorders>
              <w:top w:val="nil"/>
              <w:left w:val="nil"/>
              <w:bottom w:val="nil"/>
              <w:right w:val="nil"/>
            </w:tcBorders>
            <w:shd w:val="clear" w:color="000000" w:fill="0070C0"/>
            <w:noWrap/>
            <w:vAlign w:val="center"/>
            <w:hideMark/>
          </w:tcPr>
          <w:p w14:paraId="6A589648" w14:textId="77777777" w:rsidR="004557AF" w:rsidRPr="00F477F6" w:rsidRDefault="004557AF" w:rsidP="00F12244">
            <w:pPr>
              <w:pStyle w:val="TableHeader"/>
              <w:keepNext/>
              <w:jc w:val="center"/>
            </w:pPr>
            <w:r w:rsidRPr="00F477F6">
              <w:t>2025</w:t>
            </w:r>
          </w:p>
        </w:tc>
        <w:tc>
          <w:tcPr>
            <w:tcW w:w="312" w:type="pct"/>
            <w:tcBorders>
              <w:top w:val="nil"/>
              <w:left w:val="nil"/>
              <w:bottom w:val="nil"/>
              <w:right w:val="nil"/>
            </w:tcBorders>
            <w:shd w:val="clear" w:color="000000" w:fill="0070C0"/>
            <w:noWrap/>
            <w:vAlign w:val="center"/>
            <w:hideMark/>
          </w:tcPr>
          <w:p w14:paraId="638A3121" w14:textId="77777777" w:rsidR="004557AF" w:rsidRPr="00F477F6" w:rsidRDefault="004557AF" w:rsidP="00F12244">
            <w:pPr>
              <w:pStyle w:val="TableHeader"/>
              <w:keepNext/>
              <w:jc w:val="center"/>
            </w:pPr>
            <w:r w:rsidRPr="00F477F6">
              <w:t>2026</w:t>
            </w:r>
          </w:p>
        </w:tc>
        <w:tc>
          <w:tcPr>
            <w:tcW w:w="312" w:type="pct"/>
            <w:tcBorders>
              <w:top w:val="nil"/>
              <w:left w:val="nil"/>
              <w:bottom w:val="nil"/>
              <w:right w:val="nil"/>
            </w:tcBorders>
            <w:shd w:val="clear" w:color="000000" w:fill="0070C0"/>
            <w:noWrap/>
            <w:vAlign w:val="center"/>
            <w:hideMark/>
          </w:tcPr>
          <w:p w14:paraId="478BAB2F" w14:textId="77777777" w:rsidR="004557AF" w:rsidRPr="00F477F6" w:rsidRDefault="004557AF" w:rsidP="00F12244">
            <w:pPr>
              <w:pStyle w:val="TableHeader"/>
              <w:keepNext/>
              <w:jc w:val="center"/>
            </w:pPr>
            <w:r w:rsidRPr="00F477F6">
              <w:t>2027</w:t>
            </w:r>
          </w:p>
        </w:tc>
        <w:tc>
          <w:tcPr>
            <w:tcW w:w="312" w:type="pct"/>
            <w:tcBorders>
              <w:top w:val="nil"/>
              <w:left w:val="nil"/>
              <w:bottom w:val="nil"/>
              <w:right w:val="nil"/>
            </w:tcBorders>
            <w:shd w:val="clear" w:color="000000" w:fill="0070C0"/>
            <w:noWrap/>
            <w:vAlign w:val="center"/>
            <w:hideMark/>
          </w:tcPr>
          <w:p w14:paraId="54330F00" w14:textId="77777777" w:rsidR="004557AF" w:rsidRPr="00F477F6" w:rsidRDefault="004557AF" w:rsidP="00F12244">
            <w:pPr>
              <w:pStyle w:val="TableHeader"/>
              <w:keepNext/>
              <w:jc w:val="center"/>
            </w:pPr>
            <w:r w:rsidRPr="00F477F6">
              <w:t>2028</w:t>
            </w:r>
          </w:p>
        </w:tc>
        <w:tc>
          <w:tcPr>
            <w:tcW w:w="312" w:type="pct"/>
            <w:tcBorders>
              <w:top w:val="nil"/>
              <w:left w:val="nil"/>
              <w:bottom w:val="nil"/>
              <w:right w:val="nil"/>
            </w:tcBorders>
            <w:shd w:val="clear" w:color="000000" w:fill="0070C0"/>
            <w:noWrap/>
            <w:vAlign w:val="center"/>
            <w:hideMark/>
          </w:tcPr>
          <w:p w14:paraId="45D3668A" w14:textId="77777777" w:rsidR="004557AF" w:rsidRPr="00F477F6" w:rsidRDefault="004557AF" w:rsidP="00F12244">
            <w:pPr>
              <w:pStyle w:val="TableHeader"/>
              <w:keepNext/>
              <w:jc w:val="center"/>
            </w:pPr>
            <w:r w:rsidRPr="00F477F6">
              <w:t>2029</w:t>
            </w:r>
          </w:p>
        </w:tc>
        <w:tc>
          <w:tcPr>
            <w:tcW w:w="312" w:type="pct"/>
            <w:tcBorders>
              <w:top w:val="nil"/>
              <w:left w:val="nil"/>
              <w:bottom w:val="nil"/>
              <w:right w:val="nil"/>
            </w:tcBorders>
            <w:shd w:val="clear" w:color="000000" w:fill="0070C0"/>
            <w:noWrap/>
            <w:vAlign w:val="center"/>
            <w:hideMark/>
          </w:tcPr>
          <w:p w14:paraId="5A11996B" w14:textId="77777777" w:rsidR="004557AF" w:rsidRPr="00F477F6" w:rsidRDefault="004557AF" w:rsidP="00F12244">
            <w:pPr>
              <w:pStyle w:val="TableHeader"/>
              <w:keepNext/>
              <w:jc w:val="center"/>
            </w:pPr>
            <w:r w:rsidRPr="00F477F6">
              <w:t>2030</w:t>
            </w:r>
          </w:p>
        </w:tc>
      </w:tr>
      <w:tr w:rsidR="003C1E87" w:rsidRPr="00F477F6" w14:paraId="4AA658CD" w14:textId="77777777" w:rsidTr="00F12244">
        <w:trPr>
          <w:trHeight w:val="480"/>
        </w:trPr>
        <w:tc>
          <w:tcPr>
            <w:tcW w:w="630" w:type="pct"/>
            <w:tcBorders>
              <w:top w:val="single" w:sz="4" w:space="0" w:color="FFFFFF"/>
              <w:left w:val="single" w:sz="4" w:space="0" w:color="FFFFFF"/>
              <w:bottom w:val="single" w:sz="4" w:space="0" w:color="FFFFFF"/>
              <w:right w:val="nil"/>
            </w:tcBorders>
            <w:shd w:val="clear" w:color="000000" w:fill="B8CCE4"/>
            <w:noWrap/>
            <w:vAlign w:val="center"/>
            <w:hideMark/>
          </w:tcPr>
          <w:p w14:paraId="1BCA295A" w14:textId="77777777" w:rsidR="004557AF" w:rsidRPr="00F477F6" w:rsidRDefault="004557AF" w:rsidP="00D20D53">
            <w:pPr>
              <w:pStyle w:val="TableText"/>
              <w:keepNext/>
            </w:pPr>
            <w:r w:rsidRPr="00F477F6">
              <w:t>Student Attrition</w:t>
            </w:r>
          </w:p>
        </w:tc>
        <w:tc>
          <w:tcPr>
            <w:tcW w:w="312" w:type="pct"/>
            <w:tcBorders>
              <w:top w:val="single" w:sz="4" w:space="0" w:color="FFFFFF"/>
              <w:left w:val="nil"/>
              <w:bottom w:val="single" w:sz="4" w:space="0" w:color="FFFFFF"/>
              <w:right w:val="nil"/>
            </w:tcBorders>
            <w:shd w:val="clear" w:color="000000" w:fill="B8CCE4"/>
            <w:noWrap/>
            <w:vAlign w:val="center"/>
            <w:hideMark/>
          </w:tcPr>
          <w:p w14:paraId="35A11ADE" w14:textId="5628AD0D" w:rsidR="004557AF" w:rsidRPr="00D20D53" w:rsidRDefault="004557AF" w:rsidP="00D20D53">
            <w:pPr>
              <w:pStyle w:val="TableText"/>
              <w:keepNext/>
              <w:jc w:val="right"/>
            </w:pPr>
            <w:r w:rsidRPr="00D20D53">
              <w:t>331</w:t>
            </w:r>
          </w:p>
        </w:tc>
        <w:tc>
          <w:tcPr>
            <w:tcW w:w="312" w:type="pct"/>
            <w:tcBorders>
              <w:top w:val="single" w:sz="4" w:space="0" w:color="FFFFFF"/>
              <w:left w:val="nil"/>
              <w:bottom w:val="single" w:sz="4" w:space="0" w:color="FFFFFF"/>
              <w:right w:val="nil"/>
            </w:tcBorders>
            <w:shd w:val="clear" w:color="000000" w:fill="B8CCE4"/>
            <w:noWrap/>
            <w:vAlign w:val="center"/>
            <w:hideMark/>
          </w:tcPr>
          <w:p w14:paraId="009080D5" w14:textId="70D929E2" w:rsidR="004557AF" w:rsidRPr="00D20D53" w:rsidRDefault="004557AF" w:rsidP="00D20D53">
            <w:pPr>
              <w:pStyle w:val="TableText"/>
              <w:keepNext/>
              <w:jc w:val="right"/>
            </w:pPr>
            <w:r w:rsidRPr="00D20D53">
              <w:t>643</w:t>
            </w:r>
          </w:p>
        </w:tc>
        <w:tc>
          <w:tcPr>
            <w:tcW w:w="312" w:type="pct"/>
            <w:tcBorders>
              <w:top w:val="single" w:sz="4" w:space="0" w:color="FFFFFF"/>
              <w:left w:val="nil"/>
              <w:bottom w:val="single" w:sz="4" w:space="0" w:color="FFFFFF"/>
              <w:right w:val="nil"/>
            </w:tcBorders>
            <w:shd w:val="clear" w:color="000000" w:fill="B8CCE4"/>
            <w:noWrap/>
            <w:vAlign w:val="center"/>
            <w:hideMark/>
          </w:tcPr>
          <w:p w14:paraId="42AB181C" w14:textId="1EE66D01" w:rsidR="004557AF" w:rsidRPr="00D20D53" w:rsidRDefault="004557AF" w:rsidP="00D20D53">
            <w:pPr>
              <w:pStyle w:val="TableText"/>
              <w:keepNext/>
              <w:jc w:val="right"/>
            </w:pPr>
            <w:r w:rsidRPr="00D20D53">
              <w:t>937</w:t>
            </w:r>
          </w:p>
        </w:tc>
        <w:tc>
          <w:tcPr>
            <w:tcW w:w="312" w:type="pct"/>
            <w:tcBorders>
              <w:top w:val="single" w:sz="4" w:space="0" w:color="FFFFFF"/>
              <w:left w:val="nil"/>
              <w:bottom w:val="single" w:sz="4" w:space="0" w:color="FFFFFF"/>
              <w:right w:val="nil"/>
            </w:tcBorders>
            <w:shd w:val="clear" w:color="000000" w:fill="B8CCE4"/>
            <w:noWrap/>
            <w:vAlign w:val="center"/>
            <w:hideMark/>
          </w:tcPr>
          <w:p w14:paraId="38C8D4DF" w14:textId="10D76066" w:rsidR="004557AF" w:rsidRPr="00D20D53" w:rsidRDefault="004557AF" w:rsidP="00D20D53">
            <w:pPr>
              <w:pStyle w:val="TableText"/>
              <w:keepNext/>
              <w:jc w:val="right"/>
            </w:pPr>
            <w:r w:rsidRPr="00D20D53">
              <w:t>1,066</w:t>
            </w:r>
          </w:p>
        </w:tc>
        <w:tc>
          <w:tcPr>
            <w:tcW w:w="312" w:type="pct"/>
            <w:tcBorders>
              <w:top w:val="single" w:sz="4" w:space="0" w:color="FFFFFF"/>
              <w:left w:val="nil"/>
              <w:bottom w:val="single" w:sz="4" w:space="0" w:color="FFFFFF"/>
              <w:right w:val="nil"/>
            </w:tcBorders>
            <w:shd w:val="clear" w:color="000000" w:fill="B8CCE4"/>
            <w:noWrap/>
            <w:vAlign w:val="center"/>
            <w:hideMark/>
          </w:tcPr>
          <w:p w14:paraId="0B9B4722" w14:textId="1A8CAD15" w:rsidR="004557AF" w:rsidRPr="00D20D53" w:rsidRDefault="004557AF" w:rsidP="00D20D53">
            <w:pPr>
              <w:pStyle w:val="TableText"/>
              <w:keepNext/>
              <w:jc w:val="right"/>
            </w:pPr>
            <w:r w:rsidRPr="00D20D53">
              <w:t>1,178</w:t>
            </w:r>
          </w:p>
        </w:tc>
        <w:tc>
          <w:tcPr>
            <w:tcW w:w="312" w:type="pct"/>
            <w:tcBorders>
              <w:top w:val="single" w:sz="4" w:space="0" w:color="FFFFFF"/>
              <w:left w:val="nil"/>
              <w:bottom w:val="single" w:sz="4" w:space="0" w:color="FFFFFF"/>
              <w:right w:val="nil"/>
            </w:tcBorders>
            <w:shd w:val="clear" w:color="000000" w:fill="B8CCE4"/>
            <w:noWrap/>
            <w:vAlign w:val="center"/>
            <w:hideMark/>
          </w:tcPr>
          <w:p w14:paraId="5F0487D7" w14:textId="39210D27" w:rsidR="004557AF" w:rsidRPr="00D20D53" w:rsidRDefault="004557AF" w:rsidP="00D20D53">
            <w:pPr>
              <w:pStyle w:val="TableText"/>
              <w:keepNext/>
              <w:jc w:val="right"/>
            </w:pPr>
            <w:r w:rsidRPr="00D20D53">
              <w:t>1,292</w:t>
            </w:r>
          </w:p>
        </w:tc>
        <w:tc>
          <w:tcPr>
            <w:tcW w:w="312" w:type="pct"/>
            <w:tcBorders>
              <w:top w:val="single" w:sz="4" w:space="0" w:color="FFFFFF"/>
              <w:left w:val="nil"/>
              <w:bottom w:val="single" w:sz="4" w:space="0" w:color="FFFFFF"/>
              <w:right w:val="nil"/>
            </w:tcBorders>
            <w:shd w:val="clear" w:color="000000" w:fill="B8CCE4"/>
            <w:noWrap/>
            <w:vAlign w:val="center"/>
            <w:hideMark/>
          </w:tcPr>
          <w:p w14:paraId="4BDC2E8D" w14:textId="06E470B6" w:rsidR="004557AF" w:rsidRPr="00D20D53" w:rsidRDefault="004557AF" w:rsidP="00D20D53">
            <w:pPr>
              <w:pStyle w:val="TableText"/>
              <w:keepNext/>
              <w:jc w:val="right"/>
            </w:pPr>
            <w:r w:rsidRPr="00D20D53">
              <w:t>1,394</w:t>
            </w:r>
          </w:p>
        </w:tc>
        <w:tc>
          <w:tcPr>
            <w:tcW w:w="312" w:type="pct"/>
            <w:tcBorders>
              <w:top w:val="single" w:sz="4" w:space="0" w:color="FFFFFF"/>
              <w:left w:val="nil"/>
              <w:bottom w:val="single" w:sz="4" w:space="0" w:color="FFFFFF"/>
              <w:right w:val="nil"/>
            </w:tcBorders>
            <w:shd w:val="clear" w:color="000000" w:fill="B8CCE4"/>
            <w:noWrap/>
            <w:vAlign w:val="center"/>
            <w:hideMark/>
          </w:tcPr>
          <w:p w14:paraId="58F2C331" w14:textId="3665927E" w:rsidR="004557AF" w:rsidRPr="00D20D53" w:rsidRDefault="004557AF" w:rsidP="00D20D53">
            <w:pPr>
              <w:pStyle w:val="TableText"/>
              <w:keepNext/>
              <w:jc w:val="right"/>
            </w:pPr>
            <w:r w:rsidRPr="00D20D53">
              <w:t>1,327</w:t>
            </w:r>
          </w:p>
        </w:tc>
        <w:tc>
          <w:tcPr>
            <w:tcW w:w="312" w:type="pct"/>
            <w:tcBorders>
              <w:top w:val="single" w:sz="4" w:space="0" w:color="FFFFFF"/>
              <w:left w:val="nil"/>
              <w:bottom w:val="single" w:sz="4" w:space="0" w:color="FFFFFF"/>
              <w:right w:val="nil"/>
            </w:tcBorders>
            <w:shd w:val="clear" w:color="000000" w:fill="B8CCE4"/>
            <w:noWrap/>
            <w:vAlign w:val="center"/>
            <w:hideMark/>
          </w:tcPr>
          <w:p w14:paraId="7437252F" w14:textId="622B4B94" w:rsidR="004557AF" w:rsidRPr="00D20D53" w:rsidRDefault="004557AF" w:rsidP="00D20D53">
            <w:pPr>
              <w:pStyle w:val="TableText"/>
              <w:keepNext/>
              <w:jc w:val="right"/>
            </w:pPr>
            <w:r w:rsidRPr="00D20D53">
              <w:t>1,265</w:t>
            </w:r>
          </w:p>
        </w:tc>
        <w:tc>
          <w:tcPr>
            <w:tcW w:w="312" w:type="pct"/>
            <w:tcBorders>
              <w:top w:val="single" w:sz="4" w:space="0" w:color="FFFFFF"/>
              <w:left w:val="nil"/>
              <w:bottom w:val="single" w:sz="4" w:space="0" w:color="FFFFFF"/>
              <w:right w:val="nil"/>
            </w:tcBorders>
            <w:shd w:val="clear" w:color="000000" w:fill="B8CCE4"/>
            <w:noWrap/>
            <w:vAlign w:val="center"/>
            <w:hideMark/>
          </w:tcPr>
          <w:p w14:paraId="029A7BFB" w14:textId="34A0292A" w:rsidR="004557AF" w:rsidRPr="00D20D53" w:rsidRDefault="004557AF" w:rsidP="00D20D53">
            <w:pPr>
              <w:pStyle w:val="TableText"/>
              <w:keepNext/>
              <w:jc w:val="right"/>
            </w:pPr>
            <w:r w:rsidRPr="00D20D53">
              <w:t>1,208</w:t>
            </w:r>
          </w:p>
        </w:tc>
        <w:tc>
          <w:tcPr>
            <w:tcW w:w="312" w:type="pct"/>
            <w:tcBorders>
              <w:top w:val="single" w:sz="4" w:space="0" w:color="FFFFFF"/>
              <w:left w:val="nil"/>
              <w:bottom w:val="single" w:sz="4" w:space="0" w:color="FFFFFF"/>
              <w:right w:val="nil"/>
            </w:tcBorders>
            <w:shd w:val="clear" w:color="000000" w:fill="B8CCE4"/>
            <w:noWrap/>
            <w:vAlign w:val="center"/>
            <w:hideMark/>
          </w:tcPr>
          <w:p w14:paraId="7B93020E" w14:textId="23E92E59" w:rsidR="004557AF" w:rsidRPr="00D20D53" w:rsidRDefault="004557AF" w:rsidP="00D20D53">
            <w:pPr>
              <w:pStyle w:val="TableText"/>
              <w:keepNext/>
              <w:jc w:val="right"/>
            </w:pPr>
            <w:r w:rsidRPr="00D20D53">
              <w:t>1,156</w:t>
            </w:r>
          </w:p>
        </w:tc>
        <w:tc>
          <w:tcPr>
            <w:tcW w:w="312" w:type="pct"/>
            <w:tcBorders>
              <w:top w:val="single" w:sz="4" w:space="0" w:color="FFFFFF"/>
              <w:left w:val="nil"/>
              <w:bottom w:val="single" w:sz="4" w:space="0" w:color="FFFFFF"/>
              <w:right w:val="nil"/>
            </w:tcBorders>
            <w:shd w:val="clear" w:color="000000" w:fill="B8CCE4"/>
            <w:noWrap/>
            <w:vAlign w:val="center"/>
            <w:hideMark/>
          </w:tcPr>
          <w:p w14:paraId="51C2C3EE" w14:textId="33294879" w:rsidR="004557AF" w:rsidRPr="00D20D53" w:rsidRDefault="004557AF" w:rsidP="00D20D53">
            <w:pPr>
              <w:pStyle w:val="TableText"/>
              <w:keepNext/>
              <w:jc w:val="right"/>
            </w:pPr>
            <w:r w:rsidRPr="00D20D53">
              <w:t>1,108</w:t>
            </w:r>
          </w:p>
        </w:tc>
        <w:tc>
          <w:tcPr>
            <w:tcW w:w="312" w:type="pct"/>
            <w:tcBorders>
              <w:top w:val="single" w:sz="4" w:space="0" w:color="FFFFFF"/>
              <w:left w:val="nil"/>
              <w:bottom w:val="single" w:sz="4" w:space="0" w:color="FFFFFF"/>
              <w:right w:val="nil"/>
            </w:tcBorders>
            <w:shd w:val="clear" w:color="000000" w:fill="B8CCE4"/>
            <w:noWrap/>
            <w:vAlign w:val="center"/>
            <w:hideMark/>
          </w:tcPr>
          <w:p w14:paraId="37E36125" w14:textId="13DC8C34" w:rsidR="004557AF" w:rsidRPr="00D20D53" w:rsidRDefault="004557AF" w:rsidP="00D20D53">
            <w:pPr>
              <w:pStyle w:val="TableText"/>
              <w:keepNext/>
              <w:jc w:val="right"/>
            </w:pPr>
            <w:r w:rsidRPr="00D20D53">
              <w:t>1,063</w:t>
            </w:r>
          </w:p>
        </w:tc>
        <w:tc>
          <w:tcPr>
            <w:tcW w:w="312" w:type="pct"/>
            <w:tcBorders>
              <w:top w:val="single" w:sz="4" w:space="0" w:color="FFFFFF"/>
              <w:left w:val="nil"/>
              <w:bottom w:val="single" w:sz="4" w:space="0" w:color="FFFFFF"/>
              <w:right w:val="single" w:sz="4" w:space="0" w:color="FFFFFF"/>
            </w:tcBorders>
            <w:shd w:val="clear" w:color="000000" w:fill="B8CCE4"/>
            <w:noWrap/>
            <w:vAlign w:val="center"/>
            <w:hideMark/>
          </w:tcPr>
          <w:p w14:paraId="2912A08F" w14:textId="4B3D644F" w:rsidR="004557AF" w:rsidRPr="00D20D53" w:rsidRDefault="004557AF" w:rsidP="00D20D53">
            <w:pPr>
              <w:pStyle w:val="TableText"/>
              <w:keepNext/>
              <w:jc w:val="right"/>
            </w:pPr>
            <w:r w:rsidRPr="00D20D53">
              <w:t>1,020</w:t>
            </w:r>
          </w:p>
        </w:tc>
      </w:tr>
      <w:tr w:rsidR="003C1E87" w:rsidRPr="00F477F6" w14:paraId="26D7CD71" w14:textId="77777777" w:rsidTr="00F12244">
        <w:trPr>
          <w:trHeight w:val="525"/>
        </w:trPr>
        <w:tc>
          <w:tcPr>
            <w:tcW w:w="630" w:type="pct"/>
            <w:tcBorders>
              <w:top w:val="nil"/>
              <w:left w:val="single" w:sz="4" w:space="0" w:color="FFFFFF"/>
              <w:bottom w:val="single" w:sz="4" w:space="0" w:color="FFFFFF"/>
              <w:right w:val="nil"/>
            </w:tcBorders>
            <w:shd w:val="clear" w:color="000000" w:fill="B8CCE4"/>
            <w:noWrap/>
            <w:vAlign w:val="center"/>
            <w:hideMark/>
          </w:tcPr>
          <w:p w14:paraId="6AA99BEB" w14:textId="77777777" w:rsidR="004557AF" w:rsidRPr="00F477F6" w:rsidRDefault="004557AF" w:rsidP="00D20D53">
            <w:pPr>
              <w:pStyle w:val="TableText"/>
              <w:keepNext/>
            </w:pPr>
            <w:r w:rsidRPr="00F477F6">
              <w:t>Graduate employment</w:t>
            </w:r>
          </w:p>
        </w:tc>
        <w:tc>
          <w:tcPr>
            <w:tcW w:w="312" w:type="pct"/>
            <w:tcBorders>
              <w:top w:val="nil"/>
              <w:left w:val="nil"/>
              <w:bottom w:val="single" w:sz="4" w:space="0" w:color="FFFFFF"/>
              <w:right w:val="nil"/>
            </w:tcBorders>
            <w:shd w:val="clear" w:color="000000" w:fill="B8CCE4"/>
            <w:noWrap/>
            <w:vAlign w:val="center"/>
            <w:hideMark/>
          </w:tcPr>
          <w:p w14:paraId="07CF7259" w14:textId="696207FB" w:rsidR="004557AF" w:rsidRPr="00D20D53" w:rsidRDefault="004557AF" w:rsidP="00D20D53">
            <w:pPr>
              <w:pStyle w:val="TableText"/>
              <w:keepNext/>
              <w:jc w:val="right"/>
            </w:pPr>
            <w:r w:rsidRPr="00D20D53">
              <w:t>271</w:t>
            </w:r>
          </w:p>
        </w:tc>
        <w:tc>
          <w:tcPr>
            <w:tcW w:w="312" w:type="pct"/>
            <w:tcBorders>
              <w:top w:val="nil"/>
              <w:left w:val="nil"/>
              <w:bottom w:val="single" w:sz="4" w:space="0" w:color="FFFFFF"/>
              <w:right w:val="nil"/>
            </w:tcBorders>
            <w:shd w:val="clear" w:color="000000" w:fill="B8CCE4"/>
            <w:noWrap/>
            <w:vAlign w:val="center"/>
            <w:hideMark/>
          </w:tcPr>
          <w:p w14:paraId="3C6269FE" w14:textId="71839F6A" w:rsidR="004557AF" w:rsidRPr="00D20D53" w:rsidRDefault="004557AF" w:rsidP="00D20D53">
            <w:pPr>
              <w:pStyle w:val="TableText"/>
              <w:keepNext/>
              <w:jc w:val="right"/>
            </w:pPr>
            <w:r w:rsidRPr="00D20D53">
              <w:t>530</w:t>
            </w:r>
          </w:p>
        </w:tc>
        <w:tc>
          <w:tcPr>
            <w:tcW w:w="312" w:type="pct"/>
            <w:tcBorders>
              <w:top w:val="nil"/>
              <w:left w:val="nil"/>
              <w:bottom w:val="single" w:sz="4" w:space="0" w:color="FFFFFF"/>
              <w:right w:val="nil"/>
            </w:tcBorders>
            <w:shd w:val="clear" w:color="000000" w:fill="B8CCE4"/>
            <w:noWrap/>
            <w:vAlign w:val="center"/>
            <w:hideMark/>
          </w:tcPr>
          <w:p w14:paraId="26890ED1" w14:textId="16D5C891" w:rsidR="004557AF" w:rsidRPr="00D20D53" w:rsidRDefault="004557AF" w:rsidP="00D20D53">
            <w:pPr>
              <w:pStyle w:val="TableText"/>
              <w:keepNext/>
              <w:jc w:val="right"/>
            </w:pPr>
            <w:r w:rsidRPr="00D20D53">
              <w:t>788</w:t>
            </w:r>
          </w:p>
        </w:tc>
        <w:tc>
          <w:tcPr>
            <w:tcW w:w="312" w:type="pct"/>
            <w:tcBorders>
              <w:top w:val="nil"/>
              <w:left w:val="nil"/>
              <w:bottom w:val="single" w:sz="4" w:space="0" w:color="FFFFFF"/>
              <w:right w:val="nil"/>
            </w:tcBorders>
            <w:shd w:val="clear" w:color="000000" w:fill="B8CCE4"/>
            <w:noWrap/>
            <w:vAlign w:val="center"/>
            <w:hideMark/>
          </w:tcPr>
          <w:p w14:paraId="730A1DB9" w14:textId="3199E526" w:rsidR="004557AF" w:rsidRPr="00D20D53" w:rsidRDefault="004557AF" w:rsidP="00D20D53">
            <w:pPr>
              <w:pStyle w:val="TableText"/>
              <w:keepNext/>
              <w:jc w:val="right"/>
            </w:pPr>
            <w:r w:rsidRPr="00D20D53">
              <w:t>1,028</w:t>
            </w:r>
          </w:p>
        </w:tc>
        <w:tc>
          <w:tcPr>
            <w:tcW w:w="312" w:type="pct"/>
            <w:tcBorders>
              <w:top w:val="nil"/>
              <w:left w:val="nil"/>
              <w:bottom w:val="single" w:sz="4" w:space="0" w:color="FFFFFF"/>
              <w:right w:val="nil"/>
            </w:tcBorders>
            <w:shd w:val="clear" w:color="000000" w:fill="B8CCE4"/>
            <w:noWrap/>
            <w:vAlign w:val="center"/>
            <w:hideMark/>
          </w:tcPr>
          <w:p w14:paraId="66232C14" w14:textId="21D8D194" w:rsidR="004557AF" w:rsidRPr="00D20D53" w:rsidRDefault="004557AF" w:rsidP="00D20D53">
            <w:pPr>
              <w:pStyle w:val="TableText"/>
              <w:keepNext/>
              <w:jc w:val="right"/>
            </w:pPr>
            <w:r w:rsidRPr="00D20D53">
              <w:t>1,238</w:t>
            </w:r>
          </w:p>
        </w:tc>
        <w:tc>
          <w:tcPr>
            <w:tcW w:w="312" w:type="pct"/>
            <w:tcBorders>
              <w:top w:val="nil"/>
              <w:left w:val="nil"/>
              <w:bottom w:val="single" w:sz="4" w:space="0" w:color="FFFFFF"/>
              <w:right w:val="nil"/>
            </w:tcBorders>
            <w:shd w:val="clear" w:color="000000" w:fill="B8CCE4"/>
            <w:noWrap/>
            <w:vAlign w:val="center"/>
            <w:hideMark/>
          </w:tcPr>
          <w:p w14:paraId="6E5EEE6E" w14:textId="4402634A" w:rsidR="004557AF" w:rsidRPr="00D20D53" w:rsidRDefault="004557AF" w:rsidP="00D20D53">
            <w:pPr>
              <w:pStyle w:val="TableText"/>
              <w:keepNext/>
              <w:jc w:val="right"/>
            </w:pPr>
            <w:r w:rsidRPr="00D20D53">
              <w:t>1,459</w:t>
            </w:r>
          </w:p>
        </w:tc>
        <w:tc>
          <w:tcPr>
            <w:tcW w:w="312" w:type="pct"/>
            <w:tcBorders>
              <w:top w:val="nil"/>
              <w:left w:val="nil"/>
              <w:bottom w:val="single" w:sz="4" w:space="0" w:color="FFFFFF"/>
              <w:right w:val="nil"/>
            </w:tcBorders>
            <w:shd w:val="clear" w:color="000000" w:fill="B8CCE4"/>
            <w:noWrap/>
            <w:vAlign w:val="center"/>
            <w:hideMark/>
          </w:tcPr>
          <w:p w14:paraId="4AEDD2C5" w14:textId="04C49DC2" w:rsidR="004557AF" w:rsidRPr="00D20D53" w:rsidRDefault="004557AF" w:rsidP="00D20D53">
            <w:pPr>
              <w:pStyle w:val="TableText"/>
              <w:keepNext/>
              <w:jc w:val="right"/>
            </w:pPr>
            <w:r w:rsidRPr="00D20D53">
              <w:t>1,662</w:t>
            </w:r>
          </w:p>
        </w:tc>
        <w:tc>
          <w:tcPr>
            <w:tcW w:w="312" w:type="pct"/>
            <w:tcBorders>
              <w:top w:val="nil"/>
              <w:left w:val="nil"/>
              <w:bottom w:val="single" w:sz="4" w:space="0" w:color="FFFFFF"/>
              <w:right w:val="nil"/>
            </w:tcBorders>
            <w:shd w:val="clear" w:color="000000" w:fill="B8CCE4"/>
            <w:noWrap/>
            <w:vAlign w:val="center"/>
            <w:hideMark/>
          </w:tcPr>
          <w:p w14:paraId="20BB9D1F" w14:textId="71B1CB87" w:rsidR="004557AF" w:rsidRPr="00D20D53" w:rsidRDefault="004557AF" w:rsidP="00D20D53">
            <w:pPr>
              <w:pStyle w:val="TableText"/>
              <w:keepNext/>
              <w:jc w:val="right"/>
            </w:pPr>
            <w:r w:rsidRPr="00D20D53">
              <w:t>1,587</w:t>
            </w:r>
          </w:p>
        </w:tc>
        <w:tc>
          <w:tcPr>
            <w:tcW w:w="312" w:type="pct"/>
            <w:tcBorders>
              <w:top w:val="nil"/>
              <w:left w:val="nil"/>
              <w:bottom w:val="single" w:sz="4" w:space="0" w:color="FFFFFF"/>
              <w:right w:val="nil"/>
            </w:tcBorders>
            <w:shd w:val="clear" w:color="000000" w:fill="B8CCE4"/>
            <w:noWrap/>
            <w:vAlign w:val="center"/>
            <w:hideMark/>
          </w:tcPr>
          <w:p w14:paraId="588761A9" w14:textId="31FF5F8F" w:rsidR="004557AF" w:rsidRPr="00D20D53" w:rsidRDefault="004557AF" w:rsidP="00D20D53">
            <w:pPr>
              <w:pStyle w:val="TableText"/>
              <w:keepNext/>
              <w:jc w:val="right"/>
            </w:pPr>
            <w:r w:rsidRPr="00D20D53">
              <w:t>1,518</w:t>
            </w:r>
          </w:p>
        </w:tc>
        <w:tc>
          <w:tcPr>
            <w:tcW w:w="312" w:type="pct"/>
            <w:tcBorders>
              <w:top w:val="nil"/>
              <w:left w:val="nil"/>
              <w:bottom w:val="single" w:sz="4" w:space="0" w:color="FFFFFF"/>
              <w:right w:val="nil"/>
            </w:tcBorders>
            <w:shd w:val="clear" w:color="000000" w:fill="B8CCE4"/>
            <w:noWrap/>
            <w:vAlign w:val="center"/>
            <w:hideMark/>
          </w:tcPr>
          <w:p w14:paraId="5CBA8176" w14:textId="7F580825" w:rsidR="004557AF" w:rsidRPr="00D20D53" w:rsidRDefault="004557AF" w:rsidP="00D20D53">
            <w:pPr>
              <w:pStyle w:val="TableText"/>
              <w:keepNext/>
              <w:jc w:val="right"/>
            </w:pPr>
            <w:r w:rsidRPr="00D20D53">
              <w:t>1,457</w:t>
            </w:r>
          </w:p>
        </w:tc>
        <w:tc>
          <w:tcPr>
            <w:tcW w:w="312" w:type="pct"/>
            <w:tcBorders>
              <w:top w:val="nil"/>
              <w:left w:val="nil"/>
              <w:bottom w:val="single" w:sz="4" w:space="0" w:color="FFFFFF"/>
              <w:right w:val="nil"/>
            </w:tcBorders>
            <w:shd w:val="clear" w:color="000000" w:fill="B8CCE4"/>
            <w:noWrap/>
            <w:vAlign w:val="center"/>
            <w:hideMark/>
          </w:tcPr>
          <w:p w14:paraId="7A056960" w14:textId="43A3D0E4" w:rsidR="004557AF" w:rsidRPr="00D20D53" w:rsidRDefault="004557AF" w:rsidP="00D20D53">
            <w:pPr>
              <w:pStyle w:val="TableText"/>
              <w:keepNext/>
              <w:jc w:val="right"/>
            </w:pPr>
            <w:r w:rsidRPr="00D20D53">
              <w:t>1,403</w:t>
            </w:r>
          </w:p>
        </w:tc>
        <w:tc>
          <w:tcPr>
            <w:tcW w:w="312" w:type="pct"/>
            <w:tcBorders>
              <w:top w:val="nil"/>
              <w:left w:val="nil"/>
              <w:bottom w:val="single" w:sz="4" w:space="0" w:color="FFFFFF"/>
              <w:right w:val="nil"/>
            </w:tcBorders>
            <w:shd w:val="clear" w:color="000000" w:fill="B8CCE4"/>
            <w:noWrap/>
            <w:vAlign w:val="center"/>
            <w:hideMark/>
          </w:tcPr>
          <w:p w14:paraId="3CA87C17" w14:textId="51CE20F3" w:rsidR="004557AF" w:rsidRPr="00D20D53" w:rsidRDefault="004557AF" w:rsidP="00D20D53">
            <w:pPr>
              <w:pStyle w:val="TableText"/>
              <w:keepNext/>
              <w:jc w:val="right"/>
            </w:pPr>
            <w:r w:rsidRPr="00D20D53">
              <w:t>1,354</w:t>
            </w:r>
          </w:p>
        </w:tc>
        <w:tc>
          <w:tcPr>
            <w:tcW w:w="312" w:type="pct"/>
            <w:tcBorders>
              <w:top w:val="nil"/>
              <w:left w:val="nil"/>
              <w:bottom w:val="single" w:sz="4" w:space="0" w:color="FFFFFF"/>
              <w:right w:val="nil"/>
            </w:tcBorders>
            <w:shd w:val="clear" w:color="000000" w:fill="B8CCE4"/>
            <w:noWrap/>
            <w:vAlign w:val="center"/>
            <w:hideMark/>
          </w:tcPr>
          <w:p w14:paraId="26AD4DB5" w14:textId="0EFB66F5" w:rsidR="004557AF" w:rsidRPr="00D20D53" w:rsidRDefault="004557AF" w:rsidP="00D20D53">
            <w:pPr>
              <w:pStyle w:val="TableText"/>
              <w:keepNext/>
              <w:jc w:val="right"/>
            </w:pPr>
            <w:r w:rsidRPr="00D20D53">
              <w:t>1,311</w:t>
            </w:r>
          </w:p>
        </w:tc>
        <w:tc>
          <w:tcPr>
            <w:tcW w:w="312" w:type="pct"/>
            <w:tcBorders>
              <w:top w:val="nil"/>
              <w:left w:val="nil"/>
              <w:bottom w:val="single" w:sz="4" w:space="0" w:color="FFFFFF"/>
              <w:right w:val="single" w:sz="4" w:space="0" w:color="FFFFFF"/>
            </w:tcBorders>
            <w:shd w:val="clear" w:color="000000" w:fill="B8CCE4"/>
            <w:noWrap/>
            <w:vAlign w:val="center"/>
            <w:hideMark/>
          </w:tcPr>
          <w:p w14:paraId="618AD9F1" w14:textId="0D3E1181" w:rsidR="004557AF" w:rsidRPr="00D20D53" w:rsidRDefault="004557AF" w:rsidP="00D20D53">
            <w:pPr>
              <w:pStyle w:val="TableText"/>
              <w:keepNext/>
              <w:jc w:val="right"/>
            </w:pPr>
            <w:r w:rsidRPr="00D20D53">
              <w:t>1,271</w:t>
            </w:r>
          </w:p>
        </w:tc>
      </w:tr>
      <w:tr w:rsidR="003C1E87" w:rsidRPr="00F477F6" w14:paraId="6D055BAA" w14:textId="77777777" w:rsidTr="00F12244">
        <w:trPr>
          <w:trHeight w:val="585"/>
        </w:trPr>
        <w:tc>
          <w:tcPr>
            <w:tcW w:w="630" w:type="pct"/>
            <w:tcBorders>
              <w:top w:val="nil"/>
              <w:left w:val="single" w:sz="4" w:space="0" w:color="FFFFFF"/>
              <w:bottom w:val="single" w:sz="4" w:space="0" w:color="FFFFFF"/>
              <w:right w:val="nil"/>
            </w:tcBorders>
            <w:shd w:val="clear" w:color="000000" w:fill="B8CCE4"/>
            <w:noWrap/>
            <w:vAlign w:val="center"/>
            <w:hideMark/>
          </w:tcPr>
          <w:p w14:paraId="3FF12831" w14:textId="77777777" w:rsidR="004557AF" w:rsidRPr="00F477F6" w:rsidRDefault="004557AF" w:rsidP="00D20D53">
            <w:pPr>
              <w:pStyle w:val="TableText"/>
              <w:keepNext/>
            </w:pPr>
            <w:r w:rsidRPr="00F477F6">
              <w:t>Decrease exit rate</w:t>
            </w:r>
          </w:p>
        </w:tc>
        <w:tc>
          <w:tcPr>
            <w:tcW w:w="312" w:type="pct"/>
            <w:tcBorders>
              <w:top w:val="nil"/>
              <w:left w:val="nil"/>
              <w:bottom w:val="single" w:sz="4" w:space="0" w:color="FFFFFF"/>
              <w:right w:val="nil"/>
            </w:tcBorders>
            <w:shd w:val="clear" w:color="000000" w:fill="B8CCE4"/>
            <w:noWrap/>
            <w:vAlign w:val="center"/>
            <w:hideMark/>
          </w:tcPr>
          <w:p w14:paraId="219FA5DC" w14:textId="460282D5" w:rsidR="004557AF" w:rsidRPr="00D20D53" w:rsidRDefault="004557AF" w:rsidP="00D20D53">
            <w:pPr>
              <w:pStyle w:val="TableText"/>
              <w:keepNext/>
              <w:jc w:val="right"/>
            </w:pPr>
            <w:r w:rsidRPr="00D20D53">
              <w:t xml:space="preserve">543 </w:t>
            </w:r>
          </w:p>
        </w:tc>
        <w:tc>
          <w:tcPr>
            <w:tcW w:w="312" w:type="pct"/>
            <w:tcBorders>
              <w:top w:val="nil"/>
              <w:left w:val="nil"/>
              <w:bottom w:val="single" w:sz="4" w:space="0" w:color="FFFFFF"/>
              <w:right w:val="nil"/>
            </w:tcBorders>
            <w:shd w:val="clear" w:color="000000" w:fill="B8CCE4"/>
            <w:noWrap/>
            <w:vAlign w:val="center"/>
            <w:hideMark/>
          </w:tcPr>
          <w:p w14:paraId="04AABC65" w14:textId="0E5646CA" w:rsidR="004557AF" w:rsidRPr="00D20D53" w:rsidRDefault="004557AF" w:rsidP="00D20D53">
            <w:pPr>
              <w:pStyle w:val="TableText"/>
              <w:keepNext/>
              <w:jc w:val="right"/>
            </w:pPr>
            <w:r w:rsidRPr="00D20D53">
              <w:t>992</w:t>
            </w:r>
          </w:p>
        </w:tc>
        <w:tc>
          <w:tcPr>
            <w:tcW w:w="312" w:type="pct"/>
            <w:tcBorders>
              <w:top w:val="nil"/>
              <w:left w:val="nil"/>
              <w:bottom w:val="single" w:sz="4" w:space="0" w:color="FFFFFF"/>
              <w:right w:val="nil"/>
            </w:tcBorders>
            <w:shd w:val="clear" w:color="000000" w:fill="B8CCE4"/>
            <w:noWrap/>
            <w:vAlign w:val="center"/>
            <w:hideMark/>
          </w:tcPr>
          <w:p w14:paraId="250A2F82" w14:textId="227C2D02" w:rsidR="004557AF" w:rsidRPr="00D20D53" w:rsidRDefault="004557AF" w:rsidP="00D20D53">
            <w:pPr>
              <w:pStyle w:val="TableText"/>
              <w:keepNext/>
              <w:jc w:val="right"/>
            </w:pPr>
            <w:r w:rsidRPr="00D20D53">
              <w:t>1,164</w:t>
            </w:r>
          </w:p>
        </w:tc>
        <w:tc>
          <w:tcPr>
            <w:tcW w:w="312" w:type="pct"/>
            <w:tcBorders>
              <w:top w:val="nil"/>
              <w:left w:val="nil"/>
              <w:bottom w:val="single" w:sz="4" w:space="0" w:color="FFFFFF"/>
              <w:right w:val="nil"/>
            </w:tcBorders>
            <w:shd w:val="clear" w:color="000000" w:fill="B8CCE4"/>
            <w:noWrap/>
            <w:vAlign w:val="center"/>
            <w:hideMark/>
          </w:tcPr>
          <w:p w14:paraId="12CD4647" w14:textId="77F8B034" w:rsidR="004557AF" w:rsidRPr="00D20D53" w:rsidRDefault="004557AF" w:rsidP="00D20D53">
            <w:pPr>
              <w:pStyle w:val="TableText"/>
              <w:keepNext/>
              <w:jc w:val="right"/>
            </w:pPr>
            <w:r w:rsidRPr="00D20D53">
              <w:t>1,193</w:t>
            </w:r>
          </w:p>
        </w:tc>
        <w:tc>
          <w:tcPr>
            <w:tcW w:w="312" w:type="pct"/>
            <w:tcBorders>
              <w:top w:val="nil"/>
              <w:left w:val="nil"/>
              <w:bottom w:val="single" w:sz="4" w:space="0" w:color="FFFFFF"/>
              <w:right w:val="nil"/>
            </w:tcBorders>
            <w:shd w:val="clear" w:color="000000" w:fill="B8CCE4"/>
            <w:noWrap/>
            <w:vAlign w:val="center"/>
            <w:hideMark/>
          </w:tcPr>
          <w:p w14:paraId="680DC02C" w14:textId="15ECD12B" w:rsidR="004557AF" w:rsidRPr="00D20D53" w:rsidRDefault="004557AF" w:rsidP="00D20D53">
            <w:pPr>
              <w:pStyle w:val="TableText"/>
              <w:keepNext/>
              <w:jc w:val="right"/>
            </w:pPr>
            <w:r w:rsidRPr="00D20D53">
              <w:t>1,209</w:t>
            </w:r>
          </w:p>
        </w:tc>
        <w:tc>
          <w:tcPr>
            <w:tcW w:w="312" w:type="pct"/>
            <w:tcBorders>
              <w:top w:val="nil"/>
              <w:left w:val="nil"/>
              <w:bottom w:val="single" w:sz="4" w:space="0" w:color="FFFFFF"/>
              <w:right w:val="nil"/>
            </w:tcBorders>
            <w:shd w:val="clear" w:color="000000" w:fill="B8CCE4"/>
            <w:noWrap/>
            <w:vAlign w:val="center"/>
            <w:hideMark/>
          </w:tcPr>
          <w:p w14:paraId="72924288" w14:textId="2AA7EAB8" w:rsidR="004557AF" w:rsidRPr="00D20D53" w:rsidRDefault="004557AF" w:rsidP="00D20D53">
            <w:pPr>
              <w:pStyle w:val="TableText"/>
              <w:keepNext/>
              <w:jc w:val="right"/>
            </w:pPr>
            <w:r w:rsidRPr="00D20D53">
              <w:t>1,222</w:t>
            </w:r>
          </w:p>
        </w:tc>
        <w:tc>
          <w:tcPr>
            <w:tcW w:w="312" w:type="pct"/>
            <w:tcBorders>
              <w:top w:val="nil"/>
              <w:left w:val="nil"/>
              <w:bottom w:val="single" w:sz="4" w:space="0" w:color="FFFFFF"/>
              <w:right w:val="nil"/>
            </w:tcBorders>
            <w:shd w:val="clear" w:color="000000" w:fill="B8CCE4"/>
            <w:noWrap/>
            <w:vAlign w:val="center"/>
            <w:hideMark/>
          </w:tcPr>
          <w:p w14:paraId="700F407B" w14:textId="05E4D254" w:rsidR="004557AF" w:rsidRPr="00D20D53" w:rsidRDefault="004557AF" w:rsidP="00D20D53">
            <w:pPr>
              <w:pStyle w:val="TableText"/>
              <w:keepNext/>
              <w:jc w:val="right"/>
            </w:pPr>
            <w:r w:rsidRPr="00D20D53">
              <w:t>1,233</w:t>
            </w:r>
          </w:p>
        </w:tc>
        <w:tc>
          <w:tcPr>
            <w:tcW w:w="312" w:type="pct"/>
            <w:tcBorders>
              <w:top w:val="nil"/>
              <w:left w:val="nil"/>
              <w:bottom w:val="single" w:sz="4" w:space="0" w:color="FFFFFF"/>
              <w:right w:val="nil"/>
            </w:tcBorders>
            <w:shd w:val="clear" w:color="000000" w:fill="B8CCE4"/>
            <w:noWrap/>
            <w:vAlign w:val="center"/>
            <w:hideMark/>
          </w:tcPr>
          <w:p w14:paraId="1429B03D" w14:textId="4CD9FF7D" w:rsidR="004557AF" w:rsidRPr="00D20D53" w:rsidRDefault="004557AF" w:rsidP="00D20D53">
            <w:pPr>
              <w:pStyle w:val="TableText"/>
              <w:keepNext/>
              <w:jc w:val="right"/>
            </w:pPr>
            <w:r w:rsidRPr="00D20D53">
              <w:t>1,251</w:t>
            </w:r>
          </w:p>
        </w:tc>
        <w:tc>
          <w:tcPr>
            <w:tcW w:w="312" w:type="pct"/>
            <w:tcBorders>
              <w:top w:val="nil"/>
              <w:left w:val="nil"/>
              <w:bottom w:val="single" w:sz="4" w:space="0" w:color="FFFFFF"/>
              <w:right w:val="nil"/>
            </w:tcBorders>
            <w:shd w:val="clear" w:color="000000" w:fill="B8CCE4"/>
            <w:noWrap/>
            <w:vAlign w:val="center"/>
            <w:hideMark/>
          </w:tcPr>
          <w:p w14:paraId="1E5AC9E3" w14:textId="2D01AEEB" w:rsidR="004557AF" w:rsidRPr="00D20D53" w:rsidRDefault="004557AF" w:rsidP="00D20D53">
            <w:pPr>
              <w:pStyle w:val="TableText"/>
              <w:keepNext/>
              <w:jc w:val="right"/>
            </w:pPr>
            <w:r w:rsidRPr="00D20D53">
              <w:t>1,278</w:t>
            </w:r>
          </w:p>
        </w:tc>
        <w:tc>
          <w:tcPr>
            <w:tcW w:w="312" w:type="pct"/>
            <w:tcBorders>
              <w:top w:val="nil"/>
              <w:left w:val="nil"/>
              <w:bottom w:val="single" w:sz="4" w:space="0" w:color="FFFFFF"/>
              <w:right w:val="nil"/>
            </w:tcBorders>
            <w:shd w:val="clear" w:color="000000" w:fill="B8CCE4"/>
            <w:noWrap/>
            <w:vAlign w:val="center"/>
            <w:hideMark/>
          </w:tcPr>
          <w:p w14:paraId="1BFFC602" w14:textId="6F3D761D" w:rsidR="004557AF" w:rsidRPr="00D20D53" w:rsidRDefault="004557AF" w:rsidP="00D20D53">
            <w:pPr>
              <w:pStyle w:val="TableText"/>
              <w:keepNext/>
              <w:jc w:val="right"/>
            </w:pPr>
            <w:r w:rsidRPr="00D20D53">
              <w:t>1,303</w:t>
            </w:r>
          </w:p>
        </w:tc>
        <w:tc>
          <w:tcPr>
            <w:tcW w:w="312" w:type="pct"/>
            <w:tcBorders>
              <w:top w:val="nil"/>
              <w:left w:val="nil"/>
              <w:bottom w:val="single" w:sz="4" w:space="0" w:color="FFFFFF"/>
              <w:right w:val="nil"/>
            </w:tcBorders>
            <w:shd w:val="clear" w:color="000000" w:fill="B8CCE4"/>
            <w:noWrap/>
            <w:vAlign w:val="center"/>
            <w:hideMark/>
          </w:tcPr>
          <w:p w14:paraId="3E5C0B93" w14:textId="7E919C62" w:rsidR="004557AF" w:rsidRPr="00D20D53" w:rsidRDefault="004557AF" w:rsidP="00D20D53">
            <w:pPr>
              <w:pStyle w:val="TableText"/>
              <w:keepNext/>
              <w:jc w:val="right"/>
            </w:pPr>
            <w:r w:rsidRPr="00D20D53">
              <w:t>1,330</w:t>
            </w:r>
          </w:p>
        </w:tc>
        <w:tc>
          <w:tcPr>
            <w:tcW w:w="312" w:type="pct"/>
            <w:tcBorders>
              <w:top w:val="nil"/>
              <w:left w:val="nil"/>
              <w:bottom w:val="single" w:sz="4" w:space="0" w:color="FFFFFF"/>
              <w:right w:val="nil"/>
            </w:tcBorders>
            <w:shd w:val="clear" w:color="000000" w:fill="B8CCE4"/>
            <w:noWrap/>
            <w:vAlign w:val="center"/>
            <w:hideMark/>
          </w:tcPr>
          <w:p w14:paraId="6C34DFDD" w14:textId="6BD2DFB1" w:rsidR="004557AF" w:rsidRPr="00D20D53" w:rsidRDefault="004557AF" w:rsidP="00D20D53">
            <w:pPr>
              <w:pStyle w:val="TableText"/>
              <w:keepNext/>
              <w:jc w:val="right"/>
            </w:pPr>
            <w:r w:rsidRPr="00D20D53">
              <w:t>1,435</w:t>
            </w:r>
          </w:p>
        </w:tc>
        <w:tc>
          <w:tcPr>
            <w:tcW w:w="312" w:type="pct"/>
            <w:tcBorders>
              <w:top w:val="nil"/>
              <w:left w:val="nil"/>
              <w:bottom w:val="single" w:sz="4" w:space="0" w:color="FFFFFF"/>
              <w:right w:val="nil"/>
            </w:tcBorders>
            <w:shd w:val="clear" w:color="000000" w:fill="B8CCE4"/>
            <w:noWrap/>
            <w:vAlign w:val="center"/>
            <w:hideMark/>
          </w:tcPr>
          <w:p w14:paraId="437D1CD8" w14:textId="5DA98418" w:rsidR="004557AF" w:rsidRPr="00D20D53" w:rsidRDefault="004557AF" w:rsidP="00D20D53">
            <w:pPr>
              <w:pStyle w:val="TableText"/>
              <w:keepNext/>
              <w:jc w:val="right"/>
            </w:pPr>
            <w:r w:rsidRPr="00D20D53">
              <w:t>1,512</w:t>
            </w:r>
          </w:p>
        </w:tc>
        <w:tc>
          <w:tcPr>
            <w:tcW w:w="312" w:type="pct"/>
            <w:tcBorders>
              <w:top w:val="nil"/>
              <w:left w:val="nil"/>
              <w:bottom w:val="single" w:sz="4" w:space="0" w:color="FFFFFF"/>
              <w:right w:val="single" w:sz="4" w:space="0" w:color="FFFFFF"/>
            </w:tcBorders>
            <w:shd w:val="clear" w:color="000000" w:fill="B8CCE4"/>
            <w:noWrap/>
            <w:vAlign w:val="center"/>
            <w:hideMark/>
          </w:tcPr>
          <w:p w14:paraId="31C8522D" w14:textId="21323D6F" w:rsidR="004557AF" w:rsidRPr="00D20D53" w:rsidRDefault="004557AF" w:rsidP="00D20D53">
            <w:pPr>
              <w:pStyle w:val="TableText"/>
              <w:keepNext/>
              <w:jc w:val="right"/>
            </w:pPr>
            <w:r w:rsidRPr="00D20D53">
              <w:t>1,621</w:t>
            </w:r>
          </w:p>
        </w:tc>
      </w:tr>
      <w:tr w:rsidR="00F57F39" w:rsidRPr="00F57F39" w14:paraId="58088930" w14:textId="77777777" w:rsidTr="00F12244">
        <w:trPr>
          <w:trHeight w:val="435"/>
        </w:trPr>
        <w:tc>
          <w:tcPr>
            <w:tcW w:w="630" w:type="pct"/>
            <w:tcBorders>
              <w:top w:val="nil"/>
              <w:left w:val="nil"/>
              <w:bottom w:val="nil"/>
              <w:right w:val="nil"/>
            </w:tcBorders>
            <w:shd w:val="clear" w:color="000000" w:fill="0070C0"/>
            <w:noWrap/>
            <w:vAlign w:val="center"/>
            <w:hideMark/>
          </w:tcPr>
          <w:p w14:paraId="019A885D" w14:textId="77777777" w:rsidR="004557AF" w:rsidRPr="00F57F39" w:rsidRDefault="004557AF" w:rsidP="00F57F39">
            <w:pPr>
              <w:pStyle w:val="TableText"/>
              <w:rPr>
                <w:b/>
                <w:color w:val="FFFFFF" w:themeColor="background1"/>
              </w:rPr>
            </w:pPr>
            <w:r w:rsidRPr="00F57F39">
              <w:rPr>
                <w:b/>
                <w:color w:val="FFFFFF" w:themeColor="background1"/>
              </w:rPr>
              <w:t>Total</w:t>
            </w:r>
          </w:p>
        </w:tc>
        <w:tc>
          <w:tcPr>
            <w:tcW w:w="312" w:type="pct"/>
            <w:tcBorders>
              <w:top w:val="nil"/>
              <w:left w:val="nil"/>
              <w:bottom w:val="nil"/>
              <w:right w:val="nil"/>
            </w:tcBorders>
            <w:shd w:val="clear" w:color="000000" w:fill="0070C0"/>
            <w:noWrap/>
            <w:vAlign w:val="center"/>
            <w:hideMark/>
          </w:tcPr>
          <w:p w14:paraId="206E1827" w14:textId="03831E9F" w:rsidR="004557AF" w:rsidRPr="00F57F39" w:rsidRDefault="004557AF" w:rsidP="00F12244">
            <w:pPr>
              <w:pStyle w:val="TableText"/>
              <w:jc w:val="right"/>
              <w:rPr>
                <w:b/>
                <w:color w:val="FFFFFF" w:themeColor="background1"/>
              </w:rPr>
            </w:pPr>
            <w:r w:rsidRPr="00F57F39">
              <w:rPr>
                <w:b/>
                <w:color w:val="FFFFFF" w:themeColor="background1"/>
              </w:rPr>
              <w:t>1,145</w:t>
            </w:r>
          </w:p>
        </w:tc>
        <w:tc>
          <w:tcPr>
            <w:tcW w:w="312" w:type="pct"/>
            <w:tcBorders>
              <w:top w:val="nil"/>
              <w:left w:val="nil"/>
              <w:bottom w:val="nil"/>
              <w:right w:val="nil"/>
            </w:tcBorders>
            <w:shd w:val="clear" w:color="000000" w:fill="0070C0"/>
            <w:noWrap/>
            <w:vAlign w:val="center"/>
            <w:hideMark/>
          </w:tcPr>
          <w:p w14:paraId="3AA144C5" w14:textId="111A400E" w:rsidR="004557AF" w:rsidRPr="00F57F39" w:rsidRDefault="008E2444" w:rsidP="00F12244">
            <w:pPr>
              <w:pStyle w:val="TableText"/>
              <w:jc w:val="right"/>
              <w:rPr>
                <w:b/>
                <w:color w:val="FFFFFF" w:themeColor="background1"/>
              </w:rPr>
            </w:pPr>
            <w:r w:rsidRPr="00F57F39">
              <w:rPr>
                <w:b/>
                <w:color w:val="FFFFFF" w:themeColor="background1"/>
              </w:rPr>
              <w:t>2</w:t>
            </w:r>
            <w:r w:rsidR="004557AF" w:rsidRPr="00F57F39">
              <w:rPr>
                <w:b/>
                <w:color w:val="FFFFFF" w:themeColor="background1"/>
              </w:rPr>
              <w:t>,165</w:t>
            </w:r>
          </w:p>
        </w:tc>
        <w:tc>
          <w:tcPr>
            <w:tcW w:w="312" w:type="pct"/>
            <w:tcBorders>
              <w:top w:val="nil"/>
              <w:left w:val="nil"/>
              <w:bottom w:val="nil"/>
              <w:right w:val="nil"/>
            </w:tcBorders>
            <w:shd w:val="clear" w:color="000000" w:fill="0070C0"/>
            <w:noWrap/>
            <w:vAlign w:val="center"/>
            <w:hideMark/>
          </w:tcPr>
          <w:p w14:paraId="57D80C2C" w14:textId="3718158E" w:rsidR="004557AF" w:rsidRPr="00F57F39" w:rsidRDefault="004557AF" w:rsidP="00F12244">
            <w:pPr>
              <w:pStyle w:val="TableText"/>
              <w:jc w:val="right"/>
              <w:rPr>
                <w:b/>
                <w:color w:val="FFFFFF" w:themeColor="background1"/>
              </w:rPr>
            </w:pPr>
            <w:r w:rsidRPr="00F57F39">
              <w:rPr>
                <w:b/>
                <w:color w:val="FFFFFF" w:themeColor="background1"/>
              </w:rPr>
              <w:t>2,889</w:t>
            </w:r>
          </w:p>
        </w:tc>
        <w:tc>
          <w:tcPr>
            <w:tcW w:w="312" w:type="pct"/>
            <w:tcBorders>
              <w:top w:val="nil"/>
              <w:left w:val="nil"/>
              <w:bottom w:val="nil"/>
              <w:right w:val="nil"/>
            </w:tcBorders>
            <w:shd w:val="clear" w:color="000000" w:fill="0070C0"/>
            <w:noWrap/>
            <w:vAlign w:val="center"/>
            <w:hideMark/>
          </w:tcPr>
          <w:p w14:paraId="1657EAF9" w14:textId="31FFB277" w:rsidR="004557AF" w:rsidRPr="00F57F39" w:rsidRDefault="004557AF" w:rsidP="00F12244">
            <w:pPr>
              <w:pStyle w:val="TableText"/>
              <w:jc w:val="right"/>
              <w:rPr>
                <w:b/>
                <w:color w:val="FFFFFF" w:themeColor="background1"/>
              </w:rPr>
            </w:pPr>
            <w:r w:rsidRPr="00F57F39">
              <w:rPr>
                <w:b/>
                <w:color w:val="FFFFFF" w:themeColor="background1"/>
              </w:rPr>
              <w:t>3,287</w:t>
            </w:r>
          </w:p>
        </w:tc>
        <w:tc>
          <w:tcPr>
            <w:tcW w:w="312" w:type="pct"/>
            <w:tcBorders>
              <w:top w:val="nil"/>
              <w:left w:val="nil"/>
              <w:bottom w:val="nil"/>
              <w:right w:val="nil"/>
            </w:tcBorders>
            <w:shd w:val="clear" w:color="000000" w:fill="0070C0"/>
            <w:noWrap/>
            <w:vAlign w:val="center"/>
            <w:hideMark/>
          </w:tcPr>
          <w:p w14:paraId="45DE1704" w14:textId="396E5CD1" w:rsidR="004557AF" w:rsidRPr="00F57F39" w:rsidRDefault="004557AF" w:rsidP="00F12244">
            <w:pPr>
              <w:pStyle w:val="TableText"/>
              <w:jc w:val="right"/>
              <w:rPr>
                <w:b/>
                <w:color w:val="FFFFFF" w:themeColor="background1"/>
              </w:rPr>
            </w:pPr>
            <w:r w:rsidRPr="00F57F39">
              <w:rPr>
                <w:b/>
                <w:color w:val="FFFFFF" w:themeColor="background1"/>
              </w:rPr>
              <w:t>3,625</w:t>
            </w:r>
          </w:p>
        </w:tc>
        <w:tc>
          <w:tcPr>
            <w:tcW w:w="312" w:type="pct"/>
            <w:tcBorders>
              <w:top w:val="nil"/>
              <w:left w:val="nil"/>
              <w:bottom w:val="nil"/>
              <w:right w:val="nil"/>
            </w:tcBorders>
            <w:shd w:val="clear" w:color="000000" w:fill="0070C0"/>
            <w:noWrap/>
            <w:vAlign w:val="center"/>
            <w:hideMark/>
          </w:tcPr>
          <w:p w14:paraId="7425D602" w14:textId="59EB92BE" w:rsidR="004557AF" w:rsidRPr="00F57F39" w:rsidRDefault="004557AF" w:rsidP="00F12244">
            <w:pPr>
              <w:pStyle w:val="TableText"/>
              <w:jc w:val="right"/>
              <w:rPr>
                <w:b/>
                <w:color w:val="FFFFFF" w:themeColor="background1"/>
              </w:rPr>
            </w:pPr>
            <w:r w:rsidRPr="00F57F39">
              <w:rPr>
                <w:b/>
                <w:color w:val="FFFFFF" w:themeColor="background1"/>
              </w:rPr>
              <w:t>3,973</w:t>
            </w:r>
          </w:p>
        </w:tc>
        <w:tc>
          <w:tcPr>
            <w:tcW w:w="312" w:type="pct"/>
            <w:tcBorders>
              <w:top w:val="nil"/>
              <w:left w:val="nil"/>
              <w:bottom w:val="nil"/>
              <w:right w:val="nil"/>
            </w:tcBorders>
            <w:shd w:val="clear" w:color="000000" w:fill="0070C0"/>
            <w:noWrap/>
            <w:vAlign w:val="center"/>
            <w:hideMark/>
          </w:tcPr>
          <w:p w14:paraId="6A8FF798" w14:textId="3D69748A" w:rsidR="004557AF" w:rsidRPr="00F57F39" w:rsidRDefault="004557AF" w:rsidP="00F12244">
            <w:pPr>
              <w:pStyle w:val="TableText"/>
              <w:jc w:val="right"/>
              <w:rPr>
                <w:b/>
                <w:color w:val="FFFFFF" w:themeColor="background1"/>
              </w:rPr>
            </w:pPr>
            <w:r w:rsidRPr="00F57F39">
              <w:rPr>
                <w:b/>
                <w:color w:val="FFFFFF" w:themeColor="background1"/>
              </w:rPr>
              <w:t>4,289</w:t>
            </w:r>
          </w:p>
        </w:tc>
        <w:tc>
          <w:tcPr>
            <w:tcW w:w="312" w:type="pct"/>
            <w:tcBorders>
              <w:top w:val="nil"/>
              <w:left w:val="nil"/>
              <w:bottom w:val="nil"/>
              <w:right w:val="nil"/>
            </w:tcBorders>
            <w:shd w:val="clear" w:color="000000" w:fill="0070C0"/>
            <w:noWrap/>
            <w:vAlign w:val="center"/>
            <w:hideMark/>
          </w:tcPr>
          <w:p w14:paraId="301A7F93" w14:textId="11A8B318" w:rsidR="004557AF" w:rsidRPr="00F57F39" w:rsidRDefault="004557AF" w:rsidP="00F12244">
            <w:pPr>
              <w:pStyle w:val="TableText"/>
              <w:jc w:val="right"/>
              <w:rPr>
                <w:b/>
                <w:color w:val="FFFFFF" w:themeColor="background1"/>
              </w:rPr>
            </w:pPr>
            <w:r w:rsidRPr="00F57F39">
              <w:rPr>
                <w:b/>
                <w:color w:val="FFFFFF" w:themeColor="background1"/>
              </w:rPr>
              <w:t>4,165</w:t>
            </w:r>
          </w:p>
        </w:tc>
        <w:tc>
          <w:tcPr>
            <w:tcW w:w="312" w:type="pct"/>
            <w:tcBorders>
              <w:top w:val="nil"/>
              <w:left w:val="nil"/>
              <w:bottom w:val="nil"/>
              <w:right w:val="nil"/>
            </w:tcBorders>
            <w:shd w:val="clear" w:color="000000" w:fill="0070C0"/>
            <w:noWrap/>
            <w:vAlign w:val="center"/>
            <w:hideMark/>
          </w:tcPr>
          <w:p w14:paraId="039CFFD3" w14:textId="0FEB54D9" w:rsidR="004557AF" w:rsidRPr="00F57F39" w:rsidRDefault="004557AF" w:rsidP="00F12244">
            <w:pPr>
              <w:pStyle w:val="TableText"/>
              <w:jc w:val="right"/>
              <w:rPr>
                <w:b/>
                <w:color w:val="FFFFFF" w:themeColor="background1"/>
              </w:rPr>
            </w:pPr>
            <w:r w:rsidRPr="00F57F39">
              <w:rPr>
                <w:b/>
                <w:color w:val="FFFFFF" w:themeColor="background1"/>
              </w:rPr>
              <w:t>4,061</w:t>
            </w:r>
          </w:p>
        </w:tc>
        <w:tc>
          <w:tcPr>
            <w:tcW w:w="312" w:type="pct"/>
            <w:tcBorders>
              <w:top w:val="nil"/>
              <w:left w:val="nil"/>
              <w:bottom w:val="nil"/>
              <w:right w:val="nil"/>
            </w:tcBorders>
            <w:shd w:val="clear" w:color="000000" w:fill="0070C0"/>
            <w:noWrap/>
            <w:vAlign w:val="center"/>
            <w:hideMark/>
          </w:tcPr>
          <w:p w14:paraId="390EF7D4" w14:textId="5222B3FD" w:rsidR="004557AF" w:rsidRPr="00F57F39" w:rsidRDefault="004557AF" w:rsidP="00F12244">
            <w:pPr>
              <w:pStyle w:val="TableText"/>
              <w:jc w:val="right"/>
              <w:rPr>
                <w:b/>
                <w:color w:val="FFFFFF" w:themeColor="background1"/>
              </w:rPr>
            </w:pPr>
            <w:r w:rsidRPr="00F57F39">
              <w:rPr>
                <w:b/>
                <w:color w:val="FFFFFF" w:themeColor="background1"/>
              </w:rPr>
              <w:t>3,968</w:t>
            </w:r>
          </w:p>
        </w:tc>
        <w:tc>
          <w:tcPr>
            <w:tcW w:w="312" w:type="pct"/>
            <w:tcBorders>
              <w:top w:val="nil"/>
              <w:left w:val="nil"/>
              <w:bottom w:val="nil"/>
              <w:right w:val="nil"/>
            </w:tcBorders>
            <w:shd w:val="clear" w:color="000000" w:fill="0070C0"/>
            <w:noWrap/>
            <w:vAlign w:val="center"/>
            <w:hideMark/>
          </w:tcPr>
          <w:p w14:paraId="0E464002" w14:textId="185FE2BB" w:rsidR="004557AF" w:rsidRPr="00F57F39" w:rsidRDefault="004557AF" w:rsidP="00F12244">
            <w:pPr>
              <w:pStyle w:val="TableText"/>
              <w:jc w:val="right"/>
              <w:rPr>
                <w:b/>
                <w:color w:val="FFFFFF" w:themeColor="background1"/>
              </w:rPr>
            </w:pPr>
            <w:r w:rsidRPr="00F57F39">
              <w:rPr>
                <w:b/>
                <w:color w:val="FFFFFF" w:themeColor="background1"/>
              </w:rPr>
              <w:t>3,889</w:t>
            </w:r>
          </w:p>
        </w:tc>
        <w:tc>
          <w:tcPr>
            <w:tcW w:w="312" w:type="pct"/>
            <w:tcBorders>
              <w:top w:val="nil"/>
              <w:left w:val="nil"/>
              <w:bottom w:val="nil"/>
              <w:right w:val="nil"/>
            </w:tcBorders>
            <w:shd w:val="clear" w:color="000000" w:fill="0070C0"/>
            <w:noWrap/>
            <w:vAlign w:val="center"/>
            <w:hideMark/>
          </w:tcPr>
          <w:p w14:paraId="381244D9" w14:textId="3189D00A" w:rsidR="004557AF" w:rsidRPr="00F57F39" w:rsidRDefault="004557AF" w:rsidP="00F12244">
            <w:pPr>
              <w:pStyle w:val="TableText"/>
              <w:jc w:val="right"/>
              <w:rPr>
                <w:b/>
                <w:color w:val="FFFFFF" w:themeColor="background1"/>
              </w:rPr>
            </w:pPr>
            <w:r w:rsidRPr="00F57F39">
              <w:rPr>
                <w:b/>
                <w:color w:val="FFFFFF" w:themeColor="background1"/>
              </w:rPr>
              <w:t>3,897</w:t>
            </w:r>
          </w:p>
        </w:tc>
        <w:tc>
          <w:tcPr>
            <w:tcW w:w="312" w:type="pct"/>
            <w:tcBorders>
              <w:top w:val="nil"/>
              <w:left w:val="nil"/>
              <w:bottom w:val="nil"/>
              <w:right w:val="nil"/>
            </w:tcBorders>
            <w:shd w:val="clear" w:color="000000" w:fill="0070C0"/>
            <w:noWrap/>
            <w:vAlign w:val="center"/>
            <w:hideMark/>
          </w:tcPr>
          <w:p w14:paraId="2FE8148C" w14:textId="0EFEDAA4" w:rsidR="004557AF" w:rsidRPr="00F57F39" w:rsidRDefault="004557AF" w:rsidP="00F12244">
            <w:pPr>
              <w:pStyle w:val="TableText"/>
              <w:jc w:val="right"/>
              <w:rPr>
                <w:b/>
                <w:color w:val="FFFFFF" w:themeColor="background1"/>
              </w:rPr>
            </w:pPr>
            <w:r w:rsidRPr="00F57F39">
              <w:rPr>
                <w:b/>
                <w:color w:val="FFFFFF" w:themeColor="background1"/>
              </w:rPr>
              <w:t>3,886</w:t>
            </w:r>
          </w:p>
        </w:tc>
        <w:tc>
          <w:tcPr>
            <w:tcW w:w="312" w:type="pct"/>
            <w:tcBorders>
              <w:top w:val="nil"/>
              <w:left w:val="nil"/>
              <w:bottom w:val="nil"/>
              <w:right w:val="nil"/>
            </w:tcBorders>
            <w:shd w:val="clear" w:color="000000" w:fill="0070C0"/>
            <w:noWrap/>
            <w:vAlign w:val="center"/>
            <w:hideMark/>
          </w:tcPr>
          <w:p w14:paraId="7568FEEC" w14:textId="6216723C" w:rsidR="004557AF" w:rsidRPr="00F57F39" w:rsidRDefault="004557AF" w:rsidP="00F12244">
            <w:pPr>
              <w:pStyle w:val="TableText"/>
              <w:jc w:val="right"/>
              <w:rPr>
                <w:b/>
                <w:color w:val="FFFFFF" w:themeColor="background1"/>
              </w:rPr>
            </w:pPr>
            <w:r w:rsidRPr="00F57F39">
              <w:rPr>
                <w:b/>
                <w:color w:val="FFFFFF" w:themeColor="background1"/>
              </w:rPr>
              <w:t>3,912</w:t>
            </w:r>
          </w:p>
        </w:tc>
      </w:tr>
      <w:bookmarkEnd w:id="136"/>
    </w:tbl>
    <w:p w14:paraId="7014D494" w14:textId="77777777" w:rsidR="00F12244" w:rsidRDefault="00F12244" w:rsidP="00D20D53">
      <w:pPr>
        <w:pStyle w:val="Heading3"/>
        <w:rPr>
          <w:lang w:val="en-AU"/>
        </w:rPr>
        <w:sectPr w:rsidR="00F12244" w:rsidSect="00F12244">
          <w:pgSz w:w="16838" w:h="11906" w:orient="landscape"/>
          <w:pgMar w:top="1021" w:right="1134" w:bottom="1274" w:left="851" w:header="709" w:footer="28" w:gutter="0"/>
          <w:cols w:space="708"/>
          <w:docGrid w:linePitch="360"/>
        </w:sectPr>
      </w:pPr>
    </w:p>
    <w:p w14:paraId="11D572EC" w14:textId="07234B85" w:rsidR="00CF4CB9" w:rsidRPr="00F477F6" w:rsidRDefault="00690A85" w:rsidP="00D20D53">
      <w:pPr>
        <w:pStyle w:val="Heading3"/>
        <w:rPr>
          <w:lang w:val="en-AU"/>
        </w:rPr>
      </w:pPr>
      <w:r w:rsidRPr="00F477F6">
        <w:rPr>
          <w:lang w:val="en-AU"/>
        </w:rPr>
        <w:lastRenderedPageBreak/>
        <w:t xml:space="preserve">Skill mix scenarios </w:t>
      </w:r>
    </w:p>
    <w:p w14:paraId="5613C02E" w14:textId="5C86E4CF" w:rsidR="000F7248" w:rsidRPr="00F477F6" w:rsidRDefault="000F7248" w:rsidP="00D20D53">
      <w:r w:rsidRPr="00F477F6">
        <w:t>The scenarios above are based on the assumption that current nursing configurations remain the same into the future. Arguments exist that there is scope to change the skill mix in the nursing workforce whilst maintaining safe, quality patient care.</w:t>
      </w:r>
      <w:r w:rsidRPr="00F477F6">
        <w:rPr>
          <w:vertAlign w:val="superscript"/>
        </w:rPr>
        <w:footnoteReference w:id="2"/>
      </w:r>
      <w:r w:rsidRPr="00F477F6">
        <w:rPr>
          <w:rStyle w:val="FootnoteReference"/>
          <w:rFonts w:ascii="Avenir LT Std 35 Light" w:hAnsi="Avenir LT Std 35 Light"/>
        </w:rPr>
        <w:t>,</w:t>
      </w:r>
      <w:r w:rsidRPr="00F477F6">
        <w:rPr>
          <w:rStyle w:val="FootnoteReference"/>
          <w:rFonts w:ascii="Avenir LT Std 35 Light" w:hAnsi="Avenir LT Std 35 Light"/>
        </w:rPr>
        <w:footnoteReference w:id="3"/>
      </w:r>
      <w:r w:rsidRPr="00F477F6">
        <w:t xml:space="preserve"> Drivers for such change include freeing up </w:t>
      </w:r>
      <w:r w:rsidR="006E52B9" w:rsidRPr="00F477F6">
        <w:t xml:space="preserve">of </w:t>
      </w:r>
      <w:r w:rsidRPr="00F477F6">
        <w:t xml:space="preserve">RN and EN resources to be employed across the nursing sectors in more complex practice activities, cost savings delivered by a changed skill mix, as well as increased job satisfaction for highly-trained professionals performing the role they were trained for, with likely consequent effects on workforce retention. </w:t>
      </w:r>
    </w:p>
    <w:p w14:paraId="358E2751" w14:textId="5E10F621" w:rsidR="000A59EE" w:rsidRPr="00F477F6" w:rsidRDefault="000A59EE" w:rsidP="00D20D53">
      <w:r w:rsidRPr="00F477F6">
        <w:t xml:space="preserve">HWA has therefore generated two skill mix scenarios to demonstrate the </w:t>
      </w:r>
      <w:r w:rsidR="004469D4" w:rsidRPr="00F477F6">
        <w:t xml:space="preserve">potential </w:t>
      </w:r>
      <w:r w:rsidRPr="00F477F6">
        <w:t>effect across the national workforce of changes to the existing skill mix. These scenarios have been generated for the acute</w:t>
      </w:r>
      <w:r w:rsidR="00BA20E9" w:rsidRPr="00F477F6">
        <w:t xml:space="preserve"> and aged care nursing sectors a</w:t>
      </w:r>
      <w:r w:rsidR="00BA20E9" w:rsidRPr="00F477F6">
        <w:rPr>
          <w:lang w:eastAsia="x-none"/>
        </w:rPr>
        <w:t>s they already have a diverse skill mix, and have the largest numbers of employed nurses. The alternate skill mixes that have been modelled are illustrative examples only. HWA does not endorse any specific skill mix.</w:t>
      </w:r>
    </w:p>
    <w:p w14:paraId="109D4A0F" w14:textId="401BC9EF" w:rsidR="00BA20E9" w:rsidRPr="00F477F6" w:rsidRDefault="00BA20E9" w:rsidP="00D20D53">
      <w:pPr>
        <w:pStyle w:val="Heading3"/>
        <w:rPr>
          <w:lang w:val="en-AU"/>
        </w:rPr>
      </w:pPr>
      <w:r w:rsidRPr="00F477F6">
        <w:rPr>
          <w:lang w:val="en-AU"/>
        </w:rPr>
        <w:t>Construction of the skill mix scenarios</w:t>
      </w:r>
    </w:p>
    <w:p w14:paraId="09914F6D" w14:textId="244DF3D7" w:rsidR="00BA20E9" w:rsidRPr="00F477F6" w:rsidRDefault="003509B0" w:rsidP="00D20D53">
      <w:r w:rsidRPr="00F477F6">
        <w:t>The skill mix scenarios work by setting demand based on fixed percentage</w:t>
      </w:r>
      <w:r w:rsidR="00F85930" w:rsidRPr="00F477F6">
        <w:t>s</w:t>
      </w:r>
      <w:r w:rsidRPr="00F477F6">
        <w:t xml:space="preserve"> of RNs, ENs and AIN/PCAs</w:t>
      </w:r>
      <w:r w:rsidR="00245CCF" w:rsidRPr="00F477F6">
        <w:t>.</w:t>
      </w:r>
      <w:r w:rsidRPr="00F477F6">
        <w:t xml:space="preserve"> </w:t>
      </w:r>
    </w:p>
    <w:p w14:paraId="6ADEA157" w14:textId="77777777" w:rsidR="00CC283F" w:rsidRPr="00F477F6" w:rsidRDefault="00CC283F" w:rsidP="00D20D53">
      <w:r w:rsidRPr="00F477F6">
        <w:t xml:space="preserve">Three skill mix scenarios are presented each for the acute and aged care nursing sectors: </w:t>
      </w:r>
    </w:p>
    <w:p w14:paraId="0149BE97" w14:textId="223265E6" w:rsidR="00CC283F" w:rsidRPr="00F477F6" w:rsidRDefault="00CC283F" w:rsidP="00F57F39">
      <w:pPr>
        <w:pStyle w:val="ListParagraph"/>
        <w:numPr>
          <w:ilvl w:val="0"/>
          <w:numId w:val="38"/>
        </w:numPr>
      </w:pPr>
      <w:r w:rsidRPr="00F477F6">
        <w:t>Comparison scenario –</w:t>
      </w:r>
      <w:r w:rsidR="004A4CCF" w:rsidRPr="00F477F6">
        <w:t xml:space="preserve"> </w:t>
      </w:r>
      <w:r w:rsidRPr="00F477F6">
        <w:t>which simply projects the existing workforce percentages of RNs, ENs and AINs/PCAs into the future without change</w:t>
      </w:r>
      <w:r w:rsidR="00245CCF" w:rsidRPr="00F477F6">
        <w:t>.</w:t>
      </w:r>
      <w:r w:rsidR="004A4CCF" w:rsidRPr="00F477F6">
        <w:t xml:space="preserve"> </w:t>
      </w:r>
      <w:r w:rsidRPr="00F477F6">
        <w:t xml:space="preserve">For RNs and ENs, 2012 NHWDS </w:t>
      </w:r>
      <w:r w:rsidR="00245CCF" w:rsidRPr="00F477F6">
        <w:t xml:space="preserve">data </w:t>
      </w:r>
      <w:r w:rsidRPr="00F477F6">
        <w:t>was used to establish the relevant percentages. For AINs/PCAs, Australian Bureau of Statistics Labour Force Survey data was used to establish the existing percentage in the workforce.</w:t>
      </w:r>
    </w:p>
    <w:p w14:paraId="7C3CF9A7" w14:textId="3146BF1C" w:rsidR="00CC283F" w:rsidRPr="00F477F6" w:rsidRDefault="00CC283F" w:rsidP="00F57F39">
      <w:pPr>
        <w:pStyle w:val="ListParagraph"/>
        <w:numPr>
          <w:ilvl w:val="0"/>
          <w:numId w:val="38"/>
        </w:numPr>
      </w:pPr>
      <w:r w:rsidRPr="00F477F6">
        <w:t>Skill mix change based on limitations in training capacity – this scenario</w:t>
      </w:r>
      <w:r w:rsidR="000C52BF" w:rsidRPr="00F477F6">
        <w:t xml:space="preserve"> moves towards the </w:t>
      </w:r>
      <w:r w:rsidR="00245CCF" w:rsidRPr="00F477F6">
        <w:t>illustrative</w:t>
      </w:r>
      <w:r w:rsidR="000C52BF" w:rsidRPr="00F477F6">
        <w:t xml:space="preserve"> skill mix in 2030, however achievement of this is constrained by the application of limits on what change</w:t>
      </w:r>
      <w:r w:rsidR="004F1596" w:rsidRPr="00F477F6">
        <w:t xml:space="preserve"> is </w:t>
      </w:r>
      <w:r w:rsidR="00195B0E" w:rsidRPr="00F477F6">
        <w:t>achievable</w:t>
      </w:r>
      <w:r w:rsidR="004F1596" w:rsidRPr="00F477F6">
        <w:t xml:space="preserve">, for example </w:t>
      </w:r>
      <w:r w:rsidR="004A4CCF" w:rsidRPr="00F477F6">
        <w:t xml:space="preserve">what </w:t>
      </w:r>
      <w:r w:rsidR="004F1596" w:rsidRPr="00F477F6">
        <w:t xml:space="preserve">is achievable </w:t>
      </w:r>
      <w:r w:rsidR="004A4CCF" w:rsidRPr="00F477F6">
        <w:t>with the changes required in training output.</w:t>
      </w:r>
      <w:r w:rsidR="004A4CCF" w:rsidRPr="00F57F39">
        <w:rPr>
          <w:highlight w:val="yellow"/>
        </w:rPr>
        <w:t xml:space="preserve"> </w:t>
      </w:r>
    </w:p>
    <w:p w14:paraId="7BDBA470" w14:textId="44F2E0C8" w:rsidR="00CC283F" w:rsidRPr="00F477F6" w:rsidRDefault="00CC283F" w:rsidP="00F57F39">
      <w:pPr>
        <w:pStyle w:val="ListParagraph"/>
        <w:numPr>
          <w:ilvl w:val="0"/>
          <w:numId w:val="38"/>
        </w:numPr>
      </w:pPr>
      <w:r w:rsidRPr="00F477F6">
        <w:t xml:space="preserve">Private example skill mix – </w:t>
      </w:r>
      <w:r w:rsidR="000C52BF" w:rsidRPr="00F477F6">
        <w:t xml:space="preserve">represents the </w:t>
      </w:r>
      <w:r w:rsidR="00245CCF" w:rsidRPr="00F477F6">
        <w:t xml:space="preserve">illustrative </w:t>
      </w:r>
      <w:r w:rsidR="000C52BF" w:rsidRPr="00F477F6">
        <w:t>skill mix in 2030.</w:t>
      </w:r>
      <w:r w:rsidR="00872DB4" w:rsidRPr="00F477F6">
        <w:t xml:space="preserve"> </w:t>
      </w:r>
    </w:p>
    <w:p w14:paraId="288C5678" w14:textId="34586BBF" w:rsidR="004A4CCF" w:rsidRPr="00F477F6" w:rsidRDefault="000C52BF" w:rsidP="00D20D53">
      <w:pPr>
        <w:rPr>
          <w:highlight w:val="yellow"/>
        </w:rPr>
      </w:pPr>
      <w:r w:rsidRPr="00F477F6">
        <w:t>The</w:t>
      </w:r>
      <w:r w:rsidR="004A4CCF" w:rsidRPr="00F477F6">
        <w:t xml:space="preserve"> scenarios </w:t>
      </w:r>
      <w:r w:rsidRPr="00F477F6">
        <w:t xml:space="preserve">also </w:t>
      </w:r>
      <w:r w:rsidR="004A4CCF" w:rsidRPr="00F477F6">
        <w:t>use the parameters of the combined scenario, that is, constrained labour demand, improved graduate employment rates and reduced exit rates.</w:t>
      </w:r>
      <w:r w:rsidRPr="00F477F6">
        <w:t xml:space="preserve"> Where nurse inflows are projected to be above those necessary to meet this demand, they are not </w:t>
      </w:r>
      <w:r w:rsidR="00ED6EA2" w:rsidRPr="00F477F6">
        <w:t xml:space="preserve">reduced or </w:t>
      </w:r>
      <w:r w:rsidRPr="00F477F6">
        <w:t>removed from the model. Therefore the actual percentage</w:t>
      </w:r>
      <w:r w:rsidR="00ED6EA2" w:rsidRPr="00F477F6">
        <w:t>s</w:t>
      </w:r>
      <w:r w:rsidRPr="00F477F6">
        <w:t xml:space="preserve"> </w:t>
      </w:r>
      <w:r w:rsidR="00ED6EA2" w:rsidRPr="00F477F6">
        <w:t xml:space="preserve">shown in the scenario results by </w:t>
      </w:r>
      <w:r w:rsidRPr="00F477F6">
        <w:t xml:space="preserve">nurse type and AIN/PCA </w:t>
      </w:r>
      <w:r w:rsidR="00ED6EA2" w:rsidRPr="00F477F6">
        <w:t>in</w:t>
      </w:r>
      <w:r w:rsidRPr="00F477F6">
        <w:t xml:space="preserve"> 2030 </w:t>
      </w:r>
      <w:r w:rsidR="0080757E" w:rsidRPr="00F477F6">
        <w:t>are</w:t>
      </w:r>
      <w:r w:rsidRPr="00F477F6">
        <w:t xml:space="preserve"> not the exact</w:t>
      </w:r>
      <w:r w:rsidR="00ED6EA2" w:rsidRPr="00F477F6">
        <w:t xml:space="preserve"> illustrative</w:t>
      </w:r>
      <w:r w:rsidRPr="00F477F6">
        <w:t xml:space="preserve"> percentage.</w:t>
      </w:r>
      <w:r w:rsidR="00872DB4" w:rsidRPr="00F477F6">
        <w:t xml:space="preserve"> </w:t>
      </w:r>
      <w:r w:rsidRPr="00F477F6">
        <w:t xml:space="preserve">Where additional nurses or AIN/PCAs are required to meet the </w:t>
      </w:r>
      <w:r w:rsidR="00ED6EA2" w:rsidRPr="00F477F6">
        <w:t>illustrative</w:t>
      </w:r>
      <w:r w:rsidRPr="00F477F6">
        <w:t xml:space="preserve"> percentage, these are modelled in to allow labour demand to be met.</w:t>
      </w:r>
    </w:p>
    <w:p w14:paraId="19061226" w14:textId="77777777" w:rsidR="0029105D" w:rsidRPr="00F477F6" w:rsidRDefault="0029105D" w:rsidP="00D20D53">
      <w:pPr>
        <w:pStyle w:val="Heading3"/>
        <w:rPr>
          <w:lang w:val="en-AU"/>
        </w:rPr>
      </w:pPr>
      <w:r w:rsidRPr="00F477F6">
        <w:rPr>
          <w:lang w:val="en-AU"/>
        </w:rPr>
        <w:t>Acute sector</w:t>
      </w:r>
    </w:p>
    <w:p w14:paraId="4640B229" w14:textId="06631A34" w:rsidR="008348C4" w:rsidRPr="00F477F6" w:rsidRDefault="000C52BF" w:rsidP="00D20D53">
      <w:r w:rsidRPr="00F477F6">
        <w:t xml:space="preserve">For the acute sector, </w:t>
      </w:r>
      <w:r w:rsidR="00ED6EA2" w:rsidRPr="00F477F6">
        <w:t xml:space="preserve">the scenario used was </w:t>
      </w:r>
      <w:r w:rsidRPr="00F477F6">
        <w:t>a skill mix of 7</w:t>
      </w:r>
      <w:r w:rsidR="00DA2B2B" w:rsidRPr="00F477F6">
        <w:t>0</w:t>
      </w:r>
      <w:r w:rsidRPr="00F477F6">
        <w:t xml:space="preserve"> </w:t>
      </w:r>
      <w:r w:rsidR="001262DE" w:rsidRPr="00F477F6">
        <w:t>percent</w:t>
      </w:r>
      <w:r w:rsidRPr="00F477F6">
        <w:t xml:space="preserve"> RNs, 25 percent ENs and 5 </w:t>
      </w:r>
      <w:r w:rsidR="001262DE" w:rsidRPr="00F477F6">
        <w:t>percent</w:t>
      </w:r>
      <w:r w:rsidRPr="00F477F6">
        <w:t xml:space="preserve"> AINs/PCAs in 2030. Results of the </w:t>
      </w:r>
      <w:r w:rsidR="00CC283F" w:rsidRPr="00F477F6">
        <w:t xml:space="preserve">skill mix scenarios for the acute sector are shown in </w:t>
      </w:r>
      <w:r w:rsidR="000355C9" w:rsidRPr="00F477F6">
        <w:fldChar w:fldCharType="begin"/>
      </w:r>
      <w:r w:rsidR="000355C9" w:rsidRPr="00F477F6">
        <w:instrText xml:space="preserve"> REF _Ref387393621 \h </w:instrText>
      </w:r>
      <w:r w:rsidR="0080757E" w:rsidRPr="00F477F6">
        <w:instrText xml:space="preserve"> \* MERGEFORMAT </w:instrText>
      </w:r>
      <w:r w:rsidR="000355C9" w:rsidRPr="00F477F6">
        <w:fldChar w:fldCharType="separate"/>
      </w:r>
      <w:r w:rsidR="00641259" w:rsidRPr="00F477F6">
        <w:t xml:space="preserve">Figure </w:t>
      </w:r>
      <w:r w:rsidR="00641259">
        <w:rPr>
          <w:noProof/>
        </w:rPr>
        <w:t>11</w:t>
      </w:r>
      <w:r w:rsidR="000355C9" w:rsidRPr="00F477F6">
        <w:fldChar w:fldCharType="end"/>
      </w:r>
      <w:r w:rsidR="000355C9" w:rsidRPr="00F477F6">
        <w:t xml:space="preserve"> </w:t>
      </w:r>
      <w:r w:rsidR="00CC283F" w:rsidRPr="00F477F6">
        <w:t xml:space="preserve">and </w:t>
      </w:r>
      <w:r w:rsidR="007321A8" w:rsidRPr="00F477F6">
        <w:fldChar w:fldCharType="begin"/>
      </w:r>
      <w:r w:rsidR="007321A8" w:rsidRPr="00F477F6">
        <w:instrText xml:space="preserve"> REF _Ref387394804 \h </w:instrText>
      </w:r>
      <w:r w:rsidR="0080757E" w:rsidRPr="00F477F6">
        <w:instrText xml:space="preserve"> \* MERGEFORMAT </w:instrText>
      </w:r>
      <w:r w:rsidR="007321A8" w:rsidRPr="00F477F6">
        <w:fldChar w:fldCharType="separate"/>
      </w:r>
      <w:r w:rsidR="00641259" w:rsidRPr="00F477F6">
        <w:t xml:space="preserve">Table </w:t>
      </w:r>
      <w:r w:rsidR="00641259">
        <w:rPr>
          <w:noProof/>
        </w:rPr>
        <w:t>12</w:t>
      </w:r>
      <w:r w:rsidR="007321A8" w:rsidRPr="00F477F6">
        <w:fldChar w:fldCharType="end"/>
      </w:r>
      <w:r w:rsidR="00CC283F" w:rsidRPr="00F477F6">
        <w:t xml:space="preserve">. </w:t>
      </w:r>
    </w:p>
    <w:p w14:paraId="1C908650" w14:textId="77777777" w:rsidR="004A4CCF" w:rsidRPr="00F477F6" w:rsidRDefault="00CC283F" w:rsidP="00D20D53">
      <w:r w:rsidRPr="00F477F6">
        <w:lastRenderedPageBreak/>
        <w:t>Under the comparison scenario</w:t>
      </w:r>
      <w:r w:rsidR="004A4CCF" w:rsidRPr="00F477F6">
        <w:t xml:space="preserve"> (using the combined scenario parameters)</w:t>
      </w:r>
      <w:r w:rsidRPr="00F477F6">
        <w:t>, the total acute nursing workforce</w:t>
      </w:r>
      <w:r w:rsidRPr="00F477F6">
        <w:rPr>
          <w:b/>
        </w:rPr>
        <w:t xml:space="preserve"> </w:t>
      </w:r>
      <w:r w:rsidR="008348C4" w:rsidRPr="00F477F6">
        <w:t>increases from 121,852 in 2012 to a projected total of 158,578 in 2030</w:t>
      </w:r>
      <w:r w:rsidR="004A4CCF" w:rsidRPr="00F477F6">
        <w:t>.</w:t>
      </w:r>
      <w:r w:rsidR="008348C4" w:rsidRPr="00F477F6">
        <w:t xml:space="preserve"> </w:t>
      </w:r>
    </w:p>
    <w:p w14:paraId="16C17E68" w14:textId="77BD3FB0" w:rsidR="004A4CCF" w:rsidRPr="00F477F6" w:rsidRDefault="004A4CCF" w:rsidP="00D20D53">
      <w:r w:rsidRPr="00F477F6">
        <w:t>Under the skill mix change scenario based on limitations in training capacity:</w:t>
      </w:r>
    </w:p>
    <w:p w14:paraId="7E9A70FA" w14:textId="2E4FF665" w:rsidR="004A4CCF" w:rsidRPr="00F477F6" w:rsidRDefault="000C52BF" w:rsidP="00D20D53">
      <w:pPr>
        <w:pStyle w:val="ListParagraph"/>
        <w:numPr>
          <w:ilvl w:val="0"/>
          <w:numId w:val="21"/>
        </w:numPr>
      </w:pPr>
      <w:r w:rsidRPr="00F477F6">
        <w:t>T</w:t>
      </w:r>
      <w:r w:rsidR="004A4CCF" w:rsidRPr="00F477F6">
        <w:t xml:space="preserve">he total acute nursing workforce </w:t>
      </w:r>
      <w:r w:rsidR="004469D4" w:rsidRPr="00F477F6">
        <w:t xml:space="preserve">in 2030 </w:t>
      </w:r>
      <w:r w:rsidR="004A4CCF" w:rsidRPr="00F477F6">
        <w:t>is greater than that under the comparison scenario (</w:t>
      </w:r>
      <w:r w:rsidR="008348C4" w:rsidRPr="00F477F6">
        <w:t>178,280</w:t>
      </w:r>
      <w:r w:rsidR="004A4CCF" w:rsidRPr="00F477F6">
        <w:t xml:space="preserve"> compared with 158,578).</w:t>
      </w:r>
      <w:r w:rsidR="00872DB4" w:rsidRPr="00F477F6">
        <w:t xml:space="preserve"> </w:t>
      </w:r>
    </w:p>
    <w:p w14:paraId="7787413C" w14:textId="08C3482B" w:rsidR="004A4CCF" w:rsidRPr="00F477F6" w:rsidRDefault="004A4CCF" w:rsidP="00D20D53">
      <w:pPr>
        <w:pStyle w:val="ListParagraph"/>
        <w:numPr>
          <w:ilvl w:val="0"/>
          <w:numId w:val="21"/>
        </w:numPr>
      </w:pPr>
      <w:r w:rsidRPr="00F477F6">
        <w:t>Absolute numbers of the RN, EN and AIN/PCA workforces all increase across the projection period</w:t>
      </w:r>
      <w:r w:rsidR="001D235E" w:rsidRPr="00F477F6">
        <w:t xml:space="preserve"> (</w:t>
      </w:r>
      <w:r w:rsidR="007321A8" w:rsidRPr="00F477F6">
        <w:fldChar w:fldCharType="begin"/>
      </w:r>
      <w:r w:rsidR="007321A8" w:rsidRPr="00F477F6">
        <w:instrText xml:space="preserve"> REF _Ref387394804 \h </w:instrText>
      </w:r>
      <w:r w:rsidR="0080757E" w:rsidRPr="00F477F6">
        <w:instrText xml:space="preserve"> \* MERGEFORMAT </w:instrText>
      </w:r>
      <w:r w:rsidR="007321A8" w:rsidRPr="00F477F6">
        <w:fldChar w:fldCharType="separate"/>
      </w:r>
      <w:r w:rsidR="00641259" w:rsidRPr="00F477F6">
        <w:t xml:space="preserve">Table </w:t>
      </w:r>
      <w:r w:rsidR="00641259">
        <w:rPr>
          <w:noProof/>
        </w:rPr>
        <w:t>12</w:t>
      </w:r>
      <w:r w:rsidR="007321A8" w:rsidRPr="00F477F6">
        <w:fldChar w:fldCharType="end"/>
      </w:r>
      <w:r w:rsidR="001D235E" w:rsidRPr="00F477F6">
        <w:t>)</w:t>
      </w:r>
    </w:p>
    <w:p w14:paraId="48F9546B" w14:textId="775309CA" w:rsidR="008348C4" w:rsidRPr="00F477F6" w:rsidRDefault="004A4CCF" w:rsidP="00D20D53">
      <w:pPr>
        <w:pStyle w:val="ListParagraph"/>
        <w:numPr>
          <w:ilvl w:val="0"/>
          <w:numId w:val="21"/>
        </w:numPr>
      </w:pPr>
      <w:r w:rsidRPr="00F477F6">
        <w:t xml:space="preserve">The percentage that each workforce accounts for of the overall total changes from 2012 to 2030 – with </w:t>
      </w:r>
      <w:r w:rsidR="001D235E" w:rsidRPr="00F477F6">
        <w:t>the RN percentage reducing (</w:t>
      </w:r>
      <w:r w:rsidR="008348C4" w:rsidRPr="00F477F6">
        <w:t>from 82</w:t>
      </w:r>
      <w:r w:rsidR="00ED6EA2" w:rsidRPr="00F477F6">
        <w:t xml:space="preserve"> </w:t>
      </w:r>
      <w:r w:rsidR="001262DE" w:rsidRPr="00F477F6">
        <w:t>percent</w:t>
      </w:r>
      <w:r w:rsidR="008348C4" w:rsidRPr="00F477F6">
        <w:t xml:space="preserve"> to 7</w:t>
      </w:r>
      <w:r w:rsidR="00D6741E" w:rsidRPr="00F477F6">
        <w:t>1</w:t>
      </w:r>
      <w:r w:rsidR="00ED6EA2" w:rsidRPr="00F477F6">
        <w:t xml:space="preserve"> </w:t>
      </w:r>
      <w:r w:rsidR="001262DE" w:rsidRPr="00F477F6">
        <w:t>percent</w:t>
      </w:r>
      <w:r w:rsidR="008348C4" w:rsidRPr="00F477F6">
        <w:t>)</w:t>
      </w:r>
      <w:r w:rsidR="001D235E" w:rsidRPr="00F477F6">
        <w:t xml:space="preserve">, </w:t>
      </w:r>
      <w:r w:rsidR="000C52BF" w:rsidRPr="00F477F6">
        <w:t xml:space="preserve">the </w:t>
      </w:r>
      <w:r w:rsidR="001D235E" w:rsidRPr="00F477F6">
        <w:t xml:space="preserve">EN percentage increasing (from 15 </w:t>
      </w:r>
      <w:r w:rsidR="001262DE" w:rsidRPr="00F477F6">
        <w:t>percent</w:t>
      </w:r>
      <w:r w:rsidR="001D235E" w:rsidRPr="00F477F6">
        <w:t xml:space="preserve"> to 24 </w:t>
      </w:r>
      <w:r w:rsidR="001262DE" w:rsidRPr="00F477F6">
        <w:t>percent</w:t>
      </w:r>
      <w:r w:rsidR="001D235E" w:rsidRPr="00F477F6">
        <w:t xml:space="preserve">) and the AIN/PCA </w:t>
      </w:r>
      <w:r w:rsidR="00ED6EA2" w:rsidRPr="00F477F6">
        <w:t xml:space="preserve">percentage </w:t>
      </w:r>
      <w:r w:rsidR="001D235E" w:rsidRPr="00F477F6">
        <w:t xml:space="preserve">increasing </w:t>
      </w:r>
      <w:r w:rsidR="008348C4" w:rsidRPr="00F477F6">
        <w:t xml:space="preserve">(from </w:t>
      </w:r>
      <w:r w:rsidR="00ED6EA2" w:rsidRPr="00F477F6">
        <w:t xml:space="preserve">three </w:t>
      </w:r>
      <w:r w:rsidR="001262DE" w:rsidRPr="00F477F6">
        <w:t>percent</w:t>
      </w:r>
      <w:r w:rsidR="008348C4" w:rsidRPr="00F477F6">
        <w:t xml:space="preserve"> to </w:t>
      </w:r>
      <w:r w:rsidR="00ED6EA2" w:rsidRPr="00F477F6">
        <w:t xml:space="preserve">five </w:t>
      </w:r>
      <w:r w:rsidR="001262DE" w:rsidRPr="00F477F6">
        <w:t>percent</w:t>
      </w:r>
      <w:r w:rsidR="008348C4" w:rsidRPr="00F477F6">
        <w:t>).</w:t>
      </w:r>
    </w:p>
    <w:p w14:paraId="468C41B9" w14:textId="1934768E" w:rsidR="008348C4" w:rsidRPr="00F477F6" w:rsidRDefault="00B3121B" w:rsidP="00D20D53">
      <w:r w:rsidRPr="00F477F6">
        <w:t xml:space="preserve">In this scenario, the illustrative workforce percentages are not reached in 2030 due to the constraints applied in the modelling (around what change is </w:t>
      </w:r>
      <w:r w:rsidR="0080757E" w:rsidRPr="00F477F6">
        <w:t>achievable</w:t>
      </w:r>
      <w:r w:rsidRPr="00F477F6">
        <w:t xml:space="preserve">). </w:t>
      </w:r>
      <w:r w:rsidR="004F1596" w:rsidRPr="00F477F6">
        <w:t xml:space="preserve">This highlights that the projected acute nursing workforce in 2030 would include ‘excess’ RNs (of approximately 10,000) to those needed under the </w:t>
      </w:r>
      <w:r w:rsidRPr="00F477F6">
        <w:t>illustrative</w:t>
      </w:r>
      <w:r w:rsidR="004F1596" w:rsidRPr="00F477F6">
        <w:t xml:space="preserve"> skill mix. These RNs are assumed to be available to other nursing areas of practice. </w:t>
      </w:r>
    </w:p>
    <w:p w14:paraId="0D9EDD0F" w14:textId="50CA55F6" w:rsidR="00001030" w:rsidRPr="00F477F6" w:rsidRDefault="000355C9" w:rsidP="00D20D53">
      <w:pPr>
        <w:pStyle w:val="Caption"/>
      </w:pPr>
      <w:bookmarkStart w:id="138" w:name="_Ref387393621"/>
      <w:bookmarkStart w:id="139" w:name="_Toc407783224"/>
      <w:r w:rsidRPr="00F477F6">
        <w:t xml:space="preserve">Figure </w:t>
      </w:r>
      <w:fldSimple w:instr=" SEQ Figure \* ARABIC ">
        <w:r w:rsidR="00641259">
          <w:rPr>
            <w:noProof/>
          </w:rPr>
          <w:t>11</w:t>
        </w:r>
      </w:fldSimple>
      <w:bookmarkEnd w:id="138"/>
      <w:r w:rsidR="00001030" w:rsidRPr="00F477F6">
        <w:t>: Acute sector skill mix scenario</w:t>
      </w:r>
      <w:bookmarkEnd w:id="139"/>
    </w:p>
    <w:p w14:paraId="64533AF8" w14:textId="21E8115C" w:rsidR="004200DB" w:rsidRPr="00D20D53" w:rsidRDefault="004200DB" w:rsidP="00D20D53">
      <w:r w:rsidRPr="00D20D53">
        <w:rPr>
          <w:noProof/>
          <w:lang w:eastAsia="en-AU"/>
        </w:rPr>
        <w:drawing>
          <wp:inline distT="0" distB="0" distL="0" distR="0" wp14:anchorId="3E4FA00A" wp14:editId="3080954D">
            <wp:extent cx="5964370" cy="3381375"/>
            <wp:effectExtent l="0" t="0" r="0" b="0"/>
            <wp:docPr id="9" name="Picture 9" descr="The figure shows the acute sector skill mix scenario that was developed and modelled in the report.&#10;&#10;The scenario used a skill mix of 70 percent registered nurses, 25 percent enrolled nurses and 5 percent Assistants in Nursing/Personal Care Assistants.&#10;&#10;The figure shows that in 2030 the skill mix of acute car sector staff will change with a reduction in the percentage of RNs from 82% to 71%, an increase in the percentage of ENs from 15% to 24% and the AIN/PCA percentage increasing from 3% to 5%." title="Figure 11: Acute sector skill mix scenar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63936" cy="3381129"/>
                    </a:xfrm>
                    <a:prstGeom prst="rect">
                      <a:avLst/>
                    </a:prstGeom>
                    <a:noFill/>
                    <a:ln>
                      <a:noFill/>
                    </a:ln>
                  </pic:spPr>
                </pic:pic>
              </a:graphicData>
            </a:graphic>
          </wp:inline>
        </w:drawing>
      </w:r>
    </w:p>
    <w:p w14:paraId="404D7893" w14:textId="0360BC0A" w:rsidR="004200DB" w:rsidRPr="00F477F6" w:rsidRDefault="00B2497A" w:rsidP="00D20D53">
      <w:pPr>
        <w:pStyle w:val="Caption"/>
      </w:pPr>
      <w:bookmarkStart w:id="140" w:name="_Ref387394804"/>
      <w:bookmarkStart w:id="141" w:name="_Toc407783209"/>
      <w:r w:rsidRPr="00F477F6">
        <w:lastRenderedPageBreak/>
        <w:t xml:space="preserve">Table </w:t>
      </w:r>
      <w:fldSimple w:instr=" SEQ Table \* ARABIC ">
        <w:r w:rsidR="00641259">
          <w:rPr>
            <w:noProof/>
          </w:rPr>
          <w:t>12</w:t>
        </w:r>
      </w:fldSimple>
      <w:bookmarkEnd w:id="140"/>
      <w:r w:rsidR="00A77403" w:rsidRPr="00F477F6">
        <w:t>: Acute sector skill mix scenario results</w:t>
      </w:r>
      <w:r w:rsidR="00B3121B" w:rsidRPr="00F477F6">
        <w:t xml:space="preserve"> </w:t>
      </w:r>
      <w:bookmarkEnd w:id="141"/>
    </w:p>
    <w:tbl>
      <w:tblPr>
        <w:tblW w:w="5000" w:type="pct"/>
        <w:tblLayout w:type="fixed"/>
        <w:tblLook w:val="04A0" w:firstRow="1" w:lastRow="0" w:firstColumn="1" w:lastColumn="0" w:noHBand="0" w:noVBand="1"/>
      </w:tblPr>
      <w:tblGrid>
        <w:gridCol w:w="1404"/>
        <w:gridCol w:w="1404"/>
        <w:gridCol w:w="1404"/>
        <w:gridCol w:w="1404"/>
        <w:gridCol w:w="1404"/>
        <w:gridCol w:w="1404"/>
        <w:gridCol w:w="1403"/>
      </w:tblGrid>
      <w:tr w:rsidR="00157E83" w:rsidRPr="00D20D53" w14:paraId="50D48AE4" w14:textId="77777777" w:rsidTr="00CF486A">
        <w:trPr>
          <w:cantSplit/>
          <w:trHeight w:val="567"/>
          <w:tblHeader/>
        </w:trPr>
        <w:tc>
          <w:tcPr>
            <w:tcW w:w="714" w:type="pct"/>
            <w:tcBorders>
              <w:top w:val="nil"/>
              <w:left w:val="nil"/>
              <w:bottom w:val="nil"/>
              <w:right w:val="nil"/>
            </w:tcBorders>
            <w:shd w:val="clear" w:color="000000" w:fill="4F81BD"/>
            <w:noWrap/>
            <w:vAlign w:val="bottom"/>
            <w:hideMark/>
          </w:tcPr>
          <w:p w14:paraId="2976085C" w14:textId="47A210B3" w:rsidR="00157E83" w:rsidRPr="00D20D53" w:rsidRDefault="00157E83" w:rsidP="00F12244">
            <w:pPr>
              <w:pStyle w:val="TableHeader"/>
              <w:keepNext/>
            </w:pPr>
            <w:bookmarkStart w:id="142" w:name="ColumnTitle_11"/>
            <w:bookmarkEnd w:id="142"/>
            <w:r w:rsidRPr="00D20D53">
              <w:t>Nursing type</w:t>
            </w:r>
          </w:p>
        </w:tc>
        <w:tc>
          <w:tcPr>
            <w:tcW w:w="714" w:type="pct"/>
            <w:tcBorders>
              <w:top w:val="nil"/>
              <w:left w:val="nil"/>
              <w:bottom w:val="nil"/>
              <w:right w:val="nil"/>
            </w:tcBorders>
            <w:shd w:val="clear" w:color="000000" w:fill="4F81BD"/>
            <w:vAlign w:val="bottom"/>
            <w:hideMark/>
          </w:tcPr>
          <w:p w14:paraId="302B68DF" w14:textId="21068F47" w:rsidR="00157E83" w:rsidRPr="00D20D53" w:rsidRDefault="00157E83" w:rsidP="00F12244">
            <w:pPr>
              <w:pStyle w:val="TableHeader"/>
              <w:keepNext/>
            </w:pPr>
            <w:r w:rsidRPr="00D20D53">
              <w:t>Comparison</w:t>
            </w:r>
            <w:r w:rsidR="00CF486A">
              <w:t xml:space="preserve"> 2012</w:t>
            </w:r>
          </w:p>
        </w:tc>
        <w:tc>
          <w:tcPr>
            <w:tcW w:w="714" w:type="pct"/>
            <w:tcBorders>
              <w:top w:val="nil"/>
              <w:left w:val="nil"/>
              <w:bottom w:val="nil"/>
              <w:right w:val="nil"/>
            </w:tcBorders>
            <w:shd w:val="clear" w:color="000000" w:fill="4F81BD"/>
            <w:vAlign w:val="bottom"/>
            <w:hideMark/>
          </w:tcPr>
          <w:p w14:paraId="0C62F660" w14:textId="13B3598F" w:rsidR="00157E83" w:rsidRPr="00D20D53" w:rsidRDefault="00157E83" w:rsidP="00F12244">
            <w:pPr>
              <w:pStyle w:val="TableHeader"/>
              <w:keepNext/>
            </w:pPr>
            <w:r w:rsidRPr="00D20D53">
              <w:t>Comparison</w:t>
            </w:r>
            <w:r w:rsidR="00CF486A">
              <w:t xml:space="preserve"> 2030</w:t>
            </w:r>
          </w:p>
        </w:tc>
        <w:tc>
          <w:tcPr>
            <w:tcW w:w="714" w:type="pct"/>
            <w:tcBorders>
              <w:top w:val="nil"/>
              <w:left w:val="nil"/>
              <w:bottom w:val="nil"/>
              <w:right w:val="nil"/>
            </w:tcBorders>
            <w:shd w:val="clear" w:color="000000" w:fill="4F81BD"/>
            <w:vAlign w:val="bottom"/>
            <w:hideMark/>
          </w:tcPr>
          <w:p w14:paraId="4B927FAA" w14:textId="627F705B" w:rsidR="00157E83" w:rsidRPr="00D20D53" w:rsidRDefault="00157E83" w:rsidP="00F12244">
            <w:pPr>
              <w:pStyle w:val="TableHeader"/>
              <w:keepNext/>
            </w:pPr>
            <w:r w:rsidRPr="00D20D53">
              <w:t>Skill mix change</w:t>
            </w:r>
            <w:r w:rsidR="00CF486A">
              <w:t xml:space="preserve"> 2030</w:t>
            </w:r>
          </w:p>
        </w:tc>
        <w:tc>
          <w:tcPr>
            <w:tcW w:w="714" w:type="pct"/>
            <w:tcBorders>
              <w:left w:val="nil"/>
              <w:bottom w:val="nil"/>
              <w:right w:val="nil"/>
            </w:tcBorders>
            <w:shd w:val="clear" w:color="000000" w:fill="4F81BD"/>
            <w:vAlign w:val="bottom"/>
            <w:hideMark/>
          </w:tcPr>
          <w:p w14:paraId="4E387ED7" w14:textId="09207ED2" w:rsidR="00157E83" w:rsidRPr="00D20D53" w:rsidRDefault="00CF486A" w:rsidP="00CF486A">
            <w:pPr>
              <w:pStyle w:val="TableHeader"/>
              <w:keepNext/>
            </w:pPr>
            <w:r w:rsidRPr="00D20D53">
              <w:t>Extra from Comparison</w:t>
            </w:r>
          </w:p>
        </w:tc>
        <w:tc>
          <w:tcPr>
            <w:tcW w:w="714" w:type="pct"/>
            <w:tcBorders>
              <w:top w:val="nil"/>
              <w:left w:val="nil"/>
              <w:bottom w:val="nil"/>
              <w:right w:val="nil"/>
            </w:tcBorders>
            <w:shd w:val="clear" w:color="000000" w:fill="4F81BD"/>
            <w:vAlign w:val="bottom"/>
            <w:hideMark/>
          </w:tcPr>
          <w:p w14:paraId="6866CF07" w14:textId="4E062FBF" w:rsidR="00157E83" w:rsidRPr="00D20D53" w:rsidRDefault="00157E83" w:rsidP="00F12244">
            <w:pPr>
              <w:pStyle w:val="TableHeader"/>
              <w:keepNext/>
            </w:pPr>
            <w:r w:rsidRPr="00D20D53">
              <w:t>Private example</w:t>
            </w:r>
            <w:r w:rsidR="00CF486A">
              <w:t xml:space="preserve"> 2030</w:t>
            </w:r>
          </w:p>
        </w:tc>
        <w:tc>
          <w:tcPr>
            <w:tcW w:w="714" w:type="pct"/>
            <w:tcBorders>
              <w:left w:val="nil"/>
              <w:bottom w:val="nil"/>
              <w:right w:val="nil"/>
            </w:tcBorders>
            <w:shd w:val="clear" w:color="000000" w:fill="4F81BD"/>
            <w:vAlign w:val="bottom"/>
            <w:hideMark/>
          </w:tcPr>
          <w:p w14:paraId="4B211FFA" w14:textId="2CFAFE8F" w:rsidR="00157E83" w:rsidRPr="00D20D53" w:rsidRDefault="00CF486A" w:rsidP="00F12244">
            <w:pPr>
              <w:pStyle w:val="TableHeader"/>
              <w:keepNext/>
            </w:pPr>
            <w:r w:rsidRPr="00D20D53">
              <w:t>Extra from Comparison</w:t>
            </w:r>
          </w:p>
        </w:tc>
      </w:tr>
      <w:tr w:rsidR="008348C4" w:rsidRPr="00F477F6" w14:paraId="4A9E3370" w14:textId="77777777" w:rsidTr="00CF486A">
        <w:trPr>
          <w:cantSplit/>
          <w:trHeight w:val="567"/>
        </w:trPr>
        <w:tc>
          <w:tcPr>
            <w:tcW w:w="714" w:type="pct"/>
            <w:tcBorders>
              <w:top w:val="nil"/>
              <w:left w:val="nil"/>
              <w:bottom w:val="nil"/>
              <w:right w:val="nil"/>
            </w:tcBorders>
            <w:shd w:val="clear" w:color="000000" w:fill="DCE6F1"/>
            <w:noWrap/>
            <w:vAlign w:val="bottom"/>
            <w:hideMark/>
          </w:tcPr>
          <w:p w14:paraId="04E13B34" w14:textId="77777777" w:rsidR="008348C4" w:rsidRPr="00F477F6" w:rsidRDefault="008348C4" w:rsidP="00F12244">
            <w:pPr>
              <w:pStyle w:val="TableText"/>
              <w:keepNext/>
              <w:rPr>
                <w:lang w:eastAsia="en-AU"/>
              </w:rPr>
            </w:pPr>
            <w:r w:rsidRPr="00F477F6">
              <w:rPr>
                <w:lang w:eastAsia="en-AU"/>
              </w:rPr>
              <w:t>RN</w:t>
            </w:r>
          </w:p>
        </w:tc>
        <w:tc>
          <w:tcPr>
            <w:tcW w:w="714" w:type="pct"/>
            <w:tcBorders>
              <w:top w:val="nil"/>
              <w:left w:val="nil"/>
              <w:bottom w:val="nil"/>
              <w:right w:val="nil"/>
            </w:tcBorders>
            <w:shd w:val="clear" w:color="000000" w:fill="DCE6F1"/>
            <w:noWrap/>
            <w:vAlign w:val="bottom"/>
            <w:hideMark/>
          </w:tcPr>
          <w:p w14:paraId="4FA8DC5B" w14:textId="47438D54" w:rsidR="008348C4" w:rsidRPr="00F477F6" w:rsidRDefault="003A2FDA" w:rsidP="00F12244">
            <w:pPr>
              <w:pStyle w:val="TableTextcentred"/>
              <w:keepNext/>
              <w:jc w:val="right"/>
              <w:rPr>
                <w:lang w:eastAsia="en-AU"/>
              </w:rPr>
            </w:pPr>
            <w:r w:rsidRPr="00F477F6">
              <w:rPr>
                <w:lang w:eastAsia="en-AU"/>
              </w:rPr>
              <w:t>1</w:t>
            </w:r>
            <w:r w:rsidR="008348C4" w:rsidRPr="00F477F6">
              <w:rPr>
                <w:lang w:eastAsia="en-AU"/>
              </w:rPr>
              <w:t xml:space="preserve">00,128 </w:t>
            </w:r>
          </w:p>
        </w:tc>
        <w:tc>
          <w:tcPr>
            <w:tcW w:w="714" w:type="pct"/>
            <w:tcBorders>
              <w:top w:val="nil"/>
              <w:left w:val="nil"/>
              <w:bottom w:val="nil"/>
              <w:right w:val="nil"/>
            </w:tcBorders>
            <w:shd w:val="clear" w:color="000000" w:fill="DCE6F1"/>
            <w:noWrap/>
            <w:vAlign w:val="bottom"/>
            <w:hideMark/>
          </w:tcPr>
          <w:p w14:paraId="1C1A7E2E" w14:textId="30C886AE" w:rsidR="008348C4" w:rsidRPr="00F477F6" w:rsidRDefault="008348C4" w:rsidP="00F12244">
            <w:pPr>
              <w:pStyle w:val="TableTextcentred"/>
              <w:keepNext/>
              <w:jc w:val="right"/>
              <w:rPr>
                <w:lang w:eastAsia="en-AU"/>
              </w:rPr>
            </w:pPr>
            <w:r w:rsidRPr="00F477F6">
              <w:rPr>
                <w:lang w:eastAsia="en-AU"/>
              </w:rPr>
              <w:t xml:space="preserve"> </w:t>
            </w:r>
            <w:r w:rsidR="00157E83">
              <w:rPr>
                <w:lang w:eastAsia="en-AU"/>
              </w:rPr>
              <w:t>1</w:t>
            </w:r>
            <w:r w:rsidRPr="00F477F6">
              <w:rPr>
                <w:lang w:eastAsia="en-AU"/>
              </w:rPr>
              <w:t xml:space="preserve">27,762 </w:t>
            </w:r>
          </w:p>
        </w:tc>
        <w:tc>
          <w:tcPr>
            <w:tcW w:w="714" w:type="pct"/>
            <w:tcBorders>
              <w:top w:val="nil"/>
              <w:left w:val="nil"/>
              <w:bottom w:val="nil"/>
              <w:right w:val="nil"/>
            </w:tcBorders>
            <w:shd w:val="clear" w:color="000000" w:fill="DCE6F1"/>
            <w:noWrap/>
            <w:vAlign w:val="bottom"/>
            <w:hideMark/>
          </w:tcPr>
          <w:p w14:paraId="3F676C80" w14:textId="17E37FA1" w:rsidR="008348C4" w:rsidRPr="00F477F6" w:rsidRDefault="00157E83" w:rsidP="00F12244">
            <w:pPr>
              <w:pStyle w:val="TableTextcentred"/>
              <w:keepNext/>
              <w:jc w:val="right"/>
              <w:rPr>
                <w:lang w:eastAsia="en-AU"/>
              </w:rPr>
            </w:pPr>
            <w:r>
              <w:rPr>
                <w:lang w:eastAsia="en-AU"/>
              </w:rPr>
              <w:t>1</w:t>
            </w:r>
            <w:r w:rsidR="008348C4" w:rsidRPr="00F477F6">
              <w:rPr>
                <w:lang w:eastAsia="en-AU"/>
              </w:rPr>
              <w:t xml:space="preserve">27,762 </w:t>
            </w:r>
          </w:p>
        </w:tc>
        <w:tc>
          <w:tcPr>
            <w:tcW w:w="714" w:type="pct"/>
            <w:tcBorders>
              <w:top w:val="nil"/>
              <w:left w:val="nil"/>
              <w:bottom w:val="nil"/>
              <w:right w:val="nil"/>
            </w:tcBorders>
            <w:shd w:val="clear" w:color="000000" w:fill="DCE6F1"/>
            <w:noWrap/>
            <w:vAlign w:val="bottom"/>
            <w:hideMark/>
          </w:tcPr>
          <w:p w14:paraId="7DBA3068" w14:textId="19039939" w:rsidR="008348C4" w:rsidRPr="00F477F6" w:rsidRDefault="00BC64F3" w:rsidP="00F12244">
            <w:pPr>
              <w:pStyle w:val="TableTextcentred"/>
              <w:keepNext/>
              <w:jc w:val="right"/>
              <w:rPr>
                <w:b/>
                <w:bCs/>
                <w:lang w:eastAsia="en-AU"/>
              </w:rPr>
            </w:pPr>
            <w:r>
              <w:rPr>
                <w:b/>
                <w:bCs/>
                <w:lang w:eastAsia="en-AU"/>
              </w:rPr>
              <w:t>0</w:t>
            </w:r>
          </w:p>
        </w:tc>
        <w:tc>
          <w:tcPr>
            <w:tcW w:w="714" w:type="pct"/>
            <w:tcBorders>
              <w:top w:val="nil"/>
              <w:left w:val="nil"/>
              <w:bottom w:val="nil"/>
              <w:right w:val="nil"/>
            </w:tcBorders>
            <w:shd w:val="clear" w:color="000000" w:fill="DCE6F1"/>
            <w:noWrap/>
            <w:vAlign w:val="bottom"/>
            <w:hideMark/>
          </w:tcPr>
          <w:p w14:paraId="6ADFF1AD" w14:textId="20CAF6C6" w:rsidR="008348C4" w:rsidRPr="00F477F6" w:rsidRDefault="008348C4" w:rsidP="00F12244">
            <w:pPr>
              <w:pStyle w:val="TableTextcentred"/>
              <w:keepNext/>
              <w:jc w:val="right"/>
              <w:rPr>
                <w:lang w:eastAsia="en-AU"/>
              </w:rPr>
            </w:pPr>
            <w:r w:rsidRPr="00F477F6">
              <w:rPr>
                <w:lang w:eastAsia="en-AU"/>
              </w:rPr>
              <w:t xml:space="preserve">117,736 </w:t>
            </w:r>
          </w:p>
        </w:tc>
        <w:tc>
          <w:tcPr>
            <w:tcW w:w="714" w:type="pct"/>
            <w:tcBorders>
              <w:top w:val="nil"/>
              <w:left w:val="nil"/>
              <w:bottom w:val="nil"/>
              <w:right w:val="nil"/>
            </w:tcBorders>
            <w:shd w:val="clear" w:color="000000" w:fill="DCE6F1"/>
            <w:noWrap/>
            <w:vAlign w:val="bottom"/>
            <w:hideMark/>
          </w:tcPr>
          <w:p w14:paraId="2C476944" w14:textId="77777777" w:rsidR="008348C4" w:rsidRPr="00F477F6" w:rsidRDefault="008348C4" w:rsidP="00F12244">
            <w:pPr>
              <w:pStyle w:val="TableTextcentred"/>
              <w:keepNext/>
              <w:jc w:val="right"/>
              <w:rPr>
                <w:b/>
                <w:bCs/>
                <w:color w:val="FF0000"/>
                <w:lang w:eastAsia="en-AU"/>
              </w:rPr>
            </w:pPr>
            <w:r w:rsidRPr="00F477F6">
              <w:rPr>
                <w:b/>
                <w:bCs/>
                <w:color w:val="FF0000"/>
                <w:lang w:eastAsia="en-AU"/>
              </w:rPr>
              <w:t xml:space="preserve">-10,026 </w:t>
            </w:r>
          </w:p>
        </w:tc>
      </w:tr>
      <w:tr w:rsidR="008348C4" w:rsidRPr="00F477F6" w14:paraId="22D88047" w14:textId="77777777" w:rsidTr="00CF486A">
        <w:trPr>
          <w:cantSplit/>
          <w:trHeight w:val="567"/>
        </w:trPr>
        <w:tc>
          <w:tcPr>
            <w:tcW w:w="714" w:type="pct"/>
            <w:tcBorders>
              <w:top w:val="nil"/>
              <w:left w:val="nil"/>
              <w:bottom w:val="nil"/>
              <w:right w:val="nil"/>
            </w:tcBorders>
            <w:shd w:val="clear" w:color="000000" w:fill="DCE6F1"/>
            <w:noWrap/>
            <w:vAlign w:val="bottom"/>
            <w:hideMark/>
          </w:tcPr>
          <w:p w14:paraId="32283272" w14:textId="77777777" w:rsidR="008348C4" w:rsidRPr="00F477F6" w:rsidRDefault="008348C4" w:rsidP="00F12244">
            <w:pPr>
              <w:pStyle w:val="TableText"/>
              <w:keepNext/>
              <w:rPr>
                <w:lang w:eastAsia="en-AU"/>
              </w:rPr>
            </w:pPr>
            <w:r w:rsidRPr="00F477F6">
              <w:rPr>
                <w:lang w:eastAsia="en-AU"/>
              </w:rPr>
              <w:t>EN</w:t>
            </w:r>
          </w:p>
        </w:tc>
        <w:tc>
          <w:tcPr>
            <w:tcW w:w="714" w:type="pct"/>
            <w:tcBorders>
              <w:top w:val="nil"/>
              <w:left w:val="nil"/>
              <w:bottom w:val="nil"/>
              <w:right w:val="nil"/>
            </w:tcBorders>
            <w:shd w:val="clear" w:color="000000" w:fill="DCE6F1"/>
            <w:noWrap/>
            <w:vAlign w:val="bottom"/>
            <w:hideMark/>
          </w:tcPr>
          <w:p w14:paraId="4B240253" w14:textId="0D45BBD5" w:rsidR="008348C4" w:rsidRPr="00F477F6" w:rsidRDefault="003A2FDA" w:rsidP="00F12244">
            <w:pPr>
              <w:pStyle w:val="TableTextcentred"/>
              <w:keepNext/>
              <w:jc w:val="right"/>
              <w:rPr>
                <w:lang w:eastAsia="en-AU"/>
              </w:rPr>
            </w:pPr>
            <w:r w:rsidRPr="00F477F6">
              <w:rPr>
                <w:lang w:eastAsia="en-AU"/>
              </w:rPr>
              <w:t>1</w:t>
            </w:r>
            <w:r w:rsidR="008348C4" w:rsidRPr="00F477F6">
              <w:rPr>
                <w:lang w:eastAsia="en-AU"/>
              </w:rPr>
              <w:t xml:space="preserve">7,724 </w:t>
            </w:r>
          </w:p>
        </w:tc>
        <w:tc>
          <w:tcPr>
            <w:tcW w:w="714" w:type="pct"/>
            <w:tcBorders>
              <w:top w:val="nil"/>
              <w:left w:val="nil"/>
              <w:bottom w:val="nil"/>
              <w:right w:val="nil"/>
            </w:tcBorders>
            <w:shd w:val="clear" w:color="000000" w:fill="DCE6F1"/>
            <w:noWrap/>
            <w:vAlign w:val="bottom"/>
            <w:hideMark/>
          </w:tcPr>
          <w:p w14:paraId="3F7A0BDC" w14:textId="3DF5AB52" w:rsidR="008348C4" w:rsidRPr="00F477F6" w:rsidRDefault="008348C4" w:rsidP="00F12244">
            <w:pPr>
              <w:pStyle w:val="TableTextcentred"/>
              <w:keepNext/>
              <w:jc w:val="right"/>
              <w:rPr>
                <w:lang w:eastAsia="en-AU"/>
              </w:rPr>
            </w:pPr>
            <w:r w:rsidRPr="00F477F6">
              <w:rPr>
                <w:lang w:eastAsia="en-AU"/>
              </w:rPr>
              <w:t xml:space="preserve">25,616 </w:t>
            </w:r>
          </w:p>
        </w:tc>
        <w:tc>
          <w:tcPr>
            <w:tcW w:w="714" w:type="pct"/>
            <w:tcBorders>
              <w:top w:val="nil"/>
              <w:left w:val="nil"/>
              <w:bottom w:val="nil"/>
              <w:right w:val="nil"/>
            </w:tcBorders>
            <w:shd w:val="clear" w:color="000000" w:fill="DCE6F1"/>
            <w:noWrap/>
            <w:vAlign w:val="bottom"/>
            <w:hideMark/>
          </w:tcPr>
          <w:p w14:paraId="4825CB5E" w14:textId="01203536" w:rsidR="008348C4" w:rsidRPr="00F477F6" w:rsidRDefault="008348C4" w:rsidP="00F12244">
            <w:pPr>
              <w:pStyle w:val="TableTextcentred"/>
              <w:keepNext/>
              <w:jc w:val="right"/>
              <w:rPr>
                <w:lang w:eastAsia="en-AU"/>
              </w:rPr>
            </w:pPr>
            <w:r w:rsidRPr="00F477F6">
              <w:rPr>
                <w:lang w:eastAsia="en-AU"/>
              </w:rPr>
              <w:t xml:space="preserve">42,108 </w:t>
            </w:r>
          </w:p>
        </w:tc>
        <w:tc>
          <w:tcPr>
            <w:tcW w:w="714" w:type="pct"/>
            <w:tcBorders>
              <w:top w:val="nil"/>
              <w:left w:val="nil"/>
              <w:bottom w:val="nil"/>
              <w:right w:val="nil"/>
            </w:tcBorders>
            <w:shd w:val="clear" w:color="000000" w:fill="DCE6F1"/>
            <w:noWrap/>
            <w:vAlign w:val="bottom"/>
            <w:hideMark/>
          </w:tcPr>
          <w:p w14:paraId="6CF7A3D2" w14:textId="6F91BB2D" w:rsidR="008348C4" w:rsidRPr="00F477F6" w:rsidRDefault="003A2FDA" w:rsidP="00F12244">
            <w:pPr>
              <w:pStyle w:val="TableTextcentred"/>
              <w:keepNext/>
              <w:jc w:val="right"/>
              <w:rPr>
                <w:b/>
                <w:bCs/>
                <w:lang w:eastAsia="en-AU"/>
              </w:rPr>
            </w:pPr>
            <w:r w:rsidRPr="00F477F6">
              <w:rPr>
                <w:b/>
                <w:bCs/>
                <w:lang w:eastAsia="en-AU"/>
              </w:rPr>
              <w:t>1</w:t>
            </w:r>
            <w:r w:rsidR="008348C4" w:rsidRPr="00F477F6">
              <w:rPr>
                <w:b/>
                <w:bCs/>
                <w:lang w:eastAsia="en-AU"/>
              </w:rPr>
              <w:t xml:space="preserve">6,492 </w:t>
            </w:r>
          </w:p>
        </w:tc>
        <w:tc>
          <w:tcPr>
            <w:tcW w:w="714" w:type="pct"/>
            <w:tcBorders>
              <w:top w:val="nil"/>
              <w:left w:val="nil"/>
              <w:bottom w:val="nil"/>
              <w:right w:val="nil"/>
            </w:tcBorders>
            <w:shd w:val="clear" w:color="000000" w:fill="DCE6F1"/>
            <w:noWrap/>
            <w:vAlign w:val="bottom"/>
            <w:hideMark/>
          </w:tcPr>
          <w:p w14:paraId="7354A4D9" w14:textId="1547889C" w:rsidR="008348C4" w:rsidRPr="00F477F6" w:rsidRDefault="008348C4" w:rsidP="00F12244">
            <w:pPr>
              <w:pStyle w:val="TableTextcentred"/>
              <w:keepNext/>
              <w:jc w:val="right"/>
              <w:rPr>
                <w:lang w:eastAsia="en-AU"/>
              </w:rPr>
            </w:pPr>
            <w:r w:rsidRPr="00F477F6">
              <w:rPr>
                <w:lang w:eastAsia="en-AU"/>
              </w:rPr>
              <w:t xml:space="preserve">42,049 </w:t>
            </w:r>
          </w:p>
        </w:tc>
        <w:tc>
          <w:tcPr>
            <w:tcW w:w="714" w:type="pct"/>
            <w:tcBorders>
              <w:top w:val="nil"/>
              <w:left w:val="nil"/>
              <w:bottom w:val="nil"/>
              <w:right w:val="nil"/>
            </w:tcBorders>
            <w:shd w:val="clear" w:color="000000" w:fill="DCE6F1"/>
            <w:noWrap/>
            <w:vAlign w:val="bottom"/>
            <w:hideMark/>
          </w:tcPr>
          <w:p w14:paraId="114518E3" w14:textId="77777777" w:rsidR="008348C4" w:rsidRPr="00F477F6" w:rsidRDefault="008348C4" w:rsidP="00F12244">
            <w:pPr>
              <w:pStyle w:val="TableTextcentred"/>
              <w:keepNext/>
              <w:jc w:val="right"/>
              <w:rPr>
                <w:b/>
                <w:bCs/>
                <w:lang w:eastAsia="en-AU"/>
              </w:rPr>
            </w:pPr>
            <w:r w:rsidRPr="00F477F6">
              <w:rPr>
                <w:b/>
                <w:bCs/>
                <w:lang w:eastAsia="en-AU"/>
              </w:rPr>
              <w:t xml:space="preserve">16,433 </w:t>
            </w:r>
          </w:p>
        </w:tc>
      </w:tr>
      <w:tr w:rsidR="008348C4" w:rsidRPr="00F477F6" w14:paraId="52CD8332" w14:textId="77777777" w:rsidTr="00CF486A">
        <w:trPr>
          <w:cantSplit/>
          <w:trHeight w:val="567"/>
        </w:trPr>
        <w:tc>
          <w:tcPr>
            <w:tcW w:w="714" w:type="pct"/>
            <w:tcBorders>
              <w:top w:val="nil"/>
              <w:left w:val="nil"/>
              <w:bottom w:val="nil"/>
              <w:right w:val="nil"/>
            </w:tcBorders>
            <w:shd w:val="clear" w:color="000000" w:fill="DCE6F1"/>
            <w:noWrap/>
            <w:vAlign w:val="bottom"/>
            <w:hideMark/>
          </w:tcPr>
          <w:p w14:paraId="66BDE607" w14:textId="77777777" w:rsidR="008348C4" w:rsidRPr="00F477F6" w:rsidRDefault="008348C4" w:rsidP="00F12244">
            <w:pPr>
              <w:pStyle w:val="TableText"/>
              <w:keepNext/>
              <w:rPr>
                <w:lang w:eastAsia="en-AU"/>
              </w:rPr>
            </w:pPr>
            <w:r w:rsidRPr="00F477F6">
              <w:rPr>
                <w:lang w:eastAsia="en-AU"/>
              </w:rPr>
              <w:t>AIN/PCA</w:t>
            </w:r>
          </w:p>
        </w:tc>
        <w:tc>
          <w:tcPr>
            <w:tcW w:w="714" w:type="pct"/>
            <w:tcBorders>
              <w:top w:val="nil"/>
              <w:left w:val="nil"/>
              <w:bottom w:val="nil"/>
              <w:right w:val="nil"/>
            </w:tcBorders>
            <w:shd w:val="clear" w:color="000000" w:fill="DCE6F1"/>
            <w:noWrap/>
            <w:vAlign w:val="bottom"/>
            <w:hideMark/>
          </w:tcPr>
          <w:p w14:paraId="1E2E8A43" w14:textId="5C195010" w:rsidR="008348C4" w:rsidRPr="00F477F6" w:rsidRDefault="008348C4" w:rsidP="00F12244">
            <w:pPr>
              <w:pStyle w:val="TableTextcentred"/>
              <w:keepNext/>
              <w:jc w:val="right"/>
              <w:rPr>
                <w:lang w:eastAsia="en-AU"/>
              </w:rPr>
            </w:pPr>
            <w:r w:rsidRPr="00F477F6">
              <w:rPr>
                <w:lang w:eastAsia="en-AU"/>
              </w:rPr>
              <w:t xml:space="preserve">4,000 </w:t>
            </w:r>
          </w:p>
        </w:tc>
        <w:tc>
          <w:tcPr>
            <w:tcW w:w="714" w:type="pct"/>
            <w:tcBorders>
              <w:top w:val="nil"/>
              <w:left w:val="nil"/>
              <w:bottom w:val="nil"/>
              <w:right w:val="nil"/>
            </w:tcBorders>
            <w:shd w:val="clear" w:color="000000" w:fill="DCE6F1"/>
            <w:noWrap/>
            <w:vAlign w:val="bottom"/>
            <w:hideMark/>
          </w:tcPr>
          <w:p w14:paraId="7A7AFF82" w14:textId="14BA4448" w:rsidR="008348C4" w:rsidRPr="00F477F6" w:rsidRDefault="008348C4" w:rsidP="00F12244">
            <w:pPr>
              <w:pStyle w:val="TableTextcentred"/>
              <w:keepNext/>
              <w:jc w:val="right"/>
              <w:rPr>
                <w:lang w:eastAsia="en-AU"/>
              </w:rPr>
            </w:pPr>
            <w:r w:rsidRPr="00F477F6">
              <w:rPr>
                <w:lang w:eastAsia="en-AU"/>
              </w:rPr>
              <w:t xml:space="preserve"> 5,200 </w:t>
            </w:r>
          </w:p>
        </w:tc>
        <w:tc>
          <w:tcPr>
            <w:tcW w:w="714" w:type="pct"/>
            <w:tcBorders>
              <w:top w:val="nil"/>
              <w:left w:val="nil"/>
              <w:bottom w:val="nil"/>
              <w:right w:val="nil"/>
            </w:tcBorders>
            <w:shd w:val="clear" w:color="000000" w:fill="DCE6F1"/>
            <w:noWrap/>
            <w:vAlign w:val="bottom"/>
            <w:hideMark/>
          </w:tcPr>
          <w:p w14:paraId="5BA90FE4" w14:textId="4BA5FD42" w:rsidR="008348C4" w:rsidRPr="00F477F6" w:rsidRDefault="008348C4" w:rsidP="00F12244">
            <w:pPr>
              <w:pStyle w:val="TableTextcentred"/>
              <w:keepNext/>
              <w:jc w:val="right"/>
              <w:rPr>
                <w:lang w:eastAsia="en-AU"/>
              </w:rPr>
            </w:pPr>
            <w:r w:rsidRPr="00F477F6">
              <w:rPr>
                <w:lang w:eastAsia="en-AU"/>
              </w:rPr>
              <w:t xml:space="preserve">8,410 </w:t>
            </w:r>
          </w:p>
        </w:tc>
        <w:tc>
          <w:tcPr>
            <w:tcW w:w="714" w:type="pct"/>
            <w:tcBorders>
              <w:top w:val="nil"/>
              <w:left w:val="nil"/>
              <w:bottom w:val="nil"/>
              <w:right w:val="nil"/>
            </w:tcBorders>
            <w:shd w:val="clear" w:color="000000" w:fill="DCE6F1"/>
            <w:noWrap/>
            <w:vAlign w:val="bottom"/>
            <w:hideMark/>
          </w:tcPr>
          <w:p w14:paraId="7FD38CCB" w14:textId="44C6AF80" w:rsidR="008348C4" w:rsidRPr="00F477F6" w:rsidRDefault="008348C4" w:rsidP="00F12244">
            <w:pPr>
              <w:pStyle w:val="TableTextcentred"/>
              <w:keepNext/>
              <w:jc w:val="right"/>
              <w:rPr>
                <w:b/>
                <w:bCs/>
                <w:lang w:eastAsia="en-AU"/>
              </w:rPr>
            </w:pPr>
            <w:r w:rsidRPr="00F477F6">
              <w:rPr>
                <w:b/>
                <w:bCs/>
                <w:lang w:eastAsia="en-AU"/>
              </w:rPr>
              <w:t xml:space="preserve">3,210 </w:t>
            </w:r>
          </w:p>
        </w:tc>
        <w:tc>
          <w:tcPr>
            <w:tcW w:w="714" w:type="pct"/>
            <w:tcBorders>
              <w:top w:val="nil"/>
              <w:left w:val="nil"/>
              <w:bottom w:val="nil"/>
              <w:right w:val="nil"/>
            </w:tcBorders>
            <w:shd w:val="clear" w:color="000000" w:fill="DCE6F1"/>
            <w:noWrap/>
            <w:vAlign w:val="bottom"/>
            <w:hideMark/>
          </w:tcPr>
          <w:p w14:paraId="71CD4852" w14:textId="50E25684" w:rsidR="008348C4" w:rsidRPr="00F477F6" w:rsidRDefault="008348C4" w:rsidP="00F12244">
            <w:pPr>
              <w:pStyle w:val="TableTextcentred"/>
              <w:keepNext/>
              <w:jc w:val="right"/>
              <w:rPr>
                <w:lang w:eastAsia="en-AU"/>
              </w:rPr>
            </w:pPr>
            <w:r w:rsidRPr="00F477F6">
              <w:rPr>
                <w:lang w:eastAsia="en-AU"/>
              </w:rPr>
              <w:t xml:space="preserve"> 8,410 </w:t>
            </w:r>
          </w:p>
        </w:tc>
        <w:tc>
          <w:tcPr>
            <w:tcW w:w="714" w:type="pct"/>
            <w:tcBorders>
              <w:top w:val="nil"/>
              <w:left w:val="nil"/>
              <w:bottom w:val="nil"/>
              <w:right w:val="nil"/>
            </w:tcBorders>
            <w:shd w:val="clear" w:color="000000" w:fill="DCE6F1"/>
            <w:noWrap/>
            <w:vAlign w:val="bottom"/>
            <w:hideMark/>
          </w:tcPr>
          <w:p w14:paraId="6B5C664D" w14:textId="77777777" w:rsidR="008348C4" w:rsidRPr="00F477F6" w:rsidRDefault="008348C4" w:rsidP="00F12244">
            <w:pPr>
              <w:pStyle w:val="TableTextcentred"/>
              <w:keepNext/>
              <w:jc w:val="right"/>
              <w:rPr>
                <w:b/>
                <w:bCs/>
                <w:lang w:eastAsia="en-AU"/>
              </w:rPr>
            </w:pPr>
            <w:r w:rsidRPr="00F477F6">
              <w:rPr>
                <w:b/>
                <w:bCs/>
                <w:lang w:eastAsia="en-AU"/>
              </w:rPr>
              <w:t xml:space="preserve">3,210 </w:t>
            </w:r>
          </w:p>
        </w:tc>
      </w:tr>
      <w:tr w:rsidR="008348C4" w:rsidRPr="00F477F6" w14:paraId="03C3EDD5" w14:textId="77777777" w:rsidTr="00CF486A">
        <w:trPr>
          <w:cantSplit/>
          <w:trHeight w:val="567"/>
        </w:trPr>
        <w:tc>
          <w:tcPr>
            <w:tcW w:w="714" w:type="pct"/>
            <w:tcBorders>
              <w:top w:val="nil"/>
              <w:left w:val="nil"/>
              <w:bottom w:val="nil"/>
              <w:right w:val="nil"/>
            </w:tcBorders>
            <w:shd w:val="clear" w:color="000000" w:fill="4F81BD"/>
            <w:noWrap/>
            <w:vAlign w:val="bottom"/>
            <w:hideMark/>
          </w:tcPr>
          <w:p w14:paraId="312EEC4F" w14:textId="77777777" w:rsidR="008348C4" w:rsidRPr="00F477F6" w:rsidRDefault="008348C4" w:rsidP="00F12244">
            <w:pPr>
              <w:pStyle w:val="TableText"/>
              <w:keepNext/>
              <w:rPr>
                <w:b/>
                <w:bCs/>
                <w:color w:val="FFFFFF"/>
                <w:lang w:eastAsia="en-AU"/>
              </w:rPr>
            </w:pPr>
            <w:r w:rsidRPr="00F477F6">
              <w:rPr>
                <w:b/>
                <w:bCs/>
                <w:color w:val="FFFFFF"/>
                <w:lang w:eastAsia="en-AU"/>
              </w:rPr>
              <w:t>Total</w:t>
            </w:r>
          </w:p>
        </w:tc>
        <w:tc>
          <w:tcPr>
            <w:tcW w:w="714" w:type="pct"/>
            <w:tcBorders>
              <w:top w:val="nil"/>
              <w:left w:val="nil"/>
              <w:bottom w:val="nil"/>
              <w:right w:val="nil"/>
            </w:tcBorders>
            <w:shd w:val="clear" w:color="000000" w:fill="4F81BD"/>
            <w:noWrap/>
            <w:vAlign w:val="bottom"/>
            <w:hideMark/>
          </w:tcPr>
          <w:p w14:paraId="702C4FB0" w14:textId="0591BD24" w:rsidR="008348C4" w:rsidRPr="00F477F6" w:rsidRDefault="008348C4" w:rsidP="00F12244">
            <w:pPr>
              <w:pStyle w:val="TableText"/>
              <w:keepNext/>
              <w:jc w:val="right"/>
              <w:rPr>
                <w:b/>
                <w:bCs/>
                <w:color w:val="FFFFFF"/>
                <w:sz w:val="18"/>
                <w:szCs w:val="18"/>
                <w:lang w:eastAsia="en-AU"/>
              </w:rPr>
            </w:pPr>
            <w:r w:rsidRPr="00F477F6">
              <w:rPr>
                <w:b/>
                <w:bCs/>
                <w:color w:val="FFFFFF"/>
                <w:sz w:val="18"/>
                <w:szCs w:val="18"/>
                <w:lang w:eastAsia="en-AU"/>
              </w:rPr>
              <w:t xml:space="preserve">121,852 </w:t>
            </w:r>
          </w:p>
        </w:tc>
        <w:tc>
          <w:tcPr>
            <w:tcW w:w="714" w:type="pct"/>
            <w:tcBorders>
              <w:top w:val="nil"/>
              <w:left w:val="nil"/>
              <w:bottom w:val="nil"/>
              <w:right w:val="nil"/>
            </w:tcBorders>
            <w:shd w:val="clear" w:color="000000" w:fill="4F81BD"/>
            <w:noWrap/>
            <w:vAlign w:val="bottom"/>
            <w:hideMark/>
          </w:tcPr>
          <w:p w14:paraId="6EFA0D98" w14:textId="4311B797" w:rsidR="008348C4" w:rsidRPr="00F477F6" w:rsidRDefault="008348C4" w:rsidP="00F12244">
            <w:pPr>
              <w:pStyle w:val="TableText"/>
              <w:keepNext/>
              <w:jc w:val="right"/>
              <w:rPr>
                <w:b/>
                <w:bCs/>
                <w:color w:val="FFFFFF"/>
                <w:sz w:val="18"/>
                <w:szCs w:val="18"/>
                <w:lang w:eastAsia="en-AU"/>
              </w:rPr>
            </w:pPr>
            <w:r w:rsidRPr="00F477F6">
              <w:rPr>
                <w:b/>
                <w:bCs/>
                <w:color w:val="FFFFFF"/>
                <w:sz w:val="18"/>
                <w:szCs w:val="18"/>
                <w:lang w:eastAsia="en-AU"/>
              </w:rPr>
              <w:t xml:space="preserve">158,578 </w:t>
            </w:r>
          </w:p>
        </w:tc>
        <w:tc>
          <w:tcPr>
            <w:tcW w:w="714" w:type="pct"/>
            <w:tcBorders>
              <w:top w:val="nil"/>
              <w:left w:val="nil"/>
              <w:bottom w:val="nil"/>
              <w:right w:val="nil"/>
            </w:tcBorders>
            <w:shd w:val="clear" w:color="000000" w:fill="4F81BD"/>
            <w:noWrap/>
            <w:vAlign w:val="bottom"/>
            <w:hideMark/>
          </w:tcPr>
          <w:p w14:paraId="09E86766" w14:textId="7E214867" w:rsidR="008348C4" w:rsidRPr="00F477F6" w:rsidRDefault="008348C4" w:rsidP="00F12244">
            <w:pPr>
              <w:pStyle w:val="TableText"/>
              <w:keepNext/>
              <w:jc w:val="right"/>
              <w:rPr>
                <w:b/>
                <w:bCs/>
                <w:color w:val="FFFFFF"/>
                <w:sz w:val="18"/>
                <w:szCs w:val="18"/>
                <w:lang w:eastAsia="en-AU"/>
              </w:rPr>
            </w:pPr>
            <w:r w:rsidRPr="00F477F6">
              <w:rPr>
                <w:b/>
                <w:bCs/>
                <w:color w:val="FFFFFF"/>
                <w:sz w:val="18"/>
                <w:szCs w:val="18"/>
                <w:lang w:eastAsia="en-AU"/>
              </w:rPr>
              <w:t xml:space="preserve"> </w:t>
            </w:r>
            <w:r w:rsidR="003A2FDA" w:rsidRPr="00F477F6">
              <w:rPr>
                <w:b/>
                <w:bCs/>
                <w:color w:val="FFFFFF"/>
                <w:sz w:val="18"/>
                <w:szCs w:val="18"/>
                <w:lang w:eastAsia="en-AU"/>
              </w:rPr>
              <w:t>1</w:t>
            </w:r>
            <w:r w:rsidRPr="00F477F6">
              <w:rPr>
                <w:b/>
                <w:bCs/>
                <w:color w:val="FFFFFF"/>
                <w:sz w:val="18"/>
                <w:szCs w:val="18"/>
                <w:lang w:eastAsia="en-AU"/>
              </w:rPr>
              <w:t xml:space="preserve">78,280 </w:t>
            </w:r>
          </w:p>
        </w:tc>
        <w:tc>
          <w:tcPr>
            <w:tcW w:w="714" w:type="pct"/>
            <w:tcBorders>
              <w:top w:val="nil"/>
              <w:left w:val="nil"/>
              <w:bottom w:val="nil"/>
              <w:right w:val="nil"/>
            </w:tcBorders>
            <w:shd w:val="clear" w:color="000000" w:fill="4F81BD"/>
            <w:noWrap/>
            <w:vAlign w:val="bottom"/>
            <w:hideMark/>
          </w:tcPr>
          <w:p w14:paraId="33D36C2D" w14:textId="5DE391A0" w:rsidR="008348C4" w:rsidRPr="00F477F6" w:rsidRDefault="008348C4" w:rsidP="00F12244">
            <w:pPr>
              <w:pStyle w:val="TableText"/>
              <w:keepNext/>
              <w:jc w:val="right"/>
              <w:rPr>
                <w:b/>
                <w:bCs/>
                <w:color w:val="FFFFFF"/>
                <w:sz w:val="18"/>
                <w:szCs w:val="18"/>
                <w:lang w:eastAsia="en-AU"/>
              </w:rPr>
            </w:pPr>
            <w:r w:rsidRPr="00F477F6">
              <w:rPr>
                <w:b/>
                <w:bCs/>
                <w:color w:val="FFFFFF"/>
                <w:sz w:val="18"/>
                <w:szCs w:val="18"/>
                <w:lang w:eastAsia="en-AU"/>
              </w:rPr>
              <w:t xml:space="preserve">19,702 </w:t>
            </w:r>
          </w:p>
        </w:tc>
        <w:tc>
          <w:tcPr>
            <w:tcW w:w="714" w:type="pct"/>
            <w:tcBorders>
              <w:top w:val="nil"/>
              <w:left w:val="nil"/>
              <w:bottom w:val="nil"/>
              <w:right w:val="nil"/>
            </w:tcBorders>
            <w:shd w:val="clear" w:color="000000" w:fill="4F81BD"/>
            <w:noWrap/>
            <w:vAlign w:val="bottom"/>
            <w:hideMark/>
          </w:tcPr>
          <w:p w14:paraId="50E9D60F" w14:textId="758D1330" w:rsidR="008348C4" w:rsidRPr="00F477F6" w:rsidRDefault="008348C4" w:rsidP="00F12244">
            <w:pPr>
              <w:pStyle w:val="TableText"/>
              <w:keepNext/>
              <w:jc w:val="right"/>
              <w:rPr>
                <w:b/>
                <w:bCs/>
                <w:color w:val="FFFFFF"/>
                <w:sz w:val="18"/>
                <w:szCs w:val="18"/>
                <w:lang w:eastAsia="en-AU"/>
              </w:rPr>
            </w:pPr>
            <w:r w:rsidRPr="00F477F6">
              <w:rPr>
                <w:b/>
                <w:bCs/>
                <w:color w:val="FFFFFF"/>
                <w:sz w:val="18"/>
                <w:szCs w:val="18"/>
                <w:lang w:eastAsia="en-AU"/>
              </w:rPr>
              <w:t xml:space="preserve">168,195 </w:t>
            </w:r>
          </w:p>
        </w:tc>
        <w:tc>
          <w:tcPr>
            <w:tcW w:w="714" w:type="pct"/>
            <w:tcBorders>
              <w:top w:val="nil"/>
              <w:left w:val="nil"/>
              <w:bottom w:val="nil"/>
              <w:right w:val="nil"/>
            </w:tcBorders>
            <w:shd w:val="clear" w:color="000000" w:fill="4F81BD"/>
            <w:noWrap/>
            <w:vAlign w:val="bottom"/>
            <w:hideMark/>
          </w:tcPr>
          <w:p w14:paraId="35C5E3E1" w14:textId="77777777" w:rsidR="008348C4" w:rsidRPr="00F477F6" w:rsidRDefault="008348C4" w:rsidP="00F12244">
            <w:pPr>
              <w:pStyle w:val="TableText"/>
              <w:keepNext/>
              <w:jc w:val="right"/>
              <w:rPr>
                <w:b/>
                <w:bCs/>
                <w:color w:val="FFFFFF"/>
                <w:sz w:val="18"/>
                <w:szCs w:val="18"/>
                <w:lang w:eastAsia="en-AU"/>
              </w:rPr>
            </w:pPr>
            <w:r w:rsidRPr="00F477F6">
              <w:rPr>
                <w:b/>
                <w:bCs/>
                <w:color w:val="FFFFFF"/>
                <w:sz w:val="18"/>
                <w:szCs w:val="18"/>
                <w:lang w:eastAsia="en-AU"/>
              </w:rPr>
              <w:t xml:space="preserve">9,617 </w:t>
            </w:r>
          </w:p>
        </w:tc>
      </w:tr>
    </w:tbl>
    <w:p w14:paraId="4F99BFC2" w14:textId="6A4C5786" w:rsidR="00E35A43" w:rsidRPr="00F477F6" w:rsidRDefault="009718F2" w:rsidP="00D20D53">
      <w:pPr>
        <w:pStyle w:val="Heading3"/>
        <w:rPr>
          <w:lang w:val="en-AU"/>
        </w:rPr>
      </w:pPr>
      <w:r w:rsidRPr="00F477F6">
        <w:rPr>
          <w:lang w:val="en-AU"/>
        </w:rPr>
        <w:t>Aged care sector</w:t>
      </w:r>
    </w:p>
    <w:p w14:paraId="5F217B5F" w14:textId="315825F9" w:rsidR="00A149E4" w:rsidRPr="00F477F6" w:rsidRDefault="00E35A43" w:rsidP="00D20D53">
      <w:r w:rsidRPr="00F477F6">
        <w:t xml:space="preserve">For the aged care sector, </w:t>
      </w:r>
      <w:r w:rsidR="00B3121B" w:rsidRPr="00F477F6">
        <w:t xml:space="preserve">the scenario used a </w:t>
      </w:r>
      <w:r w:rsidRPr="00F477F6">
        <w:t xml:space="preserve">skill mix of 15 </w:t>
      </w:r>
      <w:r w:rsidR="001262DE" w:rsidRPr="00F477F6">
        <w:t>percent</w:t>
      </w:r>
      <w:r w:rsidRPr="00F477F6">
        <w:t xml:space="preserve"> RNs, 15 percent ENs and 70 </w:t>
      </w:r>
      <w:r w:rsidR="001262DE" w:rsidRPr="00F477F6">
        <w:t>percent</w:t>
      </w:r>
      <w:r w:rsidRPr="00F477F6">
        <w:t xml:space="preserve"> AINs/PCAs in 2030. Results of the skill mix scenarios for the a</w:t>
      </w:r>
      <w:r w:rsidR="00C44559" w:rsidRPr="00F477F6">
        <w:t xml:space="preserve">ged care </w:t>
      </w:r>
      <w:r w:rsidRPr="00F477F6">
        <w:t xml:space="preserve">sector are shown in </w:t>
      </w:r>
      <w:r w:rsidR="00A149E4" w:rsidRPr="00F477F6">
        <w:t>Figure 12 and Table 12.</w:t>
      </w:r>
    </w:p>
    <w:p w14:paraId="419A08DC" w14:textId="4E0D2B8B" w:rsidR="00E35A43" w:rsidRPr="00F477F6" w:rsidRDefault="00E35A43" w:rsidP="00D20D53">
      <w:r w:rsidRPr="00F477F6">
        <w:t>Under the comparison scenario (using the combined scenario parameters), the total a</w:t>
      </w:r>
      <w:r w:rsidR="00C44559" w:rsidRPr="00F477F6">
        <w:t>ged care</w:t>
      </w:r>
      <w:r w:rsidRPr="00F477F6">
        <w:t xml:space="preserve"> nursing workforce</w:t>
      </w:r>
      <w:r w:rsidRPr="00F477F6">
        <w:rPr>
          <w:b/>
        </w:rPr>
        <w:t xml:space="preserve"> </w:t>
      </w:r>
      <w:r w:rsidRPr="00F477F6">
        <w:t xml:space="preserve">increases from </w:t>
      </w:r>
      <w:r w:rsidR="00C44559" w:rsidRPr="00F477F6">
        <w:t>140,833</w:t>
      </w:r>
      <w:r w:rsidRPr="00F477F6">
        <w:t xml:space="preserve"> in 2012 to a projected total of 1</w:t>
      </w:r>
      <w:r w:rsidR="00C44559" w:rsidRPr="00F477F6">
        <w:t>90,362</w:t>
      </w:r>
      <w:r w:rsidRPr="00F477F6">
        <w:t xml:space="preserve"> in 2030. </w:t>
      </w:r>
    </w:p>
    <w:p w14:paraId="4D52C17A" w14:textId="77777777" w:rsidR="00E35A43" w:rsidRPr="00F477F6" w:rsidRDefault="00E35A43" w:rsidP="00D20D53">
      <w:r w:rsidRPr="00F477F6">
        <w:t>Under the skill mix change scenario based on limitations in training capacity:</w:t>
      </w:r>
    </w:p>
    <w:p w14:paraId="7AD55230" w14:textId="069938F1" w:rsidR="00E35A43" w:rsidRPr="00F477F6" w:rsidRDefault="00E35A43" w:rsidP="00D20D53">
      <w:pPr>
        <w:pStyle w:val="ListParagraph"/>
        <w:numPr>
          <w:ilvl w:val="0"/>
          <w:numId w:val="22"/>
        </w:numPr>
      </w:pPr>
      <w:r w:rsidRPr="00F477F6">
        <w:t xml:space="preserve">The total </w:t>
      </w:r>
      <w:r w:rsidR="00C44559" w:rsidRPr="00F477F6">
        <w:t>aged care</w:t>
      </w:r>
      <w:r w:rsidRPr="00F477F6">
        <w:t xml:space="preserve"> nursing workforce </w:t>
      </w:r>
      <w:r w:rsidR="00C44559" w:rsidRPr="00F477F6">
        <w:t>increases from 140,833 in 2012 to 170,315 in 2030</w:t>
      </w:r>
      <w:r w:rsidRPr="00F477F6">
        <w:t>.</w:t>
      </w:r>
      <w:r w:rsidR="00872DB4" w:rsidRPr="00F477F6">
        <w:t xml:space="preserve"> </w:t>
      </w:r>
    </w:p>
    <w:p w14:paraId="0F319FD3" w14:textId="5A3805F4" w:rsidR="00C44559" w:rsidRPr="00F477F6" w:rsidRDefault="00E35A43" w:rsidP="00D20D53">
      <w:pPr>
        <w:pStyle w:val="ListParagraph"/>
        <w:numPr>
          <w:ilvl w:val="0"/>
          <w:numId w:val="22"/>
        </w:numPr>
      </w:pPr>
      <w:r w:rsidRPr="00F477F6">
        <w:t xml:space="preserve">The </w:t>
      </w:r>
      <w:r w:rsidR="00C44559" w:rsidRPr="00F477F6">
        <w:t xml:space="preserve">percentage share of RNs in the aged care nursing workforce is maintained (at approximately 18 </w:t>
      </w:r>
      <w:r w:rsidR="001262DE" w:rsidRPr="00F477F6">
        <w:t>percent</w:t>
      </w:r>
      <w:r w:rsidR="00C44559" w:rsidRPr="00F477F6">
        <w:t>) while their absolute number increases from 2012 (24,080) to 2030 (31,386)</w:t>
      </w:r>
      <w:r w:rsidR="00B3121B" w:rsidRPr="00F477F6">
        <w:t>.</w:t>
      </w:r>
    </w:p>
    <w:p w14:paraId="0EBDE620" w14:textId="4BDBDC99" w:rsidR="00C44559" w:rsidRPr="00F477F6" w:rsidRDefault="00C44559" w:rsidP="00D20D53">
      <w:pPr>
        <w:pStyle w:val="ListParagraph"/>
        <w:numPr>
          <w:ilvl w:val="0"/>
          <w:numId w:val="22"/>
        </w:numPr>
      </w:pPr>
      <w:r w:rsidRPr="00F477F6">
        <w:t xml:space="preserve">The percentage share of ENs in the aged care nursing workforce increases from 12 </w:t>
      </w:r>
      <w:r w:rsidR="001262DE" w:rsidRPr="00F477F6">
        <w:t>percent</w:t>
      </w:r>
      <w:r w:rsidRPr="00F477F6">
        <w:t xml:space="preserve"> in 2012 to 17 </w:t>
      </w:r>
      <w:r w:rsidR="001262DE" w:rsidRPr="00F477F6">
        <w:t>percent</w:t>
      </w:r>
      <w:r w:rsidRPr="00F477F6">
        <w:t xml:space="preserve"> in 2030, also with an increase in absolute numbers (from 16,441 in 2012 to 28,570 in 2030)</w:t>
      </w:r>
      <w:r w:rsidR="00B3121B" w:rsidRPr="00F477F6">
        <w:t>.</w:t>
      </w:r>
    </w:p>
    <w:p w14:paraId="0D58794C" w14:textId="6DADA9A6" w:rsidR="00E35A43" w:rsidRPr="00F477F6" w:rsidRDefault="00C44559" w:rsidP="00D20D53">
      <w:pPr>
        <w:pStyle w:val="ListParagraph"/>
        <w:numPr>
          <w:ilvl w:val="0"/>
          <w:numId w:val="22"/>
        </w:numPr>
      </w:pPr>
      <w:r w:rsidRPr="00F477F6">
        <w:t xml:space="preserve">The percentage share of AINs/PCAs in the aged care nursing workforce reduces </w:t>
      </w:r>
      <w:r w:rsidR="00EA6C11" w:rsidRPr="00F477F6">
        <w:t xml:space="preserve">from 2012 (71 </w:t>
      </w:r>
      <w:r w:rsidR="001262DE" w:rsidRPr="00F477F6">
        <w:t>percent</w:t>
      </w:r>
      <w:r w:rsidR="00EA6C11" w:rsidRPr="00F477F6">
        <w:t xml:space="preserve">) to 2030 (65 </w:t>
      </w:r>
      <w:r w:rsidR="001262DE" w:rsidRPr="00F477F6">
        <w:t>percent</w:t>
      </w:r>
      <w:r w:rsidR="00EA6C11" w:rsidRPr="00F477F6">
        <w:t>), however the absolute number of AINs/PCAs increases over the same period (</w:t>
      </w:r>
      <w:r w:rsidR="00B3121B" w:rsidRPr="00F477F6">
        <w:t>f</w:t>
      </w:r>
      <w:r w:rsidR="00EA6C11" w:rsidRPr="00F477F6">
        <w:t xml:space="preserve">rom 100,312 to 110,359). </w:t>
      </w:r>
    </w:p>
    <w:p w14:paraId="163212E8" w14:textId="2146E499" w:rsidR="00E35A43" w:rsidRPr="00F477F6" w:rsidRDefault="00B3121B" w:rsidP="00D20D53">
      <w:r w:rsidRPr="00F477F6">
        <w:t>In this scenario, the illustrative workforce percentages are not reached in 2030 due to the</w:t>
      </w:r>
      <w:r w:rsidR="00E35A43" w:rsidRPr="00F477F6">
        <w:t xml:space="preserve"> </w:t>
      </w:r>
      <w:r w:rsidR="002E16F0" w:rsidRPr="00F477F6">
        <w:t>constraints</w:t>
      </w:r>
      <w:r w:rsidR="00E35A43" w:rsidRPr="00F477F6">
        <w:t xml:space="preserve"> applied in the modelling</w:t>
      </w:r>
      <w:r w:rsidRPr="00F477F6">
        <w:t xml:space="preserve"> (around what change is </w:t>
      </w:r>
      <w:r w:rsidR="0080757E" w:rsidRPr="00F477F6">
        <w:t>achievable</w:t>
      </w:r>
      <w:r w:rsidRPr="00F477F6">
        <w:t xml:space="preserve">). This </w:t>
      </w:r>
      <w:r w:rsidR="00E35A43" w:rsidRPr="00F477F6">
        <w:t xml:space="preserve">highlights that the projected </w:t>
      </w:r>
      <w:r w:rsidR="00EA6C11" w:rsidRPr="00F477F6">
        <w:t>aged care</w:t>
      </w:r>
      <w:r w:rsidR="00E35A43" w:rsidRPr="00F477F6">
        <w:t xml:space="preserve"> nursing workforce in 2030 would include ‘excess’ RNs (approximately </w:t>
      </w:r>
      <w:r w:rsidR="00EA6C11" w:rsidRPr="00F477F6">
        <w:t>7,800</w:t>
      </w:r>
      <w:r w:rsidR="00E35A43" w:rsidRPr="00F477F6">
        <w:t>)</w:t>
      </w:r>
      <w:r w:rsidR="00EA6C11" w:rsidRPr="00F477F6">
        <w:t xml:space="preserve"> and ENs (approximately 5,000) </w:t>
      </w:r>
      <w:r w:rsidR="00E35A43" w:rsidRPr="00F477F6">
        <w:t xml:space="preserve">to those needed under the </w:t>
      </w:r>
      <w:r w:rsidRPr="00F477F6">
        <w:t>illustrative</w:t>
      </w:r>
      <w:r w:rsidR="00E35A43" w:rsidRPr="00F477F6">
        <w:t xml:space="preserve"> skill mix. These are assumed to be available to other nursing areas of practice. </w:t>
      </w:r>
    </w:p>
    <w:p w14:paraId="09663A98" w14:textId="4C7415EA" w:rsidR="00001030" w:rsidRPr="00F477F6" w:rsidRDefault="000355C9" w:rsidP="00D20D53">
      <w:pPr>
        <w:pStyle w:val="Caption"/>
      </w:pPr>
      <w:bookmarkStart w:id="143" w:name="_Ref387393668"/>
      <w:bookmarkStart w:id="144" w:name="_Toc407783225"/>
      <w:r w:rsidRPr="00F477F6">
        <w:lastRenderedPageBreak/>
        <w:t xml:space="preserve">Figure </w:t>
      </w:r>
      <w:fldSimple w:instr=" SEQ Figure \* ARABIC ">
        <w:r w:rsidR="00641259">
          <w:rPr>
            <w:noProof/>
          </w:rPr>
          <w:t>12</w:t>
        </w:r>
      </w:fldSimple>
      <w:bookmarkEnd w:id="143"/>
      <w:r w:rsidR="00001030" w:rsidRPr="00F477F6">
        <w:t>: Aged care sector skill mix scenario</w:t>
      </w:r>
      <w:bookmarkEnd w:id="144"/>
    </w:p>
    <w:bookmarkEnd w:id="103"/>
    <w:p w14:paraId="31E29B3B" w14:textId="1DC4B5F7" w:rsidR="00893C6D" w:rsidRPr="00D20D53" w:rsidRDefault="004200DB" w:rsidP="00D20D53">
      <w:r w:rsidRPr="00F477F6">
        <w:rPr>
          <w:noProof/>
          <w:lang w:eastAsia="en-AU"/>
        </w:rPr>
        <w:drawing>
          <wp:inline distT="0" distB="0" distL="0" distR="0" wp14:anchorId="22D3EB31" wp14:editId="2F5BF4FC">
            <wp:extent cx="6271078" cy="3543300"/>
            <wp:effectExtent l="0" t="0" r="0" b="0"/>
            <wp:docPr id="10" name="Picture 10" descr="The figure shows the aged care sector skill mix scenario. The scenario is made up of 15% Registered Nurses (RNs), 15% Enrolled Nurses (ENs) and 70% Assistants in Nursing/Personal Care Assistants (AIN/PCA).&#10;&#10;The figure shows the proportion of each profession under the comparison scenario, the changing skill mix based on limitations in training capacity scenario and the private sector example skill mix scenario." title="Figure 12: Aged care sector skill mix scenar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269863" cy="3542613"/>
                    </a:xfrm>
                    <a:prstGeom prst="rect">
                      <a:avLst/>
                    </a:prstGeom>
                    <a:noFill/>
                    <a:ln>
                      <a:noFill/>
                    </a:ln>
                  </pic:spPr>
                </pic:pic>
              </a:graphicData>
            </a:graphic>
          </wp:inline>
        </w:drawing>
      </w:r>
    </w:p>
    <w:p w14:paraId="009A4B59" w14:textId="752CCE93" w:rsidR="008348C4" w:rsidRPr="00F477F6" w:rsidRDefault="00B2497A" w:rsidP="00D20D53">
      <w:pPr>
        <w:pStyle w:val="Caption"/>
      </w:pPr>
      <w:bookmarkStart w:id="145" w:name="_Ref387394874"/>
      <w:bookmarkStart w:id="146" w:name="_Toc407783210"/>
      <w:r w:rsidRPr="00F477F6">
        <w:t xml:space="preserve">Table </w:t>
      </w:r>
      <w:fldSimple w:instr=" SEQ Table \* ARABIC ">
        <w:r w:rsidR="00641259">
          <w:rPr>
            <w:noProof/>
          </w:rPr>
          <w:t>13</w:t>
        </w:r>
      </w:fldSimple>
      <w:bookmarkEnd w:id="145"/>
      <w:r w:rsidR="00A77403" w:rsidRPr="00F477F6">
        <w:t xml:space="preserve">: Aged care sector skill mix scenario results </w:t>
      </w:r>
      <w:bookmarkEnd w:id="146"/>
    </w:p>
    <w:tbl>
      <w:tblPr>
        <w:tblW w:w="5032" w:type="pct"/>
        <w:tblLayout w:type="fixed"/>
        <w:tblLook w:val="04A0" w:firstRow="1" w:lastRow="0" w:firstColumn="1" w:lastColumn="0" w:noHBand="0" w:noVBand="1"/>
      </w:tblPr>
      <w:tblGrid>
        <w:gridCol w:w="1413"/>
        <w:gridCol w:w="1413"/>
        <w:gridCol w:w="1413"/>
        <w:gridCol w:w="1413"/>
        <w:gridCol w:w="1413"/>
        <w:gridCol w:w="1413"/>
        <w:gridCol w:w="1412"/>
      </w:tblGrid>
      <w:tr w:rsidR="00157E83" w:rsidRPr="000576C4" w14:paraId="4EC98D0C" w14:textId="77777777" w:rsidTr="00CE1C1C">
        <w:trPr>
          <w:trHeight w:val="567"/>
          <w:tblHeader/>
        </w:trPr>
        <w:tc>
          <w:tcPr>
            <w:tcW w:w="714" w:type="pct"/>
            <w:tcBorders>
              <w:top w:val="nil"/>
              <w:left w:val="nil"/>
              <w:bottom w:val="nil"/>
              <w:right w:val="nil"/>
            </w:tcBorders>
            <w:shd w:val="clear" w:color="000000" w:fill="4F81BD"/>
            <w:noWrap/>
            <w:vAlign w:val="bottom"/>
            <w:hideMark/>
          </w:tcPr>
          <w:p w14:paraId="46480150" w14:textId="2CF3DB2D" w:rsidR="00157E83" w:rsidRPr="000576C4" w:rsidRDefault="00157E83" w:rsidP="00D20D53">
            <w:pPr>
              <w:pStyle w:val="TableHeader"/>
              <w:keepNext/>
            </w:pPr>
            <w:bookmarkStart w:id="147" w:name="ColumnTitle_12"/>
            <w:bookmarkEnd w:id="147"/>
            <w:r w:rsidRPr="000576C4">
              <w:t>Nursing type</w:t>
            </w:r>
          </w:p>
        </w:tc>
        <w:tc>
          <w:tcPr>
            <w:tcW w:w="714" w:type="pct"/>
            <w:tcBorders>
              <w:top w:val="nil"/>
              <w:left w:val="nil"/>
              <w:bottom w:val="nil"/>
              <w:right w:val="nil"/>
            </w:tcBorders>
            <w:shd w:val="clear" w:color="000000" w:fill="4F81BD"/>
            <w:vAlign w:val="bottom"/>
            <w:hideMark/>
          </w:tcPr>
          <w:p w14:paraId="53673579" w14:textId="78BB6746" w:rsidR="00157E83" w:rsidRPr="000576C4" w:rsidRDefault="00157E83" w:rsidP="00D20D53">
            <w:pPr>
              <w:pStyle w:val="TableHeader"/>
              <w:keepNext/>
            </w:pPr>
            <w:r w:rsidRPr="000576C4">
              <w:t>Comparison</w:t>
            </w:r>
            <w:r w:rsidR="00CE1C1C">
              <w:t xml:space="preserve"> 2012</w:t>
            </w:r>
          </w:p>
        </w:tc>
        <w:tc>
          <w:tcPr>
            <w:tcW w:w="714" w:type="pct"/>
            <w:tcBorders>
              <w:top w:val="nil"/>
              <w:left w:val="nil"/>
              <w:bottom w:val="nil"/>
              <w:right w:val="nil"/>
            </w:tcBorders>
            <w:shd w:val="clear" w:color="000000" w:fill="4F81BD"/>
            <w:vAlign w:val="bottom"/>
            <w:hideMark/>
          </w:tcPr>
          <w:p w14:paraId="397B53E0" w14:textId="4875D081" w:rsidR="00157E83" w:rsidRPr="000576C4" w:rsidRDefault="00157E83" w:rsidP="00D20D53">
            <w:pPr>
              <w:pStyle w:val="TableHeader"/>
              <w:keepNext/>
            </w:pPr>
            <w:r w:rsidRPr="000576C4">
              <w:t>Comparison</w:t>
            </w:r>
            <w:r w:rsidR="00CE1C1C">
              <w:t xml:space="preserve"> 2030</w:t>
            </w:r>
          </w:p>
        </w:tc>
        <w:tc>
          <w:tcPr>
            <w:tcW w:w="714" w:type="pct"/>
            <w:tcBorders>
              <w:top w:val="nil"/>
              <w:left w:val="nil"/>
              <w:bottom w:val="nil"/>
              <w:right w:val="nil"/>
            </w:tcBorders>
            <w:shd w:val="clear" w:color="000000" w:fill="4F81BD"/>
            <w:vAlign w:val="bottom"/>
            <w:hideMark/>
          </w:tcPr>
          <w:p w14:paraId="4B4D87F3" w14:textId="6ACCCA3D" w:rsidR="00157E83" w:rsidRPr="000576C4" w:rsidRDefault="00157E83" w:rsidP="00D20D53">
            <w:pPr>
              <w:pStyle w:val="TableHeader"/>
              <w:keepNext/>
            </w:pPr>
            <w:r w:rsidRPr="000576C4">
              <w:t>Skill mix change</w:t>
            </w:r>
            <w:r w:rsidR="00CE1C1C">
              <w:t xml:space="preserve"> 2030</w:t>
            </w:r>
          </w:p>
        </w:tc>
        <w:tc>
          <w:tcPr>
            <w:tcW w:w="714" w:type="pct"/>
            <w:tcBorders>
              <w:left w:val="nil"/>
              <w:bottom w:val="nil"/>
              <w:right w:val="nil"/>
            </w:tcBorders>
            <w:shd w:val="clear" w:color="000000" w:fill="4F81BD"/>
            <w:vAlign w:val="bottom"/>
            <w:hideMark/>
          </w:tcPr>
          <w:p w14:paraId="78654B5E" w14:textId="65D0142C" w:rsidR="00157E83" w:rsidRPr="000576C4" w:rsidRDefault="00CE1C1C" w:rsidP="00D20D53">
            <w:pPr>
              <w:pStyle w:val="TableHeader"/>
              <w:keepNext/>
            </w:pPr>
            <w:r w:rsidRPr="000576C4">
              <w:t>Extra from Comparison</w:t>
            </w:r>
          </w:p>
        </w:tc>
        <w:tc>
          <w:tcPr>
            <w:tcW w:w="714" w:type="pct"/>
            <w:tcBorders>
              <w:top w:val="nil"/>
              <w:left w:val="nil"/>
              <w:bottom w:val="nil"/>
              <w:right w:val="nil"/>
            </w:tcBorders>
            <w:shd w:val="clear" w:color="000000" w:fill="4F81BD"/>
            <w:vAlign w:val="bottom"/>
            <w:hideMark/>
          </w:tcPr>
          <w:p w14:paraId="61094A09" w14:textId="4D777D25" w:rsidR="00157E83" w:rsidRPr="000576C4" w:rsidRDefault="00157E83" w:rsidP="00D20D53">
            <w:pPr>
              <w:pStyle w:val="TableHeader"/>
              <w:keepNext/>
            </w:pPr>
            <w:r w:rsidRPr="000576C4">
              <w:t>Private example</w:t>
            </w:r>
            <w:r w:rsidR="00CE1C1C">
              <w:t xml:space="preserve"> 2030</w:t>
            </w:r>
          </w:p>
        </w:tc>
        <w:tc>
          <w:tcPr>
            <w:tcW w:w="714" w:type="pct"/>
            <w:tcBorders>
              <w:left w:val="nil"/>
              <w:bottom w:val="nil"/>
              <w:right w:val="nil"/>
            </w:tcBorders>
            <w:shd w:val="clear" w:color="000000" w:fill="4F81BD"/>
            <w:vAlign w:val="bottom"/>
            <w:hideMark/>
          </w:tcPr>
          <w:p w14:paraId="3C6A22E5" w14:textId="552C002F" w:rsidR="00157E83" w:rsidRPr="000576C4" w:rsidRDefault="00CE1C1C" w:rsidP="00D20D53">
            <w:pPr>
              <w:pStyle w:val="TableHeader"/>
              <w:keepNext/>
            </w:pPr>
            <w:r w:rsidRPr="000576C4">
              <w:t>Extra from Comparison</w:t>
            </w:r>
          </w:p>
        </w:tc>
      </w:tr>
      <w:tr w:rsidR="00157E83" w:rsidRPr="00F477F6" w14:paraId="70432944" w14:textId="77777777" w:rsidTr="00CE1C1C">
        <w:trPr>
          <w:trHeight w:val="567"/>
        </w:trPr>
        <w:tc>
          <w:tcPr>
            <w:tcW w:w="714" w:type="pct"/>
            <w:tcBorders>
              <w:top w:val="nil"/>
              <w:left w:val="nil"/>
              <w:bottom w:val="nil"/>
              <w:right w:val="nil"/>
            </w:tcBorders>
            <w:shd w:val="clear" w:color="000000" w:fill="DCE6F1"/>
            <w:noWrap/>
            <w:vAlign w:val="bottom"/>
            <w:hideMark/>
          </w:tcPr>
          <w:p w14:paraId="2534E7BE" w14:textId="77777777" w:rsidR="008348C4" w:rsidRPr="00F477F6" w:rsidRDefault="008348C4" w:rsidP="00D20D53">
            <w:pPr>
              <w:pStyle w:val="TableText"/>
              <w:keepNext/>
              <w:rPr>
                <w:lang w:eastAsia="en-AU"/>
              </w:rPr>
            </w:pPr>
            <w:r w:rsidRPr="00F477F6">
              <w:rPr>
                <w:lang w:eastAsia="en-AU"/>
              </w:rPr>
              <w:t>RN</w:t>
            </w:r>
          </w:p>
        </w:tc>
        <w:tc>
          <w:tcPr>
            <w:tcW w:w="714" w:type="pct"/>
            <w:tcBorders>
              <w:top w:val="nil"/>
              <w:left w:val="nil"/>
              <w:bottom w:val="nil"/>
              <w:right w:val="nil"/>
            </w:tcBorders>
            <w:shd w:val="clear" w:color="000000" w:fill="DCE6F1"/>
            <w:noWrap/>
            <w:vAlign w:val="bottom"/>
            <w:hideMark/>
          </w:tcPr>
          <w:p w14:paraId="79AB2A74" w14:textId="4208F219" w:rsidR="008348C4" w:rsidRPr="00F477F6" w:rsidRDefault="008348C4" w:rsidP="00F12244">
            <w:pPr>
              <w:pStyle w:val="TableText"/>
              <w:keepNext/>
              <w:jc w:val="right"/>
              <w:rPr>
                <w:lang w:eastAsia="en-AU"/>
              </w:rPr>
            </w:pPr>
            <w:r w:rsidRPr="00F477F6">
              <w:rPr>
                <w:lang w:eastAsia="en-AU"/>
              </w:rPr>
              <w:t>24,080</w:t>
            </w:r>
          </w:p>
        </w:tc>
        <w:tc>
          <w:tcPr>
            <w:tcW w:w="714" w:type="pct"/>
            <w:tcBorders>
              <w:top w:val="nil"/>
              <w:left w:val="nil"/>
              <w:bottom w:val="nil"/>
              <w:right w:val="nil"/>
            </w:tcBorders>
            <w:shd w:val="clear" w:color="000000" w:fill="DCE6F1"/>
            <w:noWrap/>
            <w:vAlign w:val="bottom"/>
            <w:hideMark/>
          </w:tcPr>
          <w:p w14:paraId="36889A74" w14:textId="6560ECF8" w:rsidR="008348C4" w:rsidRPr="00F477F6" w:rsidRDefault="008348C4" w:rsidP="00F12244">
            <w:pPr>
              <w:pStyle w:val="TableText"/>
              <w:keepNext/>
              <w:jc w:val="right"/>
              <w:rPr>
                <w:lang w:eastAsia="en-AU"/>
              </w:rPr>
            </w:pPr>
            <w:r w:rsidRPr="00F477F6">
              <w:rPr>
                <w:lang w:eastAsia="en-AU"/>
              </w:rPr>
              <w:t>31,386</w:t>
            </w:r>
          </w:p>
        </w:tc>
        <w:tc>
          <w:tcPr>
            <w:tcW w:w="714" w:type="pct"/>
            <w:tcBorders>
              <w:top w:val="nil"/>
              <w:left w:val="nil"/>
              <w:bottom w:val="nil"/>
              <w:right w:val="nil"/>
            </w:tcBorders>
            <w:shd w:val="clear" w:color="000000" w:fill="DCE6F1"/>
            <w:noWrap/>
            <w:vAlign w:val="bottom"/>
            <w:hideMark/>
          </w:tcPr>
          <w:p w14:paraId="319A26CA" w14:textId="57836BB6" w:rsidR="008348C4" w:rsidRPr="00F477F6" w:rsidRDefault="008348C4" w:rsidP="00F12244">
            <w:pPr>
              <w:pStyle w:val="TableText"/>
              <w:keepNext/>
              <w:jc w:val="right"/>
              <w:rPr>
                <w:lang w:eastAsia="en-AU"/>
              </w:rPr>
            </w:pPr>
            <w:r w:rsidRPr="00F477F6">
              <w:rPr>
                <w:lang w:eastAsia="en-AU"/>
              </w:rPr>
              <w:t>31,386</w:t>
            </w:r>
          </w:p>
        </w:tc>
        <w:tc>
          <w:tcPr>
            <w:tcW w:w="714" w:type="pct"/>
            <w:tcBorders>
              <w:top w:val="nil"/>
              <w:left w:val="nil"/>
              <w:bottom w:val="nil"/>
              <w:right w:val="nil"/>
            </w:tcBorders>
            <w:shd w:val="clear" w:color="000000" w:fill="DCE6F1"/>
            <w:noWrap/>
            <w:vAlign w:val="bottom"/>
            <w:hideMark/>
          </w:tcPr>
          <w:p w14:paraId="01CED446" w14:textId="00BF3634" w:rsidR="008348C4" w:rsidRPr="00F477F6" w:rsidRDefault="008348C4" w:rsidP="00F12244">
            <w:pPr>
              <w:pStyle w:val="TableText"/>
              <w:keepNext/>
              <w:jc w:val="right"/>
              <w:rPr>
                <w:b/>
                <w:bCs/>
                <w:color w:val="FF0000"/>
                <w:lang w:eastAsia="en-AU"/>
              </w:rPr>
            </w:pPr>
            <w:r w:rsidRPr="00F477F6">
              <w:rPr>
                <w:b/>
                <w:bCs/>
                <w:color w:val="FF0000"/>
                <w:lang w:eastAsia="en-AU"/>
              </w:rPr>
              <w:t>0</w:t>
            </w:r>
          </w:p>
        </w:tc>
        <w:tc>
          <w:tcPr>
            <w:tcW w:w="714" w:type="pct"/>
            <w:tcBorders>
              <w:top w:val="nil"/>
              <w:left w:val="nil"/>
              <w:bottom w:val="nil"/>
              <w:right w:val="nil"/>
            </w:tcBorders>
            <w:shd w:val="clear" w:color="000000" w:fill="DCE6F1"/>
            <w:noWrap/>
            <w:vAlign w:val="bottom"/>
            <w:hideMark/>
          </w:tcPr>
          <w:p w14:paraId="76B24071" w14:textId="07FC0388" w:rsidR="008348C4" w:rsidRPr="00F477F6" w:rsidRDefault="008348C4" w:rsidP="00F12244">
            <w:pPr>
              <w:pStyle w:val="TableText"/>
              <w:keepNext/>
              <w:jc w:val="right"/>
              <w:rPr>
                <w:lang w:eastAsia="en-AU"/>
              </w:rPr>
            </w:pPr>
            <w:r w:rsidRPr="00F477F6">
              <w:rPr>
                <w:lang w:eastAsia="en-AU"/>
              </w:rPr>
              <w:t>23,648</w:t>
            </w:r>
          </w:p>
        </w:tc>
        <w:tc>
          <w:tcPr>
            <w:tcW w:w="714" w:type="pct"/>
            <w:tcBorders>
              <w:top w:val="nil"/>
              <w:left w:val="nil"/>
              <w:bottom w:val="nil"/>
              <w:right w:val="nil"/>
            </w:tcBorders>
            <w:shd w:val="clear" w:color="000000" w:fill="DCE6F1"/>
            <w:noWrap/>
            <w:vAlign w:val="bottom"/>
            <w:hideMark/>
          </w:tcPr>
          <w:p w14:paraId="2F5F260A" w14:textId="5D23EF03" w:rsidR="008348C4" w:rsidRPr="00F477F6" w:rsidRDefault="008348C4" w:rsidP="00F12244">
            <w:pPr>
              <w:pStyle w:val="TableText"/>
              <w:keepNext/>
              <w:jc w:val="right"/>
              <w:rPr>
                <w:b/>
                <w:bCs/>
                <w:color w:val="FF0000"/>
                <w:lang w:eastAsia="en-AU"/>
              </w:rPr>
            </w:pPr>
            <w:r w:rsidRPr="00F477F6">
              <w:rPr>
                <w:b/>
                <w:bCs/>
                <w:color w:val="FF0000"/>
                <w:lang w:eastAsia="en-AU"/>
              </w:rPr>
              <w:t>-7,738</w:t>
            </w:r>
          </w:p>
        </w:tc>
      </w:tr>
      <w:tr w:rsidR="00157E83" w:rsidRPr="00F477F6" w14:paraId="0EFB7728" w14:textId="77777777" w:rsidTr="00CE1C1C">
        <w:trPr>
          <w:trHeight w:val="567"/>
        </w:trPr>
        <w:tc>
          <w:tcPr>
            <w:tcW w:w="714" w:type="pct"/>
            <w:tcBorders>
              <w:top w:val="nil"/>
              <w:left w:val="nil"/>
              <w:bottom w:val="nil"/>
              <w:right w:val="nil"/>
            </w:tcBorders>
            <w:shd w:val="clear" w:color="000000" w:fill="DCE6F1"/>
            <w:noWrap/>
            <w:vAlign w:val="bottom"/>
            <w:hideMark/>
          </w:tcPr>
          <w:p w14:paraId="5B931B86" w14:textId="77777777" w:rsidR="008348C4" w:rsidRPr="00F477F6" w:rsidRDefault="008348C4" w:rsidP="00D20D53">
            <w:pPr>
              <w:pStyle w:val="TableText"/>
              <w:keepNext/>
              <w:rPr>
                <w:lang w:eastAsia="en-AU"/>
              </w:rPr>
            </w:pPr>
            <w:r w:rsidRPr="00F477F6">
              <w:rPr>
                <w:lang w:eastAsia="en-AU"/>
              </w:rPr>
              <w:t>EN</w:t>
            </w:r>
          </w:p>
        </w:tc>
        <w:tc>
          <w:tcPr>
            <w:tcW w:w="714" w:type="pct"/>
            <w:tcBorders>
              <w:top w:val="nil"/>
              <w:left w:val="nil"/>
              <w:bottom w:val="nil"/>
              <w:right w:val="nil"/>
            </w:tcBorders>
            <w:shd w:val="clear" w:color="000000" w:fill="DCE6F1"/>
            <w:noWrap/>
            <w:vAlign w:val="bottom"/>
            <w:hideMark/>
          </w:tcPr>
          <w:p w14:paraId="3593CD68" w14:textId="2730E252" w:rsidR="008348C4" w:rsidRPr="00F477F6" w:rsidRDefault="008348C4" w:rsidP="00F12244">
            <w:pPr>
              <w:pStyle w:val="TableText"/>
              <w:keepNext/>
              <w:jc w:val="right"/>
              <w:rPr>
                <w:lang w:eastAsia="en-AU"/>
              </w:rPr>
            </w:pPr>
            <w:r w:rsidRPr="00F477F6">
              <w:rPr>
                <w:lang w:eastAsia="en-AU"/>
              </w:rPr>
              <w:t>16,441</w:t>
            </w:r>
          </w:p>
        </w:tc>
        <w:tc>
          <w:tcPr>
            <w:tcW w:w="714" w:type="pct"/>
            <w:tcBorders>
              <w:top w:val="nil"/>
              <w:left w:val="nil"/>
              <w:bottom w:val="nil"/>
              <w:right w:val="nil"/>
            </w:tcBorders>
            <w:shd w:val="clear" w:color="000000" w:fill="DCE6F1"/>
            <w:noWrap/>
            <w:vAlign w:val="bottom"/>
            <w:hideMark/>
          </w:tcPr>
          <w:p w14:paraId="023BCD93" w14:textId="2760EA6C" w:rsidR="008348C4" w:rsidRPr="00F477F6" w:rsidRDefault="008348C4" w:rsidP="00F12244">
            <w:pPr>
              <w:pStyle w:val="TableText"/>
              <w:keepNext/>
              <w:jc w:val="right"/>
              <w:rPr>
                <w:lang w:eastAsia="en-AU"/>
              </w:rPr>
            </w:pPr>
            <w:r w:rsidRPr="00F477F6">
              <w:rPr>
                <w:lang w:eastAsia="en-AU"/>
              </w:rPr>
              <w:t>28,570</w:t>
            </w:r>
          </w:p>
        </w:tc>
        <w:tc>
          <w:tcPr>
            <w:tcW w:w="714" w:type="pct"/>
            <w:tcBorders>
              <w:top w:val="nil"/>
              <w:left w:val="nil"/>
              <w:bottom w:val="nil"/>
              <w:right w:val="nil"/>
            </w:tcBorders>
            <w:shd w:val="clear" w:color="000000" w:fill="DCE6F1"/>
            <w:noWrap/>
            <w:vAlign w:val="bottom"/>
            <w:hideMark/>
          </w:tcPr>
          <w:p w14:paraId="4B4A3C1F" w14:textId="7FF71561" w:rsidR="008348C4" w:rsidRPr="00F477F6" w:rsidRDefault="008348C4" w:rsidP="00F12244">
            <w:pPr>
              <w:pStyle w:val="TableText"/>
              <w:keepNext/>
              <w:jc w:val="right"/>
              <w:rPr>
                <w:lang w:eastAsia="en-AU"/>
              </w:rPr>
            </w:pPr>
            <w:r w:rsidRPr="00F477F6">
              <w:rPr>
                <w:lang w:eastAsia="en-AU"/>
              </w:rPr>
              <w:t>28,570</w:t>
            </w:r>
          </w:p>
        </w:tc>
        <w:tc>
          <w:tcPr>
            <w:tcW w:w="714" w:type="pct"/>
            <w:tcBorders>
              <w:top w:val="nil"/>
              <w:left w:val="nil"/>
              <w:bottom w:val="nil"/>
              <w:right w:val="nil"/>
            </w:tcBorders>
            <w:shd w:val="clear" w:color="000000" w:fill="DCE6F1"/>
            <w:noWrap/>
            <w:vAlign w:val="bottom"/>
            <w:hideMark/>
          </w:tcPr>
          <w:p w14:paraId="79F1422F" w14:textId="428F2BA7" w:rsidR="008348C4" w:rsidRPr="00F477F6" w:rsidRDefault="008348C4" w:rsidP="00F12244">
            <w:pPr>
              <w:pStyle w:val="TableText"/>
              <w:keepNext/>
              <w:jc w:val="right"/>
              <w:rPr>
                <w:b/>
                <w:bCs/>
                <w:color w:val="FF0000"/>
                <w:lang w:eastAsia="en-AU"/>
              </w:rPr>
            </w:pPr>
            <w:r w:rsidRPr="00F477F6">
              <w:rPr>
                <w:b/>
                <w:bCs/>
                <w:color w:val="FF0000"/>
                <w:lang w:eastAsia="en-AU"/>
              </w:rPr>
              <w:t>0</w:t>
            </w:r>
          </w:p>
        </w:tc>
        <w:tc>
          <w:tcPr>
            <w:tcW w:w="714" w:type="pct"/>
            <w:tcBorders>
              <w:top w:val="nil"/>
              <w:left w:val="nil"/>
              <w:bottom w:val="nil"/>
              <w:right w:val="nil"/>
            </w:tcBorders>
            <w:shd w:val="clear" w:color="000000" w:fill="DCE6F1"/>
            <w:noWrap/>
            <w:vAlign w:val="bottom"/>
            <w:hideMark/>
          </w:tcPr>
          <w:p w14:paraId="3784FC83" w14:textId="6E2C5B30" w:rsidR="008348C4" w:rsidRPr="00F477F6" w:rsidRDefault="008348C4" w:rsidP="00F12244">
            <w:pPr>
              <w:pStyle w:val="TableText"/>
              <w:keepNext/>
              <w:jc w:val="right"/>
              <w:rPr>
                <w:lang w:eastAsia="en-AU"/>
              </w:rPr>
            </w:pPr>
            <w:r w:rsidRPr="00F477F6">
              <w:rPr>
                <w:lang w:eastAsia="en-AU"/>
              </w:rPr>
              <w:t>23,648</w:t>
            </w:r>
          </w:p>
        </w:tc>
        <w:tc>
          <w:tcPr>
            <w:tcW w:w="714" w:type="pct"/>
            <w:tcBorders>
              <w:top w:val="nil"/>
              <w:left w:val="nil"/>
              <w:bottom w:val="nil"/>
              <w:right w:val="nil"/>
            </w:tcBorders>
            <w:shd w:val="clear" w:color="000000" w:fill="DCE6F1"/>
            <w:noWrap/>
            <w:vAlign w:val="bottom"/>
            <w:hideMark/>
          </w:tcPr>
          <w:p w14:paraId="03D7F5C0" w14:textId="469531FD" w:rsidR="008348C4" w:rsidRPr="00F477F6" w:rsidRDefault="008348C4" w:rsidP="00F12244">
            <w:pPr>
              <w:pStyle w:val="TableText"/>
              <w:keepNext/>
              <w:jc w:val="right"/>
              <w:rPr>
                <w:b/>
                <w:bCs/>
                <w:color w:val="FF0000"/>
                <w:lang w:eastAsia="en-AU"/>
              </w:rPr>
            </w:pPr>
            <w:r w:rsidRPr="00F477F6">
              <w:rPr>
                <w:b/>
                <w:bCs/>
                <w:color w:val="FF0000"/>
                <w:lang w:eastAsia="en-AU"/>
              </w:rPr>
              <w:t>-4,922</w:t>
            </w:r>
          </w:p>
        </w:tc>
      </w:tr>
      <w:tr w:rsidR="00157E83" w:rsidRPr="00F477F6" w14:paraId="2D3D9C8F" w14:textId="77777777" w:rsidTr="00CE1C1C">
        <w:trPr>
          <w:trHeight w:val="567"/>
        </w:trPr>
        <w:tc>
          <w:tcPr>
            <w:tcW w:w="714" w:type="pct"/>
            <w:tcBorders>
              <w:top w:val="nil"/>
              <w:left w:val="nil"/>
              <w:bottom w:val="nil"/>
              <w:right w:val="nil"/>
            </w:tcBorders>
            <w:shd w:val="clear" w:color="000000" w:fill="DCE6F1"/>
            <w:noWrap/>
            <w:vAlign w:val="bottom"/>
            <w:hideMark/>
          </w:tcPr>
          <w:p w14:paraId="6016FA0B" w14:textId="77777777" w:rsidR="008348C4" w:rsidRPr="00F477F6" w:rsidRDefault="008348C4" w:rsidP="00D20D53">
            <w:pPr>
              <w:pStyle w:val="TableText"/>
              <w:keepNext/>
              <w:rPr>
                <w:lang w:eastAsia="en-AU"/>
              </w:rPr>
            </w:pPr>
            <w:r w:rsidRPr="00F477F6">
              <w:rPr>
                <w:lang w:eastAsia="en-AU"/>
              </w:rPr>
              <w:t>AIN/PCA</w:t>
            </w:r>
          </w:p>
        </w:tc>
        <w:tc>
          <w:tcPr>
            <w:tcW w:w="714" w:type="pct"/>
            <w:tcBorders>
              <w:top w:val="nil"/>
              <w:left w:val="nil"/>
              <w:bottom w:val="nil"/>
              <w:right w:val="nil"/>
            </w:tcBorders>
            <w:shd w:val="clear" w:color="000000" w:fill="DCE6F1"/>
            <w:noWrap/>
            <w:vAlign w:val="bottom"/>
            <w:hideMark/>
          </w:tcPr>
          <w:p w14:paraId="6C8360E5" w14:textId="4FDD3FD1" w:rsidR="008348C4" w:rsidRPr="00F477F6" w:rsidRDefault="008348C4" w:rsidP="00F12244">
            <w:pPr>
              <w:pStyle w:val="TableText"/>
              <w:keepNext/>
              <w:jc w:val="right"/>
              <w:rPr>
                <w:lang w:eastAsia="en-AU"/>
              </w:rPr>
            </w:pPr>
            <w:r w:rsidRPr="00F477F6">
              <w:rPr>
                <w:lang w:eastAsia="en-AU"/>
              </w:rPr>
              <w:t>100,312</w:t>
            </w:r>
          </w:p>
        </w:tc>
        <w:tc>
          <w:tcPr>
            <w:tcW w:w="714" w:type="pct"/>
            <w:tcBorders>
              <w:top w:val="nil"/>
              <w:left w:val="nil"/>
              <w:bottom w:val="nil"/>
              <w:right w:val="nil"/>
            </w:tcBorders>
            <w:shd w:val="clear" w:color="000000" w:fill="DCE6F1"/>
            <w:noWrap/>
            <w:vAlign w:val="bottom"/>
            <w:hideMark/>
          </w:tcPr>
          <w:p w14:paraId="0729166C" w14:textId="187D6819" w:rsidR="008348C4" w:rsidRPr="00F477F6" w:rsidRDefault="008348C4" w:rsidP="00F12244">
            <w:pPr>
              <w:pStyle w:val="TableText"/>
              <w:keepNext/>
              <w:jc w:val="right"/>
              <w:rPr>
                <w:lang w:eastAsia="en-AU"/>
              </w:rPr>
            </w:pPr>
            <w:r w:rsidRPr="00F477F6">
              <w:rPr>
                <w:lang w:eastAsia="en-AU"/>
              </w:rPr>
              <w:t>130,406</w:t>
            </w:r>
          </w:p>
        </w:tc>
        <w:tc>
          <w:tcPr>
            <w:tcW w:w="714" w:type="pct"/>
            <w:tcBorders>
              <w:top w:val="nil"/>
              <w:left w:val="nil"/>
              <w:bottom w:val="nil"/>
              <w:right w:val="nil"/>
            </w:tcBorders>
            <w:shd w:val="clear" w:color="000000" w:fill="DCE6F1"/>
            <w:noWrap/>
            <w:vAlign w:val="bottom"/>
            <w:hideMark/>
          </w:tcPr>
          <w:p w14:paraId="4E4DEFFF" w14:textId="1A341485" w:rsidR="008348C4" w:rsidRPr="00F477F6" w:rsidRDefault="008348C4" w:rsidP="00F12244">
            <w:pPr>
              <w:pStyle w:val="TableText"/>
              <w:keepNext/>
              <w:jc w:val="right"/>
              <w:rPr>
                <w:lang w:eastAsia="en-AU"/>
              </w:rPr>
            </w:pPr>
            <w:r w:rsidRPr="00F477F6">
              <w:rPr>
                <w:lang w:eastAsia="en-AU"/>
              </w:rPr>
              <w:t>110,359</w:t>
            </w:r>
          </w:p>
        </w:tc>
        <w:tc>
          <w:tcPr>
            <w:tcW w:w="714" w:type="pct"/>
            <w:tcBorders>
              <w:top w:val="nil"/>
              <w:left w:val="nil"/>
              <w:bottom w:val="nil"/>
              <w:right w:val="nil"/>
            </w:tcBorders>
            <w:shd w:val="clear" w:color="000000" w:fill="DCE6F1"/>
            <w:noWrap/>
            <w:vAlign w:val="bottom"/>
            <w:hideMark/>
          </w:tcPr>
          <w:p w14:paraId="1EFCDD69" w14:textId="098A7971" w:rsidR="008348C4" w:rsidRPr="00F477F6" w:rsidRDefault="008348C4" w:rsidP="00F12244">
            <w:pPr>
              <w:pStyle w:val="TableText"/>
              <w:keepNext/>
              <w:jc w:val="right"/>
              <w:rPr>
                <w:b/>
                <w:bCs/>
                <w:color w:val="FF0000"/>
                <w:lang w:eastAsia="en-AU"/>
              </w:rPr>
            </w:pPr>
            <w:r w:rsidRPr="00F477F6">
              <w:rPr>
                <w:b/>
                <w:bCs/>
                <w:color w:val="FF0000"/>
                <w:lang w:eastAsia="en-AU"/>
              </w:rPr>
              <w:t>-20,046</w:t>
            </w:r>
          </w:p>
        </w:tc>
        <w:tc>
          <w:tcPr>
            <w:tcW w:w="714" w:type="pct"/>
            <w:tcBorders>
              <w:top w:val="nil"/>
              <w:left w:val="nil"/>
              <w:bottom w:val="nil"/>
              <w:right w:val="nil"/>
            </w:tcBorders>
            <w:shd w:val="clear" w:color="000000" w:fill="DCE6F1"/>
            <w:noWrap/>
            <w:vAlign w:val="bottom"/>
            <w:hideMark/>
          </w:tcPr>
          <w:p w14:paraId="65C6BB77" w14:textId="11BE93A0" w:rsidR="008348C4" w:rsidRPr="00F477F6" w:rsidRDefault="008348C4" w:rsidP="00F12244">
            <w:pPr>
              <w:pStyle w:val="TableText"/>
              <w:keepNext/>
              <w:jc w:val="right"/>
              <w:rPr>
                <w:lang w:eastAsia="en-AU"/>
              </w:rPr>
            </w:pPr>
            <w:r w:rsidRPr="00F477F6">
              <w:rPr>
                <w:lang w:eastAsia="en-AU"/>
              </w:rPr>
              <w:t>110,359</w:t>
            </w:r>
          </w:p>
        </w:tc>
        <w:tc>
          <w:tcPr>
            <w:tcW w:w="714" w:type="pct"/>
            <w:tcBorders>
              <w:top w:val="nil"/>
              <w:left w:val="nil"/>
              <w:bottom w:val="nil"/>
              <w:right w:val="nil"/>
            </w:tcBorders>
            <w:shd w:val="clear" w:color="000000" w:fill="DCE6F1"/>
            <w:noWrap/>
            <w:vAlign w:val="bottom"/>
            <w:hideMark/>
          </w:tcPr>
          <w:p w14:paraId="1412B886" w14:textId="64AB7FF7" w:rsidR="008348C4" w:rsidRPr="00F477F6" w:rsidRDefault="008348C4" w:rsidP="00F12244">
            <w:pPr>
              <w:pStyle w:val="TableText"/>
              <w:keepNext/>
              <w:jc w:val="right"/>
              <w:rPr>
                <w:b/>
                <w:bCs/>
                <w:color w:val="FF0000"/>
                <w:lang w:eastAsia="en-AU"/>
              </w:rPr>
            </w:pPr>
            <w:r w:rsidRPr="00F477F6">
              <w:rPr>
                <w:b/>
                <w:bCs/>
                <w:color w:val="FF0000"/>
                <w:lang w:eastAsia="en-AU"/>
              </w:rPr>
              <w:t>-20,046</w:t>
            </w:r>
          </w:p>
        </w:tc>
      </w:tr>
      <w:tr w:rsidR="00157E83" w:rsidRPr="00F477F6" w14:paraId="31FADAF0" w14:textId="77777777" w:rsidTr="00CE1C1C">
        <w:trPr>
          <w:trHeight w:val="567"/>
        </w:trPr>
        <w:tc>
          <w:tcPr>
            <w:tcW w:w="714" w:type="pct"/>
            <w:tcBorders>
              <w:top w:val="nil"/>
              <w:left w:val="nil"/>
              <w:bottom w:val="nil"/>
              <w:right w:val="nil"/>
            </w:tcBorders>
            <w:shd w:val="clear" w:color="000000" w:fill="4F81BD"/>
            <w:noWrap/>
            <w:vAlign w:val="bottom"/>
            <w:hideMark/>
          </w:tcPr>
          <w:p w14:paraId="2FABF669" w14:textId="77777777" w:rsidR="008348C4" w:rsidRPr="00F477F6" w:rsidRDefault="008348C4" w:rsidP="00D20D53">
            <w:pPr>
              <w:pStyle w:val="TableText"/>
              <w:keepNext/>
              <w:rPr>
                <w:b/>
                <w:bCs/>
                <w:color w:val="FFFFFF"/>
                <w:lang w:eastAsia="en-AU"/>
              </w:rPr>
            </w:pPr>
            <w:r w:rsidRPr="00F477F6">
              <w:rPr>
                <w:b/>
                <w:bCs/>
                <w:color w:val="FFFFFF"/>
                <w:lang w:eastAsia="en-AU"/>
              </w:rPr>
              <w:t>Total</w:t>
            </w:r>
          </w:p>
        </w:tc>
        <w:tc>
          <w:tcPr>
            <w:tcW w:w="714" w:type="pct"/>
            <w:tcBorders>
              <w:top w:val="nil"/>
              <w:left w:val="nil"/>
              <w:bottom w:val="nil"/>
              <w:right w:val="nil"/>
            </w:tcBorders>
            <w:shd w:val="clear" w:color="000000" w:fill="4F81BD"/>
            <w:noWrap/>
            <w:vAlign w:val="bottom"/>
            <w:hideMark/>
          </w:tcPr>
          <w:p w14:paraId="7318F987" w14:textId="4BB335B0" w:rsidR="008348C4" w:rsidRPr="00F477F6" w:rsidRDefault="008348C4" w:rsidP="00F12244">
            <w:pPr>
              <w:pStyle w:val="TableText"/>
              <w:keepNext/>
              <w:jc w:val="right"/>
              <w:rPr>
                <w:b/>
                <w:bCs/>
                <w:color w:val="FFFFFF"/>
                <w:lang w:eastAsia="en-AU"/>
              </w:rPr>
            </w:pPr>
            <w:r w:rsidRPr="00F477F6">
              <w:rPr>
                <w:b/>
                <w:bCs/>
                <w:color w:val="FFFFFF"/>
                <w:lang w:eastAsia="en-AU"/>
              </w:rPr>
              <w:t>140,833</w:t>
            </w:r>
          </w:p>
        </w:tc>
        <w:tc>
          <w:tcPr>
            <w:tcW w:w="714" w:type="pct"/>
            <w:tcBorders>
              <w:top w:val="nil"/>
              <w:left w:val="nil"/>
              <w:bottom w:val="nil"/>
              <w:right w:val="nil"/>
            </w:tcBorders>
            <w:shd w:val="clear" w:color="000000" w:fill="4F81BD"/>
            <w:noWrap/>
            <w:vAlign w:val="bottom"/>
            <w:hideMark/>
          </w:tcPr>
          <w:p w14:paraId="202992A7" w14:textId="1279C432" w:rsidR="008348C4" w:rsidRPr="00F477F6" w:rsidRDefault="008348C4" w:rsidP="00F12244">
            <w:pPr>
              <w:pStyle w:val="TableText"/>
              <w:keepNext/>
              <w:jc w:val="right"/>
              <w:rPr>
                <w:b/>
                <w:bCs/>
                <w:color w:val="FFFFFF"/>
                <w:lang w:eastAsia="en-AU"/>
              </w:rPr>
            </w:pPr>
            <w:r w:rsidRPr="00F477F6">
              <w:rPr>
                <w:b/>
                <w:bCs/>
                <w:color w:val="FFFFFF"/>
                <w:lang w:eastAsia="en-AU"/>
              </w:rPr>
              <w:t>190,362</w:t>
            </w:r>
          </w:p>
        </w:tc>
        <w:tc>
          <w:tcPr>
            <w:tcW w:w="714" w:type="pct"/>
            <w:tcBorders>
              <w:top w:val="nil"/>
              <w:left w:val="nil"/>
              <w:bottom w:val="nil"/>
              <w:right w:val="nil"/>
            </w:tcBorders>
            <w:shd w:val="clear" w:color="000000" w:fill="4F81BD"/>
            <w:noWrap/>
            <w:vAlign w:val="bottom"/>
            <w:hideMark/>
          </w:tcPr>
          <w:p w14:paraId="75EBC5A4" w14:textId="12F0A330" w:rsidR="008348C4" w:rsidRPr="00F477F6" w:rsidRDefault="008348C4" w:rsidP="00F12244">
            <w:pPr>
              <w:pStyle w:val="TableText"/>
              <w:keepNext/>
              <w:jc w:val="right"/>
              <w:rPr>
                <w:b/>
                <w:bCs/>
                <w:color w:val="FFFFFF"/>
                <w:lang w:eastAsia="en-AU"/>
              </w:rPr>
            </w:pPr>
            <w:r w:rsidRPr="00F477F6">
              <w:rPr>
                <w:b/>
                <w:bCs/>
                <w:color w:val="FFFFFF"/>
                <w:lang w:eastAsia="en-AU"/>
              </w:rPr>
              <w:t>170,315</w:t>
            </w:r>
          </w:p>
        </w:tc>
        <w:tc>
          <w:tcPr>
            <w:tcW w:w="714" w:type="pct"/>
            <w:tcBorders>
              <w:top w:val="nil"/>
              <w:left w:val="nil"/>
              <w:bottom w:val="nil"/>
              <w:right w:val="nil"/>
            </w:tcBorders>
            <w:shd w:val="clear" w:color="000000" w:fill="4F81BD"/>
            <w:noWrap/>
            <w:vAlign w:val="bottom"/>
            <w:hideMark/>
          </w:tcPr>
          <w:p w14:paraId="710A0E86" w14:textId="2061A5D7" w:rsidR="008348C4" w:rsidRPr="00F477F6" w:rsidRDefault="008348C4" w:rsidP="00F12244">
            <w:pPr>
              <w:pStyle w:val="TableText"/>
              <w:keepNext/>
              <w:jc w:val="right"/>
              <w:rPr>
                <w:b/>
                <w:bCs/>
                <w:color w:val="FFFFFF"/>
                <w:lang w:eastAsia="en-AU"/>
              </w:rPr>
            </w:pPr>
            <w:r w:rsidRPr="00F477F6">
              <w:rPr>
                <w:b/>
                <w:bCs/>
                <w:color w:val="FF0000"/>
                <w:lang w:eastAsia="en-AU"/>
              </w:rPr>
              <w:t>-20,046</w:t>
            </w:r>
          </w:p>
        </w:tc>
        <w:tc>
          <w:tcPr>
            <w:tcW w:w="714" w:type="pct"/>
            <w:tcBorders>
              <w:top w:val="nil"/>
              <w:left w:val="nil"/>
              <w:bottom w:val="nil"/>
              <w:right w:val="nil"/>
            </w:tcBorders>
            <w:shd w:val="clear" w:color="000000" w:fill="4F81BD"/>
            <w:noWrap/>
            <w:vAlign w:val="bottom"/>
            <w:hideMark/>
          </w:tcPr>
          <w:p w14:paraId="29DC24E4" w14:textId="3AE7E01B" w:rsidR="008348C4" w:rsidRPr="00F477F6" w:rsidRDefault="008348C4" w:rsidP="00F12244">
            <w:pPr>
              <w:pStyle w:val="TableText"/>
              <w:keepNext/>
              <w:jc w:val="right"/>
              <w:rPr>
                <w:b/>
                <w:bCs/>
                <w:color w:val="FFFFFF"/>
                <w:lang w:eastAsia="en-AU"/>
              </w:rPr>
            </w:pPr>
            <w:r w:rsidRPr="00F477F6">
              <w:rPr>
                <w:b/>
                <w:bCs/>
                <w:color w:val="FFFFFF"/>
                <w:lang w:eastAsia="en-AU"/>
              </w:rPr>
              <w:t>157,656</w:t>
            </w:r>
          </w:p>
        </w:tc>
        <w:tc>
          <w:tcPr>
            <w:tcW w:w="714" w:type="pct"/>
            <w:tcBorders>
              <w:top w:val="nil"/>
              <w:left w:val="nil"/>
              <w:bottom w:val="nil"/>
              <w:right w:val="nil"/>
            </w:tcBorders>
            <w:shd w:val="clear" w:color="000000" w:fill="4F81BD"/>
            <w:noWrap/>
            <w:vAlign w:val="bottom"/>
            <w:hideMark/>
          </w:tcPr>
          <w:p w14:paraId="7D7FFC31" w14:textId="22590465" w:rsidR="008348C4" w:rsidRPr="00F477F6" w:rsidRDefault="008348C4" w:rsidP="00F12244">
            <w:pPr>
              <w:pStyle w:val="TableText"/>
              <w:keepNext/>
              <w:jc w:val="right"/>
              <w:rPr>
                <w:b/>
                <w:bCs/>
                <w:color w:val="FFFFFF"/>
                <w:lang w:eastAsia="en-AU"/>
              </w:rPr>
            </w:pPr>
            <w:r w:rsidRPr="00F477F6">
              <w:rPr>
                <w:b/>
                <w:bCs/>
                <w:color w:val="FF0000"/>
                <w:lang w:eastAsia="en-AU"/>
              </w:rPr>
              <w:t>-32,706</w:t>
            </w:r>
          </w:p>
        </w:tc>
      </w:tr>
    </w:tbl>
    <w:p w14:paraId="3DDA3099" w14:textId="66F96E0C" w:rsidR="00EB3C5C" w:rsidRPr="00F477F6" w:rsidRDefault="00EB3C5C" w:rsidP="00D20D53">
      <w:pPr>
        <w:pStyle w:val="Heading3"/>
        <w:rPr>
          <w:lang w:val="en-AU"/>
        </w:rPr>
      </w:pPr>
      <w:r w:rsidRPr="00F477F6">
        <w:rPr>
          <w:lang w:val="en-AU"/>
        </w:rPr>
        <w:t>Cost implication of the skill mix scenarios</w:t>
      </w:r>
    </w:p>
    <w:p w14:paraId="7E081CE8" w14:textId="41AD680A" w:rsidR="006E52B9" w:rsidRPr="00F477F6" w:rsidRDefault="006E52B9" w:rsidP="00D20D53">
      <w:r w:rsidRPr="00F477F6">
        <w:t>HWA also conducted a cost analysis of the impact of the skill mix scenarios. This compared the differential cost of meeting projected future demand between the combined scenario (that is, retention strategies are in place and constrained labour demand is also in place) with the change in skill mix built upon this base.</w:t>
      </w:r>
    </w:p>
    <w:p w14:paraId="1849D9DC" w14:textId="77777777" w:rsidR="006E52B9" w:rsidRPr="00F477F6" w:rsidRDefault="006E52B9" w:rsidP="00D20D53">
      <w:r w:rsidRPr="00F477F6">
        <w:t xml:space="preserve">The costing was based on the following parameters: </w:t>
      </w:r>
    </w:p>
    <w:p w14:paraId="64377DD9" w14:textId="77777777" w:rsidR="006E52B9" w:rsidRPr="00F477F6" w:rsidRDefault="006E52B9" w:rsidP="00D20D53">
      <w:pPr>
        <w:pStyle w:val="ListParagraph"/>
        <w:numPr>
          <w:ilvl w:val="0"/>
          <w:numId w:val="23"/>
        </w:numPr>
      </w:pPr>
      <w:r w:rsidRPr="00F477F6">
        <w:t>The assumption that there is no change in skill mix configuration until 2015 onwards, so there is no cost difference between 2012 to 2014 under the two approaches</w:t>
      </w:r>
    </w:p>
    <w:p w14:paraId="3FE3DF20" w14:textId="77777777" w:rsidR="006E52B9" w:rsidRPr="00F477F6" w:rsidRDefault="006E52B9" w:rsidP="00D20D53">
      <w:pPr>
        <w:pStyle w:val="ListParagraph"/>
        <w:numPr>
          <w:ilvl w:val="0"/>
          <w:numId w:val="23"/>
        </w:numPr>
      </w:pPr>
      <w:r w:rsidRPr="00F477F6">
        <w:t>All analysis is in real terms, and costs of wages and education costs are included</w:t>
      </w:r>
    </w:p>
    <w:p w14:paraId="23F39AAE" w14:textId="22F0DE89" w:rsidR="006E52B9" w:rsidRPr="00F477F6" w:rsidRDefault="006E52B9" w:rsidP="00D20D53">
      <w:r w:rsidRPr="00F477F6">
        <w:t xml:space="preserve">The focus of the costing analysis should be on the differences achieved in savings, rather than the absolute costings themselves. In net present cost terms, the total saving over the period 2015 to 2030 is estimated to be $7.2b. This is an average of $450m per year, with </w:t>
      </w:r>
      <w:r w:rsidRPr="00F477F6">
        <w:lastRenderedPageBreak/>
        <w:t>the savings being strongly weighted to the later part of the projection period as the adjustment to the skill mix becomes more apparent.</w:t>
      </w:r>
    </w:p>
    <w:p w14:paraId="5381C6B3" w14:textId="31D42463" w:rsidR="006E52B9" w:rsidRPr="00F477F6" w:rsidRDefault="006E52B9" w:rsidP="00D20D53">
      <w:r w:rsidRPr="00F477F6">
        <w:t xml:space="preserve">Most of this saving (approximately 93 </w:t>
      </w:r>
      <w:r w:rsidR="001262DE" w:rsidRPr="00F477F6">
        <w:t>percent</w:t>
      </w:r>
      <w:r w:rsidRPr="00F477F6">
        <w:t xml:space="preserve">) is attributable to wage differences in a nurse mix that has a lower percentage of RNs than current levels (noting that the absolute number of RNs and ENs in 2030 is greater than in 2012). Reduced education costs form the seven </w:t>
      </w:r>
      <w:r w:rsidR="001262DE" w:rsidRPr="00F477F6">
        <w:t>percent</w:t>
      </w:r>
      <w:r w:rsidRPr="00F477F6">
        <w:t xml:space="preserve"> balance of savings.</w:t>
      </w:r>
    </w:p>
    <w:p w14:paraId="34B0916D" w14:textId="2692B2F7" w:rsidR="006E52B9" w:rsidRPr="00F477F6" w:rsidRDefault="006E52B9" w:rsidP="00D20D53">
      <w:r w:rsidRPr="00F477F6">
        <w:t xml:space="preserve">Approximately 53 </w:t>
      </w:r>
      <w:r w:rsidR="001262DE" w:rsidRPr="00F477F6">
        <w:t>percent</w:t>
      </w:r>
      <w:r w:rsidRPr="00F477F6">
        <w:t xml:space="preserve"> (or around $3.8b) of this total cost saving over the period 2015 to 2030 is attributable directly to the change in the skill mix within the nursing workforce (that is, a change in the relative proportions of nurse types employed across the workforce) in the direction of the private sector examples described above.</w:t>
      </w:r>
    </w:p>
    <w:p w14:paraId="74C7D89D" w14:textId="4FD39EF2" w:rsidR="006E52B9" w:rsidRPr="00F477F6" w:rsidRDefault="006E52B9" w:rsidP="00D20D53">
      <w:r w:rsidRPr="00F477F6">
        <w:t>The balance of savings ($3.4b) reflects the cost savings associated with meeting the projected labour demand gaps associated with the changed structure of the workforce following the implementation of the skill mix change. A key benefit of the skill mix scenarios is the effective ‘freeing up’ of RNs (in both skill mix scenarios) and ENs (in the aged care sector) to work in other nursing sectors where there are significant shortfalls in workforce projected.</w:t>
      </w:r>
      <w:r w:rsidR="00872DB4" w:rsidRPr="00F477F6">
        <w:t xml:space="preserve"> </w:t>
      </w:r>
      <w:r w:rsidRPr="00F477F6">
        <w:t>Given the relative expense involved in training and employing RNs versus other types of nurse and assistants, this contributes significantly to the projected cost savings.</w:t>
      </w:r>
    </w:p>
    <w:p w14:paraId="74235F78" w14:textId="77777777" w:rsidR="003008B9" w:rsidRPr="00F57F39" w:rsidRDefault="003008B9" w:rsidP="00F57F39">
      <w:pPr>
        <w:keepNext/>
        <w:pBdr>
          <w:top w:val="single" w:sz="4" w:space="1" w:color="auto"/>
          <w:left w:val="single" w:sz="4" w:space="4" w:color="auto"/>
          <w:bottom w:val="single" w:sz="4" w:space="1" w:color="auto"/>
          <w:right w:val="single" w:sz="4" w:space="4" w:color="auto"/>
        </w:pBdr>
        <w:rPr>
          <w:b/>
        </w:rPr>
      </w:pPr>
      <w:r w:rsidRPr="00F57F39">
        <w:rPr>
          <w:b/>
        </w:rPr>
        <w:t>Key finding of the skill mix scenarios</w:t>
      </w:r>
    </w:p>
    <w:p w14:paraId="0C126433" w14:textId="77777777" w:rsidR="003008B9" w:rsidRPr="00F477F6" w:rsidRDefault="003008B9" w:rsidP="00F57F39">
      <w:pPr>
        <w:keepNext/>
        <w:pBdr>
          <w:top w:val="single" w:sz="4" w:space="1" w:color="auto"/>
          <w:left w:val="single" w:sz="4" w:space="4" w:color="auto"/>
          <w:bottom w:val="single" w:sz="4" w:space="1" w:color="auto"/>
          <w:right w:val="single" w:sz="4" w:space="4" w:color="auto"/>
        </w:pBdr>
      </w:pPr>
      <w:r w:rsidRPr="00F477F6">
        <w:t xml:space="preserve">Actions to address Finding 5 would increase nursing productivity. </w:t>
      </w:r>
    </w:p>
    <w:p w14:paraId="37B349CF" w14:textId="389AB7B1" w:rsidR="003008B9" w:rsidRPr="00D20D53" w:rsidRDefault="003008B9" w:rsidP="00F57F39">
      <w:pPr>
        <w:keepNext/>
        <w:pBdr>
          <w:top w:val="single" w:sz="4" w:space="1" w:color="auto"/>
          <w:left w:val="single" w:sz="4" w:space="4" w:color="auto"/>
          <w:bottom w:val="single" w:sz="4" w:space="1" w:color="auto"/>
          <w:right w:val="single" w:sz="4" w:space="4" w:color="auto"/>
        </w:pBdr>
      </w:pPr>
      <w:r w:rsidRPr="00D20D53">
        <w:t>5. Maximise the full potential of the available workforce including assistant and support workers as an integral part of the nursing team by aligning skill mix for patient requirements.</w:t>
      </w:r>
    </w:p>
    <w:p w14:paraId="5D6A013F" w14:textId="77777777" w:rsidR="002372CB" w:rsidRPr="00F477F6" w:rsidRDefault="00363F1D" w:rsidP="00D20D53">
      <w:pPr>
        <w:pStyle w:val="Heading1"/>
      </w:pPr>
      <w:bookmarkStart w:id="148" w:name="_Toc407783193"/>
      <w:bookmarkStart w:id="149" w:name="_Toc377370486"/>
      <w:r w:rsidRPr="00F477F6">
        <w:lastRenderedPageBreak/>
        <w:t>Conclusion</w:t>
      </w:r>
      <w:bookmarkEnd w:id="148"/>
    </w:p>
    <w:p w14:paraId="6B8E4206" w14:textId="36F852E1" w:rsidR="007E25B8" w:rsidRPr="00F477F6" w:rsidRDefault="00CF4CB9" w:rsidP="00D20D53">
      <w:r w:rsidRPr="00F477F6">
        <w:rPr>
          <w:lang w:eastAsia="x-none"/>
        </w:rPr>
        <w:t>This report represents a further advance on HWAs HW2025 reports.</w:t>
      </w:r>
      <w:r w:rsidRPr="00F477F6">
        <w:t xml:space="preserve"> For the first time it presents a combined scenario demonstrating the effects </w:t>
      </w:r>
      <w:r w:rsidR="0050665F" w:rsidRPr="00F477F6">
        <w:t xml:space="preserve">of </w:t>
      </w:r>
      <w:r w:rsidRPr="00F477F6">
        <w:t>small improvements across multiple policy levers</w:t>
      </w:r>
      <w:r w:rsidR="0050665F" w:rsidRPr="00F477F6">
        <w:t>, which presents a more realistic future vision tha</w:t>
      </w:r>
      <w:r w:rsidR="00B3121B" w:rsidRPr="00F477F6">
        <w:t>n</w:t>
      </w:r>
      <w:r w:rsidR="0050665F" w:rsidRPr="00F477F6">
        <w:t xml:space="preserve"> what has been modelled previously. </w:t>
      </w:r>
    </w:p>
    <w:p w14:paraId="7A02DDA9" w14:textId="3AA55BFD" w:rsidR="0050665F" w:rsidRPr="00F477F6" w:rsidRDefault="0050665F" w:rsidP="00D20D53">
      <w:pPr>
        <w:rPr>
          <w:lang w:eastAsia="x-none"/>
        </w:rPr>
      </w:pPr>
      <w:r w:rsidRPr="00F477F6">
        <w:t xml:space="preserve">The scenario results in AFHW – Nurses are consistent with the results of HW2025, and continue to show demand for nurses will exceed supply in the future. However </w:t>
      </w:r>
      <w:r w:rsidR="007E25B8" w:rsidRPr="00F477F6">
        <w:t xml:space="preserve">this publication shows that </w:t>
      </w:r>
      <w:r w:rsidR="007E25B8" w:rsidRPr="00F477F6">
        <w:rPr>
          <w:rFonts w:eastAsia="Calibri" w:cs="Times New Roman"/>
          <w:lang w:eastAsia="x-none"/>
        </w:rPr>
        <w:t xml:space="preserve">the shortfall can be significantly counteracted by a coordinated approach across governments, employers, the profession and the tertiary education sector. This is demonstrated in the combined scenario, which models </w:t>
      </w:r>
      <w:r w:rsidR="007E25B8" w:rsidRPr="00F477F6">
        <w:rPr>
          <w:lang w:eastAsia="x-none"/>
        </w:rPr>
        <w:t>improved retention of nursing students within education, improved employment rates of domestic graduates, and increased early career retention;</w:t>
      </w:r>
      <w:r w:rsidR="007E25B8" w:rsidRPr="00F477F6">
        <w:rPr>
          <w:rFonts w:eastAsia="Calibri" w:cs="Times New Roman"/>
          <w:lang w:eastAsia="x-none"/>
        </w:rPr>
        <w:t xml:space="preserve"> </w:t>
      </w:r>
      <w:r w:rsidR="007E25B8" w:rsidRPr="00F477F6">
        <w:rPr>
          <w:lang w:eastAsia="x-none"/>
        </w:rPr>
        <w:t xml:space="preserve">as well as assuming that slower future economic growth constrains workforce demand. </w:t>
      </w:r>
    </w:p>
    <w:p w14:paraId="4E16CCE2" w14:textId="7647FE74" w:rsidR="00CF4CB9" w:rsidRPr="00F477F6" w:rsidRDefault="007E25B8" w:rsidP="00D20D53">
      <w:r w:rsidRPr="00F477F6">
        <w:rPr>
          <w:lang w:eastAsia="x-none"/>
        </w:rPr>
        <w:t xml:space="preserve">The </w:t>
      </w:r>
      <w:r w:rsidR="0050665F" w:rsidRPr="00F477F6">
        <w:t xml:space="preserve">recommendations and key findings of this publication are primarily derived from the findings of this combined scenario. </w:t>
      </w:r>
      <w:r w:rsidR="00CF4CB9" w:rsidRPr="00F477F6">
        <w:t xml:space="preserve">The establishment of a </w:t>
      </w:r>
      <w:r w:rsidR="0050665F" w:rsidRPr="00F477F6">
        <w:t>National Nursing and Midwifery Education Advisory Network</w:t>
      </w:r>
      <w:r w:rsidRPr="00F477F6">
        <w:t xml:space="preserve"> (NNMEAN)</w:t>
      </w:r>
      <w:r w:rsidR="00CF4CB9" w:rsidRPr="00F477F6">
        <w:t xml:space="preserve"> </w:t>
      </w:r>
      <w:r w:rsidRPr="00F477F6">
        <w:t xml:space="preserve">is recommended to implement the key findings, which are </w:t>
      </w:r>
      <w:r w:rsidR="00CF4CB9" w:rsidRPr="00F477F6">
        <w:t>demonstrated to have a substantial impact on reducing the projected nursing workforce shortfall.</w:t>
      </w:r>
    </w:p>
    <w:p w14:paraId="5B9F0D6B" w14:textId="202C2DDB" w:rsidR="00CF4CB9" w:rsidRPr="00D20D53" w:rsidRDefault="00CF4CB9" w:rsidP="00D20D53">
      <w:r w:rsidRPr="00F477F6">
        <w:t xml:space="preserve">While many of the issues raised by this report are not new, Australia is better placed than ever to respond constructively to the challenges ahead by bringing together all the key players and decision makers through </w:t>
      </w:r>
      <w:r w:rsidRPr="00D20D53">
        <w:t>a NNMEAN</w:t>
      </w:r>
      <w:r w:rsidR="007E25B8" w:rsidRPr="00D20D53">
        <w:t xml:space="preserve">, </w:t>
      </w:r>
      <w:r w:rsidRPr="00F477F6">
        <w:t>with a focus on the nursing workforce as a collective national asset.</w:t>
      </w:r>
    </w:p>
    <w:p w14:paraId="09BCF077" w14:textId="77777777" w:rsidR="00840DCF" w:rsidRPr="00F477F6" w:rsidRDefault="00840DCF" w:rsidP="00D20D53">
      <w:pPr>
        <w:pStyle w:val="Heading1"/>
      </w:pPr>
      <w:bookmarkStart w:id="150" w:name="_Toc407783194"/>
      <w:bookmarkEnd w:id="149"/>
      <w:r w:rsidRPr="00F477F6">
        <w:lastRenderedPageBreak/>
        <w:t>Glossary</w:t>
      </w:r>
      <w:bookmarkEnd w:id="150"/>
    </w:p>
    <w:p w14:paraId="3061CD63" w14:textId="77777777" w:rsidR="00840DCF" w:rsidRPr="00F477F6" w:rsidRDefault="00840DCF" w:rsidP="00D20D53">
      <w:r w:rsidRPr="00F477F6">
        <w:rPr>
          <w:b/>
        </w:rPr>
        <w:t>Capped working hours</w:t>
      </w:r>
      <w:r w:rsidRPr="00F477F6">
        <w:t xml:space="preserve"> – The capped hours scenario was created by reducing the working hours of any individual who reported working in excess of 50 hours per week to 50. The working hours of individuals who reported working 50 hours or less per week were left unchanged. As this approach does not directly impact headcount (which the model results are reported on) the effective reduction in headcount based on changes to the full-time equivalent induced by this change is reported.</w:t>
      </w:r>
    </w:p>
    <w:p w14:paraId="331125BC" w14:textId="77777777" w:rsidR="00840DCF" w:rsidRPr="00F477F6" w:rsidRDefault="00840DCF" w:rsidP="00D20D53">
      <w:pPr>
        <w:rPr>
          <w:b/>
        </w:rPr>
      </w:pPr>
      <w:r w:rsidRPr="00F477F6">
        <w:rPr>
          <w:b/>
        </w:rPr>
        <w:t>Direct Entry Midwife</w:t>
      </w:r>
      <w:r w:rsidRPr="00F477F6">
        <w:t xml:space="preserve"> – A direct entry midwife is educated in the discipline of midwifery in a program or path that does not require prior education as a nurse and which leads to registration under the National Law with Australian Health Practitioner Regulation Agency (AHPRA).</w:t>
      </w:r>
    </w:p>
    <w:p w14:paraId="33E15DD0" w14:textId="32BE4C18" w:rsidR="00840DCF" w:rsidRPr="00F477F6" w:rsidRDefault="00840DCF" w:rsidP="00D20D53">
      <w:r w:rsidRPr="00F477F6">
        <w:rPr>
          <w:b/>
        </w:rPr>
        <w:t>Enrolled Nurse (EN)</w:t>
      </w:r>
      <w:r w:rsidRPr="00F477F6">
        <w:t xml:space="preserve"> – An EN is a nurse who provides nursing care, working under the direction and supervision of a </w:t>
      </w:r>
      <w:r w:rsidR="003B751B" w:rsidRPr="00F477F6">
        <w:t>RN</w:t>
      </w:r>
      <w:r w:rsidRPr="00F477F6">
        <w:t>. The supervision may be direct or indirect according to the nature of the work delegated. ENs are registered under the National Law administered by the AHPRA.</w:t>
      </w:r>
    </w:p>
    <w:p w14:paraId="67D8B719" w14:textId="77777777" w:rsidR="00840DCF" w:rsidRPr="00F477F6" w:rsidRDefault="00840DCF" w:rsidP="00D20D53">
      <w:r w:rsidRPr="00F477F6">
        <w:rPr>
          <w:b/>
        </w:rPr>
        <w:t>Full-time equivalent (FTE) –</w:t>
      </w:r>
      <w:r w:rsidRPr="00F477F6">
        <w:t xml:space="preserve"> The model calculates FTE on a per specialty/area of practice basis based on the initial headcount in those groups multiplied by their reported clinical hours worked (based on an average calculated on a per gender and per age group basis). This is then divided by a standardised assumption about what constitutes a single FTE across the workforce modelled (38 hours per week for the nursing workforce) to generate the FTE quantity.</w:t>
      </w:r>
    </w:p>
    <w:p w14:paraId="7FF51F4E" w14:textId="77777777" w:rsidR="00840DCF" w:rsidRPr="00F477F6" w:rsidRDefault="00840DCF" w:rsidP="00D20D53">
      <w:r w:rsidRPr="00F477F6">
        <w:rPr>
          <w:b/>
        </w:rPr>
        <w:t>Graduate nurse</w:t>
      </w:r>
      <w:r w:rsidRPr="00F477F6">
        <w:t xml:space="preserve"> – A student who has completed a </w:t>
      </w:r>
      <w:r w:rsidR="00467BCF" w:rsidRPr="00F477F6">
        <w:t xml:space="preserve">Diploma or </w:t>
      </w:r>
      <w:r w:rsidRPr="00F477F6">
        <w:t>Bachelor of Nursing.</w:t>
      </w:r>
    </w:p>
    <w:p w14:paraId="79BF02BF" w14:textId="77777777" w:rsidR="00840DCF" w:rsidRPr="00F477F6" w:rsidRDefault="00840DCF" w:rsidP="00D20D53">
      <w:r w:rsidRPr="00F477F6">
        <w:rPr>
          <w:b/>
        </w:rPr>
        <w:t>Headcount</w:t>
      </w:r>
      <w:r w:rsidRPr="00F477F6">
        <w:t xml:space="preserve"> – The initial headcount in the model is based on actual AHPRA 2012 Labour Force Survey numbers, grouped according to the relevant nursing area of practice being modelled. Each individual record contains a area of practice, gender, age and hours worked data item. </w:t>
      </w:r>
    </w:p>
    <w:p w14:paraId="2FD94CB4" w14:textId="14597CA3" w:rsidR="00840DCF" w:rsidRPr="00F477F6" w:rsidRDefault="00840DCF" w:rsidP="00D20D53">
      <w:r w:rsidRPr="00F477F6">
        <w:rPr>
          <w:b/>
        </w:rPr>
        <w:t xml:space="preserve">Midwife </w:t>
      </w:r>
      <w:r w:rsidRPr="00F477F6">
        <w:t xml:space="preserve">– A midwife is a person with appropriate educational preparation </w:t>
      </w:r>
      <w:r w:rsidRPr="000576C4">
        <w:t>a</w:t>
      </w:r>
      <w:r w:rsidRPr="00F477F6">
        <w:t xml:space="preserve">nd competence to practise, who is registered under the National Law administered by AHPRA to practise midwifery in Australia. Most midwifes are also licensed </w:t>
      </w:r>
      <w:r w:rsidR="003B751B" w:rsidRPr="00F477F6">
        <w:t>RNs</w:t>
      </w:r>
      <w:r w:rsidRPr="00F477F6">
        <w:t xml:space="preserve"> who have additional midwifery qualifications. Their licence records that they are a </w:t>
      </w:r>
      <w:r w:rsidR="003B751B" w:rsidRPr="00F477F6">
        <w:t>RN</w:t>
      </w:r>
      <w:r w:rsidRPr="00F477F6">
        <w:t xml:space="preserve"> with a midwifery endorsement.</w:t>
      </w:r>
    </w:p>
    <w:p w14:paraId="3E605DD9" w14:textId="77777777" w:rsidR="00840DCF" w:rsidRPr="00F477F6" w:rsidRDefault="00840DCF" w:rsidP="00D20D53">
      <w:r w:rsidRPr="00F477F6">
        <w:rPr>
          <w:b/>
        </w:rPr>
        <w:t xml:space="preserve">Registered Nurse (RN) </w:t>
      </w:r>
      <w:r w:rsidRPr="00F477F6">
        <w:t>– A RN is a person with appropriate educational preparation and competence to practise, who is registered under the National Law administered by the AHPRA to practise as a RN in Australia.</w:t>
      </w:r>
    </w:p>
    <w:p w14:paraId="11FD1A1D" w14:textId="77777777" w:rsidR="00840DCF" w:rsidRPr="00F477F6" w:rsidRDefault="00840DCF" w:rsidP="00D20D53">
      <w:r w:rsidRPr="00F477F6">
        <w:rPr>
          <w:b/>
        </w:rPr>
        <w:t>Productivity</w:t>
      </w:r>
      <w:r w:rsidRPr="00F477F6">
        <w:t xml:space="preserve"> – Productivity is the output obtained from a given level of inputs. The modelling scenario that increases productivity represents this as an effective decrease in demand because the ability to produce more with less requires fewer persons to deliver a given quantum of services.</w:t>
      </w:r>
    </w:p>
    <w:p w14:paraId="35DF7A91" w14:textId="77777777" w:rsidR="00840DCF" w:rsidRPr="00F477F6" w:rsidRDefault="00840DCF" w:rsidP="00D20D53">
      <w:r w:rsidRPr="00F477F6">
        <w:rPr>
          <w:b/>
        </w:rPr>
        <w:t>Self-sufficiency</w:t>
      </w:r>
      <w:r w:rsidRPr="00F477F6">
        <w:t xml:space="preserve"> – In the context of the modelling, self-sufficiency scenarios represent a reduction in the temporary and permanent migration input into the health workforce as well as a reduction in the internationally trained nurses in the nursing workforce. </w:t>
      </w:r>
    </w:p>
    <w:p w14:paraId="596DD0B6" w14:textId="77777777" w:rsidR="00D66C13" w:rsidRPr="00F477F6" w:rsidRDefault="00F719CA" w:rsidP="00D20D53">
      <w:r w:rsidRPr="00F477F6">
        <w:rPr>
          <w:b/>
        </w:rPr>
        <w:t>Skill mix (nursing)</w:t>
      </w:r>
      <w:r w:rsidRPr="00F477F6">
        <w:t xml:space="preserve"> – the combination of different categories of staff providing nursing care within a setting. </w:t>
      </w:r>
    </w:p>
    <w:p w14:paraId="66BFA054" w14:textId="77777777" w:rsidR="00E87FF8" w:rsidRPr="00F477F6" w:rsidRDefault="006F117A" w:rsidP="00D20D53">
      <w:pPr>
        <w:pStyle w:val="Heading1"/>
      </w:pPr>
      <w:bookmarkStart w:id="151" w:name="_Toc407783195"/>
      <w:r w:rsidRPr="00F477F6">
        <w:lastRenderedPageBreak/>
        <w:t>Appendix</w:t>
      </w:r>
      <w:r w:rsidR="007238C9" w:rsidRPr="00F477F6">
        <w:t xml:space="preserve"> </w:t>
      </w:r>
      <w:r w:rsidR="007C7001" w:rsidRPr="00F477F6">
        <w:t>A</w:t>
      </w:r>
      <w:r w:rsidR="007238C9" w:rsidRPr="00F477F6">
        <w:t>: Project Advisory Group members</w:t>
      </w:r>
      <w:bookmarkEnd w:id="151"/>
    </w:p>
    <w:tbl>
      <w:tblPr>
        <w:tblStyle w:val="TableGrid1"/>
        <w:tblW w:w="0" w:type="auto"/>
        <w:tblLook w:val="04A0" w:firstRow="1" w:lastRow="0" w:firstColumn="1" w:lastColumn="0" w:noHBand="0" w:noVBand="1"/>
        <w:tblCaption w:val="Appendix A: Project Advisory Group members"/>
        <w:tblDescription w:val="The table presents the names of members and their organisations represented on the Project Advisory Group that oversaw the report."/>
      </w:tblPr>
      <w:tblGrid>
        <w:gridCol w:w="3227"/>
        <w:gridCol w:w="5733"/>
      </w:tblGrid>
      <w:tr w:rsidR="003008B9" w:rsidRPr="00F477F6" w14:paraId="1F808355" w14:textId="77777777" w:rsidTr="000576C4">
        <w:trPr>
          <w:tblHeader/>
        </w:trPr>
        <w:tc>
          <w:tcPr>
            <w:tcW w:w="3227" w:type="dxa"/>
            <w:shd w:val="clear" w:color="auto" w:fill="0070C0"/>
          </w:tcPr>
          <w:p w14:paraId="20C1F87F" w14:textId="203B0735" w:rsidR="003008B9" w:rsidRPr="00F477F6" w:rsidRDefault="003008B9" w:rsidP="00D20D53">
            <w:pPr>
              <w:pStyle w:val="TableHeader"/>
            </w:pPr>
            <w:r w:rsidRPr="00F477F6">
              <w:t>Member</w:t>
            </w:r>
            <w:bookmarkStart w:id="152" w:name="ColumnTitle_AppendixA"/>
            <w:bookmarkEnd w:id="152"/>
          </w:p>
        </w:tc>
        <w:tc>
          <w:tcPr>
            <w:tcW w:w="5733" w:type="dxa"/>
            <w:shd w:val="clear" w:color="auto" w:fill="0070C0"/>
          </w:tcPr>
          <w:p w14:paraId="4C66D184" w14:textId="13903FFE" w:rsidR="003008B9" w:rsidRPr="00F477F6" w:rsidRDefault="003008B9" w:rsidP="00D20D53">
            <w:pPr>
              <w:pStyle w:val="TableHeader"/>
            </w:pPr>
            <w:r w:rsidRPr="00F477F6">
              <w:t>Affiliation</w:t>
            </w:r>
          </w:p>
        </w:tc>
      </w:tr>
      <w:tr w:rsidR="002B7AEB" w:rsidRPr="00F477F6" w14:paraId="42DD3F6F" w14:textId="77777777" w:rsidTr="00EE2B74">
        <w:tc>
          <w:tcPr>
            <w:tcW w:w="3227" w:type="dxa"/>
            <w:shd w:val="clear" w:color="auto" w:fill="FFFFFF" w:themeFill="background1"/>
          </w:tcPr>
          <w:p w14:paraId="6076B12C" w14:textId="4F629141" w:rsidR="002B7AEB" w:rsidRPr="00F477F6" w:rsidRDefault="002B7AEB" w:rsidP="00D20D53">
            <w:pPr>
              <w:pStyle w:val="TableText"/>
            </w:pPr>
            <w:r w:rsidRPr="00F477F6">
              <w:t>Chair</w:t>
            </w:r>
          </w:p>
        </w:tc>
        <w:tc>
          <w:tcPr>
            <w:tcW w:w="5733" w:type="dxa"/>
            <w:shd w:val="clear" w:color="auto" w:fill="FFFFFF" w:themeFill="background1"/>
          </w:tcPr>
          <w:p w14:paraId="4477CC16" w14:textId="6025B487" w:rsidR="002B7AEB" w:rsidRPr="00F477F6" w:rsidRDefault="002B7AEB" w:rsidP="00D20D53">
            <w:pPr>
              <w:pStyle w:val="TableText"/>
            </w:pPr>
            <w:r w:rsidRPr="00F477F6">
              <w:t>Executive Director, Information Analysis and Planning, Health Workforce Australia</w:t>
            </w:r>
          </w:p>
        </w:tc>
      </w:tr>
      <w:tr w:rsidR="002B7AEB" w:rsidRPr="00F477F6" w14:paraId="54F2E645" w14:textId="77777777" w:rsidTr="00EE2B74">
        <w:tc>
          <w:tcPr>
            <w:tcW w:w="3227" w:type="dxa"/>
            <w:shd w:val="clear" w:color="auto" w:fill="FFFFFF" w:themeFill="background1"/>
          </w:tcPr>
          <w:p w14:paraId="3CD75E31" w14:textId="7EAB3B98" w:rsidR="002B7AEB" w:rsidRPr="00F477F6" w:rsidRDefault="002B7AEB" w:rsidP="00D20D53">
            <w:pPr>
              <w:pStyle w:val="TableText"/>
            </w:pPr>
            <w:r w:rsidRPr="00F477F6">
              <w:t>Ms Heather Witham</w:t>
            </w:r>
          </w:p>
        </w:tc>
        <w:tc>
          <w:tcPr>
            <w:tcW w:w="5733" w:type="dxa"/>
            <w:shd w:val="clear" w:color="auto" w:fill="FFFFFF" w:themeFill="background1"/>
          </w:tcPr>
          <w:p w14:paraId="2D45419D" w14:textId="2BF40FFB" w:rsidR="002B7AEB" w:rsidRPr="00F477F6" w:rsidRDefault="002B7AEB" w:rsidP="00D20D53">
            <w:pPr>
              <w:pStyle w:val="TableText"/>
            </w:pPr>
            <w:r w:rsidRPr="00F477F6">
              <w:t>Aged and Community Services Australia</w:t>
            </w:r>
          </w:p>
        </w:tc>
      </w:tr>
      <w:tr w:rsidR="002B7AEB" w:rsidRPr="00F477F6" w14:paraId="05FC811C" w14:textId="77777777" w:rsidTr="00EE2B74">
        <w:tc>
          <w:tcPr>
            <w:tcW w:w="3227" w:type="dxa"/>
          </w:tcPr>
          <w:p w14:paraId="0578D4CA" w14:textId="5B136D1F" w:rsidR="002B7AEB" w:rsidRPr="00F477F6" w:rsidRDefault="002B7AEB" w:rsidP="00D20D53">
            <w:pPr>
              <w:pStyle w:val="TableText"/>
            </w:pPr>
            <w:r w:rsidRPr="00F477F6">
              <w:t>Associate Professor Kim Ryan</w:t>
            </w:r>
          </w:p>
        </w:tc>
        <w:tc>
          <w:tcPr>
            <w:tcW w:w="5733" w:type="dxa"/>
          </w:tcPr>
          <w:p w14:paraId="0787F632" w14:textId="35F6CF82" w:rsidR="002B7AEB" w:rsidRPr="00F477F6" w:rsidRDefault="002B7AEB" w:rsidP="00D20D53">
            <w:pPr>
              <w:pStyle w:val="TableText"/>
            </w:pPr>
            <w:r w:rsidRPr="00F477F6">
              <w:t>Australian College of Mental Health Nurses</w:t>
            </w:r>
          </w:p>
        </w:tc>
      </w:tr>
      <w:tr w:rsidR="002B7AEB" w:rsidRPr="00F477F6" w14:paraId="58AB6277" w14:textId="77777777" w:rsidTr="00EE2B74">
        <w:tc>
          <w:tcPr>
            <w:tcW w:w="3227" w:type="dxa"/>
          </w:tcPr>
          <w:p w14:paraId="42F1B157" w14:textId="45111380" w:rsidR="002B7AEB" w:rsidRPr="00F477F6" w:rsidRDefault="002B7AEB" w:rsidP="00D20D53">
            <w:pPr>
              <w:pStyle w:val="TableText"/>
            </w:pPr>
            <w:r w:rsidRPr="00F477F6">
              <w:t>Professor Deb Thoms</w:t>
            </w:r>
          </w:p>
        </w:tc>
        <w:tc>
          <w:tcPr>
            <w:tcW w:w="5733" w:type="dxa"/>
          </w:tcPr>
          <w:p w14:paraId="4D2D29DA" w14:textId="38D4945B" w:rsidR="002B7AEB" w:rsidRPr="00F477F6" w:rsidRDefault="002B7AEB" w:rsidP="00D20D53">
            <w:pPr>
              <w:pStyle w:val="TableText"/>
            </w:pPr>
            <w:r w:rsidRPr="00F477F6">
              <w:t>Australian College of Nursing</w:t>
            </w:r>
          </w:p>
        </w:tc>
      </w:tr>
      <w:tr w:rsidR="002B7AEB" w:rsidRPr="00F477F6" w14:paraId="00ACB14D" w14:textId="77777777" w:rsidTr="00EE2B74">
        <w:tc>
          <w:tcPr>
            <w:tcW w:w="3227" w:type="dxa"/>
          </w:tcPr>
          <w:p w14:paraId="41ED5A01" w14:textId="5E9926C5" w:rsidR="002B7AEB" w:rsidRPr="00F477F6" w:rsidRDefault="002B7AEB" w:rsidP="00D20D53">
            <w:pPr>
              <w:pStyle w:val="TableText"/>
            </w:pPr>
            <w:r w:rsidRPr="00F477F6">
              <w:t>Ms Alison McMillan</w:t>
            </w:r>
          </w:p>
        </w:tc>
        <w:tc>
          <w:tcPr>
            <w:tcW w:w="5733" w:type="dxa"/>
          </w:tcPr>
          <w:p w14:paraId="49A2ABFC" w14:textId="749A23F1" w:rsidR="002B7AEB" w:rsidRPr="00F477F6" w:rsidRDefault="002B7AEB" w:rsidP="00D20D53">
            <w:pPr>
              <w:pStyle w:val="TableText"/>
            </w:pPr>
            <w:r w:rsidRPr="00F477F6">
              <w:t>Australian and New Zealand Council of Chief Nurses</w:t>
            </w:r>
          </w:p>
        </w:tc>
      </w:tr>
      <w:tr w:rsidR="002B7AEB" w:rsidRPr="00F477F6" w14:paraId="4E34EF23" w14:textId="77777777" w:rsidTr="00EE2B74">
        <w:tc>
          <w:tcPr>
            <w:tcW w:w="3227" w:type="dxa"/>
          </w:tcPr>
          <w:p w14:paraId="7C1A86C6" w14:textId="3B87E94F" w:rsidR="002B7AEB" w:rsidRPr="00F477F6" w:rsidRDefault="002B7AEB" w:rsidP="00D20D53">
            <w:pPr>
              <w:pStyle w:val="TableText"/>
            </w:pPr>
            <w:r w:rsidRPr="00F477F6">
              <w:t>Ms Amanda Adrian</w:t>
            </w:r>
          </w:p>
        </w:tc>
        <w:tc>
          <w:tcPr>
            <w:tcW w:w="5733" w:type="dxa"/>
          </w:tcPr>
          <w:p w14:paraId="20B155CA" w14:textId="05EF2399" w:rsidR="002B7AEB" w:rsidRPr="00F477F6" w:rsidRDefault="002B7AEB" w:rsidP="00D20D53">
            <w:pPr>
              <w:pStyle w:val="TableText"/>
            </w:pPr>
            <w:r w:rsidRPr="00F477F6">
              <w:t>Australian Nursing and Midwifery Accreditation Council</w:t>
            </w:r>
          </w:p>
        </w:tc>
      </w:tr>
      <w:tr w:rsidR="002B7AEB" w:rsidRPr="00F477F6" w14:paraId="3066567C" w14:textId="77777777" w:rsidTr="00EE2B74">
        <w:tc>
          <w:tcPr>
            <w:tcW w:w="3227" w:type="dxa"/>
          </w:tcPr>
          <w:p w14:paraId="5FC6F9DD" w14:textId="12D670C1" w:rsidR="002B7AEB" w:rsidRPr="00F477F6" w:rsidRDefault="002B7AEB" w:rsidP="00D20D53">
            <w:pPr>
              <w:pStyle w:val="TableText"/>
            </w:pPr>
            <w:r w:rsidRPr="00F477F6">
              <w:t>Ms Julianne Bryce</w:t>
            </w:r>
          </w:p>
        </w:tc>
        <w:tc>
          <w:tcPr>
            <w:tcW w:w="5733" w:type="dxa"/>
          </w:tcPr>
          <w:p w14:paraId="6F6C7F8E" w14:textId="53CA2FEE" w:rsidR="002B7AEB" w:rsidRPr="00F477F6" w:rsidRDefault="002B7AEB" w:rsidP="00D20D53">
            <w:pPr>
              <w:pStyle w:val="TableText"/>
            </w:pPr>
            <w:r w:rsidRPr="00F477F6">
              <w:t>Australian Nursing and Midwifery Federation</w:t>
            </w:r>
          </w:p>
        </w:tc>
      </w:tr>
      <w:tr w:rsidR="002B7AEB" w:rsidRPr="00F477F6" w14:paraId="4A503A98" w14:textId="77777777" w:rsidTr="00EE2B74">
        <w:tc>
          <w:tcPr>
            <w:tcW w:w="3227" w:type="dxa"/>
          </w:tcPr>
          <w:p w14:paraId="61109C1A" w14:textId="4F0A1369" w:rsidR="002B7AEB" w:rsidRPr="00F477F6" w:rsidRDefault="002B7AEB" w:rsidP="00D20D53">
            <w:pPr>
              <w:pStyle w:val="TableText"/>
            </w:pPr>
            <w:r w:rsidRPr="00F477F6">
              <w:t>Ms Kathy Bell</w:t>
            </w:r>
          </w:p>
        </w:tc>
        <w:tc>
          <w:tcPr>
            <w:tcW w:w="5733" w:type="dxa"/>
          </w:tcPr>
          <w:p w14:paraId="55416F1B" w14:textId="60602D2C" w:rsidR="002B7AEB" w:rsidRPr="00F477F6" w:rsidRDefault="002B7AEB" w:rsidP="00D20D53">
            <w:pPr>
              <w:pStyle w:val="TableText"/>
            </w:pPr>
            <w:r w:rsidRPr="00F477F6">
              <w:t>Australian Primary Health Care Nurses Association</w:t>
            </w:r>
          </w:p>
        </w:tc>
      </w:tr>
      <w:tr w:rsidR="002B7AEB" w:rsidRPr="00F477F6" w14:paraId="44922C1E" w14:textId="77777777" w:rsidTr="00EE2B74">
        <w:tc>
          <w:tcPr>
            <w:tcW w:w="3227" w:type="dxa"/>
            <w:shd w:val="clear" w:color="auto" w:fill="auto"/>
          </w:tcPr>
          <w:p w14:paraId="02E4C69E" w14:textId="15B01BF4" w:rsidR="002B7AEB" w:rsidRPr="00F477F6" w:rsidRDefault="002B7AEB" w:rsidP="00D20D53">
            <w:pPr>
              <w:pStyle w:val="TableText"/>
            </w:pPr>
            <w:r w:rsidRPr="00F477F6">
              <w:t>Ms Liz Spaull</w:t>
            </w:r>
          </w:p>
        </w:tc>
        <w:tc>
          <w:tcPr>
            <w:tcW w:w="5733" w:type="dxa"/>
          </w:tcPr>
          <w:p w14:paraId="1DA4565F" w14:textId="7E963CCC" w:rsidR="002B7AEB" w:rsidRPr="00F477F6" w:rsidRDefault="002B7AEB" w:rsidP="00D20D53">
            <w:pPr>
              <w:pStyle w:val="TableText"/>
            </w:pPr>
            <w:r w:rsidRPr="00F477F6">
              <w:t>Australian Private Hospitals Association</w:t>
            </w:r>
          </w:p>
        </w:tc>
      </w:tr>
      <w:tr w:rsidR="002B7AEB" w:rsidRPr="00F477F6" w14:paraId="1079F0E9" w14:textId="77777777" w:rsidTr="00EE2B74">
        <w:tc>
          <w:tcPr>
            <w:tcW w:w="3227" w:type="dxa"/>
          </w:tcPr>
          <w:p w14:paraId="36B34ED2" w14:textId="026CE52A" w:rsidR="002B7AEB" w:rsidRPr="00F477F6" w:rsidRDefault="002B7AEB" w:rsidP="00D20D53">
            <w:pPr>
              <w:pStyle w:val="TableText"/>
            </w:pPr>
            <w:r w:rsidRPr="00F477F6">
              <w:t>Ms Liz Callaghan</w:t>
            </w:r>
          </w:p>
        </w:tc>
        <w:tc>
          <w:tcPr>
            <w:tcW w:w="5733" w:type="dxa"/>
          </w:tcPr>
          <w:p w14:paraId="17E3928D" w14:textId="6834C969" w:rsidR="002B7AEB" w:rsidRPr="00F477F6" w:rsidRDefault="002B7AEB" w:rsidP="00D20D53">
            <w:pPr>
              <w:pStyle w:val="TableText"/>
            </w:pPr>
            <w:r w:rsidRPr="00F477F6">
              <w:t>Catholic Health Australia</w:t>
            </w:r>
          </w:p>
        </w:tc>
      </w:tr>
      <w:tr w:rsidR="002B7AEB" w:rsidRPr="00F477F6" w14:paraId="71838E5E" w14:textId="77777777" w:rsidTr="00EE2B74">
        <w:tc>
          <w:tcPr>
            <w:tcW w:w="3227" w:type="dxa"/>
          </w:tcPr>
          <w:p w14:paraId="311BCB46" w14:textId="78A84C3E" w:rsidR="002B7AEB" w:rsidRPr="00F477F6" w:rsidRDefault="002B7AEB" w:rsidP="00D20D53">
            <w:pPr>
              <w:pStyle w:val="TableText"/>
            </w:pPr>
            <w:r w:rsidRPr="00F477F6">
              <w:t>Ms Janine Mohamed</w:t>
            </w:r>
          </w:p>
        </w:tc>
        <w:tc>
          <w:tcPr>
            <w:tcW w:w="5733" w:type="dxa"/>
          </w:tcPr>
          <w:p w14:paraId="125211DA" w14:textId="7182FF0E" w:rsidR="002B7AEB" w:rsidRPr="00F477F6" w:rsidRDefault="002B7AEB" w:rsidP="00D20D53">
            <w:pPr>
              <w:pStyle w:val="TableText"/>
            </w:pPr>
            <w:r w:rsidRPr="00F477F6">
              <w:t>Congress of Aboriginal and Torres Strait Islander Nurses and Midwives</w:t>
            </w:r>
          </w:p>
        </w:tc>
      </w:tr>
      <w:tr w:rsidR="002B7AEB" w:rsidRPr="00F477F6" w14:paraId="78625CFF" w14:textId="77777777" w:rsidTr="00EE2B74">
        <w:tc>
          <w:tcPr>
            <w:tcW w:w="3227" w:type="dxa"/>
          </w:tcPr>
          <w:p w14:paraId="5EF99280" w14:textId="4427F77A" w:rsidR="002B7AEB" w:rsidRPr="00F477F6" w:rsidRDefault="002B7AEB" w:rsidP="00D20D53">
            <w:pPr>
              <w:pStyle w:val="TableText"/>
            </w:pPr>
            <w:r w:rsidRPr="00F477F6">
              <w:t>Professor Di Twigg</w:t>
            </w:r>
          </w:p>
        </w:tc>
        <w:tc>
          <w:tcPr>
            <w:tcW w:w="5733" w:type="dxa"/>
          </w:tcPr>
          <w:p w14:paraId="27761723" w14:textId="4729C465" w:rsidR="002B7AEB" w:rsidRPr="00F477F6" w:rsidRDefault="002B7AEB" w:rsidP="00D20D53">
            <w:pPr>
              <w:pStyle w:val="TableText"/>
            </w:pPr>
            <w:r w:rsidRPr="00F477F6">
              <w:t>Council of Deans of Nursing and Midwifery (Australia and New Zealand)</w:t>
            </w:r>
          </w:p>
        </w:tc>
      </w:tr>
      <w:tr w:rsidR="002B7AEB" w:rsidRPr="00F477F6" w14:paraId="1FB3004A" w14:textId="77777777" w:rsidTr="00EE2B74">
        <w:tc>
          <w:tcPr>
            <w:tcW w:w="3227" w:type="dxa"/>
          </w:tcPr>
          <w:p w14:paraId="7096A72F" w14:textId="4906B4F1" w:rsidR="002B7AEB" w:rsidRPr="00F477F6" w:rsidRDefault="002B7AEB" w:rsidP="00D20D53">
            <w:pPr>
              <w:pStyle w:val="TableText"/>
            </w:pPr>
            <w:r w:rsidRPr="00F477F6">
              <w:t>Ms Geri Malone</w:t>
            </w:r>
          </w:p>
        </w:tc>
        <w:tc>
          <w:tcPr>
            <w:tcW w:w="5733" w:type="dxa"/>
          </w:tcPr>
          <w:p w14:paraId="5E989C5A" w14:textId="53415952" w:rsidR="002B7AEB" w:rsidRPr="00F477F6" w:rsidRDefault="002B7AEB" w:rsidP="00D20D53">
            <w:pPr>
              <w:pStyle w:val="TableText"/>
            </w:pPr>
            <w:r w:rsidRPr="00F477F6">
              <w:t>CRANAplus</w:t>
            </w:r>
          </w:p>
        </w:tc>
      </w:tr>
      <w:tr w:rsidR="002B7AEB" w:rsidRPr="00F477F6" w14:paraId="6EA0EA31" w14:textId="77777777" w:rsidTr="00EE2B74">
        <w:tc>
          <w:tcPr>
            <w:tcW w:w="3227" w:type="dxa"/>
            <w:shd w:val="clear" w:color="auto" w:fill="auto"/>
          </w:tcPr>
          <w:p w14:paraId="311ED753" w14:textId="35708826" w:rsidR="002B7AEB" w:rsidRPr="00F477F6" w:rsidRDefault="002B7AEB" w:rsidP="00D20D53">
            <w:pPr>
              <w:pStyle w:val="TableText"/>
            </w:pPr>
            <w:r w:rsidRPr="00F477F6">
              <w:t>Ms Shirley Browne</w:t>
            </w:r>
          </w:p>
        </w:tc>
        <w:tc>
          <w:tcPr>
            <w:tcW w:w="5733" w:type="dxa"/>
            <w:shd w:val="clear" w:color="auto" w:fill="auto"/>
          </w:tcPr>
          <w:p w14:paraId="073746B9" w14:textId="31C2C413" w:rsidR="002B7AEB" w:rsidRPr="00F477F6" w:rsidRDefault="002B7AEB" w:rsidP="00D20D53">
            <w:pPr>
              <w:pStyle w:val="TableText"/>
            </w:pPr>
            <w:r w:rsidRPr="00F477F6">
              <w:t>Department of Social Services – Ageing and Aged Care Division</w:t>
            </w:r>
          </w:p>
        </w:tc>
      </w:tr>
      <w:tr w:rsidR="002B7AEB" w:rsidRPr="00F477F6" w14:paraId="471EF2DC" w14:textId="77777777" w:rsidTr="00EE2B74">
        <w:tc>
          <w:tcPr>
            <w:tcW w:w="3227" w:type="dxa"/>
          </w:tcPr>
          <w:p w14:paraId="2E45427A" w14:textId="59FA9A73" w:rsidR="002B7AEB" w:rsidRPr="00F477F6" w:rsidRDefault="002B7AEB" w:rsidP="00D20D53">
            <w:pPr>
              <w:pStyle w:val="TableText"/>
            </w:pPr>
            <w:r w:rsidRPr="00F477F6">
              <w:t>Ms Penny Shakespeare</w:t>
            </w:r>
          </w:p>
        </w:tc>
        <w:tc>
          <w:tcPr>
            <w:tcW w:w="5733" w:type="dxa"/>
          </w:tcPr>
          <w:p w14:paraId="321412B8" w14:textId="4068C8F6" w:rsidR="002B7AEB" w:rsidRPr="00F477F6" w:rsidRDefault="002B7AEB" w:rsidP="00D20D53">
            <w:pPr>
              <w:pStyle w:val="TableText"/>
            </w:pPr>
            <w:r w:rsidRPr="00F477F6">
              <w:t>Department of Health – Health Workforce Division</w:t>
            </w:r>
          </w:p>
        </w:tc>
      </w:tr>
      <w:tr w:rsidR="002B7AEB" w:rsidRPr="00F477F6" w14:paraId="4889CAAD" w14:textId="77777777" w:rsidTr="00EE2B74">
        <w:tc>
          <w:tcPr>
            <w:tcW w:w="3227" w:type="dxa"/>
          </w:tcPr>
          <w:p w14:paraId="0957CFD8" w14:textId="4C51C444" w:rsidR="002B7AEB" w:rsidRPr="00F477F6" w:rsidRDefault="002B7AEB" w:rsidP="00D20D53">
            <w:pPr>
              <w:pStyle w:val="TableText"/>
            </w:pPr>
            <w:r w:rsidRPr="00F477F6">
              <w:t>Dr Rosemary Bryant</w:t>
            </w:r>
          </w:p>
        </w:tc>
        <w:tc>
          <w:tcPr>
            <w:tcW w:w="5733" w:type="dxa"/>
          </w:tcPr>
          <w:p w14:paraId="08CD56DB" w14:textId="1AAE599C" w:rsidR="002B7AEB" w:rsidRPr="00F477F6" w:rsidRDefault="002B7AEB" w:rsidP="00D20D53">
            <w:pPr>
              <w:pStyle w:val="TableText"/>
            </w:pPr>
            <w:r w:rsidRPr="00F477F6">
              <w:t>Department of Health – Chief Nurse and Midwifery Officer</w:t>
            </w:r>
          </w:p>
        </w:tc>
      </w:tr>
      <w:tr w:rsidR="002B7AEB" w:rsidRPr="00F477F6" w14:paraId="5E100775" w14:textId="77777777" w:rsidTr="00EE2B74">
        <w:tc>
          <w:tcPr>
            <w:tcW w:w="3227" w:type="dxa"/>
          </w:tcPr>
          <w:p w14:paraId="693134BF" w14:textId="2A745184" w:rsidR="002B7AEB" w:rsidRPr="00F477F6" w:rsidRDefault="002B7AEB" w:rsidP="00D20D53">
            <w:pPr>
              <w:pStyle w:val="TableText"/>
            </w:pPr>
            <w:r w:rsidRPr="00F477F6">
              <w:t>Ms Robyn Burley</w:t>
            </w:r>
          </w:p>
        </w:tc>
        <w:tc>
          <w:tcPr>
            <w:tcW w:w="5733" w:type="dxa"/>
          </w:tcPr>
          <w:p w14:paraId="1FC184CA" w14:textId="6E7FFC48" w:rsidR="002B7AEB" w:rsidRPr="00F477F6" w:rsidRDefault="002B7AEB" w:rsidP="00D20D53">
            <w:pPr>
              <w:pStyle w:val="TableText"/>
            </w:pPr>
            <w:r w:rsidRPr="00F477F6">
              <w:t>Health Workforce Principal Committee</w:t>
            </w:r>
          </w:p>
        </w:tc>
      </w:tr>
      <w:tr w:rsidR="002B7AEB" w:rsidRPr="00F477F6" w14:paraId="39AFF3E1" w14:textId="77777777" w:rsidTr="00EE2B74">
        <w:tc>
          <w:tcPr>
            <w:tcW w:w="3227" w:type="dxa"/>
          </w:tcPr>
          <w:p w14:paraId="27FAF7AF" w14:textId="3DE21D91" w:rsidR="002B7AEB" w:rsidRPr="00F477F6" w:rsidRDefault="002B7AEB" w:rsidP="00D20D53">
            <w:pPr>
              <w:pStyle w:val="TableText"/>
            </w:pPr>
            <w:r w:rsidRPr="00F477F6">
              <w:t>Mr David Stewart</w:t>
            </w:r>
          </w:p>
        </w:tc>
        <w:tc>
          <w:tcPr>
            <w:tcW w:w="5733" w:type="dxa"/>
          </w:tcPr>
          <w:p w14:paraId="61FCC8CB" w14:textId="40948E65" w:rsidR="002B7AEB" w:rsidRPr="00F477F6" w:rsidRDefault="002B7AEB" w:rsidP="00D20D53">
            <w:pPr>
              <w:pStyle w:val="TableText"/>
            </w:pPr>
            <w:r w:rsidRPr="00F477F6">
              <w:t>Health Workforce Principal Committee</w:t>
            </w:r>
          </w:p>
        </w:tc>
      </w:tr>
      <w:tr w:rsidR="002B7AEB" w:rsidRPr="00F477F6" w14:paraId="57E66090" w14:textId="77777777" w:rsidTr="00EE2B74">
        <w:tc>
          <w:tcPr>
            <w:tcW w:w="3227" w:type="dxa"/>
          </w:tcPr>
          <w:p w14:paraId="2E2BDA4D" w14:textId="6DD16CB9" w:rsidR="002B7AEB" w:rsidRPr="00F477F6" w:rsidRDefault="002B7AEB" w:rsidP="00D20D53">
            <w:pPr>
              <w:pStyle w:val="TableText"/>
            </w:pPr>
            <w:r w:rsidRPr="00F477F6">
              <w:lastRenderedPageBreak/>
              <w:t>Ms Kay Richards</w:t>
            </w:r>
          </w:p>
        </w:tc>
        <w:tc>
          <w:tcPr>
            <w:tcW w:w="5733" w:type="dxa"/>
          </w:tcPr>
          <w:p w14:paraId="63629476" w14:textId="6E736FB8" w:rsidR="002B7AEB" w:rsidRPr="00F477F6" w:rsidRDefault="002B7AEB" w:rsidP="00D20D53">
            <w:pPr>
              <w:pStyle w:val="TableText"/>
            </w:pPr>
            <w:r w:rsidRPr="00F477F6">
              <w:t>Leading Age Services Australia</w:t>
            </w:r>
          </w:p>
        </w:tc>
      </w:tr>
      <w:tr w:rsidR="002B7AEB" w:rsidRPr="00F477F6" w14:paraId="028C2CD6" w14:textId="77777777" w:rsidTr="00EE2B74">
        <w:tc>
          <w:tcPr>
            <w:tcW w:w="3227" w:type="dxa"/>
          </w:tcPr>
          <w:p w14:paraId="75EA6A13" w14:textId="1ACE598B" w:rsidR="002B7AEB" w:rsidRPr="00F477F6" w:rsidRDefault="002B7AEB" w:rsidP="00D20D53">
            <w:pPr>
              <w:pStyle w:val="TableText"/>
            </w:pPr>
            <w:r w:rsidRPr="00F477F6">
              <w:t xml:space="preserve">Dr Lynette Cusack </w:t>
            </w:r>
          </w:p>
        </w:tc>
        <w:tc>
          <w:tcPr>
            <w:tcW w:w="5733" w:type="dxa"/>
          </w:tcPr>
          <w:p w14:paraId="3CF44873" w14:textId="3D6E02A8" w:rsidR="002B7AEB" w:rsidRPr="00F477F6" w:rsidRDefault="002B7AEB" w:rsidP="00D20D53">
            <w:pPr>
              <w:pStyle w:val="TableText"/>
            </w:pPr>
            <w:r w:rsidRPr="00F477F6">
              <w:t>Nursing and Midwifery Board of Australia</w:t>
            </w:r>
          </w:p>
        </w:tc>
      </w:tr>
    </w:tbl>
    <w:p w14:paraId="0F8CAF75" w14:textId="77777777" w:rsidR="002E16F0" w:rsidRPr="00F477F6" w:rsidRDefault="002E16F0" w:rsidP="00D20D53">
      <w:bookmarkStart w:id="153" w:name="_Toc386038005"/>
      <w:bookmarkStart w:id="154" w:name="_Toc386443316"/>
      <w:bookmarkStart w:id="155" w:name="_Toc377370490"/>
    </w:p>
    <w:p w14:paraId="01256C5C" w14:textId="14886C3A" w:rsidR="00B453C6" w:rsidRPr="00F477F6" w:rsidRDefault="00B453C6" w:rsidP="00D20D53">
      <w:pPr>
        <w:pStyle w:val="Heading1"/>
      </w:pPr>
      <w:bookmarkStart w:id="156" w:name="_Toc407783196"/>
      <w:r w:rsidRPr="00F477F6">
        <w:lastRenderedPageBreak/>
        <w:t>Appendix B: Workforce planning data sources</w:t>
      </w:r>
      <w:bookmarkEnd w:id="156"/>
    </w:p>
    <w:p w14:paraId="13BAA485" w14:textId="77777777" w:rsidR="00B453C6" w:rsidRPr="00F477F6" w:rsidRDefault="00B453C6" w:rsidP="00641259">
      <w:pPr>
        <w:pStyle w:val="Heading2"/>
      </w:pPr>
      <w:r w:rsidRPr="00F477F6">
        <w:t>Demand data sources</w:t>
      </w:r>
    </w:p>
    <w:tbl>
      <w:tblPr>
        <w:tblStyle w:val="ColorfulGrid-Accent1"/>
        <w:tblW w:w="5000"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Caption w:val="Appendix B: Workforce planning data sources"/>
        <w:tblDescription w:val="The table presents the demand data items and methods employed in the modelling for each of the nursing specialties described in the report."/>
      </w:tblPr>
      <w:tblGrid>
        <w:gridCol w:w="2967"/>
        <w:gridCol w:w="3430"/>
        <w:gridCol w:w="3430"/>
      </w:tblGrid>
      <w:tr w:rsidR="00B453C6" w:rsidRPr="00F12244" w14:paraId="1041C635" w14:textId="77777777" w:rsidTr="000576C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510" w:type="pct"/>
            <w:tcBorders>
              <w:top w:val="single" w:sz="4" w:space="0" w:color="auto"/>
              <w:bottom w:val="single" w:sz="4" w:space="0" w:color="FFFFFF" w:themeColor="background1"/>
            </w:tcBorders>
            <w:shd w:val="clear" w:color="auto" w:fill="0070C0"/>
          </w:tcPr>
          <w:p w14:paraId="7A464467" w14:textId="77777777" w:rsidR="00B453C6" w:rsidRPr="00F12244" w:rsidRDefault="00B453C6" w:rsidP="00F12244">
            <w:pPr>
              <w:pStyle w:val="TableHeader"/>
              <w:rPr>
                <w:b/>
              </w:rPr>
            </w:pPr>
            <w:r w:rsidRPr="00F12244">
              <w:rPr>
                <w:b/>
              </w:rPr>
              <w:t xml:space="preserve">Nursing specialty </w:t>
            </w:r>
            <w:bookmarkStart w:id="157" w:name="ColumnTitle_AppendixB"/>
            <w:bookmarkStart w:id="158" w:name="ColumnTitle_AppendixB_Demand"/>
            <w:bookmarkEnd w:id="157"/>
            <w:bookmarkEnd w:id="158"/>
          </w:p>
        </w:tc>
        <w:tc>
          <w:tcPr>
            <w:tcW w:w="1745" w:type="pct"/>
            <w:tcBorders>
              <w:top w:val="single" w:sz="4" w:space="0" w:color="auto"/>
              <w:bottom w:val="single" w:sz="4" w:space="0" w:color="FFFFFF" w:themeColor="background1"/>
            </w:tcBorders>
            <w:shd w:val="clear" w:color="auto" w:fill="0070C0"/>
          </w:tcPr>
          <w:p w14:paraId="74BB10B3" w14:textId="77777777" w:rsidR="00B453C6" w:rsidRPr="00F12244" w:rsidRDefault="00B453C6" w:rsidP="00F12244">
            <w:pPr>
              <w:pStyle w:val="TableHeader"/>
              <w:cnfStyle w:val="100000000000" w:firstRow="1" w:lastRow="0" w:firstColumn="0" w:lastColumn="0" w:oddVBand="0" w:evenVBand="0" w:oddHBand="0" w:evenHBand="0" w:firstRowFirstColumn="0" w:firstRowLastColumn="0" w:lastRowFirstColumn="0" w:lastRowLastColumn="0"/>
              <w:rPr>
                <w:b/>
              </w:rPr>
            </w:pPr>
            <w:r w:rsidRPr="00F12244">
              <w:rPr>
                <w:b/>
              </w:rPr>
              <w:t>Data items to be included</w:t>
            </w:r>
          </w:p>
        </w:tc>
        <w:tc>
          <w:tcPr>
            <w:tcW w:w="1745" w:type="pct"/>
            <w:tcBorders>
              <w:top w:val="single" w:sz="4" w:space="0" w:color="auto"/>
              <w:bottom w:val="single" w:sz="4" w:space="0" w:color="FFFFFF" w:themeColor="background1"/>
            </w:tcBorders>
            <w:shd w:val="clear" w:color="auto" w:fill="0070C0"/>
          </w:tcPr>
          <w:p w14:paraId="477C8D33" w14:textId="77777777" w:rsidR="00B453C6" w:rsidRPr="00F12244" w:rsidRDefault="00B453C6" w:rsidP="00F12244">
            <w:pPr>
              <w:pStyle w:val="TableHeader"/>
              <w:cnfStyle w:val="100000000000" w:firstRow="1" w:lastRow="0" w:firstColumn="0" w:lastColumn="0" w:oddVBand="0" w:evenVBand="0" w:oddHBand="0" w:evenHBand="0" w:firstRowFirstColumn="0" w:firstRowLastColumn="0" w:lastRowFirstColumn="0" w:lastRowLastColumn="0"/>
              <w:rPr>
                <w:b/>
              </w:rPr>
            </w:pPr>
            <w:r w:rsidRPr="00F12244">
              <w:rPr>
                <w:b/>
              </w:rPr>
              <w:t>Method</w:t>
            </w:r>
          </w:p>
        </w:tc>
      </w:tr>
      <w:tr w:rsidR="00B453C6" w:rsidRPr="00F477F6" w14:paraId="61E86780" w14:textId="77777777" w:rsidTr="000576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0" w:type="pct"/>
            <w:tcBorders>
              <w:top w:val="single" w:sz="4" w:space="0" w:color="FFFFFF" w:themeColor="background1"/>
            </w:tcBorders>
          </w:tcPr>
          <w:p w14:paraId="465D8937" w14:textId="77777777" w:rsidR="00B453C6" w:rsidRPr="00F477F6" w:rsidRDefault="00B453C6" w:rsidP="00D20D53">
            <w:pPr>
              <w:pStyle w:val="TableText"/>
            </w:pPr>
            <w:r w:rsidRPr="00F477F6">
              <w:t>Acute</w:t>
            </w:r>
          </w:p>
        </w:tc>
        <w:tc>
          <w:tcPr>
            <w:tcW w:w="1745" w:type="pct"/>
            <w:tcBorders>
              <w:top w:val="single" w:sz="4" w:space="0" w:color="FFFFFF" w:themeColor="background1"/>
            </w:tcBorders>
          </w:tcPr>
          <w:p w14:paraId="0D65D209" w14:textId="77777777" w:rsidR="00B453C6" w:rsidRPr="00F477F6" w:rsidRDefault="00B453C6" w:rsidP="00D20D53">
            <w:pPr>
              <w:pStyle w:val="TableText"/>
              <w:cnfStyle w:val="000000100000" w:firstRow="0" w:lastRow="0" w:firstColumn="0" w:lastColumn="0" w:oddVBand="0" w:evenVBand="0" w:oddHBand="1" w:evenHBand="0" w:firstRowFirstColumn="0" w:firstRowLastColumn="0" w:lastRowFirstColumn="0" w:lastRowLastColumn="0"/>
            </w:pPr>
            <w:r w:rsidRPr="00F477F6">
              <w:t xml:space="preserve">Hardes forecasting method </w:t>
            </w:r>
          </w:p>
        </w:tc>
        <w:tc>
          <w:tcPr>
            <w:tcW w:w="1745" w:type="pct"/>
            <w:tcBorders>
              <w:top w:val="single" w:sz="4" w:space="0" w:color="FFFFFF" w:themeColor="background1"/>
            </w:tcBorders>
          </w:tcPr>
          <w:p w14:paraId="16374896" w14:textId="77777777" w:rsidR="00B453C6" w:rsidRPr="00F477F6" w:rsidRDefault="00B453C6" w:rsidP="00D20D53">
            <w:pPr>
              <w:pStyle w:val="TableText"/>
              <w:cnfStyle w:val="000000100000" w:firstRow="0" w:lastRow="0" w:firstColumn="0" w:lastColumn="0" w:oddVBand="0" w:evenVBand="0" w:oddHBand="1" w:evenHBand="0" w:firstRowFirstColumn="0" w:firstRowLastColumn="0" w:lastRowFirstColumn="0" w:lastRowLastColumn="0"/>
            </w:pPr>
            <w:r w:rsidRPr="00F477F6">
              <w:t xml:space="preserve">Utilisation - Bed days by population, </w:t>
            </w:r>
          </w:p>
        </w:tc>
      </w:tr>
      <w:tr w:rsidR="00B453C6" w:rsidRPr="00F477F6" w14:paraId="36B850FE" w14:textId="77777777" w:rsidTr="00B453C6">
        <w:tc>
          <w:tcPr>
            <w:cnfStyle w:val="001000000000" w:firstRow="0" w:lastRow="0" w:firstColumn="1" w:lastColumn="0" w:oddVBand="0" w:evenVBand="0" w:oddHBand="0" w:evenHBand="0" w:firstRowFirstColumn="0" w:firstRowLastColumn="0" w:lastRowFirstColumn="0" w:lastRowLastColumn="0"/>
            <w:tcW w:w="1510" w:type="pct"/>
          </w:tcPr>
          <w:p w14:paraId="051CEF03" w14:textId="112F4CAD" w:rsidR="00B453C6" w:rsidRPr="00F477F6" w:rsidRDefault="00B453C6" w:rsidP="00D20D53">
            <w:pPr>
              <w:pStyle w:val="TableText"/>
            </w:pPr>
            <w:r w:rsidRPr="00F477F6">
              <w:t>Critical care , high dependency and emergency</w:t>
            </w:r>
          </w:p>
        </w:tc>
        <w:tc>
          <w:tcPr>
            <w:tcW w:w="1745" w:type="pct"/>
          </w:tcPr>
          <w:p w14:paraId="4209F8E4" w14:textId="77777777" w:rsidR="00B453C6" w:rsidRPr="00B72C39" w:rsidRDefault="00B453C6" w:rsidP="00D20D53">
            <w:pPr>
              <w:pStyle w:val="TableText"/>
              <w:numPr>
                <w:ilvl w:val="0"/>
                <w:numId w:val="24"/>
              </w:numPr>
              <w:ind w:left="435" w:hanging="283"/>
              <w:cnfStyle w:val="000000000000" w:firstRow="0" w:lastRow="0" w:firstColumn="0" w:lastColumn="0" w:oddVBand="0" w:evenVBand="0" w:oddHBand="0" w:evenHBand="0" w:firstRowFirstColumn="0" w:firstRowLastColumn="0" w:lastRowFirstColumn="0" w:lastRowLastColumn="0"/>
            </w:pPr>
            <w:r w:rsidRPr="00B72C39">
              <w:t xml:space="preserve">Hardes forecasting method </w:t>
            </w:r>
          </w:p>
          <w:p w14:paraId="139E2284" w14:textId="77777777" w:rsidR="00B453C6" w:rsidRPr="00B72C39" w:rsidRDefault="00B453C6" w:rsidP="00D20D53">
            <w:pPr>
              <w:pStyle w:val="TableText"/>
              <w:numPr>
                <w:ilvl w:val="0"/>
                <w:numId w:val="24"/>
              </w:numPr>
              <w:ind w:left="435" w:hanging="283"/>
              <w:cnfStyle w:val="000000000000" w:firstRow="0" w:lastRow="0" w:firstColumn="0" w:lastColumn="0" w:oddVBand="0" w:evenVBand="0" w:oddHBand="0" w:evenHBand="0" w:firstRowFirstColumn="0" w:firstRowLastColumn="0" w:lastRowFirstColumn="0" w:lastRowLastColumn="0"/>
            </w:pPr>
            <w:r w:rsidRPr="00B72C39">
              <w:t>Australia New Zealand Intensive Care data</w:t>
            </w:r>
          </w:p>
          <w:p w14:paraId="349ED3B5" w14:textId="77777777" w:rsidR="00B453C6" w:rsidRPr="00B72C39" w:rsidRDefault="00B453C6" w:rsidP="00D20D53">
            <w:pPr>
              <w:pStyle w:val="TableText"/>
              <w:numPr>
                <w:ilvl w:val="0"/>
                <w:numId w:val="24"/>
              </w:numPr>
              <w:ind w:left="435" w:hanging="283"/>
              <w:cnfStyle w:val="000000000000" w:firstRow="0" w:lastRow="0" w:firstColumn="0" w:lastColumn="0" w:oddVBand="0" w:evenVBand="0" w:oddHBand="0" w:evenHBand="0" w:firstRowFirstColumn="0" w:firstRowLastColumn="0" w:lastRowFirstColumn="0" w:lastRowLastColumn="0"/>
            </w:pPr>
            <w:r w:rsidRPr="00B72C39">
              <w:t>AIHW</w:t>
            </w:r>
          </w:p>
        </w:tc>
        <w:tc>
          <w:tcPr>
            <w:tcW w:w="1745" w:type="pct"/>
          </w:tcPr>
          <w:p w14:paraId="4C2C919B" w14:textId="77777777" w:rsidR="00B453C6" w:rsidRPr="00B72C39" w:rsidRDefault="00B453C6" w:rsidP="00D20D53">
            <w:pPr>
              <w:pStyle w:val="TableText"/>
              <w:numPr>
                <w:ilvl w:val="0"/>
                <w:numId w:val="24"/>
              </w:numPr>
              <w:ind w:left="407" w:hanging="283"/>
              <w:cnfStyle w:val="000000000000" w:firstRow="0" w:lastRow="0" w:firstColumn="0" w:lastColumn="0" w:oddVBand="0" w:evenVBand="0" w:oddHBand="0" w:evenHBand="0" w:firstRowFirstColumn="0" w:firstRowLastColumn="0" w:lastRowFirstColumn="0" w:lastRowLastColumn="0"/>
            </w:pPr>
            <w:r w:rsidRPr="00B72C39">
              <w:t>DRGs; separations for emergency</w:t>
            </w:r>
          </w:p>
          <w:p w14:paraId="39D42216" w14:textId="73E13DE9" w:rsidR="00B453C6" w:rsidRPr="00B72C39" w:rsidRDefault="00B453C6" w:rsidP="00D20D53">
            <w:pPr>
              <w:pStyle w:val="TableText"/>
              <w:numPr>
                <w:ilvl w:val="0"/>
                <w:numId w:val="24"/>
              </w:numPr>
              <w:ind w:left="407" w:hanging="283"/>
              <w:cnfStyle w:val="000000000000" w:firstRow="0" w:lastRow="0" w:firstColumn="0" w:lastColumn="0" w:oddVBand="0" w:evenVBand="0" w:oddHBand="0" w:evenHBand="0" w:firstRowFirstColumn="0" w:firstRowLastColumn="0" w:lastRowFirstColumn="0" w:lastRowLastColumn="0"/>
            </w:pPr>
            <w:r w:rsidRPr="00B72C39">
              <w:t>Beds and staffing</w:t>
            </w:r>
          </w:p>
          <w:p w14:paraId="1A2C7605" w14:textId="77777777" w:rsidR="00B453C6" w:rsidRPr="00B72C39" w:rsidRDefault="00B453C6" w:rsidP="00D20D53">
            <w:pPr>
              <w:pStyle w:val="TableText"/>
              <w:numPr>
                <w:ilvl w:val="0"/>
                <w:numId w:val="24"/>
              </w:numPr>
              <w:ind w:left="407" w:hanging="283"/>
              <w:cnfStyle w:val="000000000000" w:firstRow="0" w:lastRow="0" w:firstColumn="0" w:lastColumn="0" w:oddVBand="0" w:evenVBand="0" w:oddHBand="0" w:evenHBand="0" w:firstRowFirstColumn="0" w:firstRowLastColumn="0" w:lastRowFirstColumn="0" w:lastRowLastColumn="0"/>
            </w:pPr>
            <w:r w:rsidRPr="00B72C39">
              <w:t xml:space="preserve">Emergency presentations </w:t>
            </w:r>
          </w:p>
        </w:tc>
      </w:tr>
      <w:tr w:rsidR="00B453C6" w:rsidRPr="00F477F6" w14:paraId="08216F94" w14:textId="77777777" w:rsidTr="00B453C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0" w:type="pct"/>
          </w:tcPr>
          <w:p w14:paraId="456C1833" w14:textId="684DF14F" w:rsidR="00B453C6" w:rsidRPr="00F477F6" w:rsidRDefault="00B453C6" w:rsidP="00D20D53">
            <w:pPr>
              <w:pStyle w:val="TableText"/>
            </w:pPr>
            <w:r w:rsidRPr="00F477F6">
              <w:t>Aged care</w:t>
            </w:r>
          </w:p>
        </w:tc>
        <w:tc>
          <w:tcPr>
            <w:tcW w:w="1745" w:type="pct"/>
          </w:tcPr>
          <w:p w14:paraId="5EE92941" w14:textId="77777777" w:rsidR="00B453C6" w:rsidRPr="00B72C39" w:rsidRDefault="00B453C6" w:rsidP="00D20D53">
            <w:pPr>
              <w:pStyle w:val="TableText"/>
              <w:numPr>
                <w:ilvl w:val="0"/>
                <w:numId w:val="25"/>
              </w:numPr>
              <w:ind w:left="435" w:hanging="283"/>
              <w:cnfStyle w:val="000000100000" w:firstRow="0" w:lastRow="0" w:firstColumn="0" w:lastColumn="0" w:oddVBand="0" w:evenVBand="0" w:oddHBand="1" w:evenHBand="0" w:firstRowFirstColumn="0" w:firstRowLastColumn="0" w:lastRowFirstColumn="0" w:lastRowLastColumn="0"/>
            </w:pPr>
            <w:r w:rsidRPr="00B72C39">
              <w:t xml:space="preserve">Hardes forecasting method </w:t>
            </w:r>
          </w:p>
          <w:p w14:paraId="31E07C74" w14:textId="77777777" w:rsidR="00B453C6" w:rsidRPr="00B72C39" w:rsidRDefault="00B453C6" w:rsidP="00D20D53">
            <w:pPr>
              <w:pStyle w:val="TableText"/>
              <w:numPr>
                <w:ilvl w:val="0"/>
                <w:numId w:val="25"/>
              </w:numPr>
              <w:ind w:left="435" w:hanging="283"/>
              <w:cnfStyle w:val="000000100000" w:firstRow="0" w:lastRow="0" w:firstColumn="0" w:lastColumn="0" w:oddVBand="0" w:evenVBand="0" w:oddHBand="1" w:evenHBand="0" w:firstRowFirstColumn="0" w:firstRowLastColumn="0" w:lastRowFirstColumn="0" w:lastRowLastColumn="0"/>
            </w:pPr>
            <w:r w:rsidRPr="00B72C39">
              <w:t>HACC</w:t>
            </w:r>
          </w:p>
          <w:p w14:paraId="0C133FD1" w14:textId="77777777" w:rsidR="00B453C6" w:rsidRPr="00B72C39" w:rsidRDefault="00B453C6" w:rsidP="00D20D53">
            <w:pPr>
              <w:pStyle w:val="TableText"/>
              <w:numPr>
                <w:ilvl w:val="0"/>
                <w:numId w:val="25"/>
              </w:numPr>
              <w:ind w:left="435" w:hanging="283"/>
              <w:cnfStyle w:val="000000100000" w:firstRow="0" w:lastRow="0" w:firstColumn="0" w:lastColumn="0" w:oddVBand="0" w:evenVBand="0" w:oddHBand="1" w:evenHBand="0" w:firstRowFirstColumn="0" w:firstRowLastColumn="0" w:lastRowFirstColumn="0" w:lastRowLastColumn="0"/>
            </w:pPr>
            <w:r w:rsidRPr="00B72C39">
              <w:t>NILS</w:t>
            </w:r>
          </w:p>
          <w:p w14:paraId="5983E7F3" w14:textId="77777777" w:rsidR="00B453C6" w:rsidRPr="00B72C39" w:rsidRDefault="00B453C6" w:rsidP="00D20D53">
            <w:pPr>
              <w:pStyle w:val="TableText"/>
              <w:numPr>
                <w:ilvl w:val="0"/>
                <w:numId w:val="25"/>
              </w:numPr>
              <w:ind w:left="435" w:hanging="283"/>
              <w:cnfStyle w:val="000000100000" w:firstRow="0" w:lastRow="0" w:firstColumn="0" w:lastColumn="0" w:oddVBand="0" w:evenVBand="0" w:oddHBand="1" w:evenHBand="0" w:firstRowFirstColumn="0" w:firstRowLastColumn="0" w:lastRowFirstColumn="0" w:lastRowLastColumn="0"/>
            </w:pPr>
            <w:r w:rsidRPr="00B72C39">
              <w:t>AIHW</w:t>
            </w:r>
          </w:p>
        </w:tc>
        <w:tc>
          <w:tcPr>
            <w:tcW w:w="1745" w:type="pct"/>
          </w:tcPr>
          <w:p w14:paraId="346649DE" w14:textId="77777777" w:rsidR="00B453C6" w:rsidRPr="00B72C39" w:rsidRDefault="00B453C6" w:rsidP="00D20D53">
            <w:pPr>
              <w:pStyle w:val="TableText"/>
              <w:numPr>
                <w:ilvl w:val="0"/>
                <w:numId w:val="25"/>
              </w:numPr>
              <w:ind w:left="407" w:hanging="283"/>
              <w:cnfStyle w:val="000000100000" w:firstRow="0" w:lastRow="0" w:firstColumn="0" w:lastColumn="0" w:oddVBand="0" w:evenVBand="0" w:oddHBand="1" w:evenHBand="0" w:firstRowFirstColumn="0" w:firstRowLastColumn="0" w:lastRowFirstColumn="0" w:lastRowLastColumn="0"/>
            </w:pPr>
            <w:r w:rsidRPr="00B72C39">
              <w:t>Residential aged care: high and low care bed days</w:t>
            </w:r>
          </w:p>
          <w:p w14:paraId="532C9566" w14:textId="77777777" w:rsidR="00B453C6" w:rsidRPr="00B72C39" w:rsidRDefault="00B453C6" w:rsidP="00D20D53">
            <w:pPr>
              <w:pStyle w:val="TableText"/>
              <w:numPr>
                <w:ilvl w:val="0"/>
                <w:numId w:val="25"/>
              </w:numPr>
              <w:ind w:left="407" w:hanging="283"/>
              <w:cnfStyle w:val="000000100000" w:firstRow="0" w:lastRow="0" w:firstColumn="0" w:lastColumn="0" w:oddVBand="0" w:evenVBand="0" w:oddHBand="1" w:evenHBand="0" w:firstRowFirstColumn="0" w:firstRowLastColumn="0" w:lastRowFirstColumn="0" w:lastRowLastColumn="0"/>
            </w:pPr>
            <w:r w:rsidRPr="00B72C39">
              <w:t>Proportions of the workforce within nursing i.e. AINs and PSAs</w:t>
            </w:r>
          </w:p>
          <w:p w14:paraId="706C5C65" w14:textId="77777777" w:rsidR="00B453C6" w:rsidRPr="00B72C39" w:rsidRDefault="00B453C6" w:rsidP="00D20D53">
            <w:pPr>
              <w:pStyle w:val="TableText"/>
              <w:numPr>
                <w:ilvl w:val="0"/>
                <w:numId w:val="25"/>
              </w:numPr>
              <w:ind w:left="407" w:hanging="283"/>
              <w:cnfStyle w:val="000000100000" w:firstRow="0" w:lastRow="0" w:firstColumn="0" w:lastColumn="0" w:oddVBand="0" w:evenVBand="0" w:oddHBand="1" w:evenHBand="0" w:firstRowFirstColumn="0" w:firstRowLastColumn="0" w:lastRowFirstColumn="0" w:lastRowLastColumn="0"/>
            </w:pPr>
            <w:r w:rsidRPr="00B72C39">
              <w:t>Population based demand – ageing profiles and workforce mix</w:t>
            </w:r>
          </w:p>
        </w:tc>
      </w:tr>
      <w:tr w:rsidR="00B453C6" w:rsidRPr="00F477F6" w14:paraId="3A0C7D6A" w14:textId="77777777" w:rsidTr="00B453C6">
        <w:tc>
          <w:tcPr>
            <w:cnfStyle w:val="001000000000" w:firstRow="0" w:lastRow="0" w:firstColumn="1" w:lastColumn="0" w:oddVBand="0" w:evenVBand="0" w:oddHBand="0" w:evenHBand="0" w:firstRowFirstColumn="0" w:firstRowLastColumn="0" w:lastRowFirstColumn="0" w:lastRowLastColumn="0"/>
            <w:tcW w:w="1510" w:type="pct"/>
          </w:tcPr>
          <w:p w14:paraId="0591C941" w14:textId="60F9C02A" w:rsidR="00B453C6" w:rsidRPr="00F477F6" w:rsidRDefault="00B453C6" w:rsidP="00D20D53">
            <w:pPr>
              <w:pStyle w:val="TableText"/>
            </w:pPr>
            <w:r w:rsidRPr="00F477F6">
              <w:t>Mental health</w:t>
            </w:r>
          </w:p>
        </w:tc>
        <w:tc>
          <w:tcPr>
            <w:tcW w:w="1745" w:type="pct"/>
          </w:tcPr>
          <w:p w14:paraId="44E26335" w14:textId="77777777" w:rsidR="00B453C6" w:rsidRPr="00B72C39" w:rsidRDefault="00B453C6" w:rsidP="00D20D53">
            <w:pPr>
              <w:pStyle w:val="TableText"/>
              <w:numPr>
                <w:ilvl w:val="0"/>
                <w:numId w:val="26"/>
              </w:numPr>
              <w:ind w:left="435" w:hanging="283"/>
              <w:cnfStyle w:val="000000000000" w:firstRow="0" w:lastRow="0" w:firstColumn="0" w:lastColumn="0" w:oddVBand="0" w:evenVBand="0" w:oddHBand="0" w:evenHBand="0" w:firstRowFirstColumn="0" w:firstRowLastColumn="0" w:lastRowFirstColumn="0" w:lastRowLastColumn="0"/>
            </w:pPr>
            <w:r w:rsidRPr="00B72C39">
              <w:t>National Health Survey Data</w:t>
            </w:r>
          </w:p>
          <w:p w14:paraId="1DAB037D" w14:textId="2311125A" w:rsidR="00B453C6" w:rsidRPr="00B72C39" w:rsidRDefault="00B453C6" w:rsidP="00D20D53">
            <w:pPr>
              <w:pStyle w:val="TableText"/>
              <w:numPr>
                <w:ilvl w:val="0"/>
                <w:numId w:val="26"/>
              </w:numPr>
              <w:ind w:left="435" w:hanging="283"/>
              <w:cnfStyle w:val="000000000000" w:firstRow="0" w:lastRow="0" w:firstColumn="0" w:lastColumn="0" w:oddVBand="0" w:evenVBand="0" w:oddHBand="0" w:evenHBand="0" w:firstRowFirstColumn="0" w:firstRowLastColumn="0" w:lastRowFirstColumn="0" w:lastRowLastColumn="0"/>
            </w:pPr>
            <w:r w:rsidRPr="00B72C39">
              <w:t>AIHW</w:t>
            </w:r>
          </w:p>
        </w:tc>
        <w:tc>
          <w:tcPr>
            <w:tcW w:w="1745" w:type="pct"/>
          </w:tcPr>
          <w:p w14:paraId="44B18EF4" w14:textId="77777777" w:rsidR="00B453C6" w:rsidRPr="00B72C39" w:rsidRDefault="00B453C6" w:rsidP="00D20D53">
            <w:pPr>
              <w:pStyle w:val="TableText"/>
              <w:numPr>
                <w:ilvl w:val="0"/>
                <w:numId w:val="26"/>
              </w:numPr>
              <w:ind w:left="407" w:hanging="283"/>
              <w:cnfStyle w:val="000000000000" w:firstRow="0" w:lastRow="0" w:firstColumn="0" w:lastColumn="0" w:oddVBand="0" w:evenVBand="0" w:oddHBand="0" w:evenHBand="0" w:firstRowFirstColumn="0" w:firstRowLastColumn="0" w:lastRowFirstColumn="0" w:lastRowLastColumn="0"/>
            </w:pPr>
            <w:r w:rsidRPr="00B72C39">
              <w:t>Need data on increasing demand and trend data</w:t>
            </w:r>
          </w:p>
          <w:p w14:paraId="6AC5F77C" w14:textId="77777777" w:rsidR="00B453C6" w:rsidRPr="00B72C39" w:rsidRDefault="00B453C6" w:rsidP="00D20D53">
            <w:pPr>
              <w:pStyle w:val="TableText"/>
              <w:numPr>
                <w:ilvl w:val="0"/>
                <w:numId w:val="26"/>
              </w:numPr>
              <w:ind w:left="407" w:hanging="283"/>
              <w:cnfStyle w:val="000000000000" w:firstRow="0" w:lastRow="0" w:firstColumn="0" w:lastColumn="0" w:oddVBand="0" w:evenVBand="0" w:oddHBand="0" w:evenHBand="0" w:firstRowFirstColumn="0" w:firstRowLastColumn="0" w:lastRowFirstColumn="0" w:lastRowLastColumn="0"/>
            </w:pPr>
            <w:r w:rsidRPr="00B72C39">
              <w:t>Labour force survey</w:t>
            </w:r>
          </w:p>
          <w:p w14:paraId="47B44FE0" w14:textId="77777777" w:rsidR="00B453C6" w:rsidRPr="00B72C39" w:rsidRDefault="00B453C6" w:rsidP="00D20D53">
            <w:pPr>
              <w:pStyle w:val="TableText"/>
              <w:numPr>
                <w:ilvl w:val="0"/>
                <w:numId w:val="26"/>
              </w:numPr>
              <w:ind w:left="407" w:hanging="283"/>
              <w:cnfStyle w:val="000000000000" w:firstRow="0" w:lastRow="0" w:firstColumn="0" w:lastColumn="0" w:oddVBand="0" w:evenVBand="0" w:oddHBand="0" w:evenHBand="0" w:firstRowFirstColumn="0" w:firstRowLastColumn="0" w:lastRowFirstColumn="0" w:lastRowLastColumn="0"/>
            </w:pPr>
            <w:r w:rsidRPr="00B72C39">
              <w:t>Inpatient and community data is required for this category</w:t>
            </w:r>
          </w:p>
          <w:p w14:paraId="6B6919B7" w14:textId="77777777" w:rsidR="00B453C6" w:rsidRPr="00B72C39" w:rsidRDefault="00B453C6" w:rsidP="00D20D53">
            <w:pPr>
              <w:pStyle w:val="TableText"/>
              <w:numPr>
                <w:ilvl w:val="0"/>
                <w:numId w:val="26"/>
              </w:numPr>
              <w:ind w:left="407" w:hanging="283"/>
              <w:cnfStyle w:val="000000000000" w:firstRow="0" w:lastRow="0" w:firstColumn="0" w:lastColumn="0" w:oddVBand="0" w:evenVBand="0" w:oddHBand="0" w:evenHBand="0" w:firstRowFirstColumn="0" w:firstRowLastColumn="0" w:lastRowFirstColumn="0" w:lastRowLastColumn="0"/>
            </w:pPr>
            <w:r w:rsidRPr="00B72C39">
              <w:t>Establishments of data</w:t>
            </w:r>
          </w:p>
        </w:tc>
      </w:tr>
      <w:tr w:rsidR="00B453C6" w:rsidRPr="00F477F6" w14:paraId="1727D175" w14:textId="77777777" w:rsidTr="00B453C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0" w:type="pct"/>
          </w:tcPr>
          <w:p w14:paraId="0C340FC5" w14:textId="77777777" w:rsidR="00B453C6" w:rsidRPr="00F477F6" w:rsidRDefault="00B453C6" w:rsidP="00D20D53">
            <w:pPr>
              <w:pStyle w:val="TableText"/>
            </w:pPr>
            <w:r w:rsidRPr="00F477F6">
              <w:t>Other registered nurses</w:t>
            </w:r>
          </w:p>
        </w:tc>
        <w:tc>
          <w:tcPr>
            <w:tcW w:w="1745" w:type="pct"/>
          </w:tcPr>
          <w:p w14:paraId="444DBE40" w14:textId="77777777" w:rsidR="00B453C6" w:rsidRPr="00B72C39" w:rsidRDefault="00B453C6" w:rsidP="00D20D53">
            <w:pPr>
              <w:pStyle w:val="TableText"/>
              <w:numPr>
                <w:ilvl w:val="0"/>
                <w:numId w:val="27"/>
              </w:numPr>
              <w:ind w:left="435" w:hanging="283"/>
              <w:cnfStyle w:val="000000100000" w:firstRow="0" w:lastRow="0" w:firstColumn="0" w:lastColumn="0" w:oddVBand="0" w:evenVBand="0" w:oddHBand="1" w:evenHBand="0" w:firstRowFirstColumn="0" w:firstRowLastColumn="0" w:lastRowFirstColumn="0" w:lastRowLastColumn="0"/>
            </w:pPr>
            <w:r w:rsidRPr="00B72C39">
              <w:t xml:space="preserve">Hardes forecasting method </w:t>
            </w:r>
          </w:p>
          <w:p w14:paraId="7588743D" w14:textId="77777777" w:rsidR="00B453C6" w:rsidRPr="00B72C39" w:rsidRDefault="00B453C6" w:rsidP="00D20D53">
            <w:pPr>
              <w:pStyle w:val="TableText"/>
              <w:numPr>
                <w:ilvl w:val="0"/>
                <w:numId w:val="27"/>
              </w:numPr>
              <w:ind w:left="435" w:hanging="283"/>
              <w:cnfStyle w:val="000000100000" w:firstRow="0" w:lastRow="0" w:firstColumn="0" w:lastColumn="0" w:oddVBand="0" w:evenVBand="0" w:oddHBand="1" w:evenHBand="0" w:firstRowFirstColumn="0" w:firstRowLastColumn="0" w:lastRowFirstColumn="0" w:lastRowLastColumn="0"/>
            </w:pPr>
            <w:r w:rsidRPr="00B72C39">
              <w:t>Community care data collections</w:t>
            </w:r>
          </w:p>
          <w:p w14:paraId="0EE043F2" w14:textId="77777777" w:rsidR="00B453C6" w:rsidRPr="00B72C39" w:rsidRDefault="00B453C6" w:rsidP="00D20D53">
            <w:pPr>
              <w:pStyle w:val="TableText"/>
              <w:numPr>
                <w:ilvl w:val="0"/>
                <w:numId w:val="27"/>
              </w:numPr>
              <w:ind w:left="435" w:hanging="283"/>
              <w:cnfStyle w:val="000000100000" w:firstRow="0" w:lastRow="0" w:firstColumn="0" w:lastColumn="0" w:oddVBand="0" w:evenVBand="0" w:oddHBand="1" w:evenHBand="0" w:firstRowFirstColumn="0" w:firstRowLastColumn="0" w:lastRowFirstColumn="0" w:lastRowLastColumn="0"/>
            </w:pPr>
            <w:r w:rsidRPr="00B72C39">
              <w:t>Primary health care data</w:t>
            </w:r>
          </w:p>
          <w:p w14:paraId="4C9B5116" w14:textId="77777777" w:rsidR="00B453C6" w:rsidRPr="00B72C39" w:rsidRDefault="00B453C6" w:rsidP="00D20D53">
            <w:pPr>
              <w:pStyle w:val="TableText"/>
              <w:numPr>
                <w:ilvl w:val="0"/>
                <w:numId w:val="27"/>
              </w:numPr>
              <w:ind w:left="435" w:hanging="283"/>
              <w:cnfStyle w:val="000000100000" w:firstRow="0" w:lastRow="0" w:firstColumn="0" w:lastColumn="0" w:oddVBand="0" w:evenVBand="0" w:oddHBand="1" w:evenHBand="0" w:firstRowFirstColumn="0" w:firstRowLastColumn="0" w:lastRowFirstColumn="0" w:lastRowLastColumn="0"/>
            </w:pPr>
            <w:r w:rsidRPr="00B72C39">
              <w:t>Medicare data</w:t>
            </w:r>
          </w:p>
        </w:tc>
        <w:tc>
          <w:tcPr>
            <w:tcW w:w="1745" w:type="pct"/>
          </w:tcPr>
          <w:p w14:paraId="7D829F57" w14:textId="77777777" w:rsidR="00B453C6" w:rsidRPr="00F477F6" w:rsidRDefault="00B453C6" w:rsidP="00D20D53">
            <w:pPr>
              <w:pStyle w:val="TableText"/>
              <w:cnfStyle w:val="000000100000" w:firstRow="0" w:lastRow="0" w:firstColumn="0" w:lastColumn="0" w:oddVBand="0" w:evenVBand="0" w:oddHBand="1" w:evenHBand="0" w:firstRowFirstColumn="0" w:firstRowLastColumn="0" w:lastRowFirstColumn="0" w:lastRowLastColumn="0"/>
            </w:pPr>
            <w:r w:rsidRPr="00F477F6">
              <w:t>DRGs by bed days for registered nurses</w:t>
            </w:r>
          </w:p>
        </w:tc>
      </w:tr>
    </w:tbl>
    <w:p w14:paraId="6D9B2AED" w14:textId="77777777" w:rsidR="00B453C6" w:rsidRPr="00D20D53" w:rsidRDefault="00B453C6" w:rsidP="00D20D53"/>
    <w:p w14:paraId="74CAB37D" w14:textId="77777777" w:rsidR="00B453C6" w:rsidRPr="00F477F6" w:rsidRDefault="00B453C6" w:rsidP="00641259">
      <w:pPr>
        <w:pStyle w:val="Heading2"/>
      </w:pPr>
      <w:r w:rsidRPr="00F477F6">
        <w:lastRenderedPageBreak/>
        <w:t>Supply data items</w:t>
      </w:r>
    </w:p>
    <w:tbl>
      <w:tblPr>
        <w:tblStyle w:val="ColorfulGrid-Accent1"/>
        <w:tblW w:w="5000" w:type="pct"/>
        <w:tblBorders>
          <w:top w:val="single" w:sz="4" w:space="0" w:color="auto"/>
          <w:left w:val="single" w:sz="4" w:space="0" w:color="auto"/>
          <w:bottom w:val="single" w:sz="4" w:space="0" w:color="auto"/>
          <w:right w:val="single" w:sz="4" w:space="0" w:color="auto"/>
        </w:tblBorders>
        <w:tblLook w:val="00A0" w:firstRow="1" w:lastRow="0" w:firstColumn="1" w:lastColumn="0" w:noHBand="0" w:noVBand="0"/>
        <w:tblCaption w:val="Appendix B: Workforce planning data sources and datasets"/>
        <w:tblDescription w:val="The table presents the supply data applications, data limitations, data/methodology assumptions and datasets employed in the modelling for each of the nursing specialties described in the report."/>
      </w:tblPr>
      <w:tblGrid>
        <w:gridCol w:w="1498"/>
        <w:gridCol w:w="2107"/>
        <w:gridCol w:w="2009"/>
        <w:gridCol w:w="2700"/>
        <w:gridCol w:w="1513"/>
      </w:tblGrid>
      <w:tr w:rsidR="00B453C6" w:rsidRPr="00F477F6" w14:paraId="2D4BEBEE" w14:textId="77777777" w:rsidTr="000576C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62" w:type="pct"/>
            <w:tcBorders>
              <w:top w:val="single" w:sz="4" w:space="0" w:color="auto"/>
              <w:bottom w:val="single" w:sz="4" w:space="0" w:color="FFFFFF" w:themeColor="background1"/>
            </w:tcBorders>
            <w:shd w:val="clear" w:color="auto" w:fill="0070C0"/>
          </w:tcPr>
          <w:p w14:paraId="12DA45DA" w14:textId="77777777" w:rsidR="00B453C6" w:rsidRPr="00F477F6" w:rsidRDefault="00B453C6" w:rsidP="00D20D53">
            <w:pPr>
              <w:pStyle w:val="TableHeader"/>
              <w:keepNext/>
            </w:pPr>
            <w:r w:rsidRPr="00F477F6">
              <w:t>Supply data sources and datasets</w:t>
            </w:r>
            <w:bookmarkStart w:id="159" w:name="ColumnTitle_AppendixB_Supply"/>
            <w:bookmarkEnd w:id="159"/>
          </w:p>
        </w:tc>
        <w:tc>
          <w:tcPr>
            <w:cnfStyle w:val="000010000000" w:firstRow="0" w:lastRow="0" w:firstColumn="0" w:lastColumn="0" w:oddVBand="1" w:evenVBand="0" w:oddHBand="0" w:evenHBand="0" w:firstRowFirstColumn="0" w:firstRowLastColumn="0" w:lastRowFirstColumn="0" w:lastRowLastColumn="0"/>
            <w:tcW w:w="1072" w:type="pct"/>
            <w:tcBorders>
              <w:top w:val="single" w:sz="4" w:space="0" w:color="auto"/>
              <w:bottom w:val="single" w:sz="4" w:space="0" w:color="FFFFFF" w:themeColor="background1"/>
            </w:tcBorders>
            <w:shd w:val="clear" w:color="auto" w:fill="0070C0"/>
          </w:tcPr>
          <w:p w14:paraId="5AB68014" w14:textId="77777777" w:rsidR="00B453C6" w:rsidRPr="00F477F6" w:rsidRDefault="00B453C6" w:rsidP="00D20D53">
            <w:pPr>
              <w:pStyle w:val="TableHeader"/>
              <w:keepNext/>
            </w:pPr>
            <w:r w:rsidRPr="00F477F6">
              <w:t>Application of Data</w:t>
            </w:r>
          </w:p>
        </w:tc>
        <w:tc>
          <w:tcPr>
            <w:tcW w:w="1022" w:type="pct"/>
            <w:tcBorders>
              <w:top w:val="single" w:sz="4" w:space="0" w:color="auto"/>
              <w:bottom w:val="single" w:sz="4" w:space="0" w:color="FFFFFF" w:themeColor="background1"/>
            </w:tcBorders>
            <w:shd w:val="clear" w:color="auto" w:fill="0070C0"/>
          </w:tcPr>
          <w:p w14:paraId="265C6ED6" w14:textId="77777777" w:rsidR="00B453C6" w:rsidRPr="00F477F6" w:rsidRDefault="00B453C6" w:rsidP="00D20D53">
            <w:pPr>
              <w:pStyle w:val="TableHeader"/>
              <w:keepNext/>
              <w:cnfStyle w:val="100000000000" w:firstRow="1" w:lastRow="0" w:firstColumn="0" w:lastColumn="0" w:oddVBand="0" w:evenVBand="0" w:oddHBand="0" w:evenHBand="0" w:firstRowFirstColumn="0" w:firstRowLastColumn="0" w:lastRowFirstColumn="0" w:lastRowLastColumn="0"/>
            </w:pPr>
            <w:r w:rsidRPr="00F477F6">
              <w:t>Data Limitations</w:t>
            </w:r>
          </w:p>
        </w:tc>
        <w:tc>
          <w:tcPr>
            <w:cnfStyle w:val="000010000000" w:firstRow="0" w:lastRow="0" w:firstColumn="0" w:lastColumn="0" w:oddVBand="1" w:evenVBand="0" w:oddHBand="0" w:evenHBand="0" w:firstRowFirstColumn="0" w:firstRowLastColumn="0" w:lastRowFirstColumn="0" w:lastRowLastColumn="0"/>
            <w:tcW w:w="1374" w:type="pct"/>
            <w:tcBorders>
              <w:top w:val="single" w:sz="4" w:space="0" w:color="auto"/>
              <w:bottom w:val="single" w:sz="4" w:space="0" w:color="FFFFFF" w:themeColor="background1"/>
            </w:tcBorders>
            <w:shd w:val="clear" w:color="auto" w:fill="0070C0"/>
          </w:tcPr>
          <w:p w14:paraId="4314CCFA" w14:textId="77777777" w:rsidR="00B453C6" w:rsidRPr="00F477F6" w:rsidRDefault="00B453C6" w:rsidP="00D20D53">
            <w:pPr>
              <w:pStyle w:val="TableHeader"/>
              <w:keepNext/>
            </w:pPr>
            <w:r w:rsidRPr="00F477F6">
              <w:t>Data/Methodology Assumptions</w:t>
            </w:r>
          </w:p>
        </w:tc>
        <w:tc>
          <w:tcPr>
            <w:tcW w:w="771" w:type="pct"/>
            <w:tcBorders>
              <w:top w:val="single" w:sz="4" w:space="0" w:color="auto"/>
              <w:bottom w:val="single" w:sz="4" w:space="0" w:color="FFFFFF" w:themeColor="background1"/>
            </w:tcBorders>
            <w:shd w:val="clear" w:color="auto" w:fill="0070C0"/>
          </w:tcPr>
          <w:p w14:paraId="1008665E" w14:textId="77777777" w:rsidR="00B453C6" w:rsidRPr="00F477F6" w:rsidRDefault="00B453C6" w:rsidP="00D20D53">
            <w:pPr>
              <w:pStyle w:val="TableHeader"/>
              <w:keepNext/>
              <w:cnfStyle w:val="100000000000" w:firstRow="1" w:lastRow="0" w:firstColumn="0" w:lastColumn="0" w:oddVBand="0" w:evenVBand="0" w:oddHBand="0" w:evenHBand="0" w:firstRowFirstColumn="0" w:firstRowLastColumn="0" w:lastRowFirstColumn="0" w:lastRowLastColumn="0"/>
            </w:pPr>
            <w:r w:rsidRPr="00F477F6">
              <w:t>Datasets</w:t>
            </w:r>
          </w:p>
        </w:tc>
      </w:tr>
      <w:tr w:rsidR="00B453C6" w:rsidRPr="00F477F6" w14:paraId="5E4B4BB1" w14:textId="77777777" w:rsidTr="000576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62" w:type="pct"/>
            <w:tcBorders>
              <w:top w:val="single" w:sz="4" w:space="0" w:color="FFFFFF" w:themeColor="background1"/>
            </w:tcBorders>
          </w:tcPr>
          <w:p w14:paraId="54A6E3C0" w14:textId="77777777" w:rsidR="00B453C6" w:rsidRPr="00F477F6" w:rsidRDefault="00B453C6" w:rsidP="00D20D53">
            <w:pPr>
              <w:pStyle w:val="TableText"/>
              <w:keepNext/>
            </w:pPr>
            <w:r w:rsidRPr="00F477F6">
              <w:t>AHPRA</w:t>
            </w:r>
          </w:p>
        </w:tc>
        <w:tc>
          <w:tcPr>
            <w:cnfStyle w:val="000010000000" w:firstRow="0" w:lastRow="0" w:firstColumn="0" w:lastColumn="0" w:oddVBand="1" w:evenVBand="0" w:oddHBand="0" w:evenHBand="0" w:firstRowFirstColumn="0" w:firstRowLastColumn="0" w:lastRowFirstColumn="0" w:lastRowLastColumn="0"/>
            <w:tcW w:w="1072" w:type="pct"/>
            <w:tcBorders>
              <w:top w:val="single" w:sz="4" w:space="0" w:color="FFFFFF" w:themeColor="background1"/>
            </w:tcBorders>
          </w:tcPr>
          <w:p w14:paraId="217C11DF" w14:textId="77777777" w:rsidR="00B453C6" w:rsidRPr="00B72C39" w:rsidRDefault="00B453C6" w:rsidP="00F12244">
            <w:pPr>
              <w:pStyle w:val="TableText"/>
              <w:keepNext/>
              <w:numPr>
                <w:ilvl w:val="0"/>
                <w:numId w:val="40"/>
              </w:numPr>
              <w:ind w:left="345" w:hanging="283"/>
            </w:pPr>
            <w:r w:rsidRPr="00B72C39">
              <w:t xml:space="preserve">A combination of AHPRA registration and workforce data will be used to determine the baseline numbers. </w:t>
            </w:r>
          </w:p>
          <w:p w14:paraId="2FC658AD" w14:textId="77777777" w:rsidR="00B453C6" w:rsidRPr="00B72C39" w:rsidRDefault="00B453C6" w:rsidP="00F12244">
            <w:pPr>
              <w:pStyle w:val="TableText"/>
              <w:keepNext/>
              <w:numPr>
                <w:ilvl w:val="0"/>
                <w:numId w:val="40"/>
              </w:numPr>
              <w:ind w:left="345" w:hanging="283"/>
            </w:pPr>
            <w:r w:rsidRPr="00B72C39">
              <w:t>Survey data will also be used to model exits and re-entries</w:t>
            </w:r>
          </w:p>
        </w:tc>
        <w:tc>
          <w:tcPr>
            <w:tcW w:w="1022" w:type="pct"/>
            <w:tcBorders>
              <w:top w:val="single" w:sz="4" w:space="0" w:color="FFFFFF" w:themeColor="background1"/>
            </w:tcBorders>
          </w:tcPr>
          <w:p w14:paraId="6744B552" w14:textId="77777777" w:rsidR="00B453C6" w:rsidRPr="00F477F6" w:rsidRDefault="00B453C6" w:rsidP="00D20D53">
            <w:pPr>
              <w:pStyle w:val="TableText"/>
              <w:keepNext/>
              <w:cnfStyle w:val="000000100000" w:firstRow="0" w:lastRow="0" w:firstColumn="0" w:lastColumn="0" w:oddVBand="0" w:evenVBand="0" w:oddHBand="1" w:evenHBand="0" w:firstRowFirstColumn="0" w:firstRowLastColumn="0" w:lastRowFirstColumn="0" w:lastRowLastColumn="0"/>
            </w:pPr>
            <w:r w:rsidRPr="00F477F6">
              <w:t>As with any large, self-reporting survey, there are issues of data quality. Respondents do not answer every question and can interpret each question differently.</w:t>
            </w:r>
          </w:p>
        </w:tc>
        <w:tc>
          <w:tcPr>
            <w:cnfStyle w:val="000010000000" w:firstRow="0" w:lastRow="0" w:firstColumn="0" w:lastColumn="0" w:oddVBand="1" w:evenVBand="0" w:oddHBand="0" w:evenHBand="0" w:firstRowFirstColumn="0" w:firstRowLastColumn="0" w:lastRowFirstColumn="0" w:lastRowLastColumn="0"/>
            <w:tcW w:w="1374" w:type="pct"/>
            <w:tcBorders>
              <w:top w:val="single" w:sz="4" w:space="0" w:color="FFFFFF" w:themeColor="background1"/>
            </w:tcBorders>
          </w:tcPr>
          <w:p w14:paraId="51ECE7C6" w14:textId="77777777" w:rsidR="00B453C6" w:rsidRPr="00F477F6" w:rsidRDefault="00B453C6" w:rsidP="00D20D53">
            <w:pPr>
              <w:pStyle w:val="TableText"/>
              <w:keepNext/>
            </w:pPr>
            <w:r w:rsidRPr="00F477F6">
              <w:t>Generally accepted conventions have been applied. These include the exclusion of data which is obviously in error (for example, individual who claims to be &gt; 100 years old or working 200 hours per week) and the apportionment of non-responses in proportion to valid responses.</w:t>
            </w:r>
          </w:p>
        </w:tc>
        <w:tc>
          <w:tcPr>
            <w:tcW w:w="771" w:type="pct"/>
            <w:tcBorders>
              <w:top w:val="single" w:sz="4" w:space="0" w:color="FFFFFF" w:themeColor="background1"/>
            </w:tcBorders>
          </w:tcPr>
          <w:p w14:paraId="088480BB" w14:textId="77777777" w:rsidR="00B453C6" w:rsidRPr="00F477F6" w:rsidRDefault="00B453C6" w:rsidP="00D20D53">
            <w:pPr>
              <w:pStyle w:val="TableText"/>
              <w:keepNext/>
              <w:cnfStyle w:val="000000100000" w:firstRow="0" w:lastRow="0" w:firstColumn="0" w:lastColumn="0" w:oddVBand="0" w:evenVBand="0" w:oddHBand="1" w:evenHBand="0" w:firstRowFirstColumn="0" w:firstRowLastColumn="0" w:lastRowFirstColumn="0" w:lastRowLastColumn="0"/>
            </w:pPr>
            <w:r w:rsidRPr="00F477F6">
              <w:t>AHPRA registration and labour force surveys data</w:t>
            </w:r>
          </w:p>
        </w:tc>
      </w:tr>
      <w:tr w:rsidR="00B453C6" w:rsidRPr="00F477F6" w14:paraId="4F251930" w14:textId="77777777" w:rsidTr="003008B9">
        <w:tc>
          <w:tcPr>
            <w:cnfStyle w:val="001000000000" w:firstRow="0" w:lastRow="0" w:firstColumn="1" w:lastColumn="0" w:oddVBand="0" w:evenVBand="0" w:oddHBand="0" w:evenHBand="0" w:firstRowFirstColumn="0" w:firstRowLastColumn="0" w:lastRowFirstColumn="0" w:lastRowLastColumn="0"/>
            <w:tcW w:w="762" w:type="pct"/>
          </w:tcPr>
          <w:p w14:paraId="09A3A344" w14:textId="77777777" w:rsidR="00B453C6" w:rsidRPr="00F477F6" w:rsidRDefault="00B453C6" w:rsidP="00D20D53">
            <w:pPr>
              <w:pStyle w:val="TableText"/>
              <w:keepNext/>
            </w:pPr>
            <w:r w:rsidRPr="00F477F6">
              <w:t>AIHW</w:t>
            </w:r>
          </w:p>
        </w:tc>
        <w:tc>
          <w:tcPr>
            <w:cnfStyle w:val="000010000000" w:firstRow="0" w:lastRow="0" w:firstColumn="0" w:lastColumn="0" w:oddVBand="1" w:evenVBand="0" w:oddHBand="0" w:evenHBand="0" w:firstRowFirstColumn="0" w:firstRowLastColumn="0" w:lastRowFirstColumn="0" w:lastRowLastColumn="0"/>
            <w:tcW w:w="1072" w:type="pct"/>
          </w:tcPr>
          <w:p w14:paraId="65BB12A3" w14:textId="77777777" w:rsidR="00B453C6" w:rsidRPr="00F477F6" w:rsidRDefault="00B453C6" w:rsidP="00D20D53">
            <w:pPr>
              <w:pStyle w:val="TableText"/>
              <w:keepNext/>
            </w:pPr>
            <w:r w:rsidRPr="00F477F6">
              <w:t>AIHW labour force data will be used for historical workforce data.</w:t>
            </w:r>
          </w:p>
        </w:tc>
        <w:tc>
          <w:tcPr>
            <w:tcW w:w="1022" w:type="pct"/>
          </w:tcPr>
          <w:p w14:paraId="54C6D420" w14:textId="77777777" w:rsidR="00B453C6" w:rsidRPr="00F477F6" w:rsidRDefault="00B453C6" w:rsidP="00D20D53">
            <w:pPr>
              <w:pStyle w:val="TableText"/>
              <w:keepNext/>
              <w:cnfStyle w:val="000000000000" w:firstRow="0" w:lastRow="0" w:firstColumn="0" w:lastColumn="0" w:oddVBand="0" w:evenVBand="0" w:oddHBand="0" w:evenHBand="0" w:firstRowFirstColumn="0" w:firstRowLastColumn="0" w:lastRowFirstColumn="0" w:lastRowLastColumn="0"/>
            </w:pPr>
            <w:r w:rsidRPr="00F477F6">
              <w:t>Same issues as those identified in the AHPRA dataset.</w:t>
            </w:r>
          </w:p>
        </w:tc>
        <w:tc>
          <w:tcPr>
            <w:cnfStyle w:val="000010000000" w:firstRow="0" w:lastRow="0" w:firstColumn="0" w:lastColumn="0" w:oddVBand="1" w:evenVBand="0" w:oddHBand="0" w:evenHBand="0" w:firstRowFirstColumn="0" w:firstRowLastColumn="0" w:lastRowFirstColumn="0" w:lastRowLastColumn="0"/>
            <w:tcW w:w="1374" w:type="pct"/>
          </w:tcPr>
          <w:p w14:paraId="6AC4B274" w14:textId="77777777" w:rsidR="00B453C6" w:rsidRPr="00F477F6" w:rsidRDefault="00B453C6" w:rsidP="00D20D53">
            <w:pPr>
              <w:pStyle w:val="TableText"/>
              <w:keepNext/>
            </w:pPr>
            <w:r w:rsidRPr="00F477F6">
              <w:t>Same methodology employed as those described in the AHPRA dataset.</w:t>
            </w:r>
          </w:p>
        </w:tc>
        <w:tc>
          <w:tcPr>
            <w:tcW w:w="771" w:type="pct"/>
          </w:tcPr>
          <w:p w14:paraId="16FEFC63" w14:textId="77777777" w:rsidR="00B453C6" w:rsidRPr="00F477F6" w:rsidRDefault="00B453C6" w:rsidP="00D20D53">
            <w:pPr>
              <w:pStyle w:val="TableText"/>
              <w:keepNext/>
              <w:cnfStyle w:val="000000000000" w:firstRow="0" w:lastRow="0" w:firstColumn="0" w:lastColumn="0" w:oddVBand="0" w:evenVBand="0" w:oddHBand="0" w:evenHBand="0" w:firstRowFirstColumn="0" w:firstRowLastColumn="0" w:lastRowFirstColumn="0" w:lastRowLastColumn="0"/>
            </w:pPr>
            <w:r w:rsidRPr="00F477F6">
              <w:t>AIHW labour force surveys data</w:t>
            </w:r>
          </w:p>
        </w:tc>
      </w:tr>
      <w:tr w:rsidR="00B453C6" w:rsidRPr="00F477F6" w14:paraId="41A357F3" w14:textId="77777777" w:rsidTr="003008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62" w:type="pct"/>
          </w:tcPr>
          <w:p w14:paraId="5D441B41" w14:textId="77777777" w:rsidR="00B453C6" w:rsidRPr="00F477F6" w:rsidRDefault="00B453C6" w:rsidP="00D20D53">
            <w:pPr>
              <w:pStyle w:val="TableText"/>
              <w:keepNext/>
            </w:pPr>
            <w:r w:rsidRPr="00F477F6">
              <w:t>Innovation (DIICCSRTE)</w:t>
            </w:r>
          </w:p>
        </w:tc>
        <w:tc>
          <w:tcPr>
            <w:cnfStyle w:val="000010000000" w:firstRow="0" w:lastRow="0" w:firstColumn="0" w:lastColumn="0" w:oddVBand="1" w:evenVBand="0" w:oddHBand="0" w:evenHBand="0" w:firstRowFirstColumn="0" w:firstRowLastColumn="0" w:lastRowFirstColumn="0" w:lastRowLastColumn="0"/>
            <w:tcW w:w="1072" w:type="pct"/>
          </w:tcPr>
          <w:p w14:paraId="18D67E22" w14:textId="77777777" w:rsidR="00B453C6" w:rsidRPr="00F477F6" w:rsidRDefault="00B453C6" w:rsidP="00D20D53">
            <w:pPr>
              <w:pStyle w:val="TableText"/>
              <w:keepNext/>
            </w:pPr>
            <w:r w:rsidRPr="00F477F6">
              <w:t xml:space="preserve">A primary source for registered nurses course commencements and completions </w:t>
            </w:r>
          </w:p>
        </w:tc>
        <w:tc>
          <w:tcPr>
            <w:tcW w:w="1022" w:type="pct"/>
          </w:tcPr>
          <w:p w14:paraId="77B198F1" w14:textId="77777777" w:rsidR="00B453C6" w:rsidRPr="00F477F6" w:rsidRDefault="00B453C6" w:rsidP="00D20D53">
            <w:pPr>
              <w:pStyle w:val="TableText"/>
              <w:keepNext/>
              <w:cnfStyle w:val="000000100000" w:firstRow="0" w:lastRow="0" w:firstColumn="0" w:lastColumn="0" w:oddVBand="0" w:evenVBand="0" w:oddHBand="1" w:evenHBand="0" w:firstRowFirstColumn="0" w:firstRowLastColumn="0" w:lastRowFirstColumn="0" w:lastRowLastColumn="0"/>
            </w:pPr>
            <w:r w:rsidRPr="00F477F6">
              <w:t xml:space="preserve">Data does not distinguish between study year </w:t>
            </w:r>
          </w:p>
        </w:tc>
        <w:tc>
          <w:tcPr>
            <w:cnfStyle w:val="000010000000" w:firstRow="0" w:lastRow="0" w:firstColumn="0" w:lastColumn="0" w:oddVBand="1" w:evenVBand="0" w:oddHBand="0" w:evenHBand="0" w:firstRowFirstColumn="0" w:firstRowLastColumn="0" w:lastRowFirstColumn="0" w:lastRowLastColumn="0"/>
            <w:tcW w:w="1374" w:type="pct"/>
          </w:tcPr>
          <w:p w14:paraId="73455766" w14:textId="77777777" w:rsidR="00B453C6" w:rsidRPr="00F477F6" w:rsidRDefault="00B453C6" w:rsidP="00D20D53">
            <w:pPr>
              <w:pStyle w:val="TableText"/>
              <w:keepNext/>
            </w:pPr>
            <w:r w:rsidRPr="00F477F6">
              <w:t>Entries into the workforce are measured as total students divided by length of course in years. Individual courses and University will be modelled to generate graduate pipeline</w:t>
            </w:r>
          </w:p>
        </w:tc>
        <w:tc>
          <w:tcPr>
            <w:tcW w:w="771" w:type="pct"/>
          </w:tcPr>
          <w:p w14:paraId="4636DC04" w14:textId="77777777" w:rsidR="00B453C6" w:rsidRPr="00F477F6" w:rsidRDefault="00B453C6" w:rsidP="00D20D53">
            <w:pPr>
              <w:pStyle w:val="TableText"/>
              <w:keepNext/>
              <w:cnfStyle w:val="000000100000" w:firstRow="0" w:lastRow="0" w:firstColumn="0" w:lastColumn="0" w:oddVBand="0" w:evenVBand="0" w:oddHBand="1" w:evenHBand="0" w:firstRowFirstColumn="0" w:firstRowLastColumn="0" w:lastRowFirstColumn="0" w:lastRowLastColumn="0"/>
            </w:pPr>
            <w:r w:rsidRPr="00F477F6">
              <w:t>DEEWR student data for nurses and midwives workforce entrants</w:t>
            </w:r>
          </w:p>
        </w:tc>
      </w:tr>
      <w:tr w:rsidR="00B453C6" w:rsidRPr="00F477F6" w14:paraId="7A39B76E" w14:textId="77777777" w:rsidTr="003008B9">
        <w:tc>
          <w:tcPr>
            <w:cnfStyle w:val="001000000000" w:firstRow="0" w:lastRow="0" w:firstColumn="1" w:lastColumn="0" w:oddVBand="0" w:evenVBand="0" w:oddHBand="0" w:evenHBand="0" w:firstRowFirstColumn="0" w:firstRowLastColumn="0" w:lastRowFirstColumn="0" w:lastRowLastColumn="0"/>
            <w:tcW w:w="762" w:type="pct"/>
          </w:tcPr>
          <w:p w14:paraId="3271DE98" w14:textId="77777777" w:rsidR="00B453C6" w:rsidRPr="00F477F6" w:rsidRDefault="00B453C6" w:rsidP="00D20D53">
            <w:pPr>
              <w:pStyle w:val="TableText"/>
              <w:keepNext/>
            </w:pPr>
            <w:r w:rsidRPr="00F477F6">
              <w:t>DIAC</w:t>
            </w:r>
          </w:p>
        </w:tc>
        <w:tc>
          <w:tcPr>
            <w:cnfStyle w:val="000010000000" w:firstRow="0" w:lastRow="0" w:firstColumn="0" w:lastColumn="0" w:oddVBand="1" w:evenVBand="0" w:oddHBand="0" w:evenHBand="0" w:firstRowFirstColumn="0" w:firstRowLastColumn="0" w:lastRowFirstColumn="0" w:lastRowLastColumn="0"/>
            <w:tcW w:w="1072" w:type="pct"/>
          </w:tcPr>
          <w:p w14:paraId="55753479" w14:textId="77777777" w:rsidR="00B453C6" w:rsidRPr="00F477F6" w:rsidRDefault="00B453C6" w:rsidP="00D20D53">
            <w:pPr>
              <w:pStyle w:val="TableText"/>
              <w:keepNext/>
            </w:pPr>
            <w:r w:rsidRPr="00F477F6">
              <w:t>Enrolled nursing immigration data</w:t>
            </w:r>
          </w:p>
        </w:tc>
        <w:tc>
          <w:tcPr>
            <w:tcW w:w="1022" w:type="pct"/>
          </w:tcPr>
          <w:p w14:paraId="0C6AFC33" w14:textId="77777777" w:rsidR="00B453C6" w:rsidRPr="00F477F6" w:rsidRDefault="00B453C6" w:rsidP="00D20D53">
            <w:pPr>
              <w:pStyle w:val="TableText"/>
              <w:keepNext/>
              <w:cnfStyle w:val="000000000000" w:firstRow="0" w:lastRow="0" w:firstColumn="0" w:lastColumn="0" w:oddVBand="0" w:evenVBand="0" w:oddHBand="0" w:evenHBand="0" w:firstRowFirstColumn="0" w:firstRowLastColumn="0" w:lastRowFirstColumn="0" w:lastRowLastColumn="0"/>
            </w:pPr>
            <w:r w:rsidRPr="00F477F6">
              <w:t xml:space="preserve">Data may not reflect those that have necessarily entered the workforce in a given year </w:t>
            </w:r>
          </w:p>
        </w:tc>
        <w:tc>
          <w:tcPr>
            <w:cnfStyle w:val="000010000000" w:firstRow="0" w:lastRow="0" w:firstColumn="0" w:lastColumn="0" w:oddVBand="1" w:evenVBand="0" w:oddHBand="0" w:evenHBand="0" w:firstRowFirstColumn="0" w:firstRowLastColumn="0" w:lastRowFirstColumn="0" w:lastRowLastColumn="0"/>
            <w:tcW w:w="1374" w:type="pct"/>
          </w:tcPr>
          <w:p w14:paraId="7F59D5C3" w14:textId="77777777" w:rsidR="00B453C6" w:rsidRPr="00F477F6" w:rsidRDefault="00B453C6" w:rsidP="00D20D53">
            <w:pPr>
              <w:pStyle w:val="TableText"/>
              <w:keepNext/>
            </w:pPr>
            <w:r w:rsidRPr="00F477F6">
              <w:t>Data acts as only a proxy for employment</w:t>
            </w:r>
          </w:p>
        </w:tc>
        <w:tc>
          <w:tcPr>
            <w:tcW w:w="771" w:type="pct"/>
          </w:tcPr>
          <w:p w14:paraId="346AA49C" w14:textId="77777777" w:rsidR="00B453C6" w:rsidRPr="00F477F6" w:rsidRDefault="00B453C6" w:rsidP="00D20D53">
            <w:pPr>
              <w:pStyle w:val="TableText"/>
              <w:keepNext/>
              <w:cnfStyle w:val="000000000000" w:firstRow="0" w:lastRow="0" w:firstColumn="0" w:lastColumn="0" w:oddVBand="0" w:evenVBand="0" w:oddHBand="0" w:evenHBand="0" w:firstRowFirstColumn="0" w:firstRowLastColumn="0" w:lastRowFirstColumn="0" w:lastRowLastColumn="0"/>
            </w:pPr>
            <w:r w:rsidRPr="00F477F6">
              <w:t>DIAC immigration and arrivals data</w:t>
            </w:r>
          </w:p>
        </w:tc>
      </w:tr>
      <w:tr w:rsidR="00B453C6" w:rsidRPr="00F477F6" w14:paraId="1628F5FD" w14:textId="77777777" w:rsidTr="003008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62" w:type="pct"/>
          </w:tcPr>
          <w:p w14:paraId="133EF119" w14:textId="77777777" w:rsidR="00B453C6" w:rsidRPr="00F477F6" w:rsidRDefault="00B453C6" w:rsidP="00D20D53">
            <w:pPr>
              <w:pStyle w:val="TableText"/>
              <w:keepNext/>
            </w:pPr>
            <w:r w:rsidRPr="00F477F6">
              <w:t>NCVER</w:t>
            </w:r>
          </w:p>
        </w:tc>
        <w:tc>
          <w:tcPr>
            <w:cnfStyle w:val="000010000000" w:firstRow="0" w:lastRow="0" w:firstColumn="0" w:lastColumn="0" w:oddVBand="1" w:evenVBand="0" w:oddHBand="0" w:evenHBand="0" w:firstRowFirstColumn="0" w:firstRowLastColumn="0" w:lastRowFirstColumn="0" w:lastRowLastColumn="0"/>
            <w:tcW w:w="1072" w:type="pct"/>
          </w:tcPr>
          <w:p w14:paraId="70B4028D" w14:textId="77777777" w:rsidR="00B453C6" w:rsidRPr="00F477F6" w:rsidRDefault="00B453C6" w:rsidP="00D20D53">
            <w:pPr>
              <w:pStyle w:val="TableText"/>
              <w:keepNext/>
            </w:pPr>
            <w:r w:rsidRPr="00F477F6">
              <w:t>Compile dataset of Enrolled Nurses, Midwifery students/graduates for graduate pipeline</w:t>
            </w:r>
          </w:p>
        </w:tc>
        <w:tc>
          <w:tcPr>
            <w:tcW w:w="1022" w:type="pct"/>
          </w:tcPr>
          <w:p w14:paraId="44D2DD73" w14:textId="77777777" w:rsidR="00B453C6" w:rsidRPr="00F477F6" w:rsidRDefault="00B453C6" w:rsidP="00D20D53">
            <w:pPr>
              <w:pStyle w:val="TableText"/>
              <w:keepNext/>
              <w:cnfStyle w:val="000000100000" w:firstRow="0" w:lastRow="0" w:firstColumn="0" w:lastColumn="0" w:oddVBand="0" w:evenVBand="0" w:oddHBand="1" w:evenHBand="0" w:firstRowFirstColumn="0" w:firstRowLastColumn="0" w:lastRowFirstColumn="0" w:lastRowLastColumn="0"/>
            </w:pPr>
            <w:r w:rsidRPr="00F477F6">
              <w:t>Data does not distinguish between study year (an issue for accurate pipelining)</w:t>
            </w:r>
          </w:p>
        </w:tc>
        <w:tc>
          <w:tcPr>
            <w:cnfStyle w:val="000010000000" w:firstRow="0" w:lastRow="0" w:firstColumn="0" w:lastColumn="0" w:oddVBand="1" w:evenVBand="0" w:oddHBand="0" w:evenHBand="0" w:firstRowFirstColumn="0" w:firstRowLastColumn="0" w:lastRowFirstColumn="0" w:lastRowLastColumn="0"/>
            <w:tcW w:w="1374" w:type="pct"/>
          </w:tcPr>
          <w:p w14:paraId="688652ED" w14:textId="77777777" w:rsidR="00B453C6" w:rsidRPr="00F477F6" w:rsidRDefault="00B453C6" w:rsidP="00D20D53">
            <w:pPr>
              <w:pStyle w:val="TableText"/>
              <w:keepNext/>
            </w:pPr>
            <w:r w:rsidRPr="00F477F6">
              <w:t>Entries into the workforce are measured as total students divided by length of course in years. Individual courses will be modelled to generate graduate pipeline</w:t>
            </w:r>
          </w:p>
        </w:tc>
        <w:tc>
          <w:tcPr>
            <w:tcW w:w="771" w:type="pct"/>
          </w:tcPr>
          <w:p w14:paraId="04283940" w14:textId="77777777" w:rsidR="00B453C6" w:rsidRPr="00F477F6" w:rsidRDefault="00B453C6" w:rsidP="00D20D53">
            <w:pPr>
              <w:pStyle w:val="TableText"/>
              <w:keepNext/>
              <w:cnfStyle w:val="000000100000" w:firstRow="0" w:lastRow="0" w:firstColumn="0" w:lastColumn="0" w:oddVBand="0" w:evenVBand="0" w:oddHBand="1" w:evenHBand="0" w:firstRowFirstColumn="0" w:firstRowLastColumn="0" w:lastRowFirstColumn="0" w:lastRowLastColumn="0"/>
            </w:pPr>
            <w:r w:rsidRPr="00F477F6">
              <w:t>NCVER student data for nursing/ mid-wife workforce entrants</w:t>
            </w:r>
          </w:p>
        </w:tc>
      </w:tr>
    </w:tbl>
    <w:p w14:paraId="3C71A50E" w14:textId="77777777" w:rsidR="00B453C6" w:rsidRPr="00D20D53" w:rsidRDefault="00B453C6" w:rsidP="00D20D53"/>
    <w:p w14:paraId="0E85D747" w14:textId="6724C917" w:rsidR="00542AFA" w:rsidRPr="00F477F6" w:rsidRDefault="00542AFA" w:rsidP="00D20D53">
      <w:pPr>
        <w:pStyle w:val="Heading1"/>
      </w:pPr>
      <w:bookmarkStart w:id="160" w:name="_Toc407783197"/>
      <w:r w:rsidRPr="00F477F6">
        <w:lastRenderedPageBreak/>
        <w:t xml:space="preserve">Appendix </w:t>
      </w:r>
      <w:r w:rsidR="00B453C6" w:rsidRPr="00F477F6">
        <w:t xml:space="preserve">C: </w:t>
      </w:r>
      <w:r w:rsidRPr="00F477F6">
        <w:t>Workforce planning methodology</w:t>
      </w:r>
      <w:bookmarkEnd w:id="153"/>
      <w:bookmarkEnd w:id="154"/>
      <w:bookmarkEnd w:id="160"/>
    </w:p>
    <w:p w14:paraId="3FA0774A" w14:textId="3F940787" w:rsidR="00542AFA" w:rsidRPr="00F477F6" w:rsidRDefault="00542AFA" w:rsidP="00641259">
      <w:pPr>
        <w:pStyle w:val="Heading2"/>
      </w:pPr>
      <w:bookmarkStart w:id="161" w:name="_Toc377045986"/>
      <w:bookmarkStart w:id="162" w:name="_Toc387401319"/>
      <w:r w:rsidRPr="00F477F6">
        <w:t>Supply methodology</w:t>
      </w:r>
      <w:bookmarkEnd w:id="161"/>
      <w:bookmarkEnd w:id="162"/>
    </w:p>
    <w:p w14:paraId="0D3B60B8" w14:textId="39FA3156" w:rsidR="00542AFA" w:rsidRPr="00F477F6" w:rsidRDefault="00542AFA" w:rsidP="00D20D53">
      <w:r w:rsidRPr="00F477F6">
        <w:t xml:space="preserve">The principal method used to develop the nursing workforce projections is mathematical simulation modelling, using the National Health Workforce Tool. The simulation model employed to generate the workforce supply projections is a dynamic stock and flow model. </w:t>
      </w:r>
    </w:p>
    <w:p w14:paraId="3613ECBA" w14:textId="77777777" w:rsidR="00542AFA" w:rsidRPr="00F477F6" w:rsidRDefault="00542AFA" w:rsidP="00D20D53">
      <w:r w:rsidRPr="00F477F6">
        <w:t>A stock and flow model involves identifying the size and activity of the current workforce (stock) and sources of inflows and outflows from the stock (people entering and exiting the workforce), as well as looking at trends or influences on the stock and flows. To project future supply, the initial stock is moved forward based on expected inflows and outflows, allowing for the impact of trends and influences in the stock. The workforce is broken down into age and gender cohorts, and different flow rates are calculated by cohort and year for each of the input and output factors.</w:t>
      </w:r>
    </w:p>
    <w:p w14:paraId="356D5C89" w14:textId="3C523497" w:rsidR="00542AFA" w:rsidRPr="00F477F6" w:rsidRDefault="00542AFA" w:rsidP="00D20D53">
      <w:r w:rsidRPr="00F477F6">
        <w:t xml:space="preserve">The nursing workforce projections used a dynamic version of the stock and flow approach. This means the stock of the workforce is affected by inflows and outflows to adjacent age cohorts within the stock, as well as external inflows and outflows. That is, each age and gender cohort receives inflows not just from graduates and migration (external flows), but also from people ageing within the model that move from one age cohort into the next. For example, someone moves from the 30 to 34 cohort into the 35 to 39 cohort. Similarly, each age and gender cohort has exits applied – exits as people leave the workforce altogether, and exits as a person moves into the next age cohort. This is an iterative calculation in each year over the projection period, and provides for a more realistic representation of labour dynamics. This provides for a more realistic representation of labour force dynamics. This process is represented in </w:t>
      </w:r>
      <w:r w:rsidR="000355C9" w:rsidRPr="00F477F6">
        <w:fldChar w:fldCharType="begin"/>
      </w:r>
      <w:r w:rsidR="000355C9" w:rsidRPr="00F477F6">
        <w:instrText xml:space="preserve"> REF _Ref387393702 \h </w:instrText>
      </w:r>
      <w:r w:rsidR="00A02C41" w:rsidRPr="00F477F6">
        <w:instrText xml:space="preserve"> \* MERGEFORMAT </w:instrText>
      </w:r>
      <w:r w:rsidR="000355C9" w:rsidRPr="00F477F6">
        <w:fldChar w:fldCharType="separate"/>
      </w:r>
      <w:r w:rsidR="00641259" w:rsidRPr="00F477F6">
        <w:t xml:space="preserve">Figure </w:t>
      </w:r>
      <w:r w:rsidR="00641259">
        <w:rPr>
          <w:noProof/>
        </w:rPr>
        <w:t>13</w:t>
      </w:r>
      <w:r w:rsidR="000355C9" w:rsidRPr="00F477F6">
        <w:fldChar w:fldCharType="end"/>
      </w:r>
      <w:r w:rsidRPr="00F477F6">
        <w:t>.</w:t>
      </w:r>
    </w:p>
    <w:p w14:paraId="3F83B9C1" w14:textId="6E20BC58" w:rsidR="00542AFA" w:rsidRPr="00F477F6" w:rsidRDefault="000355C9" w:rsidP="00D20D53">
      <w:pPr>
        <w:pStyle w:val="Caption"/>
      </w:pPr>
      <w:bookmarkStart w:id="163" w:name="_Ref387393702"/>
      <w:bookmarkStart w:id="164" w:name="_Ref382495592"/>
      <w:bookmarkStart w:id="165" w:name="_Toc382840276"/>
      <w:bookmarkStart w:id="166" w:name="_Toc383600836"/>
      <w:bookmarkStart w:id="167" w:name="_Toc385340387"/>
      <w:bookmarkStart w:id="168" w:name="_Toc407783226"/>
      <w:r w:rsidRPr="00F477F6">
        <w:t xml:space="preserve">Figure </w:t>
      </w:r>
      <w:fldSimple w:instr=" SEQ Figure \* ARABIC ">
        <w:r w:rsidR="00641259">
          <w:rPr>
            <w:noProof/>
          </w:rPr>
          <w:t>13</w:t>
        </w:r>
      </w:fldSimple>
      <w:bookmarkEnd w:id="163"/>
      <w:r w:rsidR="00542AFA" w:rsidRPr="00F477F6">
        <w:t>: Stock and flow process</w:t>
      </w:r>
      <w:bookmarkEnd w:id="164"/>
      <w:bookmarkEnd w:id="165"/>
      <w:bookmarkEnd w:id="166"/>
      <w:bookmarkEnd w:id="167"/>
      <w:bookmarkEnd w:id="168"/>
    </w:p>
    <w:p w14:paraId="3B79ED9E" w14:textId="62E42665" w:rsidR="00542AFA" w:rsidRPr="00F57F39" w:rsidRDefault="00542AFA" w:rsidP="00F57F39">
      <w:r w:rsidRPr="00F57F39">
        <w:rPr>
          <w:noProof/>
          <w:lang w:eastAsia="en-AU"/>
        </w:rPr>
        <w:drawing>
          <wp:inline distT="0" distB="0" distL="0" distR="0" wp14:anchorId="5DF80287" wp14:editId="5E56DE37">
            <wp:extent cx="5567680" cy="2661920"/>
            <wp:effectExtent l="0" t="0" r="0" b="5080"/>
            <wp:docPr id="3" name="Picture 4" descr="The figure describes the stocks and flows of the workforce.&#10;Flows out of the workforce that affect workforce projections include: retirement, illness/death, career change, decreased hours and emigration.&#10;Flows in to the workforce that affect workforce projections include: graduates, re-entries, increased hours, immigration and late retirement." title="Figure 13: Stock and flow proc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567680" cy="2661920"/>
                    </a:xfrm>
                    <a:prstGeom prst="rect">
                      <a:avLst/>
                    </a:prstGeom>
                    <a:noFill/>
                    <a:ln>
                      <a:noFill/>
                    </a:ln>
                  </pic:spPr>
                </pic:pic>
              </a:graphicData>
            </a:graphic>
          </wp:inline>
        </w:drawing>
      </w:r>
    </w:p>
    <w:p w14:paraId="717496AA" w14:textId="77777777" w:rsidR="00D20D53" w:rsidRPr="00D20D53" w:rsidRDefault="00D20D53" w:rsidP="00D20D53">
      <w:r>
        <w:br w:type="page"/>
      </w:r>
    </w:p>
    <w:p w14:paraId="4F9D8B55" w14:textId="0DA44195" w:rsidR="00542AFA" w:rsidRPr="00F477F6" w:rsidRDefault="00542AFA" w:rsidP="00D20D53">
      <w:pPr>
        <w:pStyle w:val="Heading3"/>
        <w:rPr>
          <w:lang w:val="en-AU"/>
        </w:rPr>
      </w:pPr>
      <w:r w:rsidRPr="00F477F6">
        <w:rPr>
          <w:lang w:val="en-AU"/>
        </w:rPr>
        <w:lastRenderedPageBreak/>
        <w:t>Key inputs in the stock and flow model</w:t>
      </w:r>
    </w:p>
    <w:p w14:paraId="69F719E9" w14:textId="77777777" w:rsidR="00542AFA" w:rsidRPr="00F477F6" w:rsidRDefault="00542AFA" w:rsidP="00D20D53">
      <w:r w:rsidRPr="00F477F6">
        <w:t>There are four key inputs in the dynamic stock and flow model:</w:t>
      </w:r>
    </w:p>
    <w:p w14:paraId="47A9FE46" w14:textId="77777777" w:rsidR="00542AFA" w:rsidRPr="00F477F6" w:rsidRDefault="00542AFA" w:rsidP="00D20D53">
      <w:pPr>
        <w:pStyle w:val="ListParagraph"/>
        <w:numPr>
          <w:ilvl w:val="0"/>
          <w:numId w:val="28"/>
        </w:numPr>
      </w:pPr>
      <w:r w:rsidRPr="00F477F6">
        <w:t>Workforce stock</w:t>
      </w:r>
    </w:p>
    <w:p w14:paraId="5F8C9C38" w14:textId="77777777" w:rsidR="00542AFA" w:rsidRPr="00F477F6" w:rsidRDefault="00542AFA" w:rsidP="00D20D53">
      <w:pPr>
        <w:pStyle w:val="ListParagraph"/>
        <w:numPr>
          <w:ilvl w:val="0"/>
          <w:numId w:val="28"/>
        </w:numPr>
      </w:pPr>
      <w:r w:rsidRPr="00F477F6">
        <w:t>New graduates</w:t>
      </w:r>
    </w:p>
    <w:p w14:paraId="3051F38D" w14:textId="77777777" w:rsidR="00542AFA" w:rsidRPr="00F477F6" w:rsidRDefault="00542AFA" w:rsidP="00D20D53">
      <w:pPr>
        <w:pStyle w:val="ListParagraph"/>
        <w:numPr>
          <w:ilvl w:val="0"/>
          <w:numId w:val="28"/>
        </w:numPr>
      </w:pPr>
      <w:r w:rsidRPr="00F477F6">
        <w:t>Migration (permanent and temporary)</w:t>
      </w:r>
    </w:p>
    <w:p w14:paraId="52F92E94" w14:textId="77777777" w:rsidR="00542AFA" w:rsidRPr="00F477F6" w:rsidRDefault="00542AFA" w:rsidP="00D20D53">
      <w:pPr>
        <w:pStyle w:val="ListParagraph"/>
        <w:numPr>
          <w:ilvl w:val="0"/>
          <w:numId w:val="28"/>
        </w:numPr>
      </w:pPr>
      <w:r w:rsidRPr="00F477F6">
        <w:t>Exits, which includes all permanent and temporary flows out of the workforce.</w:t>
      </w:r>
    </w:p>
    <w:p w14:paraId="3C7CD31C" w14:textId="77777777" w:rsidR="00542AFA" w:rsidRPr="00F477F6" w:rsidRDefault="00542AFA" w:rsidP="00D20D53">
      <w:pPr>
        <w:pStyle w:val="Heading3"/>
        <w:rPr>
          <w:lang w:val="en-AU"/>
        </w:rPr>
      </w:pPr>
      <w:r w:rsidRPr="00F477F6">
        <w:rPr>
          <w:lang w:val="en-AU"/>
        </w:rPr>
        <w:t>Workforce stock</w:t>
      </w:r>
    </w:p>
    <w:p w14:paraId="1BBBAFDE" w14:textId="77777777" w:rsidR="00542AFA" w:rsidRPr="00F477F6" w:rsidRDefault="00542AFA" w:rsidP="00D20D53">
      <w:r w:rsidRPr="00F477F6">
        <w:t xml:space="preserve">Calculation of the workforce ‘stock’ in the base year (2012) used the National Health Workforce Dataset (NHWDS): AHPRA Labour Force data. The NHWDS combines data from the annual registration process for registered and ENs, together with data from a workforce survey that is voluntarily completed at the time of registration. </w:t>
      </w:r>
    </w:p>
    <w:p w14:paraId="0A569132" w14:textId="77777777" w:rsidR="00542AFA" w:rsidRPr="00F477F6" w:rsidRDefault="00542AFA" w:rsidP="00D20D53">
      <w:r w:rsidRPr="00F477F6">
        <w:t xml:space="preserve">The workforce stock is categorised into five-year age and gender cohorts. </w:t>
      </w:r>
    </w:p>
    <w:p w14:paraId="360CF1D3" w14:textId="77777777" w:rsidR="00542AFA" w:rsidRPr="00F477F6" w:rsidRDefault="00542AFA" w:rsidP="00D20D53">
      <w:pPr>
        <w:pStyle w:val="Heading3"/>
        <w:rPr>
          <w:lang w:val="en-AU"/>
        </w:rPr>
      </w:pPr>
      <w:r w:rsidRPr="00F477F6">
        <w:rPr>
          <w:lang w:val="en-AU"/>
        </w:rPr>
        <w:t xml:space="preserve">New graduates </w:t>
      </w:r>
    </w:p>
    <w:p w14:paraId="29A5EA25" w14:textId="2F9FA4BB" w:rsidR="00542AFA" w:rsidRPr="00F477F6" w:rsidRDefault="00542AFA" w:rsidP="00D20D53">
      <w:r w:rsidRPr="00F477F6">
        <w:t xml:space="preserve">Data from the </w:t>
      </w:r>
      <w:r w:rsidR="00125CBF" w:rsidRPr="00F477F6">
        <w:t xml:space="preserve">Australian Government </w:t>
      </w:r>
      <w:r w:rsidRPr="00F477F6">
        <w:t xml:space="preserve">Department of Education, and the NCVER was used to estimate the anticipated number of new and completing graduates, based on recent trends in the number of graduating students and their expected years of completion. </w:t>
      </w:r>
    </w:p>
    <w:p w14:paraId="5D1453A6" w14:textId="43554ACA" w:rsidR="00542AFA" w:rsidRPr="00F477F6" w:rsidRDefault="007321A8" w:rsidP="00D20D53">
      <w:r w:rsidRPr="00F477F6">
        <w:fldChar w:fldCharType="begin"/>
      </w:r>
      <w:r w:rsidRPr="00F477F6">
        <w:instrText xml:space="preserve"> REF _Ref387394973 \h </w:instrText>
      </w:r>
      <w:r w:rsidR="00A02C41" w:rsidRPr="00F477F6">
        <w:instrText xml:space="preserve"> \* MERGEFORMAT </w:instrText>
      </w:r>
      <w:r w:rsidRPr="00F477F6">
        <w:fldChar w:fldCharType="separate"/>
      </w:r>
      <w:r w:rsidR="00641259" w:rsidRPr="00F477F6">
        <w:t xml:space="preserve">Table </w:t>
      </w:r>
      <w:r w:rsidR="00641259">
        <w:rPr>
          <w:noProof/>
        </w:rPr>
        <w:t>14</w:t>
      </w:r>
      <w:r w:rsidRPr="00F477F6">
        <w:fldChar w:fldCharType="end"/>
      </w:r>
      <w:r w:rsidRPr="00F477F6">
        <w:t xml:space="preserve"> </w:t>
      </w:r>
      <w:r w:rsidR="00542AFA" w:rsidRPr="00F477F6">
        <w:t>shows the number of domestic and international graduates (current and projected) for RNs and ENs to 2014. From 2014, graduate numbers are held constant in the model. Enrolled nurse numbers were held constant from 2012 numbers.</w:t>
      </w:r>
    </w:p>
    <w:p w14:paraId="6FD9E8B5" w14:textId="44370D9D" w:rsidR="00542AFA" w:rsidRPr="00F477F6" w:rsidRDefault="00B2497A" w:rsidP="00D20D53">
      <w:pPr>
        <w:pStyle w:val="Caption"/>
      </w:pPr>
      <w:bookmarkStart w:id="169" w:name="_Ref387394973"/>
      <w:bookmarkStart w:id="170" w:name="_Ref376958078"/>
      <w:bookmarkStart w:id="171" w:name="_Toc382840263"/>
      <w:bookmarkStart w:id="172" w:name="_Toc383600804"/>
      <w:bookmarkStart w:id="173" w:name="_Toc385340331"/>
      <w:bookmarkStart w:id="174" w:name="_Toc407783211"/>
      <w:r w:rsidRPr="00F477F6">
        <w:t xml:space="preserve">Table </w:t>
      </w:r>
      <w:fldSimple w:instr=" SEQ Table \* ARABIC ">
        <w:r w:rsidR="00641259">
          <w:rPr>
            <w:noProof/>
          </w:rPr>
          <w:t>14</w:t>
        </w:r>
      </w:fldSimple>
      <w:bookmarkEnd w:id="169"/>
      <w:r w:rsidR="00542AFA" w:rsidRPr="00F477F6">
        <w:t>: Projected Graduates 2012</w:t>
      </w:r>
      <w:r w:rsidR="00303753" w:rsidRPr="00F477F6">
        <w:t xml:space="preserve"> to </w:t>
      </w:r>
      <w:r w:rsidR="00542AFA" w:rsidRPr="00F477F6">
        <w:t>201</w:t>
      </w:r>
      <w:bookmarkEnd w:id="170"/>
      <w:bookmarkEnd w:id="171"/>
      <w:bookmarkEnd w:id="172"/>
      <w:r w:rsidR="00542AFA" w:rsidRPr="00F477F6">
        <w:t>4</w:t>
      </w:r>
      <w:bookmarkEnd w:id="173"/>
      <w:bookmarkEnd w:id="174"/>
    </w:p>
    <w:tbl>
      <w:tblPr>
        <w:tblW w:w="5000" w:type="pct"/>
        <w:tblLayout w:type="fixed"/>
        <w:tblLook w:val="04A0" w:firstRow="1" w:lastRow="0" w:firstColumn="1" w:lastColumn="0" w:noHBand="0" w:noVBand="1"/>
      </w:tblPr>
      <w:tblGrid>
        <w:gridCol w:w="1966"/>
        <w:gridCol w:w="1966"/>
        <w:gridCol w:w="1965"/>
        <w:gridCol w:w="1965"/>
        <w:gridCol w:w="1965"/>
      </w:tblGrid>
      <w:tr w:rsidR="00542AFA" w:rsidRPr="008B2CBA" w14:paraId="419A15B5" w14:textId="77777777" w:rsidTr="00D22AD5">
        <w:trPr>
          <w:trHeight w:val="269"/>
          <w:tblHeader/>
        </w:trPr>
        <w:tc>
          <w:tcPr>
            <w:tcW w:w="1000" w:type="pct"/>
            <w:tcBorders>
              <w:top w:val="single" w:sz="4" w:space="0" w:color="auto"/>
              <w:left w:val="single" w:sz="4" w:space="0" w:color="auto"/>
              <w:bottom w:val="single" w:sz="4" w:space="0" w:color="000000"/>
              <w:right w:val="single" w:sz="4" w:space="0" w:color="auto"/>
            </w:tcBorders>
            <w:shd w:val="clear" w:color="000000" w:fill="0070C0"/>
            <w:vAlign w:val="center"/>
            <w:hideMark/>
          </w:tcPr>
          <w:p w14:paraId="6B334602" w14:textId="5E7B4775" w:rsidR="00542AFA" w:rsidRPr="008B2CBA" w:rsidRDefault="009A046E" w:rsidP="008B2CBA">
            <w:pPr>
              <w:pStyle w:val="TableHeader"/>
            </w:pPr>
            <w:bookmarkStart w:id="175" w:name="Title_13"/>
            <w:bookmarkStart w:id="176" w:name="ColumnTitle_13"/>
            <w:bookmarkEnd w:id="175"/>
            <w:r w:rsidRPr="008B2CBA">
              <w:t>Year</w:t>
            </w:r>
          </w:p>
        </w:tc>
        <w:tc>
          <w:tcPr>
            <w:tcW w:w="1000" w:type="pct"/>
            <w:tcBorders>
              <w:top w:val="single" w:sz="4" w:space="0" w:color="auto"/>
              <w:left w:val="nil"/>
              <w:bottom w:val="single" w:sz="4" w:space="0" w:color="auto"/>
              <w:right w:val="single" w:sz="4" w:space="0" w:color="auto"/>
            </w:tcBorders>
            <w:shd w:val="clear" w:color="000000" w:fill="0070C0"/>
            <w:noWrap/>
            <w:vAlign w:val="bottom"/>
            <w:hideMark/>
          </w:tcPr>
          <w:p w14:paraId="2911BBD4" w14:textId="72B8A200" w:rsidR="00542AFA" w:rsidRPr="008B2CBA" w:rsidRDefault="00CE1C1C" w:rsidP="008B2CBA">
            <w:pPr>
              <w:pStyle w:val="TableHeader"/>
              <w:jc w:val="center"/>
            </w:pPr>
            <w:r w:rsidRPr="008B2CBA">
              <w:t xml:space="preserve">Registered nurse </w:t>
            </w:r>
            <w:r>
              <w:t xml:space="preserve">– </w:t>
            </w:r>
            <w:r w:rsidR="00542AFA" w:rsidRPr="008B2CBA">
              <w:t>Domestic</w:t>
            </w:r>
          </w:p>
        </w:tc>
        <w:tc>
          <w:tcPr>
            <w:tcW w:w="1000" w:type="pct"/>
            <w:tcBorders>
              <w:top w:val="single" w:sz="4" w:space="0" w:color="auto"/>
              <w:left w:val="nil"/>
              <w:bottom w:val="single" w:sz="4" w:space="0" w:color="auto"/>
              <w:right w:val="single" w:sz="4" w:space="0" w:color="auto"/>
            </w:tcBorders>
            <w:shd w:val="clear" w:color="000000" w:fill="0070C0"/>
            <w:noWrap/>
            <w:vAlign w:val="bottom"/>
            <w:hideMark/>
          </w:tcPr>
          <w:p w14:paraId="285F8CA8" w14:textId="4DFF0567" w:rsidR="00542AFA" w:rsidRPr="008B2CBA" w:rsidRDefault="00CE1C1C" w:rsidP="008B2CBA">
            <w:pPr>
              <w:pStyle w:val="TableHeader"/>
              <w:jc w:val="center"/>
            </w:pPr>
            <w:r w:rsidRPr="008B2CBA">
              <w:t xml:space="preserve">Registered nurse </w:t>
            </w:r>
            <w:r>
              <w:t xml:space="preserve">– </w:t>
            </w:r>
            <w:r w:rsidR="00542AFA" w:rsidRPr="008B2CBA">
              <w:t>International</w:t>
            </w:r>
          </w:p>
        </w:tc>
        <w:tc>
          <w:tcPr>
            <w:tcW w:w="1000" w:type="pct"/>
            <w:tcBorders>
              <w:top w:val="single" w:sz="4" w:space="0" w:color="auto"/>
              <w:left w:val="nil"/>
              <w:bottom w:val="single" w:sz="4" w:space="0" w:color="auto"/>
              <w:right w:val="single" w:sz="4" w:space="0" w:color="auto"/>
            </w:tcBorders>
            <w:shd w:val="clear" w:color="000000" w:fill="0070C0"/>
            <w:noWrap/>
            <w:vAlign w:val="bottom"/>
            <w:hideMark/>
          </w:tcPr>
          <w:p w14:paraId="74A3DE4C" w14:textId="3F4FF601" w:rsidR="00542AFA" w:rsidRPr="008B2CBA" w:rsidRDefault="00CE1C1C" w:rsidP="008B2CBA">
            <w:pPr>
              <w:pStyle w:val="TableHeader"/>
              <w:jc w:val="center"/>
            </w:pPr>
            <w:r w:rsidRPr="008B2CBA">
              <w:t xml:space="preserve">Enrolled nurse </w:t>
            </w:r>
            <w:r>
              <w:t xml:space="preserve"> –</w:t>
            </w:r>
            <w:r w:rsidR="00542AFA" w:rsidRPr="008B2CBA">
              <w:t>Domestic</w:t>
            </w:r>
          </w:p>
        </w:tc>
        <w:tc>
          <w:tcPr>
            <w:tcW w:w="1000" w:type="pct"/>
            <w:tcBorders>
              <w:top w:val="single" w:sz="4" w:space="0" w:color="auto"/>
              <w:left w:val="nil"/>
              <w:bottom w:val="single" w:sz="4" w:space="0" w:color="auto"/>
              <w:right w:val="single" w:sz="4" w:space="0" w:color="auto"/>
            </w:tcBorders>
            <w:shd w:val="clear" w:color="000000" w:fill="0070C0"/>
            <w:noWrap/>
            <w:vAlign w:val="bottom"/>
            <w:hideMark/>
          </w:tcPr>
          <w:p w14:paraId="4D93FE92" w14:textId="0D44EA1A" w:rsidR="00542AFA" w:rsidRPr="008B2CBA" w:rsidRDefault="00CE1C1C" w:rsidP="008B2CBA">
            <w:pPr>
              <w:pStyle w:val="TableHeader"/>
              <w:jc w:val="center"/>
            </w:pPr>
            <w:r w:rsidRPr="008B2CBA">
              <w:t xml:space="preserve">Enrolled nurse </w:t>
            </w:r>
            <w:r>
              <w:t xml:space="preserve">– </w:t>
            </w:r>
            <w:r w:rsidR="00542AFA" w:rsidRPr="008B2CBA">
              <w:t>International</w:t>
            </w:r>
          </w:p>
        </w:tc>
      </w:tr>
      <w:bookmarkEnd w:id="176"/>
      <w:tr w:rsidR="00542AFA" w:rsidRPr="00F477F6" w14:paraId="1E019929" w14:textId="77777777" w:rsidTr="00CE1C1C">
        <w:trPr>
          <w:trHeight w:val="486"/>
        </w:trPr>
        <w:tc>
          <w:tcPr>
            <w:tcW w:w="1000" w:type="pct"/>
            <w:tcBorders>
              <w:top w:val="nil"/>
              <w:left w:val="single" w:sz="4" w:space="0" w:color="auto"/>
              <w:bottom w:val="single" w:sz="4" w:space="0" w:color="auto"/>
              <w:right w:val="single" w:sz="4" w:space="0" w:color="auto"/>
            </w:tcBorders>
            <w:shd w:val="clear" w:color="000000" w:fill="FFFFFF"/>
            <w:noWrap/>
            <w:vAlign w:val="center"/>
            <w:hideMark/>
          </w:tcPr>
          <w:p w14:paraId="4F3FA575" w14:textId="77777777" w:rsidR="00542AFA" w:rsidRPr="00F57F39" w:rsidRDefault="00542AFA" w:rsidP="008B2CBA">
            <w:pPr>
              <w:pStyle w:val="TableText"/>
            </w:pPr>
            <w:r w:rsidRPr="00F57F39">
              <w:t>2012</w:t>
            </w:r>
          </w:p>
        </w:tc>
        <w:tc>
          <w:tcPr>
            <w:tcW w:w="1000" w:type="pct"/>
            <w:tcBorders>
              <w:top w:val="nil"/>
              <w:left w:val="nil"/>
              <w:bottom w:val="single" w:sz="4" w:space="0" w:color="auto"/>
              <w:right w:val="single" w:sz="4" w:space="0" w:color="auto"/>
            </w:tcBorders>
            <w:shd w:val="clear" w:color="000000" w:fill="FFFFFF"/>
            <w:noWrap/>
            <w:vAlign w:val="center"/>
            <w:hideMark/>
          </w:tcPr>
          <w:p w14:paraId="57BB5823" w14:textId="77777777" w:rsidR="00542AFA" w:rsidRPr="00F57F39" w:rsidRDefault="00542AFA" w:rsidP="00F57F39">
            <w:pPr>
              <w:pStyle w:val="TableTextcentred"/>
            </w:pPr>
            <w:r w:rsidRPr="00F57F39">
              <w:t>7,238</w:t>
            </w:r>
          </w:p>
        </w:tc>
        <w:tc>
          <w:tcPr>
            <w:tcW w:w="1000" w:type="pct"/>
            <w:tcBorders>
              <w:top w:val="nil"/>
              <w:left w:val="nil"/>
              <w:bottom w:val="single" w:sz="4" w:space="0" w:color="auto"/>
              <w:right w:val="single" w:sz="4" w:space="0" w:color="auto"/>
            </w:tcBorders>
            <w:shd w:val="clear" w:color="000000" w:fill="FFFFFF"/>
            <w:noWrap/>
            <w:vAlign w:val="center"/>
            <w:hideMark/>
          </w:tcPr>
          <w:p w14:paraId="4931205D" w14:textId="77777777" w:rsidR="00542AFA" w:rsidRPr="00F57F39" w:rsidRDefault="00542AFA" w:rsidP="00F57F39">
            <w:pPr>
              <w:pStyle w:val="TableTextcentred"/>
            </w:pPr>
            <w:r w:rsidRPr="00F57F39">
              <w:t>700</w:t>
            </w:r>
          </w:p>
        </w:tc>
        <w:tc>
          <w:tcPr>
            <w:tcW w:w="1000" w:type="pct"/>
            <w:tcBorders>
              <w:top w:val="nil"/>
              <w:left w:val="nil"/>
              <w:bottom w:val="single" w:sz="4" w:space="0" w:color="auto"/>
              <w:right w:val="single" w:sz="4" w:space="0" w:color="auto"/>
            </w:tcBorders>
            <w:shd w:val="clear" w:color="000000" w:fill="FFFFFF"/>
            <w:noWrap/>
            <w:vAlign w:val="center"/>
            <w:hideMark/>
          </w:tcPr>
          <w:p w14:paraId="7CB36DF7" w14:textId="77777777" w:rsidR="00542AFA" w:rsidRPr="00F57F39" w:rsidRDefault="00542AFA" w:rsidP="00F57F39">
            <w:pPr>
              <w:pStyle w:val="TableTextcentred"/>
            </w:pPr>
            <w:r w:rsidRPr="00F57F39">
              <w:t>3,436</w:t>
            </w:r>
          </w:p>
        </w:tc>
        <w:tc>
          <w:tcPr>
            <w:tcW w:w="1000" w:type="pct"/>
            <w:tcBorders>
              <w:top w:val="nil"/>
              <w:left w:val="nil"/>
              <w:bottom w:val="single" w:sz="4" w:space="0" w:color="auto"/>
              <w:right w:val="single" w:sz="4" w:space="0" w:color="auto"/>
            </w:tcBorders>
            <w:shd w:val="clear" w:color="000000" w:fill="FFFFFF"/>
            <w:noWrap/>
            <w:vAlign w:val="center"/>
            <w:hideMark/>
          </w:tcPr>
          <w:p w14:paraId="0A8EA94D" w14:textId="77777777" w:rsidR="00542AFA" w:rsidRPr="00F57F39" w:rsidRDefault="00542AFA" w:rsidP="00F57F39">
            <w:pPr>
              <w:pStyle w:val="TableTextcentred"/>
            </w:pPr>
            <w:r w:rsidRPr="00F57F39">
              <w:t>646</w:t>
            </w:r>
          </w:p>
        </w:tc>
      </w:tr>
      <w:tr w:rsidR="00542AFA" w:rsidRPr="00F477F6" w14:paraId="59AB4252" w14:textId="77777777" w:rsidTr="00CE1C1C">
        <w:trPr>
          <w:trHeight w:val="550"/>
        </w:trPr>
        <w:tc>
          <w:tcPr>
            <w:tcW w:w="1000" w:type="pct"/>
            <w:tcBorders>
              <w:top w:val="nil"/>
              <w:left w:val="single" w:sz="4" w:space="0" w:color="auto"/>
              <w:bottom w:val="single" w:sz="4" w:space="0" w:color="auto"/>
              <w:right w:val="single" w:sz="4" w:space="0" w:color="auto"/>
            </w:tcBorders>
            <w:shd w:val="clear" w:color="000000" w:fill="FFFFFF"/>
            <w:noWrap/>
            <w:vAlign w:val="center"/>
            <w:hideMark/>
          </w:tcPr>
          <w:p w14:paraId="3E5D777C" w14:textId="77777777" w:rsidR="00542AFA" w:rsidRPr="00F57F39" w:rsidRDefault="00542AFA" w:rsidP="008B2CBA">
            <w:pPr>
              <w:pStyle w:val="TableText"/>
            </w:pPr>
            <w:r w:rsidRPr="00F57F39">
              <w:t>2013</w:t>
            </w:r>
          </w:p>
        </w:tc>
        <w:tc>
          <w:tcPr>
            <w:tcW w:w="1000" w:type="pct"/>
            <w:tcBorders>
              <w:top w:val="nil"/>
              <w:left w:val="nil"/>
              <w:bottom w:val="single" w:sz="4" w:space="0" w:color="auto"/>
              <w:right w:val="single" w:sz="4" w:space="0" w:color="auto"/>
            </w:tcBorders>
            <w:noWrap/>
            <w:vAlign w:val="center"/>
            <w:hideMark/>
          </w:tcPr>
          <w:p w14:paraId="22BDB5BA" w14:textId="77777777" w:rsidR="00542AFA" w:rsidRPr="00F57F39" w:rsidRDefault="00542AFA" w:rsidP="00F57F39">
            <w:pPr>
              <w:pStyle w:val="TableTextcentred"/>
            </w:pPr>
            <w:r w:rsidRPr="00F57F39">
              <w:t>7,614</w:t>
            </w:r>
          </w:p>
        </w:tc>
        <w:tc>
          <w:tcPr>
            <w:tcW w:w="1000" w:type="pct"/>
            <w:tcBorders>
              <w:top w:val="nil"/>
              <w:left w:val="nil"/>
              <w:bottom w:val="single" w:sz="4" w:space="0" w:color="auto"/>
              <w:right w:val="single" w:sz="4" w:space="0" w:color="auto"/>
            </w:tcBorders>
            <w:noWrap/>
            <w:vAlign w:val="center"/>
            <w:hideMark/>
          </w:tcPr>
          <w:p w14:paraId="62F166B4" w14:textId="77777777" w:rsidR="00542AFA" w:rsidRPr="00F57F39" w:rsidRDefault="00542AFA" w:rsidP="00F57F39">
            <w:pPr>
              <w:pStyle w:val="TableTextcentred"/>
            </w:pPr>
            <w:r w:rsidRPr="00F57F39">
              <w:t>593</w:t>
            </w:r>
          </w:p>
        </w:tc>
        <w:tc>
          <w:tcPr>
            <w:tcW w:w="1000" w:type="pct"/>
            <w:tcBorders>
              <w:top w:val="nil"/>
              <w:left w:val="nil"/>
              <w:bottom w:val="single" w:sz="4" w:space="0" w:color="auto"/>
              <w:right w:val="single" w:sz="4" w:space="0" w:color="auto"/>
            </w:tcBorders>
            <w:shd w:val="clear" w:color="000000" w:fill="FFFFFF"/>
            <w:noWrap/>
            <w:vAlign w:val="center"/>
            <w:hideMark/>
          </w:tcPr>
          <w:p w14:paraId="61FDE1D4" w14:textId="77777777" w:rsidR="00542AFA" w:rsidRPr="00F57F39" w:rsidRDefault="00542AFA" w:rsidP="00F57F39">
            <w:pPr>
              <w:pStyle w:val="TableTextcentred"/>
            </w:pPr>
            <w:r w:rsidRPr="00F57F39">
              <w:t>3,436</w:t>
            </w:r>
          </w:p>
        </w:tc>
        <w:tc>
          <w:tcPr>
            <w:tcW w:w="1000" w:type="pct"/>
            <w:tcBorders>
              <w:top w:val="nil"/>
              <w:left w:val="nil"/>
              <w:bottom w:val="single" w:sz="4" w:space="0" w:color="auto"/>
              <w:right w:val="single" w:sz="4" w:space="0" w:color="auto"/>
            </w:tcBorders>
            <w:shd w:val="clear" w:color="000000" w:fill="FFFFFF"/>
            <w:noWrap/>
            <w:vAlign w:val="center"/>
            <w:hideMark/>
          </w:tcPr>
          <w:p w14:paraId="63CD6512" w14:textId="77777777" w:rsidR="00542AFA" w:rsidRPr="00F57F39" w:rsidRDefault="00542AFA" w:rsidP="00F57F39">
            <w:pPr>
              <w:pStyle w:val="TableTextcentred"/>
            </w:pPr>
            <w:r w:rsidRPr="00F57F39">
              <w:t>646</w:t>
            </w:r>
          </w:p>
        </w:tc>
      </w:tr>
      <w:tr w:rsidR="00542AFA" w:rsidRPr="00F477F6" w14:paraId="7A2960E9" w14:textId="77777777" w:rsidTr="00CE1C1C">
        <w:trPr>
          <w:trHeight w:val="572"/>
        </w:trPr>
        <w:tc>
          <w:tcPr>
            <w:tcW w:w="1000" w:type="pct"/>
            <w:tcBorders>
              <w:top w:val="nil"/>
              <w:left w:val="single" w:sz="4" w:space="0" w:color="auto"/>
              <w:bottom w:val="single" w:sz="4" w:space="0" w:color="auto"/>
              <w:right w:val="single" w:sz="4" w:space="0" w:color="auto"/>
            </w:tcBorders>
            <w:shd w:val="clear" w:color="000000" w:fill="FFFFFF"/>
            <w:noWrap/>
            <w:vAlign w:val="center"/>
            <w:hideMark/>
          </w:tcPr>
          <w:p w14:paraId="1A1C3B61" w14:textId="77777777" w:rsidR="00542AFA" w:rsidRPr="00F57F39" w:rsidRDefault="00542AFA" w:rsidP="008B2CBA">
            <w:pPr>
              <w:pStyle w:val="TableText"/>
            </w:pPr>
            <w:r w:rsidRPr="00F57F39">
              <w:t>2014</w:t>
            </w:r>
          </w:p>
        </w:tc>
        <w:tc>
          <w:tcPr>
            <w:tcW w:w="1000" w:type="pct"/>
            <w:tcBorders>
              <w:top w:val="nil"/>
              <w:left w:val="nil"/>
              <w:bottom w:val="single" w:sz="4" w:space="0" w:color="auto"/>
              <w:right w:val="single" w:sz="4" w:space="0" w:color="auto"/>
            </w:tcBorders>
            <w:noWrap/>
            <w:vAlign w:val="center"/>
            <w:hideMark/>
          </w:tcPr>
          <w:p w14:paraId="481EA7D1" w14:textId="77777777" w:rsidR="00542AFA" w:rsidRPr="00F57F39" w:rsidRDefault="00542AFA" w:rsidP="00F57F39">
            <w:pPr>
              <w:pStyle w:val="TableTextcentred"/>
            </w:pPr>
            <w:r w:rsidRPr="00F57F39">
              <w:t>8,928</w:t>
            </w:r>
          </w:p>
        </w:tc>
        <w:tc>
          <w:tcPr>
            <w:tcW w:w="1000" w:type="pct"/>
            <w:tcBorders>
              <w:top w:val="nil"/>
              <w:left w:val="nil"/>
              <w:bottom w:val="single" w:sz="4" w:space="0" w:color="auto"/>
              <w:right w:val="single" w:sz="4" w:space="0" w:color="auto"/>
            </w:tcBorders>
            <w:noWrap/>
            <w:vAlign w:val="center"/>
            <w:hideMark/>
          </w:tcPr>
          <w:p w14:paraId="5B18E3E0" w14:textId="77777777" w:rsidR="00542AFA" w:rsidRPr="00F57F39" w:rsidRDefault="00542AFA" w:rsidP="00F57F39">
            <w:pPr>
              <w:pStyle w:val="TableTextcentred"/>
            </w:pPr>
            <w:r w:rsidRPr="00F57F39">
              <w:t>558</w:t>
            </w:r>
          </w:p>
        </w:tc>
        <w:tc>
          <w:tcPr>
            <w:tcW w:w="1000" w:type="pct"/>
            <w:tcBorders>
              <w:top w:val="nil"/>
              <w:left w:val="nil"/>
              <w:bottom w:val="single" w:sz="4" w:space="0" w:color="auto"/>
              <w:right w:val="single" w:sz="4" w:space="0" w:color="auto"/>
            </w:tcBorders>
            <w:shd w:val="clear" w:color="000000" w:fill="FFFFFF"/>
            <w:noWrap/>
            <w:vAlign w:val="center"/>
            <w:hideMark/>
          </w:tcPr>
          <w:p w14:paraId="64EAF83E" w14:textId="77777777" w:rsidR="00542AFA" w:rsidRPr="00F57F39" w:rsidRDefault="00542AFA" w:rsidP="00F57F39">
            <w:pPr>
              <w:pStyle w:val="TableTextcentred"/>
            </w:pPr>
            <w:r w:rsidRPr="00F57F39">
              <w:t>3,436</w:t>
            </w:r>
          </w:p>
        </w:tc>
        <w:tc>
          <w:tcPr>
            <w:tcW w:w="1000" w:type="pct"/>
            <w:tcBorders>
              <w:top w:val="nil"/>
              <w:left w:val="nil"/>
              <w:bottom w:val="single" w:sz="4" w:space="0" w:color="auto"/>
              <w:right w:val="single" w:sz="4" w:space="0" w:color="auto"/>
            </w:tcBorders>
            <w:shd w:val="clear" w:color="000000" w:fill="FFFFFF"/>
            <w:noWrap/>
            <w:vAlign w:val="center"/>
            <w:hideMark/>
          </w:tcPr>
          <w:p w14:paraId="254243A2" w14:textId="77777777" w:rsidR="00542AFA" w:rsidRPr="00F57F39" w:rsidRDefault="00542AFA" w:rsidP="00F57F39">
            <w:pPr>
              <w:pStyle w:val="TableTextcentred"/>
            </w:pPr>
            <w:r w:rsidRPr="00F57F39">
              <w:t>646</w:t>
            </w:r>
          </w:p>
        </w:tc>
      </w:tr>
    </w:tbl>
    <w:p w14:paraId="2077BA4A" w14:textId="77777777" w:rsidR="00542AFA" w:rsidRPr="00F477F6" w:rsidRDefault="00542AFA" w:rsidP="00D20D53">
      <w:pPr>
        <w:pStyle w:val="Heading3"/>
        <w:rPr>
          <w:lang w:val="en-AU"/>
        </w:rPr>
      </w:pPr>
      <w:r w:rsidRPr="00F477F6">
        <w:rPr>
          <w:lang w:val="en-AU"/>
        </w:rPr>
        <w:t>Migration</w:t>
      </w:r>
    </w:p>
    <w:p w14:paraId="2C32753C" w14:textId="7A0C423D" w:rsidR="00542AFA" w:rsidRPr="00F477F6" w:rsidRDefault="007321A8" w:rsidP="00D20D53">
      <w:r w:rsidRPr="00F477F6">
        <w:fldChar w:fldCharType="begin"/>
      </w:r>
      <w:r w:rsidRPr="00F477F6">
        <w:instrText xml:space="preserve"> REF _Ref387394990 \h </w:instrText>
      </w:r>
      <w:r w:rsidR="00A02C41" w:rsidRPr="00F477F6">
        <w:instrText xml:space="preserve"> \* MERGEFORMAT </w:instrText>
      </w:r>
      <w:r w:rsidRPr="00F477F6">
        <w:fldChar w:fldCharType="separate"/>
      </w:r>
      <w:r w:rsidR="00641259" w:rsidRPr="00F477F6">
        <w:t xml:space="preserve">Table </w:t>
      </w:r>
      <w:r w:rsidR="00641259">
        <w:rPr>
          <w:noProof/>
        </w:rPr>
        <w:t>15</w:t>
      </w:r>
      <w:r w:rsidRPr="00F477F6">
        <w:fldChar w:fldCharType="end"/>
      </w:r>
      <w:r w:rsidRPr="00F477F6">
        <w:t xml:space="preserve"> </w:t>
      </w:r>
      <w:r w:rsidR="00542AFA" w:rsidRPr="00F477F6">
        <w:t xml:space="preserve">shows temporary and permanent migration numbers in 2012 which are held constant to 2030 in the model. To avoid double counting, the number of permanent migrants who had not previously held a working visa was used as the input into the workforce projections. These numbers are calculated at 85 </w:t>
      </w:r>
      <w:r w:rsidR="001262DE" w:rsidRPr="00F477F6">
        <w:t>percent</w:t>
      </w:r>
      <w:r w:rsidR="00542AFA" w:rsidRPr="00F477F6">
        <w:t xml:space="preserve"> for registered and 55 </w:t>
      </w:r>
      <w:r w:rsidR="001262DE" w:rsidRPr="00F477F6">
        <w:t>percent</w:t>
      </w:r>
      <w:r w:rsidR="00542AFA" w:rsidRPr="00F477F6">
        <w:t xml:space="preserve"> for ENs. </w:t>
      </w:r>
    </w:p>
    <w:p w14:paraId="26C85C29" w14:textId="71B1664F" w:rsidR="00542AFA" w:rsidRPr="00F477F6" w:rsidRDefault="00B2497A" w:rsidP="00D20D53">
      <w:pPr>
        <w:pStyle w:val="Caption"/>
      </w:pPr>
      <w:bookmarkStart w:id="177" w:name="_Ref387394990"/>
      <w:bookmarkStart w:id="178" w:name="_Ref376958232"/>
      <w:bookmarkStart w:id="179" w:name="_Toc382840264"/>
      <w:bookmarkStart w:id="180" w:name="_Toc383600805"/>
      <w:bookmarkStart w:id="181" w:name="_Toc385340332"/>
      <w:bookmarkStart w:id="182" w:name="_Toc407783212"/>
      <w:r w:rsidRPr="00F477F6">
        <w:lastRenderedPageBreak/>
        <w:t xml:space="preserve">Table </w:t>
      </w:r>
      <w:fldSimple w:instr=" SEQ Table \* ARABIC ">
        <w:r w:rsidR="00641259">
          <w:rPr>
            <w:noProof/>
          </w:rPr>
          <w:t>15</w:t>
        </w:r>
      </w:fldSimple>
      <w:bookmarkEnd w:id="177"/>
      <w:r w:rsidR="00542AFA" w:rsidRPr="00F477F6">
        <w:t>: Temporary and Permanent migrants, 201</w:t>
      </w:r>
      <w:bookmarkEnd w:id="178"/>
      <w:r w:rsidR="00542AFA" w:rsidRPr="00F477F6">
        <w:t>2</w:t>
      </w:r>
      <w:bookmarkEnd w:id="179"/>
      <w:bookmarkEnd w:id="180"/>
      <w:bookmarkEnd w:id="181"/>
      <w:bookmarkEnd w:id="18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73"/>
        <w:gridCol w:w="2628"/>
        <w:gridCol w:w="2626"/>
      </w:tblGrid>
      <w:tr w:rsidR="00542AFA" w:rsidRPr="003E76DC" w14:paraId="4AF5CB1D" w14:textId="77777777" w:rsidTr="003E76DC">
        <w:trPr>
          <w:trHeight w:val="828"/>
          <w:tblHeader/>
        </w:trPr>
        <w:tc>
          <w:tcPr>
            <w:tcW w:w="2327" w:type="pct"/>
            <w:shd w:val="clear" w:color="000000" w:fill="0070C0"/>
            <w:noWrap/>
            <w:vAlign w:val="center"/>
            <w:hideMark/>
          </w:tcPr>
          <w:p w14:paraId="6F8450CE" w14:textId="05FC71C6" w:rsidR="00542AFA" w:rsidRPr="003E76DC" w:rsidRDefault="006C580B" w:rsidP="00D22AD5">
            <w:pPr>
              <w:pStyle w:val="TableHeader"/>
              <w:keepNext/>
            </w:pPr>
            <w:r w:rsidRPr="003E76DC">
              <w:t>Nursing type</w:t>
            </w:r>
            <w:bookmarkStart w:id="183" w:name="ColumnTitle_14"/>
            <w:bookmarkEnd w:id="183"/>
          </w:p>
        </w:tc>
        <w:tc>
          <w:tcPr>
            <w:tcW w:w="1337" w:type="pct"/>
            <w:shd w:val="clear" w:color="000000" w:fill="0070C0"/>
            <w:vAlign w:val="center"/>
          </w:tcPr>
          <w:p w14:paraId="421CECB7" w14:textId="77777777" w:rsidR="00542AFA" w:rsidRPr="003E76DC" w:rsidRDefault="00542AFA" w:rsidP="00D22AD5">
            <w:pPr>
              <w:pStyle w:val="TableHeader"/>
              <w:keepNext/>
              <w:jc w:val="center"/>
            </w:pPr>
            <w:r w:rsidRPr="003E76DC">
              <w:t>Permanent migration</w:t>
            </w:r>
          </w:p>
        </w:tc>
        <w:tc>
          <w:tcPr>
            <w:tcW w:w="1337" w:type="pct"/>
            <w:shd w:val="clear" w:color="000000" w:fill="0070C0"/>
            <w:vAlign w:val="center"/>
            <w:hideMark/>
          </w:tcPr>
          <w:p w14:paraId="6AB20850" w14:textId="77777777" w:rsidR="00542AFA" w:rsidRPr="003E76DC" w:rsidRDefault="00542AFA" w:rsidP="00D22AD5">
            <w:pPr>
              <w:pStyle w:val="TableHeader"/>
              <w:keepNext/>
              <w:jc w:val="center"/>
            </w:pPr>
            <w:r w:rsidRPr="003E76DC">
              <w:t>Temporary migration</w:t>
            </w:r>
          </w:p>
        </w:tc>
      </w:tr>
      <w:tr w:rsidR="00542AFA" w:rsidRPr="00F477F6" w14:paraId="638D3B6F" w14:textId="77777777" w:rsidTr="00C46436">
        <w:trPr>
          <w:trHeight w:val="255"/>
        </w:trPr>
        <w:tc>
          <w:tcPr>
            <w:tcW w:w="2327" w:type="pct"/>
            <w:vAlign w:val="center"/>
            <w:hideMark/>
          </w:tcPr>
          <w:p w14:paraId="527E0082" w14:textId="77777777" w:rsidR="00542AFA" w:rsidRPr="00F477F6" w:rsidRDefault="00542AFA" w:rsidP="00D22AD5">
            <w:pPr>
              <w:pStyle w:val="TableText"/>
              <w:keepNext/>
              <w:rPr>
                <w:lang w:eastAsia="en-AU"/>
              </w:rPr>
            </w:pPr>
            <w:r w:rsidRPr="00F477F6">
              <w:rPr>
                <w:lang w:eastAsia="en-AU"/>
              </w:rPr>
              <w:t>Registered nurses</w:t>
            </w:r>
          </w:p>
        </w:tc>
        <w:tc>
          <w:tcPr>
            <w:tcW w:w="1337" w:type="pct"/>
          </w:tcPr>
          <w:p w14:paraId="46E6676C" w14:textId="77777777" w:rsidR="00542AFA" w:rsidRPr="00F477F6" w:rsidRDefault="00542AFA" w:rsidP="00D22AD5">
            <w:pPr>
              <w:pStyle w:val="TableTextcentred"/>
              <w:keepNext/>
              <w:rPr>
                <w:lang w:eastAsia="en-AU"/>
              </w:rPr>
            </w:pPr>
            <w:r w:rsidRPr="00F477F6">
              <w:rPr>
                <w:lang w:eastAsia="en-AU"/>
              </w:rPr>
              <w:t>522</w:t>
            </w:r>
          </w:p>
        </w:tc>
        <w:tc>
          <w:tcPr>
            <w:tcW w:w="1337" w:type="pct"/>
            <w:noWrap/>
            <w:hideMark/>
          </w:tcPr>
          <w:p w14:paraId="101A7F2B" w14:textId="046EECF9" w:rsidR="00542AFA" w:rsidRPr="00F477F6" w:rsidRDefault="00542AFA" w:rsidP="00D22AD5">
            <w:pPr>
              <w:pStyle w:val="TableTextcentred"/>
              <w:keepNext/>
              <w:rPr>
                <w:lang w:eastAsia="en-AU"/>
              </w:rPr>
            </w:pPr>
            <w:r w:rsidRPr="00F477F6">
              <w:rPr>
                <w:lang w:eastAsia="en-AU"/>
              </w:rPr>
              <w:t>2,650</w:t>
            </w:r>
          </w:p>
        </w:tc>
      </w:tr>
      <w:tr w:rsidR="00542AFA" w:rsidRPr="00F477F6" w14:paraId="46200CBF" w14:textId="77777777" w:rsidTr="00C46436">
        <w:trPr>
          <w:trHeight w:val="255"/>
        </w:trPr>
        <w:tc>
          <w:tcPr>
            <w:tcW w:w="2327" w:type="pct"/>
            <w:vAlign w:val="center"/>
            <w:hideMark/>
          </w:tcPr>
          <w:p w14:paraId="3C2DEE9C" w14:textId="77777777" w:rsidR="00542AFA" w:rsidRPr="00F477F6" w:rsidRDefault="00542AFA" w:rsidP="00D22AD5">
            <w:pPr>
              <w:pStyle w:val="TableText"/>
              <w:keepNext/>
              <w:rPr>
                <w:lang w:eastAsia="en-AU"/>
              </w:rPr>
            </w:pPr>
            <w:r w:rsidRPr="00F477F6">
              <w:rPr>
                <w:lang w:eastAsia="en-AU"/>
              </w:rPr>
              <w:t>Enrolled nurses</w:t>
            </w:r>
          </w:p>
        </w:tc>
        <w:tc>
          <w:tcPr>
            <w:tcW w:w="1337" w:type="pct"/>
          </w:tcPr>
          <w:p w14:paraId="4927B5FB" w14:textId="77777777" w:rsidR="00542AFA" w:rsidRPr="00F477F6" w:rsidRDefault="00542AFA" w:rsidP="00D22AD5">
            <w:pPr>
              <w:pStyle w:val="TableTextcentred"/>
              <w:keepNext/>
              <w:rPr>
                <w:lang w:eastAsia="en-AU"/>
              </w:rPr>
            </w:pPr>
            <w:r w:rsidRPr="00F477F6">
              <w:rPr>
                <w:lang w:eastAsia="en-AU"/>
              </w:rPr>
              <w:t>17</w:t>
            </w:r>
          </w:p>
        </w:tc>
        <w:tc>
          <w:tcPr>
            <w:tcW w:w="1337" w:type="pct"/>
            <w:noWrap/>
            <w:hideMark/>
          </w:tcPr>
          <w:p w14:paraId="137D39D3" w14:textId="5B189165" w:rsidR="00542AFA" w:rsidRPr="00F477F6" w:rsidRDefault="00542AFA" w:rsidP="00D22AD5">
            <w:pPr>
              <w:pStyle w:val="TableTextcentred"/>
              <w:keepNext/>
              <w:rPr>
                <w:lang w:eastAsia="en-AU"/>
              </w:rPr>
            </w:pPr>
            <w:r w:rsidRPr="00F477F6">
              <w:rPr>
                <w:lang w:eastAsia="en-AU"/>
              </w:rPr>
              <w:t>32</w:t>
            </w:r>
          </w:p>
        </w:tc>
      </w:tr>
      <w:tr w:rsidR="00542AFA" w:rsidRPr="003E76DC" w14:paraId="41178050" w14:textId="77777777" w:rsidTr="00C46436">
        <w:trPr>
          <w:trHeight w:val="255"/>
        </w:trPr>
        <w:tc>
          <w:tcPr>
            <w:tcW w:w="2327" w:type="pct"/>
            <w:vAlign w:val="center"/>
            <w:hideMark/>
          </w:tcPr>
          <w:p w14:paraId="5695E4F6" w14:textId="77777777" w:rsidR="00542AFA" w:rsidRPr="003E76DC" w:rsidRDefault="00542AFA" w:rsidP="00D22AD5">
            <w:pPr>
              <w:pStyle w:val="TableText"/>
              <w:keepNext/>
              <w:rPr>
                <w:b/>
                <w:lang w:eastAsia="en-AU"/>
              </w:rPr>
            </w:pPr>
            <w:r w:rsidRPr="003E76DC">
              <w:rPr>
                <w:b/>
                <w:lang w:eastAsia="en-AU"/>
              </w:rPr>
              <w:t>Total</w:t>
            </w:r>
          </w:p>
        </w:tc>
        <w:tc>
          <w:tcPr>
            <w:tcW w:w="1337" w:type="pct"/>
          </w:tcPr>
          <w:p w14:paraId="4F7D8895" w14:textId="77777777" w:rsidR="00542AFA" w:rsidRPr="003E76DC" w:rsidRDefault="00542AFA" w:rsidP="00D22AD5">
            <w:pPr>
              <w:pStyle w:val="TableTextcentred"/>
              <w:keepNext/>
              <w:rPr>
                <w:b/>
                <w:lang w:eastAsia="en-AU"/>
              </w:rPr>
            </w:pPr>
            <w:r w:rsidRPr="003E76DC">
              <w:rPr>
                <w:b/>
                <w:lang w:eastAsia="en-AU"/>
              </w:rPr>
              <w:t>539</w:t>
            </w:r>
          </w:p>
        </w:tc>
        <w:tc>
          <w:tcPr>
            <w:tcW w:w="1337" w:type="pct"/>
            <w:noWrap/>
            <w:hideMark/>
          </w:tcPr>
          <w:p w14:paraId="1DEDA674" w14:textId="588EA496" w:rsidR="00542AFA" w:rsidRPr="003E76DC" w:rsidRDefault="00542AFA" w:rsidP="00D22AD5">
            <w:pPr>
              <w:pStyle w:val="TableTextcentred"/>
              <w:keepNext/>
              <w:rPr>
                <w:b/>
                <w:lang w:eastAsia="en-AU"/>
              </w:rPr>
            </w:pPr>
            <w:r w:rsidRPr="003E76DC">
              <w:rPr>
                <w:b/>
                <w:lang w:eastAsia="en-AU"/>
              </w:rPr>
              <w:t>2,682</w:t>
            </w:r>
          </w:p>
        </w:tc>
      </w:tr>
    </w:tbl>
    <w:p w14:paraId="3DA2648A" w14:textId="77777777" w:rsidR="00542AFA" w:rsidRPr="00F477F6" w:rsidRDefault="00542AFA" w:rsidP="00D20D53">
      <w:pPr>
        <w:pStyle w:val="Tablenote"/>
      </w:pPr>
      <w:r w:rsidRPr="00F477F6">
        <w:t>Source: Department of Immigration and Border Protection</w:t>
      </w:r>
    </w:p>
    <w:p w14:paraId="19F7D60E" w14:textId="77777777" w:rsidR="00542AFA" w:rsidRPr="00F477F6" w:rsidRDefault="00542AFA" w:rsidP="00D20D53">
      <w:pPr>
        <w:pStyle w:val="Heading3"/>
        <w:rPr>
          <w:lang w:val="en-AU"/>
        </w:rPr>
      </w:pPr>
      <w:r w:rsidRPr="00F477F6">
        <w:rPr>
          <w:lang w:val="en-AU"/>
        </w:rPr>
        <w:t xml:space="preserve">Exits </w:t>
      </w:r>
    </w:p>
    <w:p w14:paraId="53DB9B58" w14:textId="77777777" w:rsidR="00542AFA" w:rsidRPr="00F477F6" w:rsidRDefault="00542AFA" w:rsidP="00D20D53">
      <w:r w:rsidRPr="00F477F6">
        <w:t xml:space="preserve">Estimates of exits are based on the number of permanent departures (retirements, resignations, deaths and migration) and semi-permanent departures (absences from the workforce on a medium to long-term basis, including leave without pay and maternity leave) from national registrations. </w:t>
      </w:r>
    </w:p>
    <w:p w14:paraId="2AE36B04" w14:textId="57ADD937" w:rsidR="00542AFA" w:rsidRPr="00F477F6" w:rsidRDefault="00542AFA" w:rsidP="00D20D53">
      <w:r w:rsidRPr="00F477F6">
        <w:t xml:space="preserve">To work out the exit rates for the nursing workforce, the current exit rates are held constant until 2015 after which the rate unwinds to the average from 2006 to 2011 and is then held constant throughout the projection period to 2030. For those aged 85+, the exits have been set at 100 </w:t>
      </w:r>
      <w:r w:rsidR="001262DE" w:rsidRPr="00F477F6">
        <w:t>percent</w:t>
      </w:r>
      <w:r w:rsidRPr="00F477F6">
        <w:t xml:space="preserve"> based on the assumption that no one is likely to be working after this age.</w:t>
      </w:r>
    </w:p>
    <w:p w14:paraId="718D4F71" w14:textId="77777777" w:rsidR="00542AFA" w:rsidRPr="00F477F6" w:rsidRDefault="00542AFA" w:rsidP="00641259">
      <w:pPr>
        <w:pStyle w:val="Heading2"/>
      </w:pPr>
      <w:bookmarkStart w:id="184" w:name="_Toc377045987"/>
      <w:bookmarkStart w:id="185" w:name="_Toc387401320"/>
      <w:r w:rsidRPr="00F477F6">
        <w:t>Demand methodology</w:t>
      </w:r>
      <w:bookmarkEnd w:id="184"/>
      <w:bookmarkEnd w:id="185"/>
    </w:p>
    <w:p w14:paraId="552D9DD5" w14:textId="77777777" w:rsidR="00542AFA" w:rsidRPr="00F477F6" w:rsidRDefault="00542AFA" w:rsidP="00D20D53">
      <w:r w:rsidRPr="00F477F6">
        <w:t xml:space="preserve">Demand projections employed the utilisation method – which measures expressed demand, and are based on service utilisation patterns as they currently exist for five-year age and gender cohorts. The utilisation approach makes no assumptions about potential demand. </w:t>
      </w:r>
    </w:p>
    <w:p w14:paraId="520CD0EA" w14:textId="77777777" w:rsidR="00542AFA" w:rsidRPr="00F477F6" w:rsidRDefault="00542AFA" w:rsidP="00D20D53">
      <w:r w:rsidRPr="00F477F6">
        <w:t>Demand for the nursing workforce is calculated:</w:t>
      </w:r>
    </w:p>
    <w:p w14:paraId="50B7875C" w14:textId="77777777" w:rsidR="00542AFA" w:rsidRPr="00F477F6" w:rsidRDefault="00542AFA" w:rsidP="00D20D53">
      <w:pPr>
        <w:pStyle w:val="ListParagraph"/>
        <w:numPr>
          <w:ilvl w:val="0"/>
          <w:numId w:val="29"/>
        </w:numPr>
      </w:pPr>
      <w:r w:rsidRPr="00F477F6">
        <w:t xml:space="preserve">For the acute care nursing workforce, using hospital utilisation data length of stay and (number of bed days) </w:t>
      </w:r>
    </w:p>
    <w:p w14:paraId="2BD0B2E8" w14:textId="77777777" w:rsidR="00542AFA" w:rsidRPr="00F477F6" w:rsidRDefault="00542AFA" w:rsidP="00D20D53">
      <w:pPr>
        <w:pStyle w:val="ListParagraph"/>
        <w:numPr>
          <w:ilvl w:val="0"/>
          <w:numId w:val="29"/>
        </w:numPr>
      </w:pPr>
      <w:r w:rsidRPr="00F477F6">
        <w:t>For aged care, using residential beds (high and low care), community care packages and HACC data</w:t>
      </w:r>
    </w:p>
    <w:p w14:paraId="006C49FF" w14:textId="77777777" w:rsidR="00542AFA" w:rsidRPr="00F477F6" w:rsidRDefault="00542AFA" w:rsidP="00D20D53">
      <w:pPr>
        <w:pStyle w:val="ListParagraph"/>
        <w:numPr>
          <w:ilvl w:val="0"/>
          <w:numId w:val="29"/>
        </w:numPr>
      </w:pPr>
      <w:r w:rsidRPr="00F477F6">
        <w:t xml:space="preserve">For critical care, using a national intensive care database (ANZICS) and hospital utilisation data </w:t>
      </w:r>
    </w:p>
    <w:p w14:paraId="555F7BB3" w14:textId="77777777" w:rsidR="00542AFA" w:rsidRPr="00F477F6" w:rsidRDefault="00542AFA" w:rsidP="00D20D53">
      <w:pPr>
        <w:pStyle w:val="ListParagraph"/>
        <w:numPr>
          <w:ilvl w:val="0"/>
          <w:numId w:val="29"/>
        </w:numPr>
      </w:pPr>
      <w:r w:rsidRPr="00F477F6">
        <w:t>For emergency care, using emergency care hospital utilisation data (number of attendances at emergency departments)</w:t>
      </w:r>
    </w:p>
    <w:p w14:paraId="4B19677B" w14:textId="77777777" w:rsidR="00542AFA" w:rsidRPr="00F477F6" w:rsidRDefault="00542AFA" w:rsidP="00D20D53">
      <w:pPr>
        <w:pStyle w:val="ListParagraph"/>
        <w:numPr>
          <w:ilvl w:val="0"/>
          <w:numId w:val="29"/>
        </w:numPr>
      </w:pPr>
      <w:r w:rsidRPr="00F477F6">
        <w:t>For mental health, using a subset of the national Mental Health Dataset and community care data and Home and Community Care data.</w:t>
      </w:r>
    </w:p>
    <w:p w14:paraId="28A3BCBE" w14:textId="77777777" w:rsidR="00542AFA" w:rsidRPr="00F477F6" w:rsidRDefault="00542AFA" w:rsidP="00D20D53">
      <w:r w:rsidRPr="00F477F6">
        <w:t xml:space="preserve"> Once calculated, this utilisation was matched against age and gender cohorts, and projected against future demographic structures. </w:t>
      </w:r>
    </w:p>
    <w:p w14:paraId="2C8C7D72" w14:textId="77777777" w:rsidR="00542AFA" w:rsidRPr="00F477F6" w:rsidRDefault="00542AFA" w:rsidP="00641259">
      <w:pPr>
        <w:pStyle w:val="Heading2"/>
      </w:pPr>
      <w:bookmarkStart w:id="186" w:name="_Toc322072298"/>
      <w:bookmarkStart w:id="187" w:name="_Toc387401321"/>
      <w:r w:rsidRPr="00F477F6">
        <w:t>Training pipeline methodology</w:t>
      </w:r>
      <w:bookmarkEnd w:id="186"/>
      <w:bookmarkEnd w:id="187"/>
    </w:p>
    <w:p w14:paraId="24B54FA3" w14:textId="77777777" w:rsidR="00542AFA" w:rsidRPr="00F477F6" w:rsidRDefault="00542AFA" w:rsidP="00D20D53">
      <w:r w:rsidRPr="00F477F6">
        <w:t xml:space="preserve">Pipelining provides a projection of the number of students needed to establish a balance between projected supply and demand in a given year. The process moves beyond unrealistic lockstep assumptions about the passage of students through the education </w:t>
      </w:r>
      <w:r w:rsidRPr="00F477F6">
        <w:lastRenderedPageBreak/>
        <w:t>system. That is, it does not assume that, for example, a nurse entering a three year education program will complete their training in that timeframe. Instead the methodology uses specialised flow analysis taking into account:</w:t>
      </w:r>
    </w:p>
    <w:p w14:paraId="5ABCF628" w14:textId="77777777" w:rsidR="00542AFA" w:rsidRPr="00F477F6" w:rsidRDefault="00542AFA" w:rsidP="00D20D53">
      <w:pPr>
        <w:pStyle w:val="ListParagraph"/>
        <w:numPr>
          <w:ilvl w:val="0"/>
          <w:numId w:val="30"/>
        </w:numPr>
      </w:pPr>
      <w:r w:rsidRPr="00F477F6">
        <w:t>Typical transition rates within courses</w:t>
      </w:r>
    </w:p>
    <w:p w14:paraId="1E3C437C" w14:textId="77777777" w:rsidR="00542AFA" w:rsidRPr="00F477F6" w:rsidRDefault="00542AFA" w:rsidP="00D20D53">
      <w:pPr>
        <w:pStyle w:val="ListParagraph"/>
        <w:numPr>
          <w:ilvl w:val="0"/>
          <w:numId w:val="30"/>
        </w:numPr>
      </w:pPr>
      <w:r w:rsidRPr="00F477F6">
        <w:t>Recent changes in student intakes</w:t>
      </w:r>
    </w:p>
    <w:p w14:paraId="08F5B58E" w14:textId="77777777" w:rsidR="00542AFA" w:rsidRPr="00F477F6" w:rsidRDefault="00542AFA" w:rsidP="00D20D53">
      <w:pPr>
        <w:pStyle w:val="ListParagraph"/>
        <w:numPr>
          <w:ilvl w:val="0"/>
          <w:numId w:val="30"/>
        </w:numPr>
      </w:pPr>
      <w:r w:rsidRPr="00F477F6">
        <w:t>Historical rates of flow through, that is, known number of beginning students and actual outputs (graduates).</w:t>
      </w:r>
    </w:p>
    <w:p w14:paraId="5542C354" w14:textId="77777777" w:rsidR="00542AFA" w:rsidRPr="00F477F6" w:rsidRDefault="00542AFA" w:rsidP="00D20D53">
      <w:pPr>
        <w:pStyle w:val="Heading3"/>
        <w:rPr>
          <w:lang w:val="en-AU"/>
        </w:rPr>
      </w:pPr>
      <w:r w:rsidRPr="00F477F6">
        <w:rPr>
          <w:lang w:val="en-AU"/>
        </w:rPr>
        <w:t>Nursing graduate pipeline</w:t>
      </w:r>
    </w:p>
    <w:p w14:paraId="7D4C56F0" w14:textId="77777777" w:rsidR="00542AFA" w:rsidRPr="00F477F6" w:rsidRDefault="00542AFA" w:rsidP="00D20D53">
      <w:r w:rsidRPr="00F477F6">
        <w:t>The basis for conducting the training pipeline analysis was the supply and demand workforce projections, which calculate the projected imbalance in the nursing workforce in 2030. Once that imbalance was known, the process to determine the estimated number of graduates required annually to fill the gap was to:</w:t>
      </w:r>
    </w:p>
    <w:p w14:paraId="74B024D4" w14:textId="77777777" w:rsidR="00542AFA" w:rsidRPr="00F477F6" w:rsidRDefault="00542AFA" w:rsidP="00D20D53">
      <w:pPr>
        <w:pStyle w:val="ListParagraph"/>
        <w:numPr>
          <w:ilvl w:val="0"/>
          <w:numId w:val="31"/>
        </w:numPr>
      </w:pPr>
      <w:r w:rsidRPr="00F477F6">
        <w:t>Determine the period over which it is possible to fill the gap calculated by the workforce supply and demand projections (14 year period from 2017 to 2030). This was based on the first additional inflow of students occurring from 2014, with the first additional (registered nurse) graduates being produced in 2017.</w:t>
      </w:r>
    </w:p>
    <w:p w14:paraId="2481CBBC" w14:textId="77777777" w:rsidR="00542AFA" w:rsidRPr="00F477F6" w:rsidRDefault="00542AFA" w:rsidP="00D20D53">
      <w:pPr>
        <w:pStyle w:val="ListParagraph"/>
        <w:numPr>
          <w:ilvl w:val="0"/>
          <w:numId w:val="31"/>
        </w:numPr>
      </w:pPr>
      <w:r w:rsidRPr="00F477F6">
        <w:t>Calculate the number of graduates required annually over the 14 year period to fill the gap in 2030.</w:t>
      </w:r>
    </w:p>
    <w:p w14:paraId="2271A25F" w14:textId="77777777" w:rsidR="00542AFA" w:rsidRPr="00F477F6" w:rsidRDefault="00542AFA" w:rsidP="00D20D53">
      <w:pPr>
        <w:pStyle w:val="ListParagraph"/>
        <w:numPr>
          <w:ilvl w:val="0"/>
          <w:numId w:val="31"/>
        </w:numPr>
      </w:pPr>
      <w:r w:rsidRPr="00F477F6">
        <w:t>Determine the number of additional students required in the education system to produce the additional required number of graduates annually. This was calculated by working backwards from the number of graduates required, applying a transition rate (i.e., a proportion representing the number of students that do not finish their education) to calculate the number of additional students required in the education system, to produce the additional required number of graduates annually.</w:t>
      </w:r>
    </w:p>
    <w:p w14:paraId="7C6EDD64" w14:textId="77777777" w:rsidR="00542AFA" w:rsidRPr="00F477F6" w:rsidRDefault="00542AFA" w:rsidP="00641259">
      <w:pPr>
        <w:pStyle w:val="Heading2"/>
      </w:pPr>
      <w:bookmarkStart w:id="188" w:name="_Toc387401322"/>
      <w:r w:rsidRPr="00F477F6">
        <w:t>Scenarios</w:t>
      </w:r>
      <w:bookmarkEnd w:id="188"/>
      <w:r w:rsidRPr="00F477F6">
        <w:t xml:space="preserve"> </w:t>
      </w:r>
    </w:p>
    <w:p w14:paraId="44303F16" w14:textId="77777777" w:rsidR="00542AFA" w:rsidRPr="00F477F6" w:rsidRDefault="00542AFA" w:rsidP="00D20D53">
      <w:r w:rsidRPr="00F477F6">
        <w:t>Scenario modelling is used to demonstrate the impact of potential policy options on future workforce supply and demand. These ‘alternative futures’ are modelled and measured by varying input parameters. The general method used is to present a comparison scenario, where current trends are assumed to continue into the future, and use this to compare with a range of alternative scenarios. The alternative scenarios are generated by altering parameters in the model, with the flow through effect to the future workforce measured through the impact relative to the comparison scenario.</w:t>
      </w:r>
    </w:p>
    <w:p w14:paraId="09F10F47" w14:textId="77777777" w:rsidR="00542AFA" w:rsidRPr="00F477F6" w:rsidRDefault="00542AFA" w:rsidP="00D20D53">
      <w:r w:rsidRPr="00F477F6">
        <w:t xml:space="preserve">The impact of these scenarios is measured by comparing their workforce projection results with the comparison scenario – a technical construct where current trends are assumed to continue into the future. The comparison scenario is not a prediction of the future; it should be interpreted as a ‘do nothing’ scenario, which assumes known policy settings are held constant as their future levels cannot be predicted. This allows an assessment of the effects of other changes, which may impact the workforce. </w:t>
      </w:r>
    </w:p>
    <w:p w14:paraId="7FE3D9ED" w14:textId="77777777" w:rsidR="00542AFA" w:rsidRPr="00F477F6" w:rsidRDefault="00542AFA" w:rsidP="00D20D53">
      <w:r w:rsidRPr="00F477F6">
        <w:t xml:space="preserve">These scenarios reflect the potential policy options for government, industry and education sectors to influence health workforce outcomes, as well as possible external shocks to the nursing workforce. </w:t>
      </w:r>
    </w:p>
    <w:p w14:paraId="632C4FB5" w14:textId="2D584A6A" w:rsidR="00542AFA" w:rsidRPr="00F477F6" w:rsidRDefault="00542AFA" w:rsidP="00D20D53">
      <w:r w:rsidRPr="00F477F6">
        <w:rPr>
          <w:b/>
        </w:rPr>
        <w:t>Constrained demand</w:t>
      </w:r>
      <w:r w:rsidRPr="00F477F6">
        <w:t xml:space="preserve"> - This scenario presents an indicative affordability measure based on an assumption that the broad system outcomes observed historically will in some way be </w:t>
      </w:r>
      <w:r w:rsidRPr="00F477F6">
        <w:lastRenderedPageBreak/>
        <w:t xml:space="preserve">influenced by the (projected) decline in economic growth rates in the decades ahead. The model considers a long run growth rate of real GDP (2.7 </w:t>
      </w:r>
      <w:r w:rsidR="001262DE" w:rsidRPr="00F477F6">
        <w:t>percent</w:t>
      </w:r>
      <w:r w:rsidRPr="00F477F6">
        <w:t xml:space="preserve"> p.a.) from 2015 onwards and runs through to 2030.</w:t>
      </w:r>
    </w:p>
    <w:p w14:paraId="35FAC146" w14:textId="77777777" w:rsidR="00542AFA" w:rsidRPr="00F477F6" w:rsidRDefault="00542AFA" w:rsidP="00D20D53">
      <w:r w:rsidRPr="00F477F6">
        <w:rPr>
          <w:b/>
        </w:rPr>
        <w:t>Skill mix scenario</w:t>
      </w:r>
      <w:r w:rsidRPr="00F477F6">
        <w:t xml:space="preserve"> - examines the effect of alternate skill mixes in the acute and aged care sectors </w:t>
      </w:r>
    </w:p>
    <w:p w14:paraId="6FD57132" w14:textId="77777777" w:rsidR="00542AFA" w:rsidRPr="00F477F6" w:rsidRDefault="00542AFA" w:rsidP="00D20D53">
      <w:r w:rsidRPr="00F477F6">
        <w:rPr>
          <w:b/>
        </w:rPr>
        <w:t xml:space="preserve">Combined scenario </w:t>
      </w:r>
      <w:r w:rsidRPr="00F477F6">
        <w:t>– assesses the impact of improvements across multiple settings. This scenario is modelled based on the following assumptions:</w:t>
      </w:r>
    </w:p>
    <w:p w14:paraId="6A64720A" w14:textId="587D4941" w:rsidR="00542AFA" w:rsidRPr="00F477F6" w:rsidRDefault="00542AFA" w:rsidP="00D20D53">
      <w:pPr>
        <w:pStyle w:val="ListParagraph"/>
        <w:numPr>
          <w:ilvl w:val="0"/>
          <w:numId w:val="32"/>
        </w:numPr>
      </w:pPr>
      <w:r w:rsidRPr="00F477F6">
        <w:t xml:space="preserve">Attrition rate has been dropped from 34 </w:t>
      </w:r>
      <w:r w:rsidR="001262DE" w:rsidRPr="00F477F6">
        <w:t>percent</w:t>
      </w:r>
      <w:r w:rsidRPr="00F477F6">
        <w:t xml:space="preserve"> in education to 21</w:t>
      </w:r>
      <w:r w:rsidR="001262DE" w:rsidRPr="00F477F6">
        <w:t>percent</w:t>
      </w:r>
      <w:r w:rsidRPr="00F477F6">
        <w:t xml:space="preserve"> based on a 2 </w:t>
      </w:r>
      <w:r w:rsidR="001262DE" w:rsidRPr="00F477F6">
        <w:t>percent</w:t>
      </w:r>
      <w:r w:rsidRPr="00F477F6">
        <w:t xml:space="preserve"> p.a. drop from 2017 to 2023 and holding it constant thereafter.</w:t>
      </w:r>
    </w:p>
    <w:p w14:paraId="2A77D29C" w14:textId="101821AF" w:rsidR="00542AFA" w:rsidRPr="00F477F6" w:rsidRDefault="00542AFA" w:rsidP="00D20D53">
      <w:pPr>
        <w:pStyle w:val="ListParagraph"/>
        <w:numPr>
          <w:ilvl w:val="0"/>
          <w:numId w:val="32"/>
        </w:numPr>
      </w:pPr>
      <w:r w:rsidRPr="00F477F6">
        <w:t xml:space="preserve">The proportion of domestic graduate students entering the workforce has been increased from 85 </w:t>
      </w:r>
      <w:r w:rsidR="001262DE" w:rsidRPr="00F477F6">
        <w:t>percent</w:t>
      </w:r>
      <w:r w:rsidRPr="00F477F6">
        <w:t xml:space="preserve"> to 95 </w:t>
      </w:r>
      <w:r w:rsidR="001262DE" w:rsidRPr="00F477F6">
        <w:t>percent</w:t>
      </w:r>
      <w:r w:rsidRPr="00F477F6">
        <w:t xml:space="preserve"> for registered and 55 </w:t>
      </w:r>
      <w:r w:rsidR="001262DE" w:rsidRPr="00F477F6">
        <w:t>percent</w:t>
      </w:r>
      <w:r w:rsidRPr="00F477F6">
        <w:t xml:space="preserve"> to 65 </w:t>
      </w:r>
      <w:r w:rsidR="001262DE" w:rsidRPr="00F477F6">
        <w:t>percent</w:t>
      </w:r>
      <w:r w:rsidRPr="00F477F6">
        <w:t xml:space="preserve"> for enrolled nursing based on a 2 </w:t>
      </w:r>
      <w:r w:rsidR="001262DE" w:rsidRPr="00F477F6">
        <w:t>percent</w:t>
      </w:r>
      <w:r w:rsidRPr="00F477F6">
        <w:t xml:space="preserve"> p.a. increase from 2017 to 2021 and holding it constant thereafter.</w:t>
      </w:r>
    </w:p>
    <w:p w14:paraId="51D77081" w14:textId="77777777" w:rsidR="00542AFA" w:rsidRPr="00F477F6" w:rsidRDefault="00542AFA" w:rsidP="00D20D53">
      <w:pPr>
        <w:pStyle w:val="ListParagraph"/>
        <w:numPr>
          <w:ilvl w:val="0"/>
          <w:numId w:val="32"/>
        </w:numPr>
      </w:pPr>
      <w:r w:rsidRPr="00F477F6">
        <w:t>Exit rate for age groups 20 to 29 in the area of registered nursing has been dropped by a total of four percentage points based on a 0.5 percentage point drop each year from 2017 to 2023 and held constant thereafter.</w:t>
      </w:r>
    </w:p>
    <w:p w14:paraId="5103E9CA" w14:textId="77777777" w:rsidR="00542AFA" w:rsidRPr="00F477F6" w:rsidRDefault="00542AFA" w:rsidP="00D20D53">
      <w:pPr>
        <w:pStyle w:val="ListParagraph"/>
        <w:numPr>
          <w:ilvl w:val="0"/>
          <w:numId w:val="32"/>
        </w:numPr>
      </w:pPr>
      <w:r w:rsidRPr="00F477F6">
        <w:t>Exit rates for age groups 15 to 59 in the area of enrolled nursing has been dropped by one percentage point each year from 2017 but no lower than the 2012 exit rate.</w:t>
      </w:r>
    </w:p>
    <w:p w14:paraId="1E2CDDED" w14:textId="73F092E4" w:rsidR="00542AFA" w:rsidRPr="00F477F6" w:rsidRDefault="00542AFA" w:rsidP="00D20D53">
      <w:r w:rsidRPr="00F477F6">
        <w:rPr>
          <w:b/>
        </w:rPr>
        <w:t>Medium self-sufficiency</w:t>
      </w:r>
      <w:r w:rsidRPr="00F477F6">
        <w:t xml:space="preserve"> - This scenario presents the results of moving towards a 50 </w:t>
      </w:r>
      <w:r w:rsidR="001262DE" w:rsidRPr="00F477F6">
        <w:t>percent</w:t>
      </w:r>
      <w:r w:rsidRPr="00F477F6">
        <w:t xml:space="preserve"> reduction in net international migration (both temporary and permanent), and a 50 </w:t>
      </w:r>
      <w:r w:rsidR="001262DE" w:rsidRPr="00F477F6">
        <w:t>percent</w:t>
      </w:r>
      <w:r w:rsidRPr="00F477F6">
        <w:t xml:space="preserve"> reduction in the number of international students graduating Australian nursing programs, by 2030 (starting from the number of migrants and international graduates in the base year, 2012).</w:t>
      </w:r>
    </w:p>
    <w:p w14:paraId="3A4A8405" w14:textId="38159F88" w:rsidR="00542AFA" w:rsidRPr="00F477F6" w:rsidRDefault="00542AFA" w:rsidP="00D20D53">
      <w:r w:rsidRPr="00F477F6">
        <w:rPr>
          <w:b/>
        </w:rPr>
        <w:t>Productivity</w:t>
      </w:r>
      <w:r w:rsidRPr="00F477F6">
        <w:t xml:space="preserve"> - This scenario presents the impact on workforce supply and demand projections of a five </w:t>
      </w:r>
      <w:r w:rsidR="001262DE" w:rsidRPr="00F477F6">
        <w:t>percent</w:t>
      </w:r>
      <w:r w:rsidRPr="00F477F6">
        <w:t xml:space="preserve"> productivity gain over the projection period. In this scenario, the productivity gain is not attributed to any particular measure, but could include gains achieved through workforce reforms such as changing models of care, adjustments to skill mix, health professionals working to their full scope of practice and technology changes. </w:t>
      </w:r>
    </w:p>
    <w:p w14:paraId="57B79320" w14:textId="77777777" w:rsidR="00542AFA" w:rsidRPr="00F477F6" w:rsidRDefault="00542AFA" w:rsidP="00D20D53">
      <w:r w:rsidRPr="00F477F6">
        <w:rPr>
          <w:b/>
        </w:rPr>
        <w:t xml:space="preserve">65+ </w:t>
      </w:r>
      <w:r w:rsidRPr="00F477F6">
        <w:t>- The nursing workforce is ageing and recent trends show nurses are retiring later in life. This scenario shows the impact of all nurses in the workforce retiring at age 65.</w:t>
      </w:r>
    </w:p>
    <w:p w14:paraId="38940E43" w14:textId="0233EBFF" w:rsidR="00542AFA" w:rsidRPr="00F477F6" w:rsidRDefault="00542AFA" w:rsidP="00D20D53">
      <w:r w:rsidRPr="00F477F6">
        <w:rPr>
          <w:b/>
        </w:rPr>
        <w:t>Intention to retire</w:t>
      </w:r>
      <w:r w:rsidRPr="00F477F6">
        <w:t xml:space="preserve"> – Recent trends show nurses have been retiring later in life. This is likely due to the economic climate. If the economic climate improves, nurses may return to an earlier retirement age. This scenario considers those in the nursing workforce who are approaching retirement age (50-75 years) and shows the effect of a gradual return to historic exit rates and a 20 </w:t>
      </w:r>
      <w:r w:rsidR="001262DE" w:rsidRPr="00F477F6">
        <w:t>percent</w:t>
      </w:r>
      <w:r w:rsidRPr="00F477F6">
        <w:t xml:space="preserve"> increase in exit rates for 55+ age groups from 2015. </w:t>
      </w:r>
    </w:p>
    <w:p w14:paraId="22F3FFCD" w14:textId="77777777" w:rsidR="00542AFA" w:rsidRPr="00F477F6" w:rsidRDefault="00542AFA" w:rsidP="00641259">
      <w:pPr>
        <w:pStyle w:val="Heading2"/>
      </w:pPr>
      <w:bookmarkStart w:id="189" w:name="_Toc377045984"/>
      <w:bookmarkStart w:id="190" w:name="_Toc387401323"/>
      <w:r w:rsidRPr="00F477F6">
        <w:t>Assumptions</w:t>
      </w:r>
      <w:bookmarkEnd w:id="189"/>
      <w:bookmarkEnd w:id="190"/>
    </w:p>
    <w:p w14:paraId="05A91EB0" w14:textId="77777777" w:rsidR="00542AFA" w:rsidRPr="00F477F6" w:rsidRDefault="00542AFA" w:rsidP="00D20D53">
      <w:r w:rsidRPr="00F477F6">
        <w:t>The simulation modelling techniques used to produce the projections rely on two key inputs:</w:t>
      </w:r>
    </w:p>
    <w:p w14:paraId="440AF6CA" w14:textId="77777777" w:rsidR="00542AFA" w:rsidRPr="00F477F6" w:rsidRDefault="00542AFA" w:rsidP="00D20D53">
      <w:pPr>
        <w:pStyle w:val="ListParagraph"/>
        <w:numPr>
          <w:ilvl w:val="0"/>
          <w:numId w:val="33"/>
        </w:numPr>
      </w:pPr>
      <w:r w:rsidRPr="00F477F6">
        <w:t xml:space="preserve">The set of assumptions about future conditions; and </w:t>
      </w:r>
    </w:p>
    <w:p w14:paraId="73AA8DB4" w14:textId="77777777" w:rsidR="00542AFA" w:rsidRPr="00F477F6" w:rsidRDefault="00542AFA" w:rsidP="00D20D53">
      <w:pPr>
        <w:pStyle w:val="ListParagraph"/>
        <w:numPr>
          <w:ilvl w:val="0"/>
          <w:numId w:val="33"/>
        </w:numPr>
      </w:pPr>
      <w:r w:rsidRPr="00F477F6">
        <w:t xml:space="preserve">The data from which the model’s parameters inputs and starting position are derived. </w:t>
      </w:r>
    </w:p>
    <w:p w14:paraId="710B28ED" w14:textId="77777777" w:rsidR="00542AFA" w:rsidRPr="000576C4" w:rsidRDefault="00542AFA" w:rsidP="00D20D53">
      <w:r w:rsidRPr="000576C4">
        <w:t xml:space="preserve">The assumptions are important as they affect the interpretation of workforce projection results. The projections provide likely outcomes given the assumptions on which they are </w:t>
      </w:r>
      <w:r w:rsidRPr="000576C4">
        <w:lastRenderedPageBreak/>
        <w:t>based, so if any of the assumptions are not applicable or cease to reflect real world situations, the projections will not provide an accurate indication of future outcomes. For the input data, any inaccuracies that may exist will directly impact on the accuracy of the modelled results.</w:t>
      </w:r>
    </w:p>
    <w:p w14:paraId="542DF3B9" w14:textId="77777777" w:rsidR="00542AFA" w:rsidRPr="00F477F6" w:rsidRDefault="00542AFA" w:rsidP="00D20D53">
      <w:r w:rsidRPr="00F477F6">
        <w:t xml:space="preserve">Major assumptions and data treatments underlying the scenarios are outlined in the following sections. These are critical to understand as the interpretation of the modelled outputs needs to be done in the context of the underpinning assumptions. </w:t>
      </w:r>
    </w:p>
    <w:p w14:paraId="01EBE224" w14:textId="77777777" w:rsidR="00542AFA" w:rsidRPr="00F477F6" w:rsidRDefault="00542AFA" w:rsidP="00D20D53">
      <w:pPr>
        <w:pStyle w:val="Heading3"/>
        <w:rPr>
          <w:lang w:val="en-AU"/>
        </w:rPr>
      </w:pPr>
      <w:r w:rsidRPr="00F477F6">
        <w:rPr>
          <w:lang w:val="en-AU"/>
        </w:rPr>
        <w:t>Supply assumptions</w:t>
      </w:r>
    </w:p>
    <w:p w14:paraId="514F4210" w14:textId="77777777" w:rsidR="00542AFA" w:rsidRPr="00F477F6" w:rsidRDefault="00542AFA" w:rsidP="00D20D53">
      <w:pPr>
        <w:pStyle w:val="ListParagraph"/>
        <w:numPr>
          <w:ilvl w:val="0"/>
          <w:numId w:val="34"/>
        </w:numPr>
      </w:pPr>
      <w:r w:rsidRPr="00F477F6">
        <w:t xml:space="preserve">The base nursing workforce is set at 2012 levels. </w:t>
      </w:r>
    </w:p>
    <w:p w14:paraId="68A6487D" w14:textId="77777777" w:rsidR="00542AFA" w:rsidRPr="00F477F6" w:rsidRDefault="00542AFA" w:rsidP="00D20D53">
      <w:pPr>
        <w:pStyle w:val="ListParagraph"/>
        <w:numPr>
          <w:ilvl w:val="0"/>
          <w:numId w:val="34"/>
        </w:numPr>
      </w:pPr>
      <w:r w:rsidRPr="00F477F6">
        <w:t xml:space="preserve">Workforce entrants enter the model as graduates or as internationally-trained nurses through either temporary or permanent migration streams. </w:t>
      </w:r>
    </w:p>
    <w:p w14:paraId="4E37CABC" w14:textId="77777777" w:rsidR="00542AFA" w:rsidRPr="00F477F6" w:rsidRDefault="00542AFA" w:rsidP="00D20D53">
      <w:pPr>
        <w:pStyle w:val="ListParagraph"/>
        <w:numPr>
          <w:ilvl w:val="0"/>
          <w:numId w:val="34"/>
        </w:numPr>
      </w:pPr>
      <w:r w:rsidRPr="00F477F6">
        <w:t>Registered nursing graduates entering the workforce are grown through to 2014 based on Department of Education data and held constant thereafter. Enrolled nurse graduates and held constant from 2012 NCVER data.</w:t>
      </w:r>
    </w:p>
    <w:p w14:paraId="4D697AA5" w14:textId="77777777" w:rsidR="00542AFA" w:rsidRPr="00F477F6" w:rsidRDefault="00542AFA" w:rsidP="00D20D53">
      <w:pPr>
        <w:pStyle w:val="ListParagraph"/>
        <w:numPr>
          <w:ilvl w:val="0"/>
          <w:numId w:val="34"/>
        </w:numPr>
      </w:pPr>
      <w:r w:rsidRPr="00F477F6">
        <w:t>The inflow of nursing professionals via migration is obtained from the Department of Immigration and Border Protection. The model holds constant 2012 levels of international migration. The permanent migration numbers are based on ‘first-time’ visa grantees i.e. only those who have not previously held a working visa.</w:t>
      </w:r>
    </w:p>
    <w:p w14:paraId="6292D871" w14:textId="71FB9346" w:rsidR="00542AFA" w:rsidRPr="00F477F6" w:rsidRDefault="00542AFA" w:rsidP="00D20D53">
      <w:pPr>
        <w:pStyle w:val="ListParagraph"/>
        <w:numPr>
          <w:ilvl w:val="0"/>
          <w:numId w:val="34"/>
        </w:numPr>
      </w:pPr>
      <w:r w:rsidRPr="00F477F6">
        <w:t xml:space="preserve">The proportion of graduating international students entering the workforce is calculated at 70 </w:t>
      </w:r>
      <w:r w:rsidR="001262DE" w:rsidRPr="00F477F6">
        <w:t>percent</w:t>
      </w:r>
      <w:r w:rsidRPr="00F477F6">
        <w:t xml:space="preserve"> for both registered and enrolled nurses. </w:t>
      </w:r>
    </w:p>
    <w:p w14:paraId="36865259" w14:textId="77777777" w:rsidR="00542AFA" w:rsidRPr="00F477F6" w:rsidRDefault="00542AFA" w:rsidP="00D20D53">
      <w:pPr>
        <w:pStyle w:val="ListParagraph"/>
        <w:numPr>
          <w:ilvl w:val="0"/>
          <w:numId w:val="34"/>
        </w:numPr>
      </w:pPr>
      <w:r w:rsidRPr="00F477F6">
        <w:t>Hours worked are calculated and applied separately for each age/sex cohort for both registered and enrolled nurses within each nursing sector (acute, aged care, critical care and emergency, mental health and other nursing). The data from which hours worked is calculated is taken from the National Health Workforce Dataset for 2012.</w:t>
      </w:r>
    </w:p>
    <w:p w14:paraId="5A11FE5E" w14:textId="77777777" w:rsidR="00542AFA" w:rsidRPr="00F477F6" w:rsidRDefault="00542AFA" w:rsidP="00D20D53">
      <w:pPr>
        <w:pStyle w:val="ListParagraph"/>
        <w:numPr>
          <w:ilvl w:val="0"/>
          <w:numId w:val="34"/>
        </w:numPr>
      </w:pPr>
      <w:r w:rsidRPr="00F477F6">
        <w:t xml:space="preserve">Exit rates are calculated separately both registered and enrolled nurses within each nursing sector (acute, aged care, critical care and emergency, mental health and other nursing). They are calculated for each five year age/sex cohort. </w:t>
      </w:r>
    </w:p>
    <w:p w14:paraId="7F583469" w14:textId="77777777" w:rsidR="00542AFA" w:rsidRPr="00F477F6" w:rsidRDefault="00542AFA" w:rsidP="00D20D53">
      <w:pPr>
        <w:pStyle w:val="ListParagraph"/>
        <w:numPr>
          <w:ilvl w:val="0"/>
          <w:numId w:val="34"/>
        </w:numPr>
      </w:pPr>
      <w:r w:rsidRPr="00F477F6">
        <w:t>Exit rates are a composite measure including all forms of removal from the workforce, permanent or temporary.</w:t>
      </w:r>
    </w:p>
    <w:p w14:paraId="75DF9F4B" w14:textId="77777777" w:rsidR="00542AFA" w:rsidRPr="00F477F6" w:rsidRDefault="00542AFA" w:rsidP="00D20D53">
      <w:pPr>
        <w:pStyle w:val="ListParagraph"/>
        <w:numPr>
          <w:ilvl w:val="0"/>
          <w:numId w:val="34"/>
        </w:numPr>
      </w:pPr>
      <w:r w:rsidRPr="00F477F6">
        <w:t xml:space="preserve">Registered nurse and enrolled nurse graduates are apportioned into each area of practice based on that area’s percentage share of the workforce within each specialty i.e. registered and enrolled </w:t>
      </w:r>
    </w:p>
    <w:p w14:paraId="1EEF09E4" w14:textId="52BF7543" w:rsidR="00542AFA" w:rsidRPr="00F477F6" w:rsidRDefault="00542AFA" w:rsidP="00D20D53">
      <w:pPr>
        <w:pStyle w:val="ListParagraph"/>
        <w:numPr>
          <w:ilvl w:val="0"/>
          <w:numId w:val="34"/>
        </w:numPr>
      </w:pPr>
      <w:r w:rsidRPr="00F477F6">
        <w:t xml:space="preserve">The proportion of graduating domestic students and international migrants entering the workforce is calculated at 85 </w:t>
      </w:r>
      <w:r w:rsidR="001262DE" w:rsidRPr="00F477F6">
        <w:t>percent</w:t>
      </w:r>
      <w:r w:rsidRPr="00F477F6">
        <w:t xml:space="preserve"> for registered and 55 </w:t>
      </w:r>
      <w:r w:rsidR="001262DE" w:rsidRPr="00F477F6">
        <w:t>percent</w:t>
      </w:r>
      <w:r w:rsidRPr="00F477F6">
        <w:t xml:space="preserve"> for enrolled nurses. </w:t>
      </w:r>
    </w:p>
    <w:p w14:paraId="535B3D3A" w14:textId="77777777" w:rsidR="00542AFA" w:rsidRPr="00F477F6" w:rsidRDefault="00542AFA" w:rsidP="00D20D53">
      <w:pPr>
        <w:pStyle w:val="ListParagraph"/>
        <w:numPr>
          <w:ilvl w:val="0"/>
          <w:numId w:val="34"/>
        </w:numPr>
      </w:pPr>
      <w:r w:rsidRPr="00F477F6">
        <w:t>All graduating nurses professionals are assumed to remain in the workforce, even in situations of workforce supply exceeding demand. That is, exit rates are not adjusted to take account of possible movements away from a profession in an oversupply situation</w:t>
      </w:r>
    </w:p>
    <w:p w14:paraId="6E48CC42" w14:textId="77777777" w:rsidR="00542AFA" w:rsidRPr="00F477F6" w:rsidRDefault="00542AFA" w:rsidP="00D20D53">
      <w:pPr>
        <w:pStyle w:val="ListParagraph"/>
        <w:numPr>
          <w:ilvl w:val="0"/>
          <w:numId w:val="34"/>
        </w:numPr>
      </w:pPr>
      <w:r w:rsidRPr="00F477F6">
        <w:t>Each nurse is treated as a full contributor to the workforce, regardless of whether they occupy training positions, such as graduate programs, or other roles with a partial training component.</w:t>
      </w:r>
    </w:p>
    <w:p w14:paraId="79D0F948" w14:textId="77777777" w:rsidR="00542AFA" w:rsidRPr="00F477F6" w:rsidRDefault="00542AFA" w:rsidP="00D20D53">
      <w:pPr>
        <w:pStyle w:val="Heading3"/>
        <w:rPr>
          <w:lang w:val="en-AU"/>
        </w:rPr>
      </w:pPr>
      <w:r w:rsidRPr="00F477F6">
        <w:rPr>
          <w:lang w:val="en-AU"/>
        </w:rPr>
        <w:lastRenderedPageBreak/>
        <w:t>Demand assumptions</w:t>
      </w:r>
    </w:p>
    <w:p w14:paraId="60F8425B" w14:textId="77777777" w:rsidR="00542AFA" w:rsidRPr="00F477F6" w:rsidRDefault="00542AFA" w:rsidP="00D20D53">
      <w:pPr>
        <w:pStyle w:val="ListParagraph"/>
        <w:numPr>
          <w:ilvl w:val="0"/>
          <w:numId w:val="35"/>
        </w:numPr>
      </w:pPr>
      <w:r w:rsidRPr="00F477F6">
        <w:t>Demand is calculated based on the growth in activity over the three year period from 2009-2012. Separate demand rates are calculated for each nursing sector, based on hospital separations, Medicare item numbers and ANZICS data. A constant, linear growth rate is then applied to the various age/sex cohorts. This provides for variation in demand as a result of different sizes of age/sex cohorts over time, but not due to different demand patterns within an age/sex cohort.</w:t>
      </w:r>
    </w:p>
    <w:p w14:paraId="2F1678FF" w14:textId="77777777" w:rsidR="00542AFA" w:rsidRPr="00F477F6" w:rsidRDefault="00542AFA" w:rsidP="00D20D53">
      <w:pPr>
        <w:pStyle w:val="ListParagraph"/>
        <w:numPr>
          <w:ilvl w:val="0"/>
          <w:numId w:val="35"/>
        </w:numPr>
      </w:pPr>
      <w:r w:rsidRPr="00F477F6">
        <w:t xml:space="preserve">The sizes of age/sex cohorts in the service population are calculated from ABS population projections Series B (ABS Cat No. 3222.0, Population Projections, Australia, 2012 (base) to 2101). </w:t>
      </w:r>
    </w:p>
    <w:p w14:paraId="0C2CA39C" w14:textId="77777777" w:rsidR="00542AFA" w:rsidRPr="00F477F6" w:rsidRDefault="00542AFA" w:rsidP="00D20D53">
      <w:pPr>
        <w:pStyle w:val="ListParagraph"/>
        <w:numPr>
          <w:ilvl w:val="0"/>
          <w:numId w:val="35"/>
        </w:numPr>
      </w:pPr>
      <w:r w:rsidRPr="00F477F6">
        <w:t>Demand and supply start from an ‘in balance’ position. This is for the purposes of modelling only and should not be taken to imply that the workforces are (or are not) currently in balance.</w:t>
      </w:r>
    </w:p>
    <w:p w14:paraId="278D4A66" w14:textId="77777777" w:rsidR="00542AFA" w:rsidRPr="00F477F6" w:rsidRDefault="00542AFA" w:rsidP="00D20D53">
      <w:pPr>
        <w:pStyle w:val="Heading3"/>
        <w:rPr>
          <w:lang w:val="en-AU"/>
        </w:rPr>
      </w:pPr>
      <w:r w:rsidRPr="00F477F6">
        <w:rPr>
          <w:lang w:val="en-AU"/>
        </w:rPr>
        <w:t>Assumptions specific to the self-sufficiency scenario</w:t>
      </w:r>
    </w:p>
    <w:p w14:paraId="726C03C4" w14:textId="2936AEC4" w:rsidR="00542AFA" w:rsidRPr="00F477F6" w:rsidRDefault="00542AFA" w:rsidP="00D20D53">
      <w:pPr>
        <w:pStyle w:val="ListParagraph"/>
        <w:numPr>
          <w:ilvl w:val="0"/>
          <w:numId w:val="36"/>
        </w:numPr>
      </w:pPr>
      <w:r w:rsidRPr="00F477F6">
        <w:t xml:space="preserve">The principle behind modelling this scenario is to progressively reduce the inflow of overseas entrants into the workforce (international graduates, and permanent and temporary migrants) to 50 </w:t>
      </w:r>
      <w:r w:rsidR="001262DE" w:rsidRPr="00F477F6">
        <w:t>percent</w:t>
      </w:r>
      <w:r w:rsidRPr="00F477F6">
        <w:t xml:space="preserve"> or of their respective base levels in 2030.</w:t>
      </w:r>
    </w:p>
    <w:p w14:paraId="34D978CE" w14:textId="77777777" w:rsidR="00542AFA" w:rsidRPr="00F477F6" w:rsidRDefault="00542AFA" w:rsidP="00D20D53">
      <w:pPr>
        <w:pStyle w:val="ListParagraph"/>
        <w:numPr>
          <w:ilvl w:val="0"/>
          <w:numId w:val="36"/>
        </w:numPr>
      </w:pPr>
      <w:r w:rsidRPr="00F477F6">
        <w:t>Immigration numbers are based on ‘first-time’ visa grantees to avoid double-counting the people who are already in the workforce or entering through the graduate stream, i.e. the initial stock includes all health workers here on a temporary visa and graduate inflows includes international students.</w:t>
      </w:r>
    </w:p>
    <w:p w14:paraId="15FC4164" w14:textId="77777777" w:rsidR="00542AFA" w:rsidRPr="00F477F6" w:rsidRDefault="00542AFA" w:rsidP="00D20D53">
      <w:pPr>
        <w:pStyle w:val="ListParagraph"/>
        <w:numPr>
          <w:ilvl w:val="0"/>
          <w:numId w:val="36"/>
        </w:numPr>
      </w:pPr>
      <w:r w:rsidRPr="00F477F6">
        <w:t>Temporary migrants are modelled as a constant pool in the workforce, whereby the inflows that replenish this pool are progressively reduced under self-sufficiency scenarios.</w:t>
      </w:r>
    </w:p>
    <w:p w14:paraId="096568E8" w14:textId="77777777" w:rsidR="00542AFA" w:rsidRPr="00F477F6" w:rsidRDefault="00542AFA" w:rsidP="00D20D53">
      <w:pPr>
        <w:pStyle w:val="ListParagraph"/>
        <w:numPr>
          <w:ilvl w:val="0"/>
          <w:numId w:val="36"/>
        </w:numPr>
      </w:pPr>
      <w:r w:rsidRPr="00F477F6">
        <w:t>New permanent migrants are added each year to the workforce and inherit the general characteristics of the workforce by nursing area of practice, e.g. hours worked, likelihood of exit in a given year.</w:t>
      </w:r>
    </w:p>
    <w:p w14:paraId="12763C04" w14:textId="77777777" w:rsidR="00542AFA" w:rsidRPr="00F477F6" w:rsidRDefault="00542AFA" w:rsidP="00D20D53">
      <w:pPr>
        <w:pStyle w:val="ListParagraph"/>
        <w:numPr>
          <w:ilvl w:val="0"/>
          <w:numId w:val="36"/>
        </w:numPr>
      </w:pPr>
      <w:r w:rsidRPr="00F477F6">
        <w:t>The migration flow pattern used in the base year is held constant through to 2030.</w:t>
      </w:r>
    </w:p>
    <w:p w14:paraId="5CE90D9D" w14:textId="77777777" w:rsidR="00542AFA" w:rsidRPr="00F477F6" w:rsidRDefault="00542AFA" w:rsidP="00641259">
      <w:pPr>
        <w:pStyle w:val="Heading2"/>
      </w:pPr>
      <w:bookmarkStart w:id="191" w:name="_Toc387401324"/>
      <w:r w:rsidRPr="00F477F6">
        <w:t>Updated concordance mapping</w:t>
      </w:r>
      <w:bookmarkEnd w:id="191"/>
    </w:p>
    <w:p w14:paraId="73BC27A8" w14:textId="77777777" w:rsidR="00542AFA" w:rsidRPr="00F477F6" w:rsidRDefault="00542AFA" w:rsidP="00D20D53">
      <w:r w:rsidRPr="00F477F6">
        <w:t xml:space="preserve">In the previous modelling of HW2025 Volume 1 and 2, only those who identified themselves in their principal role as a ‘clinician’ were included in the projections. However improved data quality combined with the ability to further analyse the data, indicates that there are a number of nurses who have identified their principal role as other than ‘clinician’ and at the same time indicated a job setting that is of a clinical nature. </w:t>
      </w:r>
    </w:p>
    <w:p w14:paraId="144A6041" w14:textId="085D9B26" w:rsidR="00542AFA" w:rsidRPr="00F477F6" w:rsidRDefault="00542AFA" w:rsidP="00D20D53">
      <w:r w:rsidRPr="00F477F6">
        <w:t xml:space="preserve">For example principal roles of ‘administrator’ or ‘other’ were not included in the previous modelling on the basis that those nurses were not working in a clinical setting. Again the data indicates that the majority of these nurses state they are employed in a hospital setting, 45 </w:t>
      </w:r>
      <w:r w:rsidR="001262DE" w:rsidRPr="00F477F6">
        <w:t>percent</w:t>
      </w:r>
      <w:r w:rsidRPr="00F477F6">
        <w:t xml:space="preserve"> (7,226 administrator) and 48 </w:t>
      </w:r>
      <w:r w:rsidR="001262DE" w:rsidRPr="00F477F6">
        <w:t>percent</w:t>
      </w:r>
      <w:r w:rsidRPr="00F477F6">
        <w:t xml:space="preserve"> (14,123 other) respectively. These individuals are likely to be NUMs and DONs providing a sound rationale for them being included in the ‘clinical’ workforce being modelled. </w:t>
      </w:r>
    </w:p>
    <w:p w14:paraId="045B59C9" w14:textId="77777777" w:rsidR="00542AFA" w:rsidRPr="00F477F6" w:rsidRDefault="00542AFA" w:rsidP="00D20D53">
      <w:r w:rsidRPr="00F477F6">
        <w:t xml:space="preserve">Based on the example above, those nurses that identified themselves in the non-clinical roles, and are working in job settings of a clinical nature will be included in the modelling. </w:t>
      </w:r>
    </w:p>
    <w:p w14:paraId="3F902207" w14:textId="77777777" w:rsidR="00542AFA" w:rsidRPr="00F477F6" w:rsidRDefault="00542AFA" w:rsidP="00D20D53">
      <w:r w:rsidRPr="00F477F6">
        <w:t xml:space="preserve">It is important to reiterate that this change in methodology will result in different projections. These cannot necessarily be compared to the previous set of nursing </w:t>
      </w:r>
      <w:r w:rsidRPr="00F477F6">
        <w:lastRenderedPageBreak/>
        <w:t xml:space="preserve">projections in HW2025 volume 1 and 2, but are more likely to accurately reflect the actual workforce size working within a clinical setting. </w:t>
      </w:r>
    </w:p>
    <w:p w14:paraId="17762E41" w14:textId="77777777" w:rsidR="00542AFA" w:rsidRPr="00F477F6" w:rsidRDefault="00542AFA" w:rsidP="00D20D53">
      <w:pPr>
        <w:pStyle w:val="Heading3"/>
        <w:rPr>
          <w:lang w:val="en-AU"/>
        </w:rPr>
      </w:pPr>
      <w:r w:rsidRPr="00F477F6">
        <w:rPr>
          <w:lang w:val="en-AU"/>
        </w:rPr>
        <w:t>Principal areas of practice mapping procedure</w:t>
      </w:r>
    </w:p>
    <w:p w14:paraId="2BD92092" w14:textId="77777777" w:rsidR="00542AFA" w:rsidRPr="00F477F6" w:rsidRDefault="00542AFA" w:rsidP="00D20D53">
      <w:r w:rsidRPr="00F477F6">
        <w:t xml:space="preserve">The nursing sectors included in AFHW – Nurses – Detailed Report are primarily based on the principal areas of practice in the AHPRA workforce survey data. The tables within the main body of the report outline the relationship between areas of practice and workforce characteristics. Job setting was also considered in allocating nurses to acute care, aged care and mental health where they reported ‘other’, or did not state their principal area of practice. </w:t>
      </w:r>
    </w:p>
    <w:p w14:paraId="43C35A47" w14:textId="77777777" w:rsidR="00542AFA" w:rsidRPr="00F477F6" w:rsidRDefault="00542AFA" w:rsidP="00D20D53">
      <w:r w:rsidRPr="00F477F6">
        <w:t xml:space="preserve">During consultation in the development of HW2025, HWA was asked to include primary health care nursing as an area of practice. Review of the data and further consultation in the update for nursing has now enabled HWA to provide a method for identifying primary health care nurses, separate from the rest of the nursing workforce. However there are still data limitations, mainly in the domain of determining a demand rate for primary health care that inhibit modelling to be undertaken in this nursing update. Further investigation for these potential variables will continue. </w:t>
      </w:r>
    </w:p>
    <w:p w14:paraId="386B3C72" w14:textId="5F3FA4CC" w:rsidR="00542AFA" w:rsidRPr="00F477F6" w:rsidRDefault="00542AFA" w:rsidP="00641259">
      <w:pPr>
        <w:pStyle w:val="Heading2"/>
      </w:pPr>
      <w:bookmarkStart w:id="192" w:name="_Toc387401325"/>
      <w:r w:rsidRPr="00F477F6">
        <w:t>Attrition method, definitions and rates</w:t>
      </w:r>
      <w:r w:rsidRPr="00F477F6">
        <w:t> </w:t>
      </w:r>
      <w:bookmarkEnd w:id="192"/>
    </w:p>
    <w:p w14:paraId="04FAB56A" w14:textId="77777777" w:rsidR="00542AFA" w:rsidRPr="00F477F6" w:rsidRDefault="00542AFA" w:rsidP="00D20D53">
      <w:pPr>
        <w:pStyle w:val="Heading3"/>
        <w:rPr>
          <w:lang w:val="en-AU"/>
        </w:rPr>
      </w:pPr>
      <w:r w:rsidRPr="00F477F6">
        <w:rPr>
          <w:lang w:val="en-AU"/>
        </w:rPr>
        <w:t>Method</w:t>
      </w:r>
    </w:p>
    <w:p w14:paraId="7B15D6A7" w14:textId="77777777" w:rsidR="0066292C" w:rsidRPr="00F477F6" w:rsidRDefault="0066292C" w:rsidP="00D20D53">
      <w:r w:rsidRPr="00F477F6">
        <w:t xml:space="preserve">The method used to calculate RN student attrition rates is outlined here given its importance in determining RN nurse supply. </w:t>
      </w:r>
    </w:p>
    <w:p w14:paraId="08816225" w14:textId="77777777" w:rsidR="0066292C" w:rsidRPr="00F477F6" w:rsidRDefault="0066292C" w:rsidP="00D20D53">
      <w:r w:rsidRPr="00F477F6">
        <w:t xml:space="preserve">In the workforce planning projections, new graduates are one workforce supply stream. Therefore an estimate of graduate numbers needs to be calculated for this input. To do this, HWA uses historical trends in student commencements to project an estimated number of future student commencements (up to a maximum of 3 years in the future). A student attrition rate is then applied to the projected student commencements to determine the number of graduates to include as the supply stream in the workforce planning projection. </w:t>
      </w:r>
    </w:p>
    <w:p w14:paraId="79C60094" w14:textId="154E300E" w:rsidR="0066292C" w:rsidRPr="00F477F6" w:rsidRDefault="0066292C" w:rsidP="00D20D53">
      <w:r w:rsidRPr="00F477F6">
        <w:t xml:space="preserve">For RNs, HWA used higher education statistics from the Australian Government Department of Education on student commencements and completions (definitions of these terms are contained in </w:t>
      </w:r>
      <w:r w:rsidR="00B453C6" w:rsidRPr="00F477F6">
        <w:t xml:space="preserve">this </w:t>
      </w:r>
      <w:r w:rsidRPr="00F477F6">
        <w:t xml:space="preserve">Appendix). </w:t>
      </w:r>
    </w:p>
    <w:p w14:paraId="7A42B315" w14:textId="77777777" w:rsidR="0066292C" w:rsidRPr="00F477F6" w:rsidRDefault="0066292C" w:rsidP="00D20D53">
      <w:r w:rsidRPr="00F477F6">
        <w:t xml:space="preserve">The attrition rate for RNs was calculated using the following formula: </w:t>
      </w:r>
    </w:p>
    <w:p w14:paraId="1CB4F43B" w14:textId="77777777" w:rsidR="0066292C" w:rsidRPr="00F477F6" w:rsidRDefault="0066292C" w:rsidP="00D20D53">
      <w:r w:rsidRPr="00F477F6">
        <w:t>([Commencements in Year X] - [Completions in Year X+2])/[Commencements in Year x]</w:t>
      </w:r>
    </w:p>
    <w:p w14:paraId="5756BD08" w14:textId="1DF43B79" w:rsidR="0066292C" w:rsidRPr="00F477F6" w:rsidRDefault="0066292C" w:rsidP="00D20D53">
      <w:r w:rsidRPr="00F477F6">
        <w:t xml:space="preserve">Rates were calculated for four periods (commencing years 2007 to 2010 and completion years 2009 to 2012). The average of the rates for each of the four periods was then calculated, and applied to the projected student commencements to obtain the estimated graduate numbers. </w:t>
      </w:r>
      <w:r w:rsidR="00B453C6" w:rsidRPr="00F477F6">
        <w:t>Please note, the method HWA uses for calculating attrition for workforce planning purposes may differ to methods tertiary institutions use for their own planning and evaluation purposes.</w:t>
      </w:r>
    </w:p>
    <w:p w14:paraId="28E241B1" w14:textId="1F963D3D" w:rsidR="0066292C" w:rsidRPr="00F477F6" w:rsidRDefault="0066292C" w:rsidP="00D20D53">
      <w:r w:rsidRPr="00F477F6">
        <w:t>For RN students, the historical attrition rate (2000 to 2006) has been 21</w:t>
      </w:r>
      <w:r w:rsidR="001262DE" w:rsidRPr="00F477F6">
        <w:t>percent</w:t>
      </w:r>
      <w:r w:rsidRPr="00F477F6">
        <w:t xml:space="preserve">. The current overall attrition rate (using the commencing years 2007 to 2010 and completion years 2009 to 2012) was calculated to be 34 </w:t>
      </w:r>
      <w:r w:rsidR="001262DE" w:rsidRPr="00F477F6">
        <w:t>percent</w:t>
      </w:r>
      <w:r w:rsidRPr="00F477F6">
        <w:t xml:space="preserve"> (noting that attrition rates varied across educational institutions, from a low of 18 </w:t>
      </w:r>
      <w:r w:rsidR="001262DE" w:rsidRPr="00F477F6">
        <w:t>percent</w:t>
      </w:r>
      <w:r w:rsidRPr="00F477F6">
        <w:t xml:space="preserve"> to a high of 54 </w:t>
      </w:r>
      <w:r w:rsidR="001262DE" w:rsidRPr="00F477F6">
        <w:t>percent</w:t>
      </w:r>
      <w:r w:rsidRPr="00F477F6">
        <w:t xml:space="preserve">). </w:t>
      </w:r>
    </w:p>
    <w:p w14:paraId="722E2C2A" w14:textId="13A8D76E" w:rsidR="0066292C" w:rsidRPr="00F477F6" w:rsidRDefault="0066292C" w:rsidP="00D20D53">
      <w:r w:rsidRPr="00F477F6">
        <w:lastRenderedPageBreak/>
        <w:t>For ENs, an attrition rate could not be calculated. This is because of difficulties in identifying EN course commencements, as people often enrol in an EN course to only complete a specific module, rather than to qualify as an EN. Therefore for ENs, graduate inflows into the workforce planning projections were the 2012</w:t>
      </w:r>
      <w:r w:rsidR="00872DB4" w:rsidRPr="00F477F6">
        <w:t xml:space="preserve"> </w:t>
      </w:r>
      <w:r w:rsidRPr="00F477F6">
        <w:t>EN course completions, which was then held constant across the projection period.</w:t>
      </w:r>
    </w:p>
    <w:p w14:paraId="22620163" w14:textId="24F09EC5" w:rsidR="00517C1E" w:rsidRPr="00F477F6" w:rsidRDefault="00517C1E" w:rsidP="00D20D53">
      <w:pPr>
        <w:pStyle w:val="Caption"/>
      </w:pPr>
      <w:bookmarkStart w:id="193" w:name="_Toc407783213"/>
      <w:r w:rsidRPr="00F477F6">
        <w:t xml:space="preserve">Table </w:t>
      </w:r>
      <w:fldSimple w:instr=" SEQ Table \* ARABIC ">
        <w:r w:rsidR="00641259">
          <w:rPr>
            <w:noProof/>
          </w:rPr>
          <w:t>16</w:t>
        </w:r>
      </w:fldSimple>
      <w:r w:rsidRPr="00F477F6">
        <w:t>: Registered Nurse attrition rates</w:t>
      </w:r>
      <w:bookmarkEnd w:id="193"/>
    </w:p>
    <w:tbl>
      <w:tblPr>
        <w:tblW w:w="5000" w:type="pct"/>
        <w:tblLook w:val="04A0" w:firstRow="1" w:lastRow="0" w:firstColumn="1" w:lastColumn="0" w:noHBand="0" w:noVBand="1"/>
      </w:tblPr>
      <w:tblGrid>
        <w:gridCol w:w="4806"/>
        <w:gridCol w:w="1217"/>
        <w:gridCol w:w="1549"/>
        <w:gridCol w:w="1099"/>
        <w:gridCol w:w="1156"/>
      </w:tblGrid>
      <w:tr w:rsidR="00517C1E" w:rsidRPr="00F477F6" w14:paraId="5DF5D047" w14:textId="77777777" w:rsidTr="003E76DC">
        <w:trPr>
          <w:trHeight w:val="810"/>
          <w:tblHeader/>
        </w:trPr>
        <w:tc>
          <w:tcPr>
            <w:tcW w:w="2446" w:type="pct"/>
            <w:tcBorders>
              <w:bottom w:val="single" w:sz="4" w:space="0" w:color="auto"/>
              <w:right w:val="single" w:sz="4" w:space="0" w:color="auto"/>
            </w:tcBorders>
            <w:shd w:val="clear" w:color="auto" w:fill="0070C0"/>
            <w:vAlign w:val="bottom"/>
            <w:hideMark/>
          </w:tcPr>
          <w:p w14:paraId="24DBE851" w14:textId="68808DE7" w:rsidR="00517C1E" w:rsidRPr="00F477F6" w:rsidRDefault="00517C1E" w:rsidP="00D20D53">
            <w:pPr>
              <w:pStyle w:val="TableHeader"/>
              <w:rPr>
                <w:lang w:eastAsia="en-AU"/>
              </w:rPr>
            </w:pPr>
            <w:r w:rsidRPr="00F477F6">
              <w:rPr>
                <w:lang w:eastAsia="en-AU"/>
              </w:rPr>
              <w:t> </w:t>
            </w:r>
            <w:bookmarkStart w:id="194" w:name="Title_15"/>
            <w:bookmarkEnd w:id="194"/>
            <w:r w:rsidR="00CE1C1C">
              <w:rPr>
                <w:lang w:eastAsia="en-AU"/>
              </w:rPr>
              <w:t>Category</w:t>
            </w:r>
          </w:p>
        </w:tc>
        <w:tc>
          <w:tcPr>
            <w:tcW w:w="619" w:type="pct"/>
            <w:tcBorders>
              <w:top w:val="single" w:sz="4" w:space="0" w:color="auto"/>
              <w:left w:val="nil"/>
              <w:bottom w:val="single" w:sz="4" w:space="0" w:color="auto"/>
              <w:right w:val="nil"/>
            </w:tcBorders>
            <w:shd w:val="clear" w:color="auto" w:fill="0070C0"/>
            <w:vAlign w:val="bottom"/>
            <w:hideMark/>
          </w:tcPr>
          <w:p w14:paraId="236C2B7E" w14:textId="77777777" w:rsidR="00517C1E" w:rsidRPr="00F477F6" w:rsidRDefault="00517C1E" w:rsidP="00D20D53">
            <w:pPr>
              <w:pStyle w:val="TableHeader"/>
              <w:rPr>
                <w:lang w:eastAsia="en-AU"/>
              </w:rPr>
            </w:pPr>
            <w:r w:rsidRPr="00F477F6">
              <w:rPr>
                <w:lang w:eastAsia="en-AU"/>
              </w:rPr>
              <w:t xml:space="preserve">Domestic Attrition Rate </w:t>
            </w:r>
          </w:p>
        </w:tc>
        <w:tc>
          <w:tcPr>
            <w:tcW w:w="788" w:type="pct"/>
            <w:tcBorders>
              <w:top w:val="single" w:sz="4" w:space="0" w:color="auto"/>
              <w:left w:val="nil"/>
              <w:bottom w:val="single" w:sz="4" w:space="0" w:color="auto"/>
              <w:right w:val="nil"/>
            </w:tcBorders>
            <w:shd w:val="clear" w:color="auto" w:fill="0070C0"/>
            <w:vAlign w:val="bottom"/>
            <w:hideMark/>
          </w:tcPr>
          <w:p w14:paraId="07CD3FDE" w14:textId="77777777" w:rsidR="00517C1E" w:rsidRPr="00F477F6" w:rsidRDefault="00517C1E" w:rsidP="00D20D53">
            <w:pPr>
              <w:pStyle w:val="TableHeader"/>
              <w:rPr>
                <w:lang w:eastAsia="en-AU"/>
              </w:rPr>
            </w:pPr>
            <w:r w:rsidRPr="00F477F6">
              <w:rPr>
                <w:lang w:eastAsia="en-AU"/>
              </w:rPr>
              <w:t xml:space="preserve">International Attrition Rate </w:t>
            </w:r>
          </w:p>
        </w:tc>
        <w:tc>
          <w:tcPr>
            <w:tcW w:w="559" w:type="pct"/>
            <w:tcBorders>
              <w:top w:val="single" w:sz="4" w:space="0" w:color="auto"/>
              <w:left w:val="nil"/>
              <w:bottom w:val="single" w:sz="4" w:space="0" w:color="auto"/>
              <w:right w:val="nil"/>
            </w:tcBorders>
            <w:shd w:val="clear" w:color="auto" w:fill="0070C0"/>
            <w:vAlign w:val="bottom"/>
            <w:hideMark/>
          </w:tcPr>
          <w:p w14:paraId="6817D8E0" w14:textId="583A7EB2" w:rsidR="00517C1E" w:rsidRPr="00F477F6" w:rsidRDefault="00517C1E" w:rsidP="00D20D53">
            <w:pPr>
              <w:pStyle w:val="TableHeader"/>
              <w:rPr>
                <w:lang w:eastAsia="en-AU"/>
              </w:rPr>
            </w:pPr>
            <w:r w:rsidRPr="00F477F6">
              <w:rPr>
                <w:lang w:eastAsia="en-AU"/>
              </w:rPr>
              <w:t>Male Attrition Rate</w:t>
            </w:r>
          </w:p>
        </w:tc>
        <w:tc>
          <w:tcPr>
            <w:tcW w:w="589" w:type="pct"/>
            <w:tcBorders>
              <w:top w:val="single" w:sz="4" w:space="0" w:color="auto"/>
              <w:left w:val="nil"/>
              <w:bottom w:val="single" w:sz="4" w:space="0" w:color="auto"/>
              <w:right w:val="single" w:sz="4" w:space="0" w:color="auto"/>
            </w:tcBorders>
            <w:shd w:val="clear" w:color="auto" w:fill="0070C0"/>
            <w:vAlign w:val="bottom"/>
            <w:hideMark/>
          </w:tcPr>
          <w:p w14:paraId="75E7F02C" w14:textId="77777777" w:rsidR="00517C1E" w:rsidRPr="00F477F6" w:rsidRDefault="00517C1E" w:rsidP="00D20D53">
            <w:pPr>
              <w:pStyle w:val="TableHeader"/>
              <w:rPr>
                <w:lang w:eastAsia="en-AU"/>
              </w:rPr>
            </w:pPr>
            <w:r w:rsidRPr="00F477F6">
              <w:rPr>
                <w:lang w:eastAsia="en-AU"/>
              </w:rPr>
              <w:t xml:space="preserve">Female Attrition Rate </w:t>
            </w:r>
          </w:p>
        </w:tc>
      </w:tr>
      <w:tr w:rsidR="00517C1E" w:rsidRPr="00F477F6" w14:paraId="0191E886" w14:textId="77777777" w:rsidTr="003E76DC">
        <w:trPr>
          <w:trHeight w:val="270"/>
        </w:trPr>
        <w:tc>
          <w:tcPr>
            <w:tcW w:w="2446" w:type="pct"/>
            <w:tcBorders>
              <w:top w:val="nil"/>
              <w:left w:val="single" w:sz="4" w:space="0" w:color="auto"/>
              <w:bottom w:val="nil"/>
              <w:right w:val="single" w:sz="4" w:space="0" w:color="auto"/>
            </w:tcBorders>
            <w:noWrap/>
            <w:vAlign w:val="center"/>
            <w:hideMark/>
          </w:tcPr>
          <w:p w14:paraId="3A441D38" w14:textId="77777777" w:rsidR="00517C1E" w:rsidRPr="008B2CBA" w:rsidRDefault="00517C1E" w:rsidP="008B2CBA">
            <w:pPr>
              <w:pStyle w:val="TableText"/>
            </w:pPr>
            <w:r w:rsidRPr="008B2CBA">
              <w:t>2007 commencements to 2009 completions</w:t>
            </w:r>
          </w:p>
        </w:tc>
        <w:tc>
          <w:tcPr>
            <w:tcW w:w="619" w:type="pct"/>
            <w:tcBorders>
              <w:top w:val="nil"/>
              <w:left w:val="nil"/>
              <w:bottom w:val="nil"/>
              <w:right w:val="nil"/>
            </w:tcBorders>
            <w:noWrap/>
            <w:vAlign w:val="center"/>
            <w:hideMark/>
          </w:tcPr>
          <w:p w14:paraId="6221B69F" w14:textId="77777777" w:rsidR="00517C1E" w:rsidRPr="008B2CBA" w:rsidRDefault="00517C1E" w:rsidP="008B2CBA">
            <w:pPr>
              <w:pStyle w:val="TableTextcentred"/>
            </w:pPr>
            <w:r w:rsidRPr="008B2CBA">
              <w:t>33.50%</w:t>
            </w:r>
          </w:p>
        </w:tc>
        <w:tc>
          <w:tcPr>
            <w:tcW w:w="788" w:type="pct"/>
            <w:tcBorders>
              <w:top w:val="nil"/>
              <w:left w:val="nil"/>
              <w:bottom w:val="nil"/>
              <w:right w:val="nil"/>
            </w:tcBorders>
            <w:noWrap/>
            <w:vAlign w:val="center"/>
            <w:hideMark/>
          </w:tcPr>
          <w:p w14:paraId="4267E454" w14:textId="77777777" w:rsidR="00517C1E" w:rsidRPr="008B2CBA" w:rsidRDefault="00517C1E" w:rsidP="008B2CBA">
            <w:pPr>
              <w:pStyle w:val="TableTextcentred"/>
            </w:pPr>
            <w:r w:rsidRPr="008B2CBA">
              <w:t>25.59%</w:t>
            </w:r>
          </w:p>
        </w:tc>
        <w:tc>
          <w:tcPr>
            <w:tcW w:w="559" w:type="pct"/>
            <w:tcBorders>
              <w:top w:val="nil"/>
              <w:left w:val="nil"/>
              <w:bottom w:val="nil"/>
              <w:right w:val="nil"/>
            </w:tcBorders>
            <w:noWrap/>
            <w:vAlign w:val="center"/>
            <w:hideMark/>
          </w:tcPr>
          <w:p w14:paraId="26AF39F1" w14:textId="77777777" w:rsidR="00517C1E" w:rsidRPr="008B2CBA" w:rsidRDefault="00517C1E" w:rsidP="008B2CBA">
            <w:pPr>
              <w:pStyle w:val="TableTextcentred"/>
            </w:pPr>
            <w:r w:rsidRPr="008B2CBA">
              <w:t>43.53%</w:t>
            </w:r>
          </w:p>
        </w:tc>
        <w:tc>
          <w:tcPr>
            <w:tcW w:w="589" w:type="pct"/>
            <w:tcBorders>
              <w:top w:val="nil"/>
              <w:left w:val="nil"/>
              <w:bottom w:val="nil"/>
              <w:right w:val="single" w:sz="4" w:space="0" w:color="auto"/>
            </w:tcBorders>
            <w:noWrap/>
            <w:vAlign w:val="center"/>
            <w:hideMark/>
          </w:tcPr>
          <w:p w14:paraId="2B4E9AB5" w14:textId="77777777" w:rsidR="00517C1E" w:rsidRPr="008B2CBA" w:rsidRDefault="00517C1E" w:rsidP="008B2CBA">
            <w:pPr>
              <w:pStyle w:val="TableTextcentred"/>
            </w:pPr>
            <w:r w:rsidRPr="008B2CBA">
              <w:t>31.19%</w:t>
            </w:r>
          </w:p>
        </w:tc>
      </w:tr>
      <w:tr w:rsidR="00517C1E" w:rsidRPr="00F477F6" w14:paraId="2ABFB2C8" w14:textId="77777777" w:rsidTr="003E76DC">
        <w:trPr>
          <w:trHeight w:val="270"/>
        </w:trPr>
        <w:tc>
          <w:tcPr>
            <w:tcW w:w="2446" w:type="pct"/>
            <w:tcBorders>
              <w:top w:val="nil"/>
              <w:left w:val="single" w:sz="4" w:space="0" w:color="auto"/>
              <w:bottom w:val="nil"/>
              <w:right w:val="single" w:sz="4" w:space="0" w:color="auto"/>
            </w:tcBorders>
            <w:noWrap/>
            <w:vAlign w:val="center"/>
            <w:hideMark/>
          </w:tcPr>
          <w:p w14:paraId="55921D31" w14:textId="77777777" w:rsidR="00517C1E" w:rsidRPr="008B2CBA" w:rsidRDefault="00517C1E" w:rsidP="008B2CBA">
            <w:pPr>
              <w:pStyle w:val="TableText"/>
            </w:pPr>
            <w:r w:rsidRPr="008B2CBA">
              <w:t>2008 commencements to 2010 completions</w:t>
            </w:r>
          </w:p>
        </w:tc>
        <w:tc>
          <w:tcPr>
            <w:tcW w:w="619" w:type="pct"/>
            <w:tcBorders>
              <w:top w:val="nil"/>
              <w:left w:val="nil"/>
              <w:bottom w:val="nil"/>
              <w:right w:val="nil"/>
            </w:tcBorders>
            <w:noWrap/>
            <w:vAlign w:val="center"/>
            <w:hideMark/>
          </w:tcPr>
          <w:p w14:paraId="6176C9B3" w14:textId="77777777" w:rsidR="00517C1E" w:rsidRPr="008B2CBA" w:rsidRDefault="00517C1E" w:rsidP="008B2CBA">
            <w:pPr>
              <w:pStyle w:val="TableTextcentred"/>
            </w:pPr>
            <w:r w:rsidRPr="008B2CBA">
              <w:t>32.64%</w:t>
            </w:r>
          </w:p>
        </w:tc>
        <w:tc>
          <w:tcPr>
            <w:tcW w:w="788" w:type="pct"/>
            <w:tcBorders>
              <w:top w:val="nil"/>
              <w:left w:val="nil"/>
              <w:bottom w:val="nil"/>
              <w:right w:val="nil"/>
            </w:tcBorders>
            <w:noWrap/>
            <w:vAlign w:val="center"/>
            <w:hideMark/>
          </w:tcPr>
          <w:p w14:paraId="2524C8B9" w14:textId="77777777" w:rsidR="00517C1E" w:rsidRPr="008B2CBA" w:rsidRDefault="00517C1E" w:rsidP="008B2CBA">
            <w:pPr>
              <w:pStyle w:val="TableTextcentred"/>
            </w:pPr>
            <w:r w:rsidRPr="008B2CBA">
              <w:t>19.80%</w:t>
            </w:r>
          </w:p>
        </w:tc>
        <w:tc>
          <w:tcPr>
            <w:tcW w:w="559" w:type="pct"/>
            <w:tcBorders>
              <w:top w:val="nil"/>
              <w:left w:val="nil"/>
              <w:bottom w:val="nil"/>
              <w:right w:val="nil"/>
            </w:tcBorders>
            <w:noWrap/>
            <w:vAlign w:val="center"/>
            <w:hideMark/>
          </w:tcPr>
          <w:p w14:paraId="0F351BE1" w14:textId="77777777" w:rsidR="00517C1E" w:rsidRPr="008B2CBA" w:rsidRDefault="00517C1E" w:rsidP="008B2CBA">
            <w:pPr>
              <w:pStyle w:val="TableTextcentred"/>
            </w:pPr>
            <w:r w:rsidRPr="008B2CBA">
              <w:t>32.55%</w:t>
            </w:r>
          </w:p>
        </w:tc>
        <w:tc>
          <w:tcPr>
            <w:tcW w:w="589" w:type="pct"/>
            <w:tcBorders>
              <w:top w:val="nil"/>
              <w:left w:val="nil"/>
              <w:bottom w:val="nil"/>
              <w:right w:val="single" w:sz="4" w:space="0" w:color="auto"/>
            </w:tcBorders>
            <w:noWrap/>
            <w:vAlign w:val="center"/>
            <w:hideMark/>
          </w:tcPr>
          <w:p w14:paraId="037B42D6" w14:textId="77777777" w:rsidR="00517C1E" w:rsidRPr="008B2CBA" w:rsidRDefault="00517C1E" w:rsidP="008B2CBA">
            <w:pPr>
              <w:pStyle w:val="TableTextcentred"/>
            </w:pPr>
            <w:r w:rsidRPr="008B2CBA">
              <w:t>30.25%</w:t>
            </w:r>
          </w:p>
        </w:tc>
      </w:tr>
      <w:tr w:rsidR="00517C1E" w:rsidRPr="00F477F6" w14:paraId="4C8D9B13" w14:textId="77777777" w:rsidTr="003E76DC">
        <w:trPr>
          <w:trHeight w:val="270"/>
        </w:trPr>
        <w:tc>
          <w:tcPr>
            <w:tcW w:w="2446" w:type="pct"/>
            <w:tcBorders>
              <w:top w:val="nil"/>
              <w:left w:val="single" w:sz="4" w:space="0" w:color="auto"/>
              <w:bottom w:val="nil"/>
              <w:right w:val="single" w:sz="4" w:space="0" w:color="auto"/>
            </w:tcBorders>
            <w:noWrap/>
            <w:vAlign w:val="center"/>
            <w:hideMark/>
          </w:tcPr>
          <w:p w14:paraId="173A6E7D" w14:textId="77777777" w:rsidR="00517C1E" w:rsidRPr="008B2CBA" w:rsidRDefault="00517C1E" w:rsidP="008B2CBA">
            <w:pPr>
              <w:pStyle w:val="TableText"/>
            </w:pPr>
            <w:r w:rsidRPr="008B2CBA">
              <w:t>2009 commencements to 2011 completions</w:t>
            </w:r>
          </w:p>
        </w:tc>
        <w:tc>
          <w:tcPr>
            <w:tcW w:w="619" w:type="pct"/>
            <w:tcBorders>
              <w:top w:val="nil"/>
              <w:left w:val="nil"/>
              <w:bottom w:val="nil"/>
              <w:right w:val="nil"/>
            </w:tcBorders>
            <w:noWrap/>
            <w:vAlign w:val="center"/>
            <w:hideMark/>
          </w:tcPr>
          <w:p w14:paraId="37AD5DFE" w14:textId="77777777" w:rsidR="00517C1E" w:rsidRPr="008B2CBA" w:rsidRDefault="00517C1E" w:rsidP="008B2CBA">
            <w:pPr>
              <w:pStyle w:val="TableTextcentred"/>
            </w:pPr>
            <w:r w:rsidRPr="008B2CBA">
              <w:t>36.64%</w:t>
            </w:r>
          </w:p>
        </w:tc>
        <w:tc>
          <w:tcPr>
            <w:tcW w:w="788" w:type="pct"/>
            <w:tcBorders>
              <w:top w:val="nil"/>
              <w:left w:val="nil"/>
              <w:bottom w:val="nil"/>
              <w:right w:val="nil"/>
            </w:tcBorders>
            <w:noWrap/>
            <w:vAlign w:val="center"/>
            <w:hideMark/>
          </w:tcPr>
          <w:p w14:paraId="10FBB60A" w14:textId="77777777" w:rsidR="00517C1E" w:rsidRPr="008B2CBA" w:rsidRDefault="00517C1E" w:rsidP="008B2CBA">
            <w:pPr>
              <w:pStyle w:val="TableTextcentred"/>
            </w:pPr>
            <w:r w:rsidRPr="008B2CBA">
              <w:t>21.06%</w:t>
            </w:r>
          </w:p>
        </w:tc>
        <w:tc>
          <w:tcPr>
            <w:tcW w:w="559" w:type="pct"/>
            <w:tcBorders>
              <w:top w:val="nil"/>
              <w:left w:val="nil"/>
              <w:bottom w:val="nil"/>
              <w:right w:val="nil"/>
            </w:tcBorders>
            <w:noWrap/>
            <w:vAlign w:val="center"/>
            <w:hideMark/>
          </w:tcPr>
          <w:p w14:paraId="23834C2A" w14:textId="77777777" w:rsidR="00517C1E" w:rsidRPr="008B2CBA" w:rsidRDefault="00517C1E" w:rsidP="008B2CBA">
            <w:pPr>
              <w:pStyle w:val="TableTextcentred"/>
            </w:pPr>
            <w:r w:rsidRPr="008B2CBA">
              <w:t>42.57%</w:t>
            </w:r>
          </w:p>
        </w:tc>
        <w:tc>
          <w:tcPr>
            <w:tcW w:w="589" w:type="pct"/>
            <w:tcBorders>
              <w:top w:val="nil"/>
              <w:left w:val="nil"/>
              <w:bottom w:val="nil"/>
              <w:right w:val="single" w:sz="4" w:space="0" w:color="auto"/>
            </w:tcBorders>
            <w:noWrap/>
            <w:vAlign w:val="center"/>
            <w:hideMark/>
          </w:tcPr>
          <w:p w14:paraId="7F0DB960" w14:textId="77777777" w:rsidR="00517C1E" w:rsidRPr="008B2CBA" w:rsidRDefault="00517C1E" w:rsidP="008B2CBA">
            <w:pPr>
              <w:pStyle w:val="TableTextcentred"/>
            </w:pPr>
            <w:r w:rsidRPr="008B2CBA">
              <w:t>32.54%</w:t>
            </w:r>
          </w:p>
        </w:tc>
      </w:tr>
      <w:tr w:rsidR="00517C1E" w:rsidRPr="00F477F6" w14:paraId="2DD80BB1" w14:textId="77777777" w:rsidTr="003E76DC">
        <w:trPr>
          <w:trHeight w:val="270"/>
        </w:trPr>
        <w:tc>
          <w:tcPr>
            <w:tcW w:w="2446" w:type="pct"/>
            <w:tcBorders>
              <w:top w:val="nil"/>
              <w:left w:val="single" w:sz="4" w:space="0" w:color="auto"/>
              <w:bottom w:val="nil"/>
              <w:right w:val="single" w:sz="4" w:space="0" w:color="auto"/>
            </w:tcBorders>
            <w:noWrap/>
            <w:vAlign w:val="center"/>
            <w:hideMark/>
          </w:tcPr>
          <w:p w14:paraId="6F8303D6" w14:textId="77777777" w:rsidR="00517C1E" w:rsidRPr="008B2CBA" w:rsidRDefault="00517C1E" w:rsidP="008B2CBA">
            <w:pPr>
              <w:pStyle w:val="TableText"/>
            </w:pPr>
            <w:r w:rsidRPr="008B2CBA">
              <w:t>2010 commencements to 2012 completions</w:t>
            </w:r>
          </w:p>
        </w:tc>
        <w:tc>
          <w:tcPr>
            <w:tcW w:w="619" w:type="pct"/>
            <w:tcBorders>
              <w:top w:val="nil"/>
              <w:left w:val="nil"/>
              <w:bottom w:val="nil"/>
              <w:right w:val="nil"/>
            </w:tcBorders>
            <w:noWrap/>
            <w:vAlign w:val="center"/>
            <w:hideMark/>
          </w:tcPr>
          <w:p w14:paraId="10372414" w14:textId="77777777" w:rsidR="00517C1E" w:rsidRPr="008B2CBA" w:rsidRDefault="00517C1E" w:rsidP="008B2CBA">
            <w:pPr>
              <w:pStyle w:val="TableTextcentred"/>
            </w:pPr>
            <w:r w:rsidRPr="008B2CBA">
              <w:t>38.46%</w:t>
            </w:r>
          </w:p>
        </w:tc>
        <w:tc>
          <w:tcPr>
            <w:tcW w:w="788" w:type="pct"/>
            <w:tcBorders>
              <w:top w:val="nil"/>
              <w:left w:val="nil"/>
              <w:bottom w:val="nil"/>
              <w:right w:val="nil"/>
            </w:tcBorders>
            <w:noWrap/>
            <w:vAlign w:val="center"/>
            <w:hideMark/>
          </w:tcPr>
          <w:p w14:paraId="2E6FC625" w14:textId="77777777" w:rsidR="00517C1E" w:rsidRPr="008B2CBA" w:rsidRDefault="00517C1E" w:rsidP="008B2CBA">
            <w:pPr>
              <w:pStyle w:val="TableTextcentred"/>
            </w:pPr>
            <w:r w:rsidRPr="008B2CBA">
              <w:t>24.05%</w:t>
            </w:r>
          </w:p>
        </w:tc>
        <w:tc>
          <w:tcPr>
            <w:tcW w:w="559" w:type="pct"/>
            <w:tcBorders>
              <w:top w:val="nil"/>
              <w:left w:val="nil"/>
              <w:bottom w:val="nil"/>
              <w:right w:val="nil"/>
            </w:tcBorders>
            <w:noWrap/>
            <w:vAlign w:val="center"/>
            <w:hideMark/>
          </w:tcPr>
          <w:p w14:paraId="111139BC" w14:textId="77777777" w:rsidR="00517C1E" w:rsidRPr="008B2CBA" w:rsidRDefault="00517C1E" w:rsidP="008B2CBA">
            <w:pPr>
              <w:pStyle w:val="TableTextcentred"/>
            </w:pPr>
            <w:r w:rsidRPr="008B2CBA">
              <w:t>41.23%</w:t>
            </w:r>
          </w:p>
        </w:tc>
        <w:tc>
          <w:tcPr>
            <w:tcW w:w="589" w:type="pct"/>
            <w:tcBorders>
              <w:top w:val="nil"/>
              <w:left w:val="nil"/>
              <w:bottom w:val="nil"/>
              <w:right w:val="single" w:sz="4" w:space="0" w:color="auto"/>
            </w:tcBorders>
            <w:noWrap/>
            <w:vAlign w:val="center"/>
            <w:hideMark/>
          </w:tcPr>
          <w:p w14:paraId="5CE08EED" w14:textId="77777777" w:rsidR="00517C1E" w:rsidRPr="008B2CBA" w:rsidRDefault="00517C1E" w:rsidP="008B2CBA">
            <w:pPr>
              <w:pStyle w:val="TableTextcentred"/>
            </w:pPr>
            <w:r w:rsidRPr="008B2CBA">
              <w:t>35.20%</w:t>
            </w:r>
          </w:p>
        </w:tc>
      </w:tr>
      <w:tr w:rsidR="00517C1E" w:rsidRPr="00F477F6" w14:paraId="023697DD" w14:textId="77777777" w:rsidTr="003E76DC">
        <w:trPr>
          <w:trHeight w:val="270"/>
        </w:trPr>
        <w:tc>
          <w:tcPr>
            <w:tcW w:w="2446" w:type="pct"/>
            <w:tcBorders>
              <w:top w:val="nil"/>
              <w:left w:val="single" w:sz="4" w:space="0" w:color="auto"/>
              <w:bottom w:val="nil"/>
              <w:right w:val="single" w:sz="4" w:space="0" w:color="auto"/>
            </w:tcBorders>
            <w:noWrap/>
            <w:vAlign w:val="center"/>
            <w:hideMark/>
          </w:tcPr>
          <w:p w14:paraId="544546DD" w14:textId="77777777" w:rsidR="00517C1E" w:rsidRPr="008B2CBA" w:rsidRDefault="00517C1E" w:rsidP="008B2CBA">
            <w:pPr>
              <w:pStyle w:val="TableText"/>
            </w:pPr>
            <w:r w:rsidRPr="008B2CBA">
              <w:t>Attrition used</w:t>
            </w:r>
          </w:p>
        </w:tc>
        <w:tc>
          <w:tcPr>
            <w:tcW w:w="619" w:type="pct"/>
            <w:tcBorders>
              <w:top w:val="nil"/>
              <w:left w:val="nil"/>
              <w:bottom w:val="nil"/>
              <w:right w:val="nil"/>
            </w:tcBorders>
            <w:noWrap/>
            <w:vAlign w:val="center"/>
            <w:hideMark/>
          </w:tcPr>
          <w:p w14:paraId="00BC63A8" w14:textId="77777777" w:rsidR="00517C1E" w:rsidRPr="008B2CBA" w:rsidRDefault="00517C1E" w:rsidP="008B2CBA">
            <w:pPr>
              <w:pStyle w:val="TableTextcentred"/>
            </w:pPr>
            <w:r w:rsidRPr="008B2CBA">
              <w:t>35.00%</w:t>
            </w:r>
          </w:p>
        </w:tc>
        <w:tc>
          <w:tcPr>
            <w:tcW w:w="788" w:type="pct"/>
            <w:tcBorders>
              <w:top w:val="nil"/>
              <w:left w:val="nil"/>
              <w:bottom w:val="nil"/>
              <w:right w:val="nil"/>
            </w:tcBorders>
            <w:noWrap/>
            <w:vAlign w:val="center"/>
            <w:hideMark/>
          </w:tcPr>
          <w:p w14:paraId="5647CF90" w14:textId="77777777" w:rsidR="00517C1E" w:rsidRPr="008B2CBA" w:rsidRDefault="00517C1E" w:rsidP="008B2CBA">
            <w:pPr>
              <w:pStyle w:val="TableTextcentred"/>
            </w:pPr>
            <w:r w:rsidRPr="008B2CBA">
              <w:t>22.00%</w:t>
            </w:r>
          </w:p>
        </w:tc>
        <w:tc>
          <w:tcPr>
            <w:tcW w:w="559" w:type="pct"/>
            <w:tcBorders>
              <w:top w:val="nil"/>
              <w:left w:val="nil"/>
              <w:bottom w:val="nil"/>
              <w:right w:val="nil"/>
            </w:tcBorders>
            <w:noWrap/>
            <w:vAlign w:val="center"/>
            <w:hideMark/>
          </w:tcPr>
          <w:p w14:paraId="1BF2B59C" w14:textId="5617F1D6" w:rsidR="00517C1E" w:rsidRPr="008B2CBA" w:rsidRDefault="00B72C39" w:rsidP="008B2CBA">
            <w:pPr>
              <w:pStyle w:val="TableTextcentred"/>
            </w:pPr>
            <w:r w:rsidRPr="008B2CBA">
              <w:t>–</w:t>
            </w:r>
          </w:p>
        </w:tc>
        <w:tc>
          <w:tcPr>
            <w:tcW w:w="589" w:type="pct"/>
            <w:tcBorders>
              <w:top w:val="nil"/>
              <w:left w:val="nil"/>
              <w:bottom w:val="nil"/>
              <w:right w:val="single" w:sz="4" w:space="0" w:color="auto"/>
            </w:tcBorders>
            <w:noWrap/>
            <w:vAlign w:val="center"/>
            <w:hideMark/>
          </w:tcPr>
          <w:p w14:paraId="492DEEFF" w14:textId="6FA58F0F" w:rsidR="00517C1E" w:rsidRPr="008B2CBA" w:rsidRDefault="00B72C39" w:rsidP="008B2CBA">
            <w:pPr>
              <w:pStyle w:val="TableTextcentred"/>
            </w:pPr>
            <w:r w:rsidRPr="008B2CBA">
              <w:t>–</w:t>
            </w:r>
          </w:p>
        </w:tc>
      </w:tr>
      <w:tr w:rsidR="00517C1E" w:rsidRPr="00F477F6" w14:paraId="39A01466" w14:textId="77777777" w:rsidTr="003E76DC">
        <w:trPr>
          <w:trHeight w:val="270"/>
        </w:trPr>
        <w:tc>
          <w:tcPr>
            <w:tcW w:w="2446" w:type="pct"/>
            <w:tcBorders>
              <w:top w:val="single" w:sz="4" w:space="0" w:color="auto"/>
              <w:left w:val="single" w:sz="4" w:space="0" w:color="auto"/>
              <w:bottom w:val="single" w:sz="4" w:space="0" w:color="auto"/>
              <w:right w:val="single" w:sz="4" w:space="0" w:color="auto"/>
            </w:tcBorders>
            <w:noWrap/>
            <w:vAlign w:val="center"/>
            <w:hideMark/>
          </w:tcPr>
          <w:p w14:paraId="036CA9FE" w14:textId="77777777" w:rsidR="00517C1E" w:rsidRPr="008B2CBA" w:rsidRDefault="00517C1E" w:rsidP="008B2CBA">
            <w:pPr>
              <w:pStyle w:val="TableText"/>
            </w:pPr>
            <w:r w:rsidRPr="008B2CBA">
              <w:t>Actual Average</w:t>
            </w:r>
          </w:p>
        </w:tc>
        <w:tc>
          <w:tcPr>
            <w:tcW w:w="619" w:type="pct"/>
            <w:tcBorders>
              <w:top w:val="single" w:sz="4" w:space="0" w:color="auto"/>
              <w:left w:val="nil"/>
              <w:bottom w:val="single" w:sz="4" w:space="0" w:color="auto"/>
              <w:right w:val="nil"/>
            </w:tcBorders>
            <w:noWrap/>
            <w:vAlign w:val="center"/>
            <w:hideMark/>
          </w:tcPr>
          <w:p w14:paraId="7AC22B4C" w14:textId="77777777" w:rsidR="00517C1E" w:rsidRPr="008B2CBA" w:rsidRDefault="00517C1E" w:rsidP="008B2CBA">
            <w:pPr>
              <w:pStyle w:val="TableTextcentred"/>
            </w:pPr>
            <w:r w:rsidRPr="008B2CBA">
              <w:t>34.24%</w:t>
            </w:r>
          </w:p>
        </w:tc>
        <w:tc>
          <w:tcPr>
            <w:tcW w:w="788" w:type="pct"/>
            <w:tcBorders>
              <w:top w:val="single" w:sz="4" w:space="0" w:color="auto"/>
              <w:left w:val="nil"/>
              <w:bottom w:val="single" w:sz="4" w:space="0" w:color="auto"/>
              <w:right w:val="nil"/>
            </w:tcBorders>
            <w:noWrap/>
            <w:vAlign w:val="center"/>
            <w:hideMark/>
          </w:tcPr>
          <w:p w14:paraId="0603F206" w14:textId="77777777" w:rsidR="00517C1E" w:rsidRPr="008B2CBA" w:rsidRDefault="00517C1E" w:rsidP="008B2CBA">
            <w:pPr>
              <w:pStyle w:val="TableTextcentred"/>
            </w:pPr>
            <w:r w:rsidRPr="008B2CBA">
              <w:t>22.63%</w:t>
            </w:r>
          </w:p>
        </w:tc>
        <w:tc>
          <w:tcPr>
            <w:tcW w:w="559" w:type="pct"/>
            <w:tcBorders>
              <w:top w:val="single" w:sz="4" w:space="0" w:color="auto"/>
              <w:left w:val="nil"/>
              <w:bottom w:val="single" w:sz="4" w:space="0" w:color="auto"/>
              <w:right w:val="nil"/>
            </w:tcBorders>
            <w:noWrap/>
            <w:vAlign w:val="center"/>
            <w:hideMark/>
          </w:tcPr>
          <w:p w14:paraId="60687844" w14:textId="77777777" w:rsidR="00517C1E" w:rsidRPr="008B2CBA" w:rsidRDefault="00517C1E" w:rsidP="008B2CBA">
            <w:pPr>
              <w:pStyle w:val="TableTextcentred"/>
            </w:pPr>
            <w:r w:rsidRPr="008B2CBA">
              <w:t>39.97%</w:t>
            </w:r>
          </w:p>
        </w:tc>
        <w:tc>
          <w:tcPr>
            <w:tcW w:w="589" w:type="pct"/>
            <w:tcBorders>
              <w:top w:val="single" w:sz="4" w:space="0" w:color="auto"/>
              <w:left w:val="nil"/>
              <w:bottom w:val="single" w:sz="4" w:space="0" w:color="auto"/>
              <w:right w:val="single" w:sz="4" w:space="0" w:color="auto"/>
            </w:tcBorders>
            <w:noWrap/>
            <w:vAlign w:val="center"/>
            <w:hideMark/>
          </w:tcPr>
          <w:p w14:paraId="22DAA95D" w14:textId="77777777" w:rsidR="00517C1E" w:rsidRPr="008B2CBA" w:rsidRDefault="00517C1E" w:rsidP="008B2CBA">
            <w:pPr>
              <w:pStyle w:val="TableTextcentred"/>
            </w:pPr>
            <w:r w:rsidRPr="008B2CBA">
              <w:t>32.29%</w:t>
            </w:r>
          </w:p>
        </w:tc>
      </w:tr>
    </w:tbl>
    <w:p w14:paraId="4D3B6F0F" w14:textId="77777777" w:rsidR="00517C1E" w:rsidRPr="00D20D53" w:rsidRDefault="00517C1E" w:rsidP="00D20D53"/>
    <w:p w14:paraId="7C2082C3" w14:textId="15CF21C3" w:rsidR="00517C1E" w:rsidRPr="00F477F6" w:rsidRDefault="00517C1E" w:rsidP="00D20D53">
      <w:r w:rsidRPr="00F477F6">
        <w:t>This calculation assumes that all courses are three years in length but that is not the reality. This is more of an issue when looking at the data by University and for Universities that have large changes</w:t>
      </w:r>
      <w:r w:rsidR="003008B9" w:rsidRPr="00F477F6">
        <w:t xml:space="preserve"> in numbers from year to year.</w:t>
      </w:r>
    </w:p>
    <w:p w14:paraId="06457DC3" w14:textId="46A329E9" w:rsidR="00517C1E" w:rsidRPr="00F477F6" w:rsidRDefault="00517C1E" w:rsidP="00D20D53">
      <w:r w:rsidRPr="00F477F6">
        <w:t>Students may move from one University or course to another. This is not tracking students through courses - just total numbers.</w:t>
      </w:r>
    </w:p>
    <w:p w14:paraId="32B03C0E" w14:textId="77777777" w:rsidR="00542AFA" w:rsidRPr="00F477F6" w:rsidRDefault="00542AFA" w:rsidP="00D20D53">
      <w:pPr>
        <w:pStyle w:val="Heading3"/>
        <w:rPr>
          <w:lang w:val="en-AU"/>
        </w:rPr>
      </w:pPr>
      <w:r w:rsidRPr="00F477F6">
        <w:rPr>
          <w:lang w:val="en-AU"/>
        </w:rPr>
        <w:t>Definitions</w:t>
      </w:r>
    </w:p>
    <w:p w14:paraId="2DFCB6FC" w14:textId="62925255" w:rsidR="00542AFA" w:rsidRPr="00F477F6" w:rsidRDefault="00542AFA" w:rsidP="00D20D53">
      <w:pPr>
        <w:pStyle w:val="Heading4"/>
      </w:pPr>
      <w:r w:rsidRPr="00F477F6">
        <w:t>Commencing Students</w:t>
      </w:r>
      <w:r w:rsidR="00303753" w:rsidRPr="00F477F6">
        <w:rPr>
          <w:rStyle w:val="FootnoteReference"/>
          <w:rFonts w:ascii="Avenir LT Std 35 Light" w:hAnsi="Avenir LT Std 35 Light"/>
          <w:sz w:val="20"/>
          <w:szCs w:val="20"/>
        </w:rPr>
        <w:footnoteReference w:id="4"/>
      </w:r>
    </w:p>
    <w:p w14:paraId="5304A97A" w14:textId="77777777" w:rsidR="00542AFA" w:rsidRPr="00F477F6" w:rsidRDefault="00542AFA" w:rsidP="00D20D53">
      <w:r w:rsidRPr="00F477F6">
        <w:t>A student is a commencing student if she/he has enrolled in the course for the first time at the higher education provider or an antecedent higher education provider between 1 January of the collection year and 31 December of the collection year. An antecedent higher education provider means a higher education provider which has merged with the higher education provider at which the student's enrolment continues. Students of the following types are not to be classified as commencing students:</w:t>
      </w:r>
    </w:p>
    <w:p w14:paraId="74E6958B" w14:textId="77777777" w:rsidR="00542AFA" w:rsidRPr="00F477F6" w:rsidRDefault="00542AFA" w:rsidP="00D20D53">
      <w:pPr>
        <w:pStyle w:val="ListParagraph"/>
        <w:numPr>
          <w:ilvl w:val="0"/>
          <w:numId w:val="37"/>
        </w:numPr>
      </w:pPr>
      <w:r w:rsidRPr="00F477F6">
        <w:t>students who are starting a specialised program of studies after completing, at the institution or an antecedent institution, a common initial year or years of a general program;</w:t>
      </w:r>
    </w:p>
    <w:p w14:paraId="4D03E8BC" w14:textId="77777777" w:rsidR="00542AFA" w:rsidRPr="00F477F6" w:rsidRDefault="00542AFA" w:rsidP="00D20D53">
      <w:pPr>
        <w:pStyle w:val="ListParagraph"/>
        <w:numPr>
          <w:ilvl w:val="0"/>
          <w:numId w:val="37"/>
        </w:numPr>
      </w:pPr>
      <w:r w:rsidRPr="00F477F6">
        <w:t xml:space="preserve">students who, having completed an initial year of study at the institution or an antecedent institution then exercise a standard option of continuing their studies </w:t>
      </w:r>
      <w:r w:rsidRPr="00F477F6">
        <w:lastRenderedPageBreak/>
        <w:t>but at a lower level (i.e. their studies would then lead to an award at a level lower than that which pertains to the program of studies undertaken in the first year);</w:t>
      </w:r>
    </w:p>
    <w:p w14:paraId="2A045C39" w14:textId="77777777" w:rsidR="00542AFA" w:rsidRPr="00F477F6" w:rsidRDefault="00542AFA" w:rsidP="00D20D53">
      <w:pPr>
        <w:pStyle w:val="ListParagraph"/>
        <w:numPr>
          <w:ilvl w:val="0"/>
          <w:numId w:val="37"/>
        </w:numPr>
      </w:pPr>
      <w:r w:rsidRPr="00F477F6">
        <w:t>students who move from course to course within a course of study;</w:t>
      </w:r>
    </w:p>
    <w:p w14:paraId="0452CE14" w14:textId="77777777" w:rsidR="00542AFA" w:rsidRPr="00F477F6" w:rsidRDefault="00542AFA" w:rsidP="00D20D53">
      <w:pPr>
        <w:pStyle w:val="ListParagraph"/>
        <w:numPr>
          <w:ilvl w:val="0"/>
          <w:numId w:val="37"/>
        </w:numPr>
      </w:pPr>
      <w:r w:rsidRPr="00F477F6">
        <w:t>students who are admitted to, or transfer to a bachelor's honours course of study having previously been enrolled at the higher education provider or an antecedent higher education provider, in the related bachelor's pass course of study;</w:t>
      </w:r>
    </w:p>
    <w:p w14:paraId="77B880CC" w14:textId="77777777" w:rsidR="00542AFA" w:rsidRPr="00F477F6" w:rsidRDefault="00542AFA" w:rsidP="00D20D53">
      <w:pPr>
        <w:pStyle w:val="ListParagraph"/>
        <w:numPr>
          <w:ilvl w:val="0"/>
          <w:numId w:val="37"/>
        </w:numPr>
      </w:pPr>
      <w:r w:rsidRPr="00F477F6">
        <w:t>students who are admitted to, or transfer to a master's honours course of study having previously been enrolled at the higher education provider or an antecedent higher education provider, in the related master's pass course;</w:t>
      </w:r>
    </w:p>
    <w:p w14:paraId="7C320067" w14:textId="77777777" w:rsidR="00542AFA" w:rsidRPr="00F477F6" w:rsidRDefault="00542AFA" w:rsidP="00D20D53">
      <w:pPr>
        <w:pStyle w:val="ListParagraph"/>
        <w:numPr>
          <w:ilvl w:val="0"/>
          <w:numId w:val="37"/>
        </w:numPr>
      </w:pPr>
      <w:r w:rsidRPr="00F477F6">
        <w:t>students who are enrolled in a course of study at the higher education provider or an antecedent higher education provider which is upgraded in level or renamed;</w:t>
      </w:r>
    </w:p>
    <w:p w14:paraId="254657A5" w14:textId="77777777" w:rsidR="00542AFA" w:rsidRPr="00F477F6" w:rsidRDefault="00542AFA" w:rsidP="00D20D53">
      <w:pPr>
        <w:pStyle w:val="ListParagraph"/>
        <w:numPr>
          <w:ilvl w:val="0"/>
          <w:numId w:val="37"/>
        </w:numPr>
      </w:pPr>
      <w:r w:rsidRPr="00F477F6">
        <w:t>students who are resuming the same course at the higher education provider or an antecedent higher education provider after an absence;</w:t>
      </w:r>
    </w:p>
    <w:p w14:paraId="169D21E5" w14:textId="77777777" w:rsidR="00542AFA" w:rsidRPr="00F477F6" w:rsidRDefault="00542AFA" w:rsidP="00D20D53">
      <w:pPr>
        <w:pStyle w:val="ListParagraph"/>
        <w:numPr>
          <w:ilvl w:val="0"/>
          <w:numId w:val="37"/>
        </w:numPr>
      </w:pPr>
      <w:r w:rsidRPr="00F477F6">
        <w:t>students continuing from the first component of a combined course to the second or later components;</w:t>
      </w:r>
    </w:p>
    <w:p w14:paraId="252A1693" w14:textId="77777777" w:rsidR="00542AFA" w:rsidRPr="00F477F6" w:rsidRDefault="00542AFA" w:rsidP="00D20D53">
      <w:pPr>
        <w:pStyle w:val="ListParagraph"/>
        <w:numPr>
          <w:ilvl w:val="0"/>
          <w:numId w:val="37"/>
        </w:numPr>
      </w:pPr>
      <w:r w:rsidRPr="00F477F6">
        <w:t>students resuming a combined course which normally leads to a single award after having been conceded an award for another course of study;</w:t>
      </w:r>
    </w:p>
    <w:p w14:paraId="5AB0CAB6" w14:textId="77777777" w:rsidR="00542AFA" w:rsidRPr="00F477F6" w:rsidRDefault="00542AFA" w:rsidP="00D20D53">
      <w:pPr>
        <w:pStyle w:val="ListParagraph"/>
        <w:numPr>
          <w:ilvl w:val="0"/>
          <w:numId w:val="37"/>
        </w:numPr>
      </w:pPr>
      <w:r w:rsidRPr="00F477F6">
        <w:t>students who have completed part of the requirements of a combined course of study at the institution and then change their enrolment to one of the components of that combined course of study;</w:t>
      </w:r>
    </w:p>
    <w:p w14:paraId="4B5D82A1" w14:textId="77777777" w:rsidR="00542AFA" w:rsidRPr="00F477F6" w:rsidRDefault="00542AFA" w:rsidP="00D20D53">
      <w:pPr>
        <w:pStyle w:val="ListParagraph"/>
        <w:numPr>
          <w:ilvl w:val="0"/>
          <w:numId w:val="37"/>
        </w:numPr>
      </w:pPr>
      <w:r w:rsidRPr="00F477F6">
        <w:t>students who have completed part of the requirements of a unitary course of study at the institution and then change their enrolment to a related combined course of study which leads to an award or awards that subsume the award applicable to the unitary course of study; or</w:t>
      </w:r>
    </w:p>
    <w:p w14:paraId="5D694483" w14:textId="77777777" w:rsidR="00542AFA" w:rsidRPr="00F477F6" w:rsidRDefault="00542AFA" w:rsidP="00D20D53">
      <w:pPr>
        <w:pStyle w:val="ListParagraph"/>
        <w:numPr>
          <w:ilvl w:val="0"/>
          <w:numId w:val="37"/>
        </w:numPr>
      </w:pPr>
      <w:r w:rsidRPr="00F477F6">
        <w:t>students who transfer within the higher education provider from one course strain to another course strain, where the course leads to the same award (e.g. a student who changes from a BSc (Chemistry) to a BSc (Physics)).</w:t>
      </w:r>
    </w:p>
    <w:p w14:paraId="2A763041" w14:textId="0156F102" w:rsidR="00542AFA" w:rsidRPr="00F477F6" w:rsidRDefault="00542AFA" w:rsidP="00D20D53">
      <w:pPr>
        <w:pStyle w:val="Heading4"/>
      </w:pPr>
      <w:r w:rsidRPr="00F477F6">
        <w:t>Completions</w:t>
      </w:r>
      <w:r w:rsidR="00303753" w:rsidRPr="006C580B">
        <w:rPr>
          <w:vertAlign w:val="superscript"/>
        </w:rPr>
        <w:footnoteReference w:id="5"/>
      </w:r>
    </w:p>
    <w:p w14:paraId="1325FF37" w14:textId="77777777" w:rsidR="00542AFA" w:rsidRPr="00F477F6" w:rsidRDefault="00542AFA" w:rsidP="00D20D53">
      <w:r w:rsidRPr="00F477F6">
        <w:t>The successful completion of all the academic requirements of a course which includes any required attendance, assignments, examinations, assessments, dissertations, practical experience and work experience in industry. The conferring of the award for a course is not synonymous with and should not be substituted for 'course completion' as some students may have completed all the academic requirements of the course but not have received the award.</w:t>
      </w:r>
    </w:p>
    <w:p w14:paraId="33BC8D0A" w14:textId="77777777" w:rsidR="00542AFA" w:rsidRPr="00F477F6" w:rsidRDefault="00542AFA" w:rsidP="00D20D53">
      <w:r w:rsidRPr="00F477F6">
        <w:t>A course completion occurs in those cases where a student is conceded an award after ceasing studies which would have led to a single award for a combined course (e.g. BA/LLb). In such cases, the course completion is for the course for which the completed units of study are counted as meeting its requirements. However, if a student is granted an award after partial completion of a combined course which normally leads to a single award, and then resumes studies of the combined course in the next year, a course completion does not occur.</w:t>
      </w:r>
    </w:p>
    <w:p w14:paraId="76BCF960" w14:textId="77777777" w:rsidR="00AB2321" w:rsidRPr="00F477F6" w:rsidRDefault="00542AFA" w:rsidP="00D20D53">
      <w:r w:rsidRPr="00F477F6">
        <w:t xml:space="preserve">Where a combined course automatically leads to two separate awards, a course completion only occurs when the requirements of both awards have been satisfied. The </w:t>
      </w:r>
      <w:r w:rsidRPr="00F477F6">
        <w:lastRenderedPageBreak/>
        <w:t>completion, therefore, would be for the combined course only (and not two separate completions for two awards).</w:t>
      </w:r>
    </w:p>
    <w:bookmarkEnd w:id="155"/>
    <w:p w14:paraId="4287BD18" w14:textId="4CAA91A3" w:rsidR="00176EEB" w:rsidRPr="00D20D53" w:rsidRDefault="00176EEB" w:rsidP="00D20D53"/>
    <w:sectPr w:rsidR="00176EEB" w:rsidRPr="00D20D53" w:rsidSect="00F12244">
      <w:pgSz w:w="11906" w:h="16838"/>
      <w:pgMar w:top="1134" w:right="1274" w:bottom="851" w:left="1021" w:header="709" w:footer="2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5D05D4" w14:textId="77777777" w:rsidR="009A067F" w:rsidRDefault="009A067F">
      <w:r>
        <w:separator/>
      </w:r>
    </w:p>
  </w:endnote>
  <w:endnote w:type="continuationSeparator" w:id="0">
    <w:p w14:paraId="08C0A38A" w14:textId="77777777" w:rsidR="009A067F" w:rsidRDefault="009A06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ourier">
    <w:panose1 w:val="02070409020205020404"/>
    <w:charset w:val="00"/>
    <w:family w:val="modern"/>
    <w:notTrueType/>
    <w:pitch w:val="fixed"/>
    <w:sig w:usb0="00000003" w:usb1="00000000" w:usb2="00000000" w:usb3="00000000" w:csb0="00000001" w:csb1="00000000"/>
  </w:font>
  <w:font w:name="Lucida Grande">
    <w:altName w:val="Times New Roman"/>
    <w:charset w:val="00"/>
    <w:family w:val="auto"/>
    <w:pitch w:val="variable"/>
    <w:sig w:usb0="00000000" w:usb1="5000A1FF" w:usb2="00000000" w:usb3="00000000" w:csb0="000001BF" w:csb1="00000000"/>
  </w:font>
  <w:font w:name="Avenir LT Std 65 Medium">
    <w:altName w:val="Trebuchet MS"/>
    <w:panose1 w:val="00000000000000000000"/>
    <w:charset w:val="00"/>
    <w:family w:val="swiss"/>
    <w:notTrueType/>
    <w:pitch w:val="variable"/>
    <w:sig w:usb0="00000003" w:usb1="4000204A"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Avenir LT Std 35 Light">
    <w:altName w:val="Century Gothic"/>
    <w:panose1 w:val="00000000000000000000"/>
    <w:charset w:val="00"/>
    <w:family w:val="swiss"/>
    <w:notTrueType/>
    <w:pitch w:val="variable"/>
    <w:sig w:usb0="00000003"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957EA9" w14:textId="2F0A478D" w:rsidR="009A067F" w:rsidRPr="005F1C0A" w:rsidRDefault="009A067F">
    <w:pPr>
      <w:pStyle w:val="Footer"/>
      <w:rPr>
        <w:lang w:val="en-US"/>
      </w:rPr>
    </w:pPr>
    <w:r>
      <w:fldChar w:fldCharType="begin"/>
    </w:r>
    <w:r>
      <w:instrText xml:space="preserve"> DOCPROPERTY  "Document Name"  \* MERGEFORMAT </w:instrText>
    </w:r>
    <w:r>
      <w:fldChar w:fldCharType="separate"/>
    </w:r>
    <w:r w:rsidR="00641259">
      <w:rPr>
        <w:b/>
        <w:bCs/>
        <w:lang w:val="en-US"/>
      </w:rPr>
      <w:t>Error! Unknown document property name.</w:t>
    </w:r>
    <w:r>
      <w:rPr>
        <w:lang w:val="en-US"/>
      </w:rPr>
      <w:fldChar w:fldCharType="end"/>
    </w:r>
    <w:r>
      <w:rPr>
        <w:lang w:val="en-US"/>
      </w:rPr>
      <w:t xml:space="preserve"> – </w:t>
    </w:r>
    <w:r>
      <w:fldChar w:fldCharType="begin"/>
    </w:r>
    <w:r>
      <w:instrText xml:space="preserve"> DOCPROPERTY  "Document Type"  \* MERGEFORMAT </w:instrText>
    </w:r>
    <w:r>
      <w:fldChar w:fldCharType="separate"/>
    </w:r>
    <w:r w:rsidR="00641259">
      <w:rPr>
        <w:b/>
        <w:bCs/>
        <w:lang w:val="en-US"/>
      </w:rPr>
      <w:t>Error! Unknown document property name.</w:t>
    </w:r>
    <w:r>
      <w:rPr>
        <w:lang w:val="en-US"/>
      </w:rPr>
      <w:fldChar w:fldCharType="end"/>
    </w:r>
    <w:r>
      <w:rPr>
        <w:lang w:val="en-US"/>
      </w:rPr>
      <w:tab/>
    </w:r>
    <w:r>
      <w:rPr>
        <w:lang w:val="en-US"/>
      </w:rPr>
      <w:tab/>
      <w:t xml:space="preserve">Page </w:t>
    </w:r>
    <w:r w:rsidRPr="005F1C0A">
      <w:rPr>
        <w:rStyle w:val="PageNumber"/>
        <w:lang w:val="en-US"/>
      </w:rPr>
      <w:fldChar w:fldCharType="begin"/>
    </w:r>
    <w:r w:rsidRPr="005F1C0A">
      <w:rPr>
        <w:rStyle w:val="PageNumber"/>
        <w:lang w:val="en-US"/>
      </w:rPr>
      <w:instrText xml:space="preserve"> PAGE   \* MERGEFORMAT </w:instrText>
    </w:r>
    <w:r w:rsidRPr="005F1C0A">
      <w:rPr>
        <w:rStyle w:val="PageNumber"/>
        <w:lang w:val="en-US"/>
      </w:rPr>
      <w:fldChar w:fldCharType="separate"/>
    </w:r>
    <w:r w:rsidR="00D97226" w:rsidRPr="00D97226">
      <w:rPr>
        <w:rStyle w:val="PageNumber"/>
        <w:noProof/>
        <w:lang w:val="en-AU"/>
      </w:rPr>
      <w:t>2</w:t>
    </w:r>
    <w:r w:rsidRPr="005F1C0A">
      <w:rPr>
        <w:rStyle w:val="PageNumber"/>
        <w:lang w:val="en-US"/>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E1FD8E" w14:textId="757E0564" w:rsidR="009A067F" w:rsidRPr="005F1C0A" w:rsidRDefault="009A067F">
    <w:pPr>
      <w:pStyle w:val="Footer"/>
      <w:rPr>
        <w:lang w:val="en-US"/>
      </w:rPr>
    </w:pPr>
    <w:r w:rsidRPr="00293BCF">
      <w:rPr>
        <w:rFonts w:ascii="Avenir LT Std 35 Light" w:hAnsi="Avenir LT Std 35 Light"/>
        <w:lang w:val="en-US"/>
      </w:rPr>
      <w:t xml:space="preserve">Australia’s Future Health Workforce – Nurses – Overview </w:t>
    </w:r>
    <w:r w:rsidRPr="00293BCF">
      <w:rPr>
        <w:rFonts w:ascii="Avenir LT Std 35 Light" w:hAnsi="Avenir LT Std 35 Light"/>
        <w:lang w:val="en-US"/>
      </w:rPr>
      <w:tab/>
    </w:r>
    <w:r w:rsidRPr="00293BCF">
      <w:rPr>
        <w:rFonts w:ascii="Avenir LT Std 35 Light" w:hAnsi="Avenir LT Std 35 Light"/>
        <w:lang w:val="en-US"/>
      </w:rPr>
      <w:tab/>
      <w:t>Page</w:t>
    </w:r>
    <w:r w:rsidRPr="00A5658C">
      <w:rPr>
        <w:color w:val="0065A4"/>
        <w:lang w:val="en-US"/>
      </w:rPr>
      <w:t xml:space="preserve"> </w:t>
    </w:r>
    <w:r w:rsidRPr="00A5658C">
      <w:rPr>
        <w:rStyle w:val="PageNumber"/>
        <w:color w:val="0065A4"/>
        <w:lang w:val="en-US"/>
      </w:rPr>
      <w:fldChar w:fldCharType="begin"/>
    </w:r>
    <w:r w:rsidRPr="00A5658C">
      <w:rPr>
        <w:rStyle w:val="PageNumber"/>
        <w:color w:val="0065A4"/>
        <w:lang w:val="en-US"/>
      </w:rPr>
      <w:instrText xml:space="preserve"> PAGE   \* MERGEFORMAT </w:instrText>
    </w:r>
    <w:r w:rsidRPr="00A5658C">
      <w:rPr>
        <w:rStyle w:val="PageNumber"/>
        <w:color w:val="0065A4"/>
        <w:lang w:val="en-US"/>
      </w:rPr>
      <w:fldChar w:fldCharType="separate"/>
    </w:r>
    <w:r w:rsidR="00D97226" w:rsidRPr="00D97226">
      <w:rPr>
        <w:rStyle w:val="PageNumber"/>
        <w:noProof/>
        <w:color w:val="0065A4"/>
        <w:lang w:val="en-AU"/>
      </w:rPr>
      <w:t>iii</w:t>
    </w:r>
    <w:r w:rsidRPr="00A5658C">
      <w:rPr>
        <w:rStyle w:val="PageNumber"/>
        <w:color w:val="0065A4"/>
        <w:lang w:val="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ABDC92E" w14:textId="77777777" w:rsidR="009A067F" w:rsidRDefault="009A067F">
      <w:r>
        <w:separator/>
      </w:r>
    </w:p>
  </w:footnote>
  <w:footnote w:type="continuationSeparator" w:id="0">
    <w:p w14:paraId="22F26982" w14:textId="77777777" w:rsidR="009A067F" w:rsidRDefault="009A067F">
      <w:r>
        <w:continuationSeparator/>
      </w:r>
    </w:p>
  </w:footnote>
  <w:footnote w:id="1">
    <w:p w14:paraId="1D643FC6" w14:textId="681C4E41" w:rsidR="009A067F" w:rsidRPr="001B221E" w:rsidRDefault="009A067F" w:rsidP="002608CF">
      <w:pPr>
        <w:pStyle w:val="FootnoteText"/>
        <w:rPr>
          <w:rFonts w:ascii="Avenir LT Std 35 Light" w:hAnsi="Avenir LT Std 35 Light"/>
          <w:sz w:val="18"/>
          <w:szCs w:val="18"/>
          <w:lang w:val="en-US"/>
        </w:rPr>
      </w:pPr>
      <w:r w:rsidRPr="001B221E">
        <w:rPr>
          <w:rStyle w:val="FootnoteReference"/>
          <w:rFonts w:ascii="Avenir LT Std 35 Light" w:hAnsi="Avenir LT Std 35 Light"/>
          <w:sz w:val="18"/>
          <w:szCs w:val="18"/>
        </w:rPr>
        <w:footnoteRef/>
      </w:r>
      <w:r w:rsidRPr="001B221E">
        <w:rPr>
          <w:rFonts w:ascii="Avenir LT Std 35 Light" w:hAnsi="Avenir LT Std 35 Light"/>
          <w:sz w:val="18"/>
          <w:szCs w:val="18"/>
        </w:rPr>
        <w:t xml:space="preserve"> </w:t>
      </w:r>
      <w:r w:rsidRPr="001B221E">
        <w:rPr>
          <w:rFonts w:ascii="Avenir LT Std 35 Light" w:hAnsi="Avenir LT Std 35 Light"/>
          <w:sz w:val="18"/>
          <w:szCs w:val="18"/>
          <w:lang w:val="en-US" w:eastAsia="x-none"/>
        </w:rPr>
        <w:fldChar w:fldCharType="begin"/>
      </w:r>
      <w:r w:rsidRPr="001B221E">
        <w:rPr>
          <w:rFonts w:ascii="Avenir LT Std 35 Light" w:hAnsi="Avenir LT Std 35 Light"/>
          <w:sz w:val="18"/>
          <w:szCs w:val="18"/>
          <w:lang w:val="en-US" w:eastAsia="x-none"/>
        </w:rPr>
        <w:instrText xml:space="preserve"> ADDIN EN.CITE &lt;EndNote&gt;&lt;Cite&gt;&lt;RecNum&gt;0&lt;/RecNum&gt;&lt;Note&gt;Sanding Council on Health (2013) National Primary Health Care Strategic Framework&lt;/Note&gt;&lt;DisplayText&gt;Sanding Council on Health (2013) National Primary Health Care Strategic Framework&lt;/DisplayText&gt;&lt;/Cite&gt;&lt;/EndNote&gt;</w:instrText>
      </w:r>
      <w:r w:rsidRPr="001B221E">
        <w:rPr>
          <w:rFonts w:ascii="Avenir LT Std 35 Light" w:hAnsi="Avenir LT Std 35 Light"/>
          <w:sz w:val="18"/>
          <w:szCs w:val="18"/>
          <w:lang w:val="en-US" w:eastAsia="x-none"/>
        </w:rPr>
        <w:fldChar w:fldCharType="separate"/>
      </w:r>
      <w:r w:rsidRPr="001B221E">
        <w:rPr>
          <w:rFonts w:ascii="Avenir LT Std 35 Light" w:hAnsi="Avenir LT Std 35 Light"/>
          <w:noProof/>
          <w:sz w:val="18"/>
          <w:szCs w:val="18"/>
          <w:lang w:val="en-US" w:eastAsia="x-none"/>
        </w:rPr>
        <w:t>S</w:t>
      </w:r>
      <w:r>
        <w:rPr>
          <w:rFonts w:ascii="Avenir LT Std 35 Light" w:hAnsi="Avenir LT Std 35 Light"/>
          <w:noProof/>
          <w:sz w:val="18"/>
          <w:szCs w:val="18"/>
          <w:lang w:val="en-US" w:eastAsia="x-none"/>
        </w:rPr>
        <w:t>t</w:t>
      </w:r>
      <w:r w:rsidRPr="001B221E">
        <w:rPr>
          <w:rFonts w:ascii="Avenir LT Std 35 Light" w:hAnsi="Avenir LT Std 35 Light"/>
          <w:noProof/>
          <w:sz w:val="18"/>
          <w:szCs w:val="18"/>
          <w:lang w:val="en-US" w:eastAsia="x-none"/>
        </w:rPr>
        <w:t>anding Council on Health (2013) National Primary Health Care Strategic Framework</w:t>
      </w:r>
      <w:r w:rsidRPr="001B221E">
        <w:rPr>
          <w:rFonts w:ascii="Avenir LT Std 35 Light" w:hAnsi="Avenir LT Std 35 Light"/>
          <w:sz w:val="18"/>
          <w:szCs w:val="18"/>
          <w:lang w:val="en-US" w:eastAsia="x-none"/>
        </w:rPr>
        <w:fldChar w:fldCharType="end"/>
      </w:r>
    </w:p>
  </w:footnote>
  <w:footnote w:id="2">
    <w:p w14:paraId="4EC0873E" w14:textId="77777777" w:rsidR="009A067F" w:rsidRPr="00F23664" w:rsidRDefault="009A067F" w:rsidP="000F7248">
      <w:pPr>
        <w:pStyle w:val="FootnoteText"/>
        <w:spacing w:after="0"/>
        <w:rPr>
          <w:rFonts w:ascii="Avenir LT Std 35 Light" w:hAnsi="Avenir LT Std 35 Light"/>
          <w:sz w:val="16"/>
          <w:szCs w:val="16"/>
        </w:rPr>
      </w:pPr>
      <w:r w:rsidRPr="00F23664">
        <w:rPr>
          <w:rStyle w:val="FootnoteReference"/>
          <w:rFonts w:ascii="Avenir LT Std 35 Light" w:hAnsi="Avenir LT Std 35 Light"/>
          <w:sz w:val="16"/>
          <w:szCs w:val="16"/>
        </w:rPr>
        <w:footnoteRef/>
      </w:r>
      <w:r w:rsidRPr="00F23664">
        <w:rPr>
          <w:rStyle w:val="FootnoteReference"/>
          <w:rFonts w:ascii="Avenir LT Std 35 Light" w:hAnsi="Avenir LT Std 35 Light"/>
          <w:sz w:val="16"/>
          <w:szCs w:val="16"/>
        </w:rPr>
        <w:t xml:space="preserve"> </w:t>
      </w:r>
      <w:r w:rsidRPr="00F23664">
        <w:rPr>
          <w:rFonts w:ascii="Avenir LT Std 35 Light" w:hAnsi="Avenir LT Std 35 Light"/>
          <w:sz w:val="16"/>
          <w:szCs w:val="16"/>
        </w:rPr>
        <w:t xml:space="preserve">Aiken L, Clarke S, Sloane D, Sochalski J, Silber J, 2002, ‘Hospital nurse staffing and patient mortality, nurse burnout and job dissatisfaction. </w:t>
      </w:r>
      <w:r w:rsidRPr="00F23664">
        <w:rPr>
          <w:rFonts w:ascii="Avenir LT Std 35 Light" w:hAnsi="Avenir LT Std 35 Light"/>
          <w:i/>
          <w:sz w:val="16"/>
          <w:szCs w:val="16"/>
        </w:rPr>
        <w:t>The Journal of the American Medical Association</w:t>
      </w:r>
      <w:r w:rsidRPr="00F23664">
        <w:rPr>
          <w:rFonts w:ascii="Avenir LT Std 35 Light" w:hAnsi="Avenir LT Std 35 Light"/>
          <w:sz w:val="16"/>
          <w:szCs w:val="16"/>
        </w:rPr>
        <w:t>, 288(16), pp.1987-1993.</w:t>
      </w:r>
    </w:p>
  </w:footnote>
  <w:footnote w:id="3">
    <w:p w14:paraId="4B1140E5" w14:textId="77777777" w:rsidR="009A067F" w:rsidRPr="00F719CA" w:rsidRDefault="009A067F" w:rsidP="000F7248">
      <w:pPr>
        <w:pStyle w:val="FootnoteText"/>
        <w:spacing w:after="0"/>
        <w:rPr>
          <w:rStyle w:val="FootnoteReference"/>
        </w:rPr>
      </w:pPr>
      <w:r w:rsidRPr="00F23664">
        <w:rPr>
          <w:rFonts w:ascii="Avenir LT Std 35 Light" w:hAnsi="Avenir LT Std 35 Light"/>
          <w:sz w:val="16"/>
          <w:szCs w:val="16"/>
        </w:rPr>
        <w:footnoteRef/>
      </w:r>
      <w:r w:rsidRPr="00F23664">
        <w:rPr>
          <w:rFonts w:ascii="Avenir LT Std 35 Light" w:hAnsi="Avenir LT Std 35 Light"/>
          <w:sz w:val="16"/>
          <w:szCs w:val="16"/>
        </w:rPr>
        <w:t xml:space="preserve"> Duckett, S., Bread on, P. and Farmer, J. 2014, Unlocking skills in hospitals: better jobs, more care, Grattan Institute</w:t>
      </w:r>
      <w:r w:rsidRPr="00F719CA">
        <w:rPr>
          <w:sz w:val="16"/>
          <w:szCs w:val="18"/>
        </w:rPr>
        <w:t>.</w:t>
      </w:r>
    </w:p>
  </w:footnote>
  <w:footnote w:id="4">
    <w:p w14:paraId="226D825D" w14:textId="6DC343AA" w:rsidR="009A067F" w:rsidRPr="005100C9" w:rsidRDefault="009A067F" w:rsidP="00AB2321">
      <w:pPr>
        <w:spacing w:line="276" w:lineRule="auto"/>
        <w:rPr>
          <w:rFonts w:ascii="Avenir LT Std 35 Light" w:hAnsi="Avenir LT Std 35 Light"/>
          <w:sz w:val="18"/>
          <w:szCs w:val="18"/>
          <w:lang w:eastAsia="x-none"/>
        </w:rPr>
      </w:pPr>
      <w:r>
        <w:rPr>
          <w:rStyle w:val="FootnoteReference"/>
        </w:rPr>
        <w:footnoteRef/>
      </w:r>
      <w:r>
        <w:t xml:space="preserve"> </w:t>
      </w:r>
      <w:r w:rsidRPr="00303753">
        <w:rPr>
          <w:rFonts w:ascii="Avenir LT Std 35 Light" w:hAnsi="Avenir LT Std 35 Light"/>
          <w:sz w:val="18"/>
          <w:szCs w:val="18"/>
          <w:lang w:eastAsia="x-none"/>
        </w:rPr>
        <w:t>Source:</w:t>
      </w:r>
      <w:r>
        <w:rPr>
          <w:rFonts w:ascii="Avenir LT Std 35 Light" w:hAnsi="Avenir LT Std 35 Light"/>
          <w:sz w:val="18"/>
          <w:szCs w:val="18"/>
          <w:lang w:eastAsia="x-none"/>
        </w:rPr>
        <w:t xml:space="preserve"> </w:t>
      </w:r>
      <w:r>
        <w:rPr>
          <w:rFonts w:ascii="Avenir LT Std 35 Light" w:hAnsi="Avenir LT Std 35 Light"/>
          <w:sz w:val="18"/>
          <w:szCs w:val="18"/>
          <w:lang w:val="en-US"/>
        </w:rPr>
        <w:t xml:space="preserve">Department of Education </w:t>
      </w:r>
      <w:hyperlink r:id="rId1" w:history="1">
        <w:r w:rsidRPr="00CE1C1C">
          <w:rPr>
            <w:rStyle w:val="Hyperlink"/>
            <w:rFonts w:ascii="Avenir LT Std 35 Light" w:hAnsi="Avenir LT Std 35 Light"/>
            <w:sz w:val="18"/>
            <w:szCs w:val="18"/>
            <w:lang w:val="en-US"/>
          </w:rPr>
          <w:t>uCube Higher Education Statistics</w:t>
        </w:r>
      </w:hyperlink>
      <w:r w:rsidRPr="00303753">
        <w:rPr>
          <w:rFonts w:ascii="Avenir LT Std 35 Light" w:hAnsi="Avenir LT Std 35 Light"/>
          <w:sz w:val="18"/>
          <w:szCs w:val="18"/>
          <w:lang w:eastAsia="x-none"/>
        </w:rPr>
        <w:t xml:space="preserve"> </w:t>
      </w:r>
      <w:hyperlink r:id="rId2" w:anchor="Commencing_student" w:history="1"/>
      <w:r>
        <w:rPr>
          <w:rFonts w:ascii="Avenir LT Std 35 Light" w:hAnsi="Avenir LT Std 35 Light"/>
          <w:sz w:val="18"/>
          <w:szCs w:val="18"/>
          <w:lang w:eastAsia="x-none"/>
        </w:rPr>
        <w:t xml:space="preserve"> </w:t>
      </w:r>
    </w:p>
  </w:footnote>
  <w:footnote w:id="5">
    <w:p w14:paraId="7F689870" w14:textId="342736CA" w:rsidR="009A067F" w:rsidRPr="005100C9" w:rsidRDefault="009A067F" w:rsidP="005100C9">
      <w:pPr>
        <w:pStyle w:val="FootnoteText"/>
        <w:jc w:val="left"/>
        <w:rPr>
          <w:rFonts w:ascii="Avenir LT Std 35 Light" w:hAnsi="Avenir LT Std 35 Light"/>
          <w:sz w:val="18"/>
          <w:szCs w:val="18"/>
          <w:lang w:val="en-US"/>
        </w:rPr>
      </w:pPr>
      <w:r w:rsidRPr="00303753">
        <w:rPr>
          <w:rStyle w:val="FootnoteReference"/>
          <w:rFonts w:ascii="Avenir LT Std 35 Light" w:hAnsi="Avenir LT Std 35 Light"/>
          <w:sz w:val="18"/>
          <w:szCs w:val="18"/>
        </w:rPr>
        <w:footnoteRef/>
      </w:r>
      <w:r w:rsidRPr="00303753">
        <w:rPr>
          <w:rFonts w:ascii="Avenir LT Std 35 Light" w:hAnsi="Avenir LT Std 35 Light"/>
          <w:sz w:val="18"/>
          <w:szCs w:val="18"/>
        </w:rPr>
        <w:t xml:space="preserve"> </w:t>
      </w:r>
      <w:r w:rsidRPr="00303753">
        <w:rPr>
          <w:rFonts w:ascii="Avenir LT Std 35 Light" w:hAnsi="Avenir LT Std 35 Light"/>
          <w:sz w:val="18"/>
          <w:szCs w:val="18"/>
          <w:lang w:eastAsia="x-none"/>
        </w:rPr>
        <w:t>Source:</w:t>
      </w:r>
      <w:r>
        <w:rPr>
          <w:rFonts w:ascii="Avenir LT Std 35 Light" w:hAnsi="Avenir LT Std 35 Light"/>
          <w:sz w:val="18"/>
          <w:szCs w:val="18"/>
          <w:lang w:eastAsia="x-none"/>
        </w:rPr>
        <w:t xml:space="preserve"> </w:t>
      </w:r>
      <w:r>
        <w:rPr>
          <w:rFonts w:ascii="Avenir LT Std 35 Light" w:hAnsi="Avenir LT Std 35 Light"/>
          <w:sz w:val="18"/>
          <w:szCs w:val="18"/>
          <w:lang w:val="en-US"/>
        </w:rPr>
        <w:t xml:space="preserve">Department of Education </w:t>
      </w:r>
      <w:hyperlink r:id="rId3" w:history="1">
        <w:r w:rsidRPr="00CE1C1C">
          <w:rPr>
            <w:rStyle w:val="Hyperlink"/>
            <w:rFonts w:ascii="Avenir LT Std 35 Light" w:hAnsi="Avenir LT Std 35 Light"/>
            <w:sz w:val="18"/>
            <w:szCs w:val="18"/>
            <w:lang w:val="en-US"/>
          </w:rPr>
          <w:t>uCube Higher Education Statistics</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C1A231" w14:textId="5A4DCB53" w:rsidR="009A067F" w:rsidRPr="00A5658C" w:rsidRDefault="009A067F" w:rsidP="009E0FB0">
    <w:pPr>
      <w:pStyle w:val="Header"/>
      <w:jc w:val="left"/>
      <w:rPr>
        <w:lang w:val="en-US"/>
      </w:rPr>
    </w:pPr>
    <w:bookmarkStart w:id="0" w:name="_GoBack"/>
    <w:bookmarkEnd w:id="0"/>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85D75E" w14:textId="2FB80692" w:rsidR="009A067F" w:rsidRDefault="009A067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E7E266" w14:textId="77777777" w:rsidR="009A067F" w:rsidRPr="009E0FB0" w:rsidRDefault="009A067F" w:rsidP="009E0FB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C4733B" w14:textId="5FB14BDB" w:rsidR="009A067F" w:rsidRDefault="009A067F">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322781E" w14:textId="460C4BD5" w:rsidR="009A067F" w:rsidRDefault="009A067F">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1F727A" w14:textId="6CCE6BD9" w:rsidR="009A067F" w:rsidRDefault="009A067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90962"/>
    <w:multiLevelType w:val="hybridMultilevel"/>
    <w:tmpl w:val="397EF8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75751CE"/>
    <w:multiLevelType w:val="hybridMultilevel"/>
    <w:tmpl w:val="1F9640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7ED4118"/>
    <w:multiLevelType w:val="multilevel"/>
    <w:tmpl w:val="3418E0F8"/>
    <w:styleLink w:val="Listbulleted"/>
    <w:lvl w:ilvl="0">
      <w:start w:val="1"/>
      <w:numFmt w:val="bullet"/>
      <w:lvlText w:val=""/>
      <w:lvlJc w:val="left"/>
      <w:pPr>
        <w:ind w:left="720" w:hanging="363"/>
      </w:pPr>
      <w:rPr>
        <w:rFonts w:ascii="Wingdings" w:hAnsi="Wingdings" w:hint="default"/>
        <w:color w:val="0079C1"/>
        <w:sz w:val="18"/>
      </w:rPr>
    </w:lvl>
    <w:lvl w:ilvl="1">
      <w:start w:val="1"/>
      <w:numFmt w:val="bullet"/>
      <w:lvlText w:val=""/>
      <w:lvlJc w:val="left"/>
      <w:pPr>
        <w:ind w:left="1077" w:hanging="357"/>
      </w:pPr>
      <w:rPr>
        <w:rFonts w:ascii="Symbol" w:hAnsi="Symbol" w:hint="default"/>
        <w:color w:val="0079C1"/>
        <w:sz w:val="18"/>
      </w:rPr>
    </w:lvl>
    <w:lvl w:ilvl="2">
      <w:start w:val="1"/>
      <w:numFmt w:val="bullet"/>
      <w:lvlText w:val=""/>
      <w:lvlJc w:val="left"/>
      <w:pPr>
        <w:ind w:left="1435" w:hanging="358"/>
      </w:pPr>
      <w:rPr>
        <w:rFonts w:ascii="Wingdings" w:hAnsi="Wingdings" w:hint="default"/>
        <w:color w:val="0079C1"/>
      </w:rPr>
    </w:lvl>
    <w:lvl w:ilvl="3">
      <w:start w:val="1"/>
      <w:numFmt w:val="none"/>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nsid w:val="0BE03A58"/>
    <w:multiLevelType w:val="hybridMultilevel"/>
    <w:tmpl w:val="0D5A78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0C2F24D2"/>
    <w:multiLevelType w:val="hybridMultilevel"/>
    <w:tmpl w:val="6F5699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0C96778C"/>
    <w:multiLevelType w:val="hybridMultilevel"/>
    <w:tmpl w:val="2BF254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4BF12E4"/>
    <w:multiLevelType w:val="hybridMultilevel"/>
    <w:tmpl w:val="C67E60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17C81B60"/>
    <w:multiLevelType w:val="hybridMultilevel"/>
    <w:tmpl w:val="EEF25E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1D3353CA"/>
    <w:multiLevelType w:val="hybridMultilevel"/>
    <w:tmpl w:val="CF72DE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1F815167"/>
    <w:multiLevelType w:val="hybridMultilevel"/>
    <w:tmpl w:val="3D4296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20115325"/>
    <w:multiLevelType w:val="hybridMultilevel"/>
    <w:tmpl w:val="11C283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229270D6"/>
    <w:multiLevelType w:val="hybridMultilevel"/>
    <w:tmpl w:val="36A0EDAE"/>
    <w:styleLink w:val="TableListbulleted1"/>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nsid w:val="24796A9C"/>
    <w:multiLevelType w:val="hybridMultilevel"/>
    <w:tmpl w:val="79504D3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25AE50AA"/>
    <w:multiLevelType w:val="hybridMultilevel"/>
    <w:tmpl w:val="8730C4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26537E49"/>
    <w:multiLevelType w:val="hybridMultilevel"/>
    <w:tmpl w:val="2CFE56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27900B47"/>
    <w:multiLevelType w:val="hybridMultilevel"/>
    <w:tmpl w:val="C5B8CFA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285B6421"/>
    <w:multiLevelType w:val="hybridMultilevel"/>
    <w:tmpl w:val="CB90EC42"/>
    <w:lvl w:ilvl="0" w:tplc="46A6D404">
      <w:start w:val="1"/>
      <w:numFmt w:val="bullet"/>
      <w:pStyle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2A1F2700"/>
    <w:multiLevelType w:val="hybridMultilevel"/>
    <w:tmpl w:val="CD4A23D6"/>
    <w:styleLink w:val="Listbulleted1"/>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nsid w:val="2E1E6187"/>
    <w:multiLevelType w:val="hybridMultilevel"/>
    <w:tmpl w:val="FBEE79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2E7339F0"/>
    <w:multiLevelType w:val="hybridMultilevel"/>
    <w:tmpl w:val="FCB42F46"/>
    <w:styleLink w:val="Listbulleted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nsid w:val="363E341B"/>
    <w:multiLevelType w:val="hybridMultilevel"/>
    <w:tmpl w:val="61706D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3FFD00E8"/>
    <w:multiLevelType w:val="hybridMultilevel"/>
    <w:tmpl w:val="089C91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40774D9E"/>
    <w:multiLevelType w:val="hybridMultilevel"/>
    <w:tmpl w:val="C8DADC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49C977F5"/>
    <w:multiLevelType w:val="hybridMultilevel"/>
    <w:tmpl w:val="83885A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4B39211D"/>
    <w:multiLevelType w:val="hybridMultilevel"/>
    <w:tmpl w:val="27067C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559C02A3"/>
    <w:multiLevelType w:val="multilevel"/>
    <w:tmpl w:val="B9186086"/>
    <w:styleLink w:val="TabledListnumbered"/>
    <w:lvl w:ilvl="0">
      <w:start w:val="1"/>
      <w:numFmt w:val="decimal"/>
      <w:lvlText w:val="%1."/>
      <w:lvlJc w:val="left"/>
      <w:pPr>
        <w:tabs>
          <w:tab w:val="num" w:pos="567"/>
        </w:tabs>
        <w:ind w:left="567" w:hanging="283"/>
      </w:pPr>
      <w:rPr>
        <w:rFonts w:ascii="Century Gothic" w:hAnsi="Century Gothic" w:hint="default"/>
        <w:b w:val="0"/>
        <w:i w:val="0"/>
        <w:color w:val="0079C1"/>
        <w:sz w:val="18"/>
      </w:rPr>
    </w:lvl>
    <w:lvl w:ilvl="1">
      <w:start w:val="1"/>
      <w:numFmt w:val="lowerRoman"/>
      <w:lvlText w:val="%2)"/>
      <w:lvlJc w:val="left"/>
      <w:pPr>
        <w:tabs>
          <w:tab w:val="num" w:pos="851"/>
        </w:tabs>
        <w:ind w:left="851" w:hanging="284"/>
      </w:pPr>
      <w:rPr>
        <w:rFonts w:ascii="Century Gothic" w:hAnsi="Century Gothic" w:hint="default"/>
        <w:b w:val="0"/>
        <w:i w:val="0"/>
        <w:color w:val="0079C1"/>
        <w:sz w:val="18"/>
      </w:rPr>
    </w:lvl>
    <w:lvl w:ilvl="2">
      <w:start w:val="1"/>
      <w:numFmt w:val="lowerLetter"/>
      <w:lvlText w:val="%3)"/>
      <w:lvlJc w:val="left"/>
      <w:pPr>
        <w:ind w:left="1134" w:hanging="283"/>
      </w:pPr>
      <w:rPr>
        <w:rFonts w:ascii="Arial" w:hAnsi="Arial" w:hint="default"/>
        <w:b w:val="0"/>
        <w:i w:val="0"/>
        <w:color w:val="0079C1"/>
        <w:sz w:val="2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nsid w:val="560C41BC"/>
    <w:multiLevelType w:val="hybridMultilevel"/>
    <w:tmpl w:val="18A02B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56E14984"/>
    <w:multiLevelType w:val="multilevel"/>
    <w:tmpl w:val="86DE5726"/>
    <w:styleLink w:val="TabledListnumbered1"/>
    <w:lvl w:ilvl="0">
      <w:start w:val="1"/>
      <w:numFmt w:val="decimal"/>
      <w:lvlText w:val="%1."/>
      <w:lvlJc w:val="left"/>
      <w:pPr>
        <w:ind w:left="720" w:hanging="363"/>
      </w:pPr>
      <w:rPr>
        <w:rFonts w:ascii="Century Gothic" w:hAnsi="Century Gothic" w:hint="default"/>
        <w:b w:val="0"/>
        <w:i w:val="0"/>
        <w:color w:val="0079C1"/>
        <w:sz w:val="20"/>
      </w:rPr>
    </w:lvl>
    <w:lvl w:ilvl="1">
      <w:start w:val="1"/>
      <w:numFmt w:val="lowerRoman"/>
      <w:lvlText w:val="%2."/>
      <w:lvlJc w:val="left"/>
      <w:pPr>
        <w:tabs>
          <w:tab w:val="num" w:pos="1080"/>
        </w:tabs>
        <w:ind w:left="1077" w:hanging="357"/>
      </w:pPr>
      <w:rPr>
        <w:rFonts w:ascii="Century Gothic" w:hAnsi="Century Gothic" w:hint="default"/>
        <w:b w:val="0"/>
        <w:i w:val="0"/>
        <w:color w:val="0079C1"/>
        <w:sz w:val="20"/>
      </w:rPr>
    </w:lvl>
    <w:lvl w:ilvl="2">
      <w:start w:val="1"/>
      <w:numFmt w:val="lowerLetter"/>
      <w:lvlText w:val="%3)"/>
      <w:lvlJc w:val="left"/>
      <w:pPr>
        <w:ind w:left="1435" w:hanging="358"/>
      </w:pPr>
      <w:rPr>
        <w:rFonts w:ascii="Arial" w:hAnsi="Arial" w:hint="default"/>
        <w:b w:val="0"/>
        <w:i w:val="0"/>
        <w:color w:val="0079C1"/>
        <w:sz w:val="22"/>
      </w:rPr>
    </w:lvl>
    <w:lvl w:ilvl="3">
      <w:start w:val="1"/>
      <w:numFmt w:val="none"/>
      <w:lvlText w:val="(%4)"/>
      <w:lvlJc w:val="left"/>
      <w:pPr>
        <w:ind w:left="1139" w:hanging="360"/>
      </w:pPr>
      <w:rPr>
        <w:rFonts w:hint="default"/>
      </w:rPr>
    </w:lvl>
    <w:lvl w:ilvl="4">
      <w:start w:val="1"/>
      <w:numFmt w:val="lowerLetter"/>
      <w:lvlText w:val="(%5)"/>
      <w:lvlJc w:val="left"/>
      <w:pPr>
        <w:ind w:left="1499" w:hanging="360"/>
      </w:pPr>
      <w:rPr>
        <w:rFonts w:hint="default"/>
      </w:rPr>
    </w:lvl>
    <w:lvl w:ilvl="5">
      <w:start w:val="1"/>
      <w:numFmt w:val="lowerRoman"/>
      <w:lvlText w:val="(%6)"/>
      <w:lvlJc w:val="left"/>
      <w:pPr>
        <w:ind w:left="1859" w:hanging="360"/>
      </w:pPr>
      <w:rPr>
        <w:rFonts w:hint="default"/>
      </w:rPr>
    </w:lvl>
    <w:lvl w:ilvl="6">
      <w:start w:val="1"/>
      <w:numFmt w:val="decimal"/>
      <w:lvlText w:val="%7."/>
      <w:lvlJc w:val="left"/>
      <w:pPr>
        <w:ind w:left="2219" w:hanging="360"/>
      </w:pPr>
      <w:rPr>
        <w:rFonts w:hint="default"/>
      </w:rPr>
    </w:lvl>
    <w:lvl w:ilvl="7">
      <w:start w:val="1"/>
      <w:numFmt w:val="lowerLetter"/>
      <w:lvlText w:val="%8."/>
      <w:lvlJc w:val="left"/>
      <w:pPr>
        <w:ind w:left="2579" w:hanging="360"/>
      </w:pPr>
      <w:rPr>
        <w:rFonts w:hint="default"/>
      </w:rPr>
    </w:lvl>
    <w:lvl w:ilvl="8">
      <w:start w:val="1"/>
      <w:numFmt w:val="lowerRoman"/>
      <w:lvlText w:val="%9."/>
      <w:lvlJc w:val="left"/>
      <w:pPr>
        <w:ind w:left="2939" w:hanging="360"/>
      </w:pPr>
      <w:rPr>
        <w:rFonts w:hint="default"/>
      </w:rPr>
    </w:lvl>
  </w:abstractNum>
  <w:abstractNum w:abstractNumId="28">
    <w:nsid w:val="58464590"/>
    <w:multiLevelType w:val="hybridMultilevel"/>
    <w:tmpl w:val="EFE498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5C2D6FDC"/>
    <w:multiLevelType w:val="hybridMultilevel"/>
    <w:tmpl w:val="441A23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67766382"/>
    <w:multiLevelType w:val="multilevel"/>
    <w:tmpl w:val="F404F67C"/>
    <w:styleLink w:val="TableListbulleted"/>
    <w:lvl w:ilvl="0">
      <w:start w:val="1"/>
      <w:numFmt w:val="bullet"/>
      <w:lvlText w:val=""/>
      <w:lvlJc w:val="left"/>
      <w:pPr>
        <w:tabs>
          <w:tab w:val="num" w:pos="567"/>
        </w:tabs>
        <w:ind w:left="567" w:hanging="283"/>
      </w:pPr>
      <w:rPr>
        <w:rFonts w:ascii="Wingdings" w:hAnsi="Wingdings" w:hint="default"/>
        <w:color w:val="0079C1"/>
        <w:sz w:val="20"/>
      </w:rPr>
    </w:lvl>
    <w:lvl w:ilvl="1">
      <w:start w:val="1"/>
      <w:numFmt w:val="bullet"/>
      <w:lvlText w:val=""/>
      <w:lvlJc w:val="left"/>
      <w:pPr>
        <w:tabs>
          <w:tab w:val="num" w:pos="851"/>
        </w:tabs>
        <w:ind w:left="851" w:hanging="284"/>
      </w:pPr>
      <w:rPr>
        <w:rFonts w:ascii="Symbol" w:hAnsi="Symbol" w:hint="default"/>
        <w:color w:val="0079C1"/>
        <w:sz w:val="18"/>
      </w:rPr>
    </w:lvl>
    <w:lvl w:ilvl="2">
      <w:start w:val="1"/>
      <w:numFmt w:val="lowerLetter"/>
      <w:lvlText w:val="%3)"/>
      <w:lvlJc w:val="left"/>
      <w:pPr>
        <w:ind w:left="1435" w:hanging="358"/>
      </w:pPr>
      <w:rPr>
        <w:rFonts w:ascii="Arial" w:hAnsi="Arial" w:hint="default"/>
        <w:b w:val="0"/>
        <w:i w:val="0"/>
        <w:color w:val="0079C1"/>
        <w:sz w:val="20"/>
      </w:rPr>
    </w:lvl>
    <w:lvl w:ilvl="3">
      <w:start w:val="1"/>
      <w:numFmt w:val="none"/>
      <w:lvlText w:val="(%4)"/>
      <w:lvlJc w:val="left"/>
      <w:pPr>
        <w:ind w:left="1139" w:hanging="360"/>
      </w:pPr>
      <w:rPr>
        <w:rFonts w:hint="default"/>
      </w:rPr>
    </w:lvl>
    <w:lvl w:ilvl="4">
      <w:start w:val="1"/>
      <w:numFmt w:val="lowerLetter"/>
      <w:lvlText w:val="(%5)"/>
      <w:lvlJc w:val="left"/>
      <w:pPr>
        <w:ind w:left="1499" w:hanging="360"/>
      </w:pPr>
      <w:rPr>
        <w:rFonts w:hint="default"/>
      </w:rPr>
    </w:lvl>
    <w:lvl w:ilvl="5">
      <w:start w:val="1"/>
      <w:numFmt w:val="lowerRoman"/>
      <w:lvlText w:val="(%6)"/>
      <w:lvlJc w:val="left"/>
      <w:pPr>
        <w:ind w:left="1859" w:hanging="360"/>
      </w:pPr>
      <w:rPr>
        <w:rFonts w:hint="default"/>
      </w:rPr>
    </w:lvl>
    <w:lvl w:ilvl="6">
      <w:start w:val="1"/>
      <w:numFmt w:val="decimal"/>
      <w:lvlText w:val="%7."/>
      <w:lvlJc w:val="left"/>
      <w:pPr>
        <w:ind w:left="2219" w:hanging="360"/>
      </w:pPr>
      <w:rPr>
        <w:rFonts w:hint="default"/>
      </w:rPr>
    </w:lvl>
    <w:lvl w:ilvl="7">
      <w:start w:val="1"/>
      <w:numFmt w:val="lowerLetter"/>
      <w:lvlText w:val="%8."/>
      <w:lvlJc w:val="left"/>
      <w:pPr>
        <w:ind w:left="2579" w:hanging="360"/>
      </w:pPr>
      <w:rPr>
        <w:rFonts w:hint="default"/>
      </w:rPr>
    </w:lvl>
    <w:lvl w:ilvl="8">
      <w:start w:val="1"/>
      <w:numFmt w:val="lowerRoman"/>
      <w:lvlText w:val="%9."/>
      <w:lvlJc w:val="left"/>
      <w:pPr>
        <w:ind w:left="2939" w:hanging="360"/>
      </w:pPr>
      <w:rPr>
        <w:rFonts w:hint="default"/>
      </w:rPr>
    </w:lvl>
  </w:abstractNum>
  <w:abstractNum w:abstractNumId="31">
    <w:nsid w:val="69855CFA"/>
    <w:multiLevelType w:val="multilevel"/>
    <w:tmpl w:val="BE4C0654"/>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3698" w:hanging="720"/>
      </w:pPr>
      <w:rPr>
        <w:rFonts w:hint="default"/>
      </w:rPr>
    </w:lvl>
    <w:lvl w:ilvl="3">
      <w:start w:val="1"/>
      <w:numFmt w:val="decimal"/>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32">
    <w:nsid w:val="6D1C2C9F"/>
    <w:multiLevelType w:val="hybridMultilevel"/>
    <w:tmpl w:val="082E099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nsid w:val="6D2A25A2"/>
    <w:multiLevelType w:val="hybridMultilevel"/>
    <w:tmpl w:val="C61498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6F317896"/>
    <w:multiLevelType w:val="hybridMultilevel"/>
    <w:tmpl w:val="E55A45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712A2B4D"/>
    <w:multiLevelType w:val="hybridMultilevel"/>
    <w:tmpl w:val="DA64DE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768479A5"/>
    <w:multiLevelType w:val="hybridMultilevel"/>
    <w:tmpl w:val="01125710"/>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7">
    <w:nsid w:val="79AD442E"/>
    <w:multiLevelType w:val="hybridMultilevel"/>
    <w:tmpl w:val="C7E4F7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7D7D7B8A"/>
    <w:multiLevelType w:val="hybridMultilevel"/>
    <w:tmpl w:val="6422EB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7F687C9E"/>
    <w:multiLevelType w:val="hybridMultilevel"/>
    <w:tmpl w:val="381C05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9"/>
  </w:num>
  <w:num w:numId="2">
    <w:abstractNumId w:val="17"/>
  </w:num>
  <w:num w:numId="3">
    <w:abstractNumId w:val="11"/>
  </w:num>
  <w:num w:numId="4">
    <w:abstractNumId w:val="2"/>
  </w:num>
  <w:num w:numId="5">
    <w:abstractNumId w:val="27"/>
  </w:num>
  <w:num w:numId="6">
    <w:abstractNumId w:val="30"/>
  </w:num>
  <w:num w:numId="7">
    <w:abstractNumId w:val="25"/>
  </w:num>
  <w:num w:numId="8">
    <w:abstractNumId w:val="31"/>
  </w:num>
  <w:num w:numId="9">
    <w:abstractNumId w:val="16"/>
  </w:num>
  <w:num w:numId="10">
    <w:abstractNumId w:val="36"/>
  </w:num>
  <w:num w:numId="11">
    <w:abstractNumId w:val="4"/>
  </w:num>
  <w:num w:numId="12">
    <w:abstractNumId w:val="39"/>
  </w:num>
  <w:num w:numId="13">
    <w:abstractNumId w:val="21"/>
  </w:num>
  <w:num w:numId="14">
    <w:abstractNumId w:val="37"/>
  </w:num>
  <w:num w:numId="15">
    <w:abstractNumId w:val="5"/>
  </w:num>
  <w:num w:numId="16">
    <w:abstractNumId w:val="9"/>
  </w:num>
  <w:num w:numId="17">
    <w:abstractNumId w:val="7"/>
  </w:num>
  <w:num w:numId="18">
    <w:abstractNumId w:val="34"/>
  </w:num>
  <w:num w:numId="19">
    <w:abstractNumId w:val="33"/>
  </w:num>
  <w:num w:numId="20">
    <w:abstractNumId w:val="12"/>
  </w:num>
  <w:num w:numId="21">
    <w:abstractNumId w:val="28"/>
  </w:num>
  <w:num w:numId="22">
    <w:abstractNumId w:val="20"/>
  </w:num>
  <w:num w:numId="23">
    <w:abstractNumId w:val="35"/>
  </w:num>
  <w:num w:numId="24">
    <w:abstractNumId w:val="22"/>
  </w:num>
  <w:num w:numId="25">
    <w:abstractNumId w:val="18"/>
  </w:num>
  <w:num w:numId="26">
    <w:abstractNumId w:val="23"/>
  </w:num>
  <w:num w:numId="27">
    <w:abstractNumId w:val="38"/>
  </w:num>
  <w:num w:numId="28">
    <w:abstractNumId w:val="13"/>
  </w:num>
  <w:num w:numId="29">
    <w:abstractNumId w:val="6"/>
  </w:num>
  <w:num w:numId="30">
    <w:abstractNumId w:val="0"/>
  </w:num>
  <w:num w:numId="31">
    <w:abstractNumId w:val="24"/>
  </w:num>
  <w:num w:numId="32">
    <w:abstractNumId w:val="10"/>
  </w:num>
  <w:num w:numId="33">
    <w:abstractNumId w:val="8"/>
  </w:num>
  <w:num w:numId="34">
    <w:abstractNumId w:val="1"/>
  </w:num>
  <w:num w:numId="35">
    <w:abstractNumId w:val="29"/>
  </w:num>
  <w:num w:numId="36">
    <w:abstractNumId w:val="3"/>
  </w:num>
  <w:num w:numId="37">
    <w:abstractNumId w:val="26"/>
  </w:num>
  <w:num w:numId="38">
    <w:abstractNumId w:val="32"/>
  </w:num>
  <w:num w:numId="39">
    <w:abstractNumId w:val="15"/>
  </w:num>
  <w:num w:numId="40">
    <w:abstractNumId w:val="14"/>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4562"/>
    <w:rsid w:val="00001030"/>
    <w:rsid w:val="00003759"/>
    <w:rsid w:val="00004AB6"/>
    <w:rsid w:val="00007589"/>
    <w:rsid w:val="00007E6F"/>
    <w:rsid w:val="00016929"/>
    <w:rsid w:val="00023339"/>
    <w:rsid w:val="00023D61"/>
    <w:rsid w:val="000269BD"/>
    <w:rsid w:val="00030C8A"/>
    <w:rsid w:val="00034A3D"/>
    <w:rsid w:val="00035439"/>
    <w:rsid w:val="000355C6"/>
    <w:rsid w:val="000355C9"/>
    <w:rsid w:val="00037243"/>
    <w:rsid w:val="00037F33"/>
    <w:rsid w:val="00043A15"/>
    <w:rsid w:val="00043F2E"/>
    <w:rsid w:val="000445C5"/>
    <w:rsid w:val="00045DC1"/>
    <w:rsid w:val="00047B9D"/>
    <w:rsid w:val="00050905"/>
    <w:rsid w:val="00050BA0"/>
    <w:rsid w:val="00052743"/>
    <w:rsid w:val="00054615"/>
    <w:rsid w:val="000555C2"/>
    <w:rsid w:val="000576C4"/>
    <w:rsid w:val="00057F2A"/>
    <w:rsid w:val="000602F6"/>
    <w:rsid w:val="00060335"/>
    <w:rsid w:val="00060627"/>
    <w:rsid w:val="000618A9"/>
    <w:rsid w:val="00063B49"/>
    <w:rsid w:val="00065D93"/>
    <w:rsid w:val="0006771E"/>
    <w:rsid w:val="00072158"/>
    <w:rsid w:val="00074459"/>
    <w:rsid w:val="000759DA"/>
    <w:rsid w:val="00077FD9"/>
    <w:rsid w:val="00080AA1"/>
    <w:rsid w:val="000813AF"/>
    <w:rsid w:val="00082865"/>
    <w:rsid w:val="00083257"/>
    <w:rsid w:val="00083C61"/>
    <w:rsid w:val="0009197C"/>
    <w:rsid w:val="00091E51"/>
    <w:rsid w:val="00092EFC"/>
    <w:rsid w:val="0009647A"/>
    <w:rsid w:val="00096909"/>
    <w:rsid w:val="000977A8"/>
    <w:rsid w:val="00097F34"/>
    <w:rsid w:val="000A1250"/>
    <w:rsid w:val="000A37E8"/>
    <w:rsid w:val="000A5889"/>
    <w:rsid w:val="000A59EE"/>
    <w:rsid w:val="000A5C11"/>
    <w:rsid w:val="000B5F2E"/>
    <w:rsid w:val="000B6404"/>
    <w:rsid w:val="000B654A"/>
    <w:rsid w:val="000B6E3E"/>
    <w:rsid w:val="000B6F95"/>
    <w:rsid w:val="000C314A"/>
    <w:rsid w:val="000C52BF"/>
    <w:rsid w:val="000D0826"/>
    <w:rsid w:val="000D2406"/>
    <w:rsid w:val="000D4D05"/>
    <w:rsid w:val="000E0B95"/>
    <w:rsid w:val="000E149E"/>
    <w:rsid w:val="000E1950"/>
    <w:rsid w:val="000E469E"/>
    <w:rsid w:val="000E57A2"/>
    <w:rsid w:val="000E7E6B"/>
    <w:rsid w:val="000F010B"/>
    <w:rsid w:val="000F01A8"/>
    <w:rsid w:val="000F15AF"/>
    <w:rsid w:val="000F1D5C"/>
    <w:rsid w:val="000F219C"/>
    <w:rsid w:val="000F2A46"/>
    <w:rsid w:val="000F3163"/>
    <w:rsid w:val="000F3556"/>
    <w:rsid w:val="000F6388"/>
    <w:rsid w:val="000F7248"/>
    <w:rsid w:val="00100E08"/>
    <w:rsid w:val="00106232"/>
    <w:rsid w:val="00106C23"/>
    <w:rsid w:val="0011069F"/>
    <w:rsid w:val="00114BD6"/>
    <w:rsid w:val="00115513"/>
    <w:rsid w:val="00120417"/>
    <w:rsid w:val="00121A67"/>
    <w:rsid w:val="0012332F"/>
    <w:rsid w:val="00125CBF"/>
    <w:rsid w:val="0012614E"/>
    <w:rsid w:val="001262DE"/>
    <w:rsid w:val="001276E0"/>
    <w:rsid w:val="00127F12"/>
    <w:rsid w:val="0013024D"/>
    <w:rsid w:val="00131B32"/>
    <w:rsid w:val="001343A8"/>
    <w:rsid w:val="00134942"/>
    <w:rsid w:val="00134E45"/>
    <w:rsid w:val="00135711"/>
    <w:rsid w:val="00140266"/>
    <w:rsid w:val="00141E08"/>
    <w:rsid w:val="001430C6"/>
    <w:rsid w:val="00152FB7"/>
    <w:rsid w:val="00157E83"/>
    <w:rsid w:val="0016522D"/>
    <w:rsid w:val="00172385"/>
    <w:rsid w:val="001756D2"/>
    <w:rsid w:val="00176EEB"/>
    <w:rsid w:val="00181487"/>
    <w:rsid w:val="001820F8"/>
    <w:rsid w:val="00184184"/>
    <w:rsid w:val="001850C7"/>
    <w:rsid w:val="00190563"/>
    <w:rsid w:val="001908FE"/>
    <w:rsid w:val="00190F2F"/>
    <w:rsid w:val="001910AA"/>
    <w:rsid w:val="0019301B"/>
    <w:rsid w:val="00193CF5"/>
    <w:rsid w:val="00195B0E"/>
    <w:rsid w:val="00196B30"/>
    <w:rsid w:val="001A0703"/>
    <w:rsid w:val="001A1DFC"/>
    <w:rsid w:val="001A2AA3"/>
    <w:rsid w:val="001A318E"/>
    <w:rsid w:val="001A3412"/>
    <w:rsid w:val="001A3D26"/>
    <w:rsid w:val="001A4FA6"/>
    <w:rsid w:val="001A6261"/>
    <w:rsid w:val="001A6AD5"/>
    <w:rsid w:val="001A6CA9"/>
    <w:rsid w:val="001B2631"/>
    <w:rsid w:val="001B47EB"/>
    <w:rsid w:val="001B5266"/>
    <w:rsid w:val="001B6AEC"/>
    <w:rsid w:val="001B6E97"/>
    <w:rsid w:val="001B7535"/>
    <w:rsid w:val="001B7CB6"/>
    <w:rsid w:val="001C28B3"/>
    <w:rsid w:val="001C5287"/>
    <w:rsid w:val="001C69A2"/>
    <w:rsid w:val="001D18E7"/>
    <w:rsid w:val="001D2152"/>
    <w:rsid w:val="001D235E"/>
    <w:rsid w:val="001D3F14"/>
    <w:rsid w:val="001D5707"/>
    <w:rsid w:val="001D5BE3"/>
    <w:rsid w:val="001E143A"/>
    <w:rsid w:val="001E2293"/>
    <w:rsid w:val="001E41D1"/>
    <w:rsid w:val="001E4335"/>
    <w:rsid w:val="001E5995"/>
    <w:rsid w:val="001E5E76"/>
    <w:rsid w:val="001E6183"/>
    <w:rsid w:val="001F410F"/>
    <w:rsid w:val="001F5C32"/>
    <w:rsid w:val="001F7CBC"/>
    <w:rsid w:val="002001D3"/>
    <w:rsid w:val="002032F5"/>
    <w:rsid w:val="00206F5E"/>
    <w:rsid w:val="00210F96"/>
    <w:rsid w:val="00213A42"/>
    <w:rsid w:val="0021402F"/>
    <w:rsid w:val="00214B03"/>
    <w:rsid w:val="00216395"/>
    <w:rsid w:val="00217BFA"/>
    <w:rsid w:val="00221F70"/>
    <w:rsid w:val="00224E4F"/>
    <w:rsid w:val="002250B6"/>
    <w:rsid w:val="0022702A"/>
    <w:rsid w:val="00231A4D"/>
    <w:rsid w:val="0023439E"/>
    <w:rsid w:val="00234CDD"/>
    <w:rsid w:val="00234D88"/>
    <w:rsid w:val="00235771"/>
    <w:rsid w:val="00235931"/>
    <w:rsid w:val="00236022"/>
    <w:rsid w:val="00236861"/>
    <w:rsid w:val="002372CB"/>
    <w:rsid w:val="002375BC"/>
    <w:rsid w:val="002400B0"/>
    <w:rsid w:val="00240F9B"/>
    <w:rsid w:val="0024593D"/>
    <w:rsid w:val="00245CCF"/>
    <w:rsid w:val="00247111"/>
    <w:rsid w:val="00247E8B"/>
    <w:rsid w:val="002503BF"/>
    <w:rsid w:val="002516F4"/>
    <w:rsid w:val="002608CF"/>
    <w:rsid w:val="00262078"/>
    <w:rsid w:val="00262C42"/>
    <w:rsid w:val="00265C21"/>
    <w:rsid w:val="00265D2D"/>
    <w:rsid w:val="0026773B"/>
    <w:rsid w:val="00267CF7"/>
    <w:rsid w:val="002739D0"/>
    <w:rsid w:val="00275024"/>
    <w:rsid w:val="00276998"/>
    <w:rsid w:val="00280BF8"/>
    <w:rsid w:val="00281A35"/>
    <w:rsid w:val="002844B7"/>
    <w:rsid w:val="00285D33"/>
    <w:rsid w:val="0028702E"/>
    <w:rsid w:val="0029105D"/>
    <w:rsid w:val="00292E14"/>
    <w:rsid w:val="00293881"/>
    <w:rsid w:val="00293BCF"/>
    <w:rsid w:val="00293DE0"/>
    <w:rsid w:val="002A341E"/>
    <w:rsid w:val="002A4DFC"/>
    <w:rsid w:val="002A6900"/>
    <w:rsid w:val="002B44D6"/>
    <w:rsid w:val="002B711E"/>
    <w:rsid w:val="002B75A7"/>
    <w:rsid w:val="002B7AEB"/>
    <w:rsid w:val="002C554D"/>
    <w:rsid w:val="002D188C"/>
    <w:rsid w:val="002D3114"/>
    <w:rsid w:val="002D34F2"/>
    <w:rsid w:val="002D36BB"/>
    <w:rsid w:val="002D402C"/>
    <w:rsid w:val="002D5C49"/>
    <w:rsid w:val="002E16F0"/>
    <w:rsid w:val="002E380D"/>
    <w:rsid w:val="002E6618"/>
    <w:rsid w:val="002E6CCA"/>
    <w:rsid w:val="002E7040"/>
    <w:rsid w:val="002F0159"/>
    <w:rsid w:val="002F23BF"/>
    <w:rsid w:val="002F25EC"/>
    <w:rsid w:val="002F2A00"/>
    <w:rsid w:val="002F322A"/>
    <w:rsid w:val="002F5B0C"/>
    <w:rsid w:val="002F67D2"/>
    <w:rsid w:val="002F790E"/>
    <w:rsid w:val="002F7AFD"/>
    <w:rsid w:val="003008B9"/>
    <w:rsid w:val="0030210F"/>
    <w:rsid w:val="0030311E"/>
    <w:rsid w:val="00303373"/>
    <w:rsid w:val="00303753"/>
    <w:rsid w:val="003113EB"/>
    <w:rsid w:val="003116B2"/>
    <w:rsid w:val="00312008"/>
    <w:rsid w:val="00312A80"/>
    <w:rsid w:val="0031496C"/>
    <w:rsid w:val="00314D3B"/>
    <w:rsid w:val="0031777A"/>
    <w:rsid w:val="00322001"/>
    <w:rsid w:val="00323A07"/>
    <w:rsid w:val="003255C2"/>
    <w:rsid w:val="00325677"/>
    <w:rsid w:val="00325A24"/>
    <w:rsid w:val="0032600D"/>
    <w:rsid w:val="003267F2"/>
    <w:rsid w:val="00326A5B"/>
    <w:rsid w:val="00330181"/>
    <w:rsid w:val="00330A11"/>
    <w:rsid w:val="0033165E"/>
    <w:rsid w:val="00331F3F"/>
    <w:rsid w:val="00335832"/>
    <w:rsid w:val="003359F6"/>
    <w:rsid w:val="00335C01"/>
    <w:rsid w:val="00336F0D"/>
    <w:rsid w:val="00337D1F"/>
    <w:rsid w:val="00343B20"/>
    <w:rsid w:val="0034420F"/>
    <w:rsid w:val="003451BF"/>
    <w:rsid w:val="003509B0"/>
    <w:rsid w:val="00351E18"/>
    <w:rsid w:val="00354A4B"/>
    <w:rsid w:val="003554F9"/>
    <w:rsid w:val="00356163"/>
    <w:rsid w:val="003569C5"/>
    <w:rsid w:val="003577DC"/>
    <w:rsid w:val="0035788D"/>
    <w:rsid w:val="0036160E"/>
    <w:rsid w:val="0036238D"/>
    <w:rsid w:val="00363624"/>
    <w:rsid w:val="00363EFB"/>
    <w:rsid w:val="00363F1D"/>
    <w:rsid w:val="00364289"/>
    <w:rsid w:val="003644D6"/>
    <w:rsid w:val="003675F7"/>
    <w:rsid w:val="003702DD"/>
    <w:rsid w:val="00372629"/>
    <w:rsid w:val="00374911"/>
    <w:rsid w:val="0037566B"/>
    <w:rsid w:val="00375DD9"/>
    <w:rsid w:val="00376D2F"/>
    <w:rsid w:val="003805ED"/>
    <w:rsid w:val="00390AEE"/>
    <w:rsid w:val="00391406"/>
    <w:rsid w:val="003932B4"/>
    <w:rsid w:val="003932CF"/>
    <w:rsid w:val="00393FCF"/>
    <w:rsid w:val="00397AA7"/>
    <w:rsid w:val="003A0A2E"/>
    <w:rsid w:val="003A1180"/>
    <w:rsid w:val="003A2FDA"/>
    <w:rsid w:val="003A655F"/>
    <w:rsid w:val="003B2FCA"/>
    <w:rsid w:val="003B3075"/>
    <w:rsid w:val="003B3A6B"/>
    <w:rsid w:val="003B3C6C"/>
    <w:rsid w:val="003B3F70"/>
    <w:rsid w:val="003B62C8"/>
    <w:rsid w:val="003B63E6"/>
    <w:rsid w:val="003B648E"/>
    <w:rsid w:val="003B68E6"/>
    <w:rsid w:val="003B6CB0"/>
    <w:rsid w:val="003B751B"/>
    <w:rsid w:val="003C0037"/>
    <w:rsid w:val="003C1E87"/>
    <w:rsid w:val="003C453F"/>
    <w:rsid w:val="003C459B"/>
    <w:rsid w:val="003C4C09"/>
    <w:rsid w:val="003C7E46"/>
    <w:rsid w:val="003D1C45"/>
    <w:rsid w:val="003D297D"/>
    <w:rsid w:val="003D452B"/>
    <w:rsid w:val="003D53F4"/>
    <w:rsid w:val="003D5CDB"/>
    <w:rsid w:val="003E0AE4"/>
    <w:rsid w:val="003E0C2D"/>
    <w:rsid w:val="003E0C7B"/>
    <w:rsid w:val="003E13FA"/>
    <w:rsid w:val="003E19E2"/>
    <w:rsid w:val="003E4A1E"/>
    <w:rsid w:val="003E4F72"/>
    <w:rsid w:val="003E4F8B"/>
    <w:rsid w:val="003E65F5"/>
    <w:rsid w:val="003E76DC"/>
    <w:rsid w:val="003F009D"/>
    <w:rsid w:val="003F13B2"/>
    <w:rsid w:val="003F2928"/>
    <w:rsid w:val="00400D6B"/>
    <w:rsid w:val="00403C1A"/>
    <w:rsid w:val="00405802"/>
    <w:rsid w:val="00406188"/>
    <w:rsid w:val="0040627C"/>
    <w:rsid w:val="0040776B"/>
    <w:rsid w:val="0041134F"/>
    <w:rsid w:val="004115B8"/>
    <w:rsid w:val="004134DE"/>
    <w:rsid w:val="00414A29"/>
    <w:rsid w:val="00414DEC"/>
    <w:rsid w:val="0041641D"/>
    <w:rsid w:val="00416421"/>
    <w:rsid w:val="00416602"/>
    <w:rsid w:val="00416F69"/>
    <w:rsid w:val="00417C91"/>
    <w:rsid w:val="004200DB"/>
    <w:rsid w:val="0042072B"/>
    <w:rsid w:val="00422104"/>
    <w:rsid w:val="004228D6"/>
    <w:rsid w:val="004232F0"/>
    <w:rsid w:val="00434544"/>
    <w:rsid w:val="004351EA"/>
    <w:rsid w:val="00440028"/>
    <w:rsid w:val="00440BAA"/>
    <w:rsid w:val="00441C9B"/>
    <w:rsid w:val="00442A3B"/>
    <w:rsid w:val="00442B27"/>
    <w:rsid w:val="004469D4"/>
    <w:rsid w:val="00446A01"/>
    <w:rsid w:val="004475D5"/>
    <w:rsid w:val="004509CD"/>
    <w:rsid w:val="00450CD4"/>
    <w:rsid w:val="00453E83"/>
    <w:rsid w:val="0045419B"/>
    <w:rsid w:val="004557AF"/>
    <w:rsid w:val="00455A5E"/>
    <w:rsid w:val="00456616"/>
    <w:rsid w:val="00457B85"/>
    <w:rsid w:val="004608E3"/>
    <w:rsid w:val="00461064"/>
    <w:rsid w:val="00463082"/>
    <w:rsid w:val="00463EE4"/>
    <w:rsid w:val="00467BCF"/>
    <w:rsid w:val="004707E7"/>
    <w:rsid w:val="00472EE2"/>
    <w:rsid w:val="00474659"/>
    <w:rsid w:val="00475B1B"/>
    <w:rsid w:val="00476145"/>
    <w:rsid w:val="00476BD7"/>
    <w:rsid w:val="004810B8"/>
    <w:rsid w:val="0048434D"/>
    <w:rsid w:val="00485E6C"/>
    <w:rsid w:val="0049323A"/>
    <w:rsid w:val="004A1218"/>
    <w:rsid w:val="004A1FAD"/>
    <w:rsid w:val="004A1FD6"/>
    <w:rsid w:val="004A4CC5"/>
    <w:rsid w:val="004A4CCF"/>
    <w:rsid w:val="004A632A"/>
    <w:rsid w:val="004B0308"/>
    <w:rsid w:val="004B340A"/>
    <w:rsid w:val="004B492A"/>
    <w:rsid w:val="004B78B1"/>
    <w:rsid w:val="004C233C"/>
    <w:rsid w:val="004C2A04"/>
    <w:rsid w:val="004D06A2"/>
    <w:rsid w:val="004D0F57"/>
    <w:rsid w:val="004D2F12"/>
    <w:rsid w:val="004D533E"/>
    <w:rsid w:val="004D5B88"/>
    <w:rsid w:val="004E22A4"/>
    <w:rsid w:val="004E3FD3"/>
    <w:rsid w:val="004E40BC"/>
    <w:rsid w:val="004E5D45"/>
    <w:rsid w:val="004F00FC"/>
    <w:rsid w:val="004F1327"/>
    <w:rsid w:val="004F1596"/>
    <w:rsid w:val="004F66A1"/>
    <w:rsid w:val="0050665F"/>
    <w:rsid w:val="005100C9"/>
    <w:rsid w:val="00513A32"/>
    <w:rsid w:val="005153E6"/>
    <w:rsid w:val="00516FC6"/>
    <w:rsid w:val="005179BE"/>
    <w:rsid w:val="00517C1E"/>
    <w:rsid w:val="0052210E"/>
    <w:rsid w:val="00522246"/>
    <w:rsid w:val="00522312"/>
    <w:rsid w:val="0052430B"/>
    <w:rsid w:val="005311A0"/>
    <w:rsid w:val="00531C2E"/>
    <w:rsid w:val="005352CC"/>
    <w:rsid w:val="00536A83"/>
    <w:rsid w:val="005415A9"/>
    <w:rsid w:val="00541F11"/>
    <w:rsid w:val="00542AFA"/>
    <w:rsid w:val="005441A1"/>
    <w:rsid w:val="00545D78"/>
    <w:rsid w:val="0054771B"/>
    <w:rsid w:val="00554559"/>
    <w:rsid w:val="00554F6A"/>
    <w:rsid w:val="00556A40"/>
    <w:rsid w:val="0056254C"/>
    <w:rsid w:val="00564C1A"/>
    <w:rsid w:val="00566D8B"/>
    <w:rsid w:val="0057138A"/>
    <w:rsid w:val="00571E89"/>
    <w:rsid w:val="00575318"/>
    <w:rsid w:val="00577B5B"/>
    <w:rsid w:val="00580A94"/>
    <w:rsid w:val="005821BB"/>
    <w:rsid w:val="0059092A"/>
    <w:rsid w:val="005A0FD9"/>
    <w:rsid w:val="005A108A"/>
    <w:rsid w:val="005A2EAE"/>
    <w:rsid w:val="005A3E74"/>
    <w:rsid w:val="005A4D32"/>
    <w:rsid w:val="005A6D24"/>
    <w:rsid w:val="005B110B"/>
    <w:rsid w:val="005B5746"/>
    <w:rsid w:val="005B5A5B"/>
    <w:rsid w:val="005B639B"/>
    <w:rsid w:val="005B7C88"/>
    <w:rsid w:val="005C41D5"/>
    <w:rsid w:val="005D002C"/>
    <w:rsid w:val="005D3C90"/>
    <w:rsid w:val="005D4FCA"/>
    <w:rsid w:val="005D55E5"/>
    <w:rsid w:val="005D6033"/>
    <w:rsid w:val="005D7EC5"/>
    <w:rsid w:val="005E1C81"/>
    <w:rsid w:val="005E23E4"/>
    <w:rsid w:val="005E452B"/>
    <w:rsid w:val="005E6BAE"/>
    <w:rsid w:val="005E7DBA"/>
    <w:rsid w:val="005F06A0"/>
    <w:rsid w:val="005F20B9"/>
    <w:rsid w:val="005F2B6A"/>
    <w:rsid w:val="005F6256"/>
    <w:rsid w:val="005F6669"/>
    <w:rsid w:val="0060161C"/>
    <w:rsid w:val="00602368"/>
    <w:rsid w:val="0060359B"/>
    <w:rsid w:val="00603878"/>
    <w:rsid w:val="00605008"/>
    <w:rsid w:val="0060544E"/>
    <w:rsid w:val="0060553D"/>
    <w:rsid w:val="0060695F"/>
    <w:rsid w:val="00606CC0"/>
    <w:rsid w:val="006207E3"/>
    <w:rsid w:val="0062128B"/>
    <w:rsid w:val="0062375E"/>
    <w:rsid w:val="00625EE5"/>
    <w:rsid w:val="006302C7"/>
    <w:rsid w:val="00630C3B"/>
    <w:rsid w:val="0063176E"/>
    <w:rsid w:val="00634660"/>
    <w:rsid w:val="0063533B"/>
    <w:rsid w:val="00635C0D"/>
    <w:rsid w:val="0063622D"/>
    <w:rsid w:val="00640B89"/>
    <w:rsid w:val="00641259"/>
    <w:rsid w:val="00641F5F"/>
    <w:rsid w:val="00643D57"/>
    <w:rsid w:val="00650302"/>
    <w:rsid w:val="006514F8"/>
    <w:rsid w:val="006551FC"/>
    <w:rsid w:val="00655984"/>
    <w:rsid w:val="00656086"/>
    <w:rsid w:val="00656C3B"/>
    <w:rsid w:val="00656E8E"/>
    <w:rsid w:val="0065712B"/>
    <w:rsid w:val="00660A3E"/>
    <w:rsid w:val="00660AA6"/>
    <w:rsid w:val="0066292C"/>
    <w:rsid w:val="006632C1"/>
    <w:rsid w:val="0066379E"/>
    <w:rsid w:val="00663A59"/>
    <w:rsid w:val="0066558B"/>
    <w:rsid w:val="0067158F"/>
    <w:rsid w:val="00672222"/>
    <w:rsid w:val="006726D6"/>
    <w:rsid w:val="006753E8"/>
    <w:rsid w:val="00680715"/>
    <w:rsid w:val="00682BC2"/>
    <w:rsid w:val="0068697F"/>
    <w:rsid w:val="00690A85"/>
    <w:rsid w:val="00691477"/>
    <w:rsid w:val="00692300"/>
    <w:rsid w:val="0069395C"/>
    <w:rsid w:val="00695698"/>
    <w:rsid w:val="00695F00"/>
    <w:rsid w:val="0069665A"/>
    <w:rsid w:val="006A07DC"/>
    <w:rsid w:val="006A22C9"/>
    <w:rsid w:val="006A7E39"/>
    <w:rsid w:val="006B0583"/>
    <w:rsid w:val="006B067C"/>
    <w:rsid w:val="006B3308"/>
    <w:rsid w:val="006B346A"/>
    <w:rsid w:val="006B4A7C"/>
    <w:rsid w:val="006C1D58"/>
    <w:rsid w:val="006C2F6E"/>
    <w:rsid w:val="006C4D3D"/>
    <w:rsid w:val="006C52E2"/>
    <w:rsid w:val="006C580B"/>
    <w:rsid w:val="006C5AD6"/>
    <w:rsid w:val="006C6850"/>
    <w:rsid w:val="006D7075"/>
    <w:rsid w:val="006D775F"/>
    <w:rsid w:val="006D7DBF"/>
    <w:rsid w:val="006E2441"/>
    <w:rsid w:val="006E2CC2"/>
    <w:rsid w:val="006E31B1"/>
    <w:rsid w:val="006E4572"/>
    <w:rsid w:val="006E52B9"/>
    <w:rsid w:val="006E7A1D"/>
    <w:rsid w:val="006F116C"/>
    <w:rsid w:val="006F117A"/>
    <w:rsid w:val="006F23CF"/>
    <w:rsid w:val="006F4562"/>
    <w:rsid w:val="006F57D2"/>
    <w:rsid w:val="007024A9"/>
    <w:rsid w:val="007042E1"/>
    <w:rsid w:val="007057E1"/>
    <w:rsid w:val="00705EFD"/>
    <w:rsid w:val="00707418"/>
    <w:rsid w:val="007107B6"/>
    <w:rsid w:val="00712EE4"/>
    <w:rsid w:val="00716196"/>
    <w:rsid w:val="007171D9"/>
    <w:rsid w:val="00717D43"/>
    <w:rsid w:val="00722914"/>
    <w:rsid w:val="00722C65"/>
    <w:rsid w:val="007238C9"/>
    <w:rsid w:val="00725FD2"/>
    <w:rsid w:val="00731279"/>
    <w:rsid w:val="00731AEF"/>
    <w:rsid w:val="007321A8"/>
    <w:rsid w:val="0073407A"/>
    <w:rsid w:val="00734AA1"/>
    <w:rsid w:val="00736EB2"/>
    <w:rsid w:val="00741621"/>
    <w:rsid w:val="00741737"/>
    <w:rsid w:val="00742C06"/>
    <w:rsid w:val="007446B3"/>
    <w:rsid w:val="00746282"/>
    <w:rsid w:val="00750062"/>
    <w:rsid w:val="007507B4"/>
    <w:rsid w:val="00752C4B"/>
    <w:rsid w:val="007607F6"/>
    <w:rsid w:val="0076088F"/>
    <w:rsid w:val="007625BB"/>
    <w:rsid w:val="00765556"/>
    <w:rsid w:val="00772183"/>
    <w:rsid w:val="00775D4D"/>
    <w:rsid w:val="00777864"/>
    <w:rsid w:val="0078186C"/>
    <w:rsid w:val="00782CC3"/>
    <w:rsid w:val="007853EE"/>
    <w:rsid w:val="00786DAC"/>
    <w:rsid w:val="00790923"/>
    <w:rsid w:val="007914A4"/>
    <w:rsid w:val="007948D8"/>
    <w:rsid w:val="0079774F"/>
    <w:rsid w:val="007A00A2"/>
    <w:rsid w:val="007A125F"/>
    <w:rsid w:val="007A195D"/>
    <w:rsid w:val="007A430E"/>
    <w:rsid w:val="007A6232"/>
    <w:rsid w:val="007B566D"/>
    <w:rsid w:val="007B5764"/>
    <w:rsid w:val="007C1315"/>
    <w:rsid w:val="007C3AF2"/>
    <w:rsid w:val="007C3DDC"/>
    <w:rsid w:val="007C7001"/>
    <w:rsid w:val="007D0488"/>
    <w:rsid w:val="007D55F4"/>
    <w:rsid w:val="007E04C8"/>
    <w:rsid w:val="007E2495"/>
    <w:rsid w:val="007E25B8"/>
    <w:rsid w:val="007E266C"/>
    <w:rsid w:val="007F0854"/>
    <w:rsid w:val="007F2FCD"/>
    <w:rsid w:val="007F3FA8"/>
    <w:rsid w:val="007F4236"/>
    <w:rsid w:val="007F45B0"/>
    <w:rsid w:val="007F6D18"/>
    <w:rsid w:val="008015D6"/>
    <w:rsid w:val="0080188A"/>
    <w:rsid w:val="00804AFD"/>
    <w:rsid w:val="008064B4"/>
    <w:rsid w:val="0080757E"/>
    <w:rsid w:val="00810AC7"/>
    <w:rsid w:val="008118BF"/>
    <w:rsid w:val="008150B3"/>
    <w:rsid w:val="008154ED"/>
    <w:rsid w:val="00817908"/>
    <w:rsid w:val="00820ECA"/>
    <w:rsid w:val="00821727"/>
    <w:rsid w:val="00821D16"/>
    <w:rsid w:val="00823403"/>
    <w:rsid w:val="00823B2C"/>
    <w:rsid w:val="00826DC0"/>
    <w:rsid w:val="00827693"/>
    <w:rsid w:val="00831749"/>
    <w:rsid w:val="00832638"/>
    <w:rsid w:val="008348C4"/>
    <w:rsid w:val="00840526"/>
    <w:rsid w:val="00840DCF"/>
    <w:rsid w:val="008440A4"/>
    <w:rsid w:val="008517C8"/>
    <w:rsid w:val="0085429E"/>
    <w:rsid w:val="00854534"/>
    <w:rsid w:val="00856618"/>
    <w:rsid w:val="008619A2"/>
    <w:rsid w:val="00861E5A"/>
    <w:rsid w:val="00863C6A"/>
    <w:rsid w:val="008649FD"/>
    <w:rsid w:val="00864B1C"/>
    <w:rsid w:val="00864D82"/>
    <w:rsid w:val="00870E81"/>
    <w:rsid w:val="00872DB4"/>
    <w:rsid w:val="00872E63"/>
    <w:rsid w:val="008731AB"/>
    <w:rsid w:val="00880C1F"/>
    <w:rsid w:val="0088190B"/>
    <w:rsid w:val="00884213"/>
    <w:rsid w:val="00884823"/>
    <w:rsid w:val="008848C4"/>
    <w:rsid w:val="008915BE"/>
    <w:rsid w:val="00893C6D"/>
    <w:rsid w:val="008948CE"/>
    <w:rsid w:val="008A0986"/>
    <w:rsid w:val="008A2115"/>
    <w:rsid w:val="008A243C"/>
    <w:rsid w:val="008A2907"/>
    <w:rsid w:val="008A3434"/>
    <w:rsid w:val="008A4505"/>
    <w:rsid w:val="008B1D43"/>
    <w:rsid w:val="008B2CBA"/>
    <w:rsid w:val="008B318F"/>
    <w:rsid w:val="008B4662"/>
    <w:rsid w:val="008B5AF3"/>
    <w:rsid w:val="008C0716"/>
    <w:rsid w:val="008C0F31"/>
    <w:rsid w:val="008C13D9"/>
    <w:rsid w:val="008C5AF5"/>
    <w:rsid w:val="008C70F5"/>
    <w:rsid w:val="008C74CC"/>
    <w:rsid w:val="008D1AC6"/>
    <w:rsid w:val="008D290D"/>
    <w:rsid w:val="008D64D1"/>
    <w:rsid w:val="008D7958"/>
    <w:rsid w:val="008E2444"/>
    <w:rsid w:val="008E456D"/>
    <w:rsid w:val="008E504B"/>
    <w:rsid w:val="008F05E8"/>
    <w:rsid w:val="008F11BD"/>
    <w:rsid w:val="008F269E"/>
    <w:rsid w:val="008F2917"/>
    <w:rsid w:val="008F43DE"/>
    <w:rsid w:val="008F4C1A"/>
    <w:rsid w:val="00901A84"/>
    <w:rsid w:val="009110C7"/>
    <w:rsid w:val="00911D53"/>
    <w:rsid w:val="00913430"/>
    <w:rsid w:val="00914619"/>
    <w:rsid w:val="00914B75"/>
    <w:rsid w:val="009153D9"/>
    <w:rsid w:val="00920519"/>
    <w:rsid w:val="00923624"/>
    <w:rsid w:val="00924D46"/>
    <w:rsid w:val="009273D8"/>
    <w:rsid w:val="00934F55"/>
    <w:rsid w:val="00942763"/>
    <w:rsid w:val="00942D05"/>
    <w:rsid w:val="009432C4"/>
    <w:rsid w:val="009439CD"/>
    <w:rsid w:val="00944B83"/>
    <w:rsid w:val="00944E87"/>
    <w:rsid w:val="00945161"/>
    <w:rsid w:val="00950E57"/>
    <w:rsid w:val="009522C8"/>
    <w:rsid w:val="00953733"/>
    <w:rsid w:val="009567B9"/>
    <w:rsid w:val="00957CB7"/>
    <w:rsid w:val="00960313"/>
    <w:rsid w:val="00961E82"/>
    <w:rsid w:val="00964988"/>
    <w:rsid w:val="00965290"/>
    <w:rsid w:val="00966DE5"/>
    <w:rsid w:val="00970301"/>
    <w:rsid w:val="00971309"/>
    <w:rsid w:val="009718F2"/>
    <w:rsid w:val="00971E3B"/>
    <w:rsid w:val="00976F10"/>
    <w:rsid w:val="009774CF"/>
    <w:rsid w:val="00977731"/>
    <w:rsid w:val="00981457"/>
    <w:rsid w:val="009821A9"/>
    <w:rsid w:val="009830A3"/>
    <w:rsid w:val="00983398"/>
    <w:rsid w:val="00983C0D"/>
    <w:rsid w:val="00985D42"/>
    <w:rsid w:val="00991D60"/>
    <w:rsid w:val="00994911"/>
    <w:rsid w:val="00995974"/>
    <w:rsid w:val="009964BB"/>
    <w:rsid w:val="00996D9D"/>
    <w:rsid w:val="009A046E"/>
    <w:rsid w:val="009A067F"/>
    <w:rsid w:val="009A2102"/>
    <w:rsid w:val="009A3244"/>
    <w:rsid w:val="009A3F73"/>
    <w:rsid w:val="009A5577"/>
    <w:rsid w:val="009A5A25"/>
    <w:rsid w:val="009B08EF"/>
    <w:rsid w:val="009B2B5F"/>
    <w:rsid w:val="009B5195"/>
    <w:rsid w:val="009B5F07"/>
    <w:rsid w:val="009B609B"/>
    <w:rsid w:val="009C1B03"/>
    <w:rsid w:val="009C2C53"/>
    <w:rsid w:val="009C302F"/>
    <w:rsid w:val="009D19E8"/>
    <w:rsid w:val="009D271A"/>
    <w:rsid w:val="009D48E6"/>
    <w:rsid w:val="009D7E56"/>
    <w:rsid w:val="009E0BF4"/>
    <w:rsid w:val="009E0FB0"/>
    <w:rsid w:val="009E2F96"/>
    <w:rsid w:val="009E41E0"/>
    <w:rsid w:val="009F1151"/>
    <w:rsid w:val="009F43B8"/>
    <w:rsid w:val="009F45D7"/>
    <w:rsid w:val="009F695C"/>
    <w:rsid w:val="009F7605"/>
    <w:rsid w:val="00A001CC"/>
    <w:rsid w:val="00A0087C"/>
    <w:rsid w:val="00A02C41"/>
    <w:rsid w:val="00A0392F"/>
    <w:rsid w:val="00A107F6"/>
    <w:rsid w:val="00A11904"/>
    <w:rsid w:val="00A1405A"/>
    <w:rsid w:val="00A149E4"/>
    <w:rsid w:val="00A15549"/>
    <w:rsid w:val="00A21851"/>
    <w:rsid w:val="00A21B5D"/>
    <w:rsid w:val="00A222B0"/>
    <w:rsid w:val="00A22F86"/>
    <w:rsid w:val="00A23153"/>
    <w:rsid w:val="00A25B81"/>
    <w:rsid w:val="00A32B0C"/>
    <w:rsid w:val="00A32B83"/>
    <w:rsid w:val="00A34FEC"/>
    <w:rsid w:val="00A37707"/>
    <w:rsid w:val="00A40EA1"/>
    <w:rsid w:val="00A41013"/>
    <w:rsid w:val="00A41A92"/>
    <w:rsid w:val="00A433D6"/>
    <w:rsid w:val="00A433EE"/>
    <w:rsid w:val="00A44F42"/>
    <w:rsid w:val="00A475B1"/>
    <w:rsid w:val="00A529F6"/>
    <w:rsid w:val="00A52EBB"/>
    <w:rsid w:val="00A565CF"/>
    <w:rsid w:val="00A61DED"/>
    <w:rsid w:val="00A6237A"/>
    <w:rsid w:val="00A656E3"/>
    <w:rsid w:val="00A6759D"/>
    <w:rsid w:val="00A67879"/>
    <w:rsid w:val="00A67DEB"/>
    <w:rsid w:val="00A70CD0"/>
    <w:rsid w:val="00A714E3"/>
    <w:rsid w:val="00A73846"/>
    <w:rsid w:val="00A75DEB"/>
    <w:rsid w:val="00A75FF8"/>
    <w:rsid w:val="00A76308"/>
    <w:rsid w:val="00A77403"/>
    <w:rsid w:val="00A77751"/>
    <w:rsid w:val="00A77DC2"/>
    <w:rsid w:val="00A824A7"/>
    <w:rsid w:val="00A927DF"/>
    <w:rsid w:val="00A951A5"/>
    <w:rsid w:val="00A959A2"/>
    <w:rsid w:val="00A963D8"/>
    <w:rsid w:val="00A96C5A"/>
    <w:rsid w:val="00AA21E0"/>
    <w:rsid w:val="00AA26B2"/>
    <w:rsid w:val="00AA6640"/>
    <w:rsid w:val="00AA7086"/>
    <w:rsid w:val="00AA763A"/>
    <w:rsid w:val="00AB123C"/>
    <w:rsid w:val="00AB2321"/>
    <w:rsid w:val="00AB4727"/>
    <w:rsid w:val="00AC0AC0"/>
    <w:rsid w:val="00AC154D"/>
    <w:rsid w:val="00AC358D"/>
    <w:rsid w:val="00AC5B25"/>
    <w:rsid w:val="00AC6E29"/>
    <w:rsid w:val="00AC6F87"/>
    <w:rsid w:val="00AD01E4"/>
    <w:rsid w:val="00AD0A1B"/>
    <w:rsid w:val="00AD6689"/>
    <w:rsid w:val="00AD717F"/>
    <w:rsid w:val="00AE1724"/>
    <w:rsid w:val="00AE453F"/>
    <w:rsid w:val="00AF483E"/>
    <w:rsid w:val="00AF4CCB"/>
    <w:rsid w:val="00B0245F"/>
    <w:rsid w:val="00B03FCB"/>
    <w:rsid w:val="00B04743"/>
    <w:rsid w:val="00B1260B"/>
    <w:rsid w:val="00B16505"/>
    <w:rsid w:val="00B205EA"/>
    <w:rsid w:val="00B20F7B"/>
    <w:rsid w:val="00B2497A"/>
    <w:rsid w:val="00B25981"/>
    <w:rsid w:val="00B27086"/>
    <w:rsid w:val="00B30E92"/>
    <w:rsid w:val="00B3121B"/>
    <w:rsid w:val="00B31AD4"/>
    <w:rsid w:val="00B3399B"/>
    <w:rsid w:val="00B33F4D"/>
    <w:rsid w:val="00B34117"/>
    <w:rsid w:val="00B35A98"/>
    <w:rsid w:val="00B37737"/>
    <w:rsid w:val="00B37A8F"/>
    <w:rsid w:val="00B37BC7"/>
    <w:rsid w:val="00B40014"/>
    <w:rsid w:val="00B40458"/>
    <w:rsid w:val="00B40625"/>
    <w:rsid w:val="00B40871"/>
    <w:rsid w:val="00B42534"/>
    <w:rsid w:val="00B42636"/>
    <w:rsid w:val="00B453C6"/>
    <w:rsid w:val="00B454E6"/>
    <w:rsid w:val="00B478BD"/>
    <w:rsid w:val="00B51FB6"/>
    <w:rsid w:val="00B53BEE"/>
    <w:rsid w:val="00B54C09"/>
    <w:rsid w:val="00B55779"/>
    <w:rsid w:val="00B55D32"/>
    <w:rsid w:val="00B56BB1"/>
    <w:rsid w:val="00B5723C"/>
    <w:rsid w:val="00B60BE0"/>
    <w:rsid w:val="00B61DDD"/>
    <w:rsid w:val="00B62005"/>
    <w:rsid w:val="00B62434"/>
    <w:rsid w:val="00B63DF8"/>
    <w:rsid w:val="00B64C22"/>
    <w:rsid w:val="00B67E7E"/>
    <w:rsid w:val="00B700FC"/>
    <w:rsid w:val="00B70E0B"/>
    <w:rsid w:val="00B71441"/>
    <w:rsid w:val="00B72173"/>
    <w:rsid w:val="00B72C39"/>
    <w:rsid w:val="00B74895"/>
    <w:rsid w:val="00B74D06"/>
    <w:rsid w:val="00B767DA"/>
    <w:rsid w:val="00B81475"/>
    <w:rsid w:val="00B83017"/>
    <w:rsid w:val="00B83059"/>
    <w:rsid w:val="00B85EBA"/>
    <w:rsid w:val="00B879EC"/>
    <w:rsid w:val="00B93A86"/>
    <w:rsid w:val="00B93E72"/>
    <w:rsid w:val="00B94DC3"/>
    <w:rsid w:val="00B95653"/>
    <w:rsid w:val="00B970FC"/>
    <w:rsid w:val="00BA02EB"/>
    <w:rsid w:val="00BA0B99"/>
    <w:rsid w:val="00BA20E9"/>
    <w:rsid w:val="00BA27E2"/>
    <w:rsid w:val="00BA2980"/>
    <w:rsid w:val="00BB053E"/>
    <w:rsid w:val="00BB2D75"/>
    <w:rsid w:val="00BB2DED"/>
    <w:rsid w:val="00BB4E1A"/>
    <w:rsid w:val="00BB5A99"/>
    <w:rsid w:val="00BC069C"/>
    <w:rsid w:val="00BC37DA"/>
    <w:rsid w:val="00BC406D"/>
    <w:rsid w:val="00BC5F15"/>
    <w:rsid w:val="00BC64F3"/>
    <w:rsid w:val="00BD1979"/>
    <w:rsid w:val="00BD269D"/>
    <w:rsid w:val="00BD49F3"/>
    <w:rsid w:val="00BD6BC0"/>
    <w:rsid w:val="00BD7478"/>
    <w:rsid w:val="00BD7C72"/>
    <w:rsid w:val="00BD7D25"/>
    <w:rsid w:val="00BD7F86"/>
    <w:rsid w:val="00BE1DA6"/>
    <w:rsid w:val="00BE49AA"/>
    <w:rsid w:val="00BE5C0E"/>
    <w:rsid w:val="00BF2A5A"/>
    <w:rsid w:val="00BF6B95"/>
    <w:rsid w:val="00C0069E"/>
    <w:rsid w:val="00C02902"/>
    <w:rsid w:val="00C02C5F"/>
    <w:rsid w:val="00C03408"/>
    <w:rsid w:val="00C04DAE"/>
    <w:rsid w:val="00C06B00"/>
    <w:rsid w:val="00C07424"/>
    <w:rsid w:val="00C074D8"/>
    <w:rsid w:val="00C107E8"/>
    <w:rsid w:val="00C10CF8"/>
    <w:rsid w:val="00C110C9"/>
    <w:rsid w:val="00C13104"/>
    <w:rsid w:val="00C143D4"/>
    <w:rsid w:val="00C14598"/>
    <w:rsid w:val="00C23A91"/>
    <w:rsid w:val="00C24D8D"/>
    <w:rsid w:val="00C278AB"/>
    <w:rsid w:val="00C27D70"/>
    <w:rsid w:val="00C30FE4"/>
    <w:rsid w:val="00C3296F"/>
    <w:rsid w:val="00C3338E"/>
    <w:rsid w:val="00C33DEE"/>
    <w:rsid w:val="00C37A46"/>
    <w:rsid w:val="00C4044A"/>
    <w:rsid w:val="00C414C0"/>
    <w:rsid w:val="00C42495"/>
    <w:rsid w:val="00C436FF"/>
    <w:rsid w:val="00C44559"/>
    <w:rsid w:val="00C46436"/>
    <w:rsid w:val="00C50F54"/>
    <w:rsid w:val="00C5524B"/>
    <w:rsid w:val="00C56346"/>
    <w:rsid w:val="00C65B37"/>
    <w:rsid w:val="00C660E1"/>
    <w:rsid w:val="00C67999"/>
    <w:rsid w:val="00C7104C"/>
    <w:rsid w:val="00C7197B"/>
    <w:rsid w:val="00C72D57"/>
    <w:rsid w:val="00C73772"/>
    <w:rsid w:val="00C801B8"/>
    <w:rsid w:val="00C80E58"/>
    <w:rsid w:val="00C82054"/>
    <w:rsid w:val="00C83454"/>
    <w:rsid w:val="00C85657"/>
    <w:rsid w:val="00C91144"/>
    <w:rsid w:val="00C91F09"/>
    <w:rsid w:val="00C92E96"/>
    <w:rsid w:val="00C93F36"/>
    <w:rsid w:val="00C963E4"/>
    <w:rsid w:val="00C9713A"/>
    <w:rsid w:val="00C97DF2"/>
    <w:rsid w:val="00CA0854"/>
    <w:rsid w:val="00CA1899"/>
    <w:rsid w:val="00CA35D4"/>
    <w:rsid w:val="00CA3A23"/>
    <w:rsid w:val="00CA4084"/>
    <w:rsid w:val="00CA42AF"/>
    <w:rsid w:val="00CA4A6D"/>
    <w:rsid w:val="00CA6523"/>
    <w:rsid w:val="00CB0B48"/>
    <w:rsid w:val="00CB10A6"/>
    <w:rsid w:val="00CB4600"/>
    <w:rsid w:val="00CB54CB"/>
    <w:rsid w:val="00CB5F5E"/>
    <w:rsid w:val="00CC1FCC"/>
    <w:rsid w:val="00CC21BF"/>
    <w:rsid w:val="00CC283F"/>
    <w:rsid w:val="00CC4BA8"/>
    <w:rsid w:val="00CC5D89"/>
    <w:rsid w:val="00CC684B"/>
    <w:rsid w:val="00CC7844"/>
    <w:rsid w:val="00CD2720"/>
    <w:rsid w:val="00CD28A5"/>
    <w:rsid w:val="00CD376E"/>
    <w:rsid w:val="00CD5358"/>
    <w:rsid w:val="00CE1969"/>
    <w:rsid w:val="00CE1C1C"/>
    <w:rsid w:val="00CE4449"/>
    <w:rsid w:val="00CF0BFB"/>
    <w:rsid w:val="00CF2FB2"/>
    <w:rsid w:val="00CF46BB"/>
    <w:rsid w:val="00CF486A"/>
    <w:rsid w:val="00CF4A4F"/>
    <w:rsid w:val="00CF4CB9"/>
    <w:rsid w:val="00CF5500"/>
    <w:rsid w:val="00D0247D"/>
    <w:rsid w:val="00D03708"/>
    <w:rsid w:val="00D04F42"/>
    <w:rsid w:val="00D059CB"/>
    <w:rsid w:val="00D12C0F"/>
    <w:rsid w:val="00D14D36"/>
    <w:rsid w:val="00D20D53"/>
    <w:rsid w:val="00D224E5"/>
    <w:rsid w:val="00D22AD5"/>
    <w:rsid w:val="00D2366F"/>
    <w:rsid w:val="00D272F7"/>
    <w:rsid w:val="00D302D5"/>
    <w:rsid w:val="00D30CF3"/>
    <w:rsid w:val="00D318EA"/>
    <w:rsid w:val="00D320D7"/>
    <w:rsid w:val="00D34915"/>
    <w:rsid w:val="00D3681F"/>
    <w:rsid w:val="00D40B9D"/>
    <w:rsid w:val="00D418CF"/>
    <w:rsid w:val="00D43A4C"/>
    <w:rsid w:val="00D43F13"/>
    <w:rsid w:val="00D444D2"/>
    <w:rsid w:val="00D46796"/>
    <w:rsid w:val="00D51152"/>
    <w:rsid w:val="00D51B6D"/>
    <w:rsid w:val="00D5426B"/>
    <w:rsid w:val="00D55B44"/>
    <w:rsid w:val="00D55D37"/>
    <w:rsid w:val="00D57D2D"/>
    <w:rsid w:val="00D60602"/>
    <w:rsid w:val="00D664E0"/>
    <w:rsid w:val="00D6676B"/>
    <w:rsid w:val="00D66B6A"/>
    <w:rsid w:val="00D66C13"/>
    <w:rsid w:val="00D6741E"/>
    <w:rsid w:val="00D70273"/>
    <w:rsid w:val="00D728E8"/>
    <w:rsid w:val="00D73299"/>
    <w:rsid w:val="00D7499B"/>
    <w:rsid w:val="00D74EC6"/>
    <w:rsid w:val="00D75E21"/>
    <w:rsid w:val="00D7748F"/>
    <w:rsid w:val="00D77783"/>
    <w:rsid w:val="00D831C9"/>
    <w:rsid w:val="00D83C3D"/>
    <w:rsid w:val="00D84583"/>
    <w:rsid w:val="00D86AD3"/>
    <w:rsid w:val="00D879AF"/>
    <w:rsid w:val="00D87E51"/>
    <w:rsid w:val="00D922A5"/>
    <w:rsid w:val="00D92E13"/>
    <w:rsid w:val="00D93F6B"/>
    <w:rsid w:val="00D94106"/>
    <w:rsid w:val="00D94C2B"/>
    <w:rsid w:val="00D966A1"/>
    <w:rsid w:val="00D97226"/>
    <w:rsid w:val="00DA0419"/>
    <w:rsid w:val="00DA14C6"/>
    <w:rsid w:val="00DA1B0F"/>
    <w:rsid w:val="00DA2B2B"/>
    <w:rsid w:val="00DA3B44"/>
    <w:rsid w:val="00DA597B"/>
    <w:rsid w:val="00DA5D99"/>
    <w:rsid w:val="00DA79D0"/>
    <w:rsid w:val="00DB360C"/>
    <w:rsid w:val="00DB6AF8"/>
    <w:rsid w:val="00DC2E6D"/>
    <w:rsid w:val="00DC3328"/>
    <w:rsid w:val="00DC3CA8"/>
    <w:rsid w:val="00DD234B"/>
    <w:rsid w:val="00DD381D"/>
    <w:rsid w:val="00DD39C1"/>
    <w:rsid w:val="00DD3E03"/>
    <w:rsid w:val="00DD4D47"/>
    <w:rsid w:val="00DD54F4"/>
    <w:rsid w:val="00DE2139"/>
    <w:rsid w:val="00DE6029"/>
    <w:rsid w:val="00DE7488"/>
    <w:rsid w:val="00DF00DC"/>
    <w:rsid w:val="00DF0FDA"/>
    <w:rsid w:val="00DF113A"/>
    <w:rsid w:val="00DF1C54"/>
    <w:rsid w:val="00DF2CE4"/>
    <w:rsid w:val="00DF37F2"/>
    <w:rsid w:val="00DF4984"/>
    <w:rsid w:val="00E024F8"/>
    <w:rsid w:val="00E046A1"/>
    <w:rsid w:val="00E1017B"/>
    <w:rsid w:val="00E153DD"/>
    <w:rsid w:val="00E17346"/>
    <w:rsid w:val="00E200D6"/>
    <w:rsid w:val="00E21C33"/>
    <w:rsid w:val="00E2277D"/>
    <w:rsid w:val="00E265D0"/>
    <w:rsid w:val="00E32A35"/>
    <w:rsid w:val="00E35A43"/>
    <w:rsid w:val="00E40961"/>
    <w:rsid w:val="00E43D16"/>
    <w:rsid w:val="00E444F0"/>
    <w:rsid w:val="00E44BE3"/>
    <w:rsid w:val="00E452B0"/>
    <w:rsid w:val="00E45A32"/>
    <w:rsid w:val="00E46146"/>
    <w:rsid w:val="00E47672"/>
    <w:rsid w:val="00E477CB"/>
    <w:rsid w:val="00E53982"/>
    <w:rsid w:val="00E53E4A"/>
    <w:rsid w:val="00E54D45"/>
    <w:rsid w:val="00E60819"/>
    <w:rsid w:val="00E61722"/>
    <w:rsid w:val="00E62C13"/>
    <w:rsid w:val="00E71082"/>
    <w:rsid w:val="00E72306"/>
    <w:rsid w:val="00E75F03"/>
    <w:rsid w:val="00E80557"/>
    <w:rsid w:val="00E82D4E"/>
    <w:rsid w:val="00E85554"/>
    <w:rsid w:val="00E87FF8"/>
    <w:rsid w:val="00E91CB2"/>
    <w:rsid w:val="00E94851"/>
    <w:rsid w:val="00E9672E"/>
    <w:rsid w:val="00E96B2B"/>
    <w:rsid w:val="00EA21AC"/>
    <w:rsid w:val="00EA2CFF"/>
    <w:rsid w:val="00EA349A"/>
    <w:rsid w:val="00EA61B6"/>
    <w:rsid w:val="00EA6AE6"/>
    <w:rsid w:val="00EA6C11"/>
    <w:rsid w:val="00EA6EA9"/>
    <w:rsid w:val="00EB0C80"/>
    <w:rsid w:val="00EB2728"/>
    <w:rsid w:val="00EB3C5C"/>
    <w:rsid w:val="00EB5417"/>
    <w:rsid w:val="00EB5803"/>
    <w:rsid w:val="00EB5A12"/>
    <w:rsid w:val="00EB679D"/>
    <w:rsid w:val="00EB6DDF"/>
    <w:rsid w:val="00EC1C9C"/>
    <w:rsid w:val="00EC29BC"/>
    <w:rsid w:val="00EC6950"/>
    <w:rsid w:val="00ED1A27"/>
    <w:rsid w:val="00ED27F1"/>
    <w:rsid w:val="00ED6EA2"/>
    <w:rsid w:val="00EE2B74"/>
    <w:rsid w:val="00EE4F8C"/>
    <w:rsid w:val="00EE5379"/>
    <w:rsid w:val="00EE5B8F"/>
    <w:rsid w:val="00EF53E0"/>
    <w:rsid w:val="00EF607B"/>
    <w:rsid w:val="00F027A0"/>
    <w:rsid w:val="00F035AF"/>
    <w:rsid w:val="00F05787"/>
    <w:rsid w:val="00F10676"/>
    <w:rsid w:val="00F12244"/>
    <w:rsid w:val="00F126EF"/>
    <w:rsid w:val="00F1499A"/>
    <w:rsid w:val="00F16620"/>
    <w:rsid w:val="00F17586"/>
    <w:rsid w:val="00F17D24"/>
    <w:rsid w:val="00F20E03"/>
    <w:rsid w:val="00F21AAB"/>
    <w:rsid w:val="00F2241A"/>
    <w:rsid w:val="00F228F7"/>
    <w:rsid w:val="00F22EB8"/>
    <w:rsid w:val="00F23664"/>
    <w:rsid w:val="00F259BC"/>
    <w:rsid w:val="00F3206E"/>
    <w:rsid w:val="00F369BD"/>
    <w:rsid w:val="00F3712C"/>
    <w:rsid w:val="00F41C42"/>
    <w:rsid w:val="00F43650"/>
    <w:rsid w:val="00F46704"/>
    <w:rsid w:val="00F477F6"/>
    <w:rsid w:val="00F504FB"/>
    <w:rsid w:val="00F51E07"/>
    <w:rsid w:val="00F532E7"/>
    <w:rsid w:val="00F55A21"/>
    <w:rsid w:val="00F55EA1"/>
    <w:rsid w:val="00F568B8"/>
    <w:rsid w:val="00F57F39"/>
    <w:rsid w:val="00F6528F"/>
    <w:rsid w:val="00F671EF"/>
    <w:rsid w:val="00F67271"/>
    <w:rsid w:val="00F67C19"/>
    <w:rsid w:val="00F7053C"/>
    <w:rsid w:val="00F708A9"/>
    <w:rsid w:val="00F719CA"/>
    <w:rsid w:val="00F71D2C"/>
    <w:rsid w:val="00F808FB"/>
    <w:rsid w:val="00F80F02"/>
    <w:rsid w:val="00F81F9E"/>
    <w:rsid w:val="00F825C3"/>
    <w:rsid w:val="00F83A0E"/>
    <w:rsid w:val="00F83B57"/>
    <w:rsid w:val="00F842BE"/>
    <w:rsid w:val="00F84F11"/>
    <w:rsid w:val="00F857E3"/>
    <w:rsid w:val="00F858E9"/>
    <w:rsid w:val="00F85930"/>
    <w:rsid w:val="00F859A7"/>
    <w:rsid w:val="00F8625F"/>
    <w:rsid w:val="00F912C8"/>
    <w:rsid w:val="00F914E7"/>
    <w:rsid w:val="00F939E4"/>
    <w:rsid w:val="00F943F3"/>
    <w:rsid w:val="00F95613"/>
    <w:rsid w:val="00F95F14"/>
    <w:rsid w:val="00FA0BB9"/>
    <w:rsid w:val="00FA71C0"/>
    <w:rsid w:val="00FA765A"/>
    <w:rsid w:val="00FA7F05"/>
    <w:rsid w:val="00FB414B"/>
    <w:rsid w:val="00FB43D0"/>
    <w:rsid w:val="00FB76AC"/>
    <w:rsid w:val="00FC0344"/>
    <w:rsid w:val="00FC2ACE"/>
    <w:rsid w:val="00FD2DA9"/>
    <w:rsid w:val="00FD5CEB"/>
    <w:rsid w:val="00FD6FD8"/>
    <w:rsid w:val="00FE114D"/>
    <w:rsid w:val="00FE4978"/>
    <w:rsid w:val="00FE6151"/>
    <w:rsid w:val="00FF023A"/>
    <w:rsid w:val="00FF08AB"/>
    <w:rsid w:val="00FF298C"/>
    <w:rsid w:val="00FF51D4"/>
    <w:rsid w:val="00FF520F"/>
    <w:rsid w:val="00FF70A1"/>
    <w:rsid w:val="00FF78F9"/>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8913"/>
    <o:shapelayout v:ext="edit">
      <o:idmap v:ext="edit" data="1"/>
    </o:shapelayout>
  </w:shapeDefaults>
  <w:decimalSymbol w:val="."/>
  <w:listSeparator w:val=","/>
  <w14:docId w14:val="207B97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2" w:unhideWhenUsed="0" w:qFormat="1"/>
    <w:lsdException w:name="heading 2" w:uiPriority="2" w:qFormat="1"/>
    <w:lsdException w:name="heading 3" w:uiPriority="9" w:qFormat="1"/>
    <w:lsdException w:name="heading 4" w:uiPriority="2"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9"/>
    <w:lsdException w:name="footer" w:uiPriority="9"/>
    <w:lsdException w:name="caption" w:uiPriority="9" w:qFormat="1"/>
    <w:lsdException w:name="page number" w:uiPriority="9"/>
    <w:lsdException w:name="endnote reference" w:uiPriority="0"/>
    <w:lsdException w:name="Title" w:semiHidden="0" w:uiPriority="9" w:unhideWhenUsed="0" w:qFormat="1"/>
    <w:lsdException w:name="Default Paragraph Font" w:uiPriority="1"/>
    <w:lsdException w:name="Body Text" w:uiPriority="1"/>
    <w:lsdException w:name="Subtitle" w:semiHidden="0" w:uiPriority="9"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0"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9"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6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34" w:unhideWhenUsed="0" w:qFormat="1"/>
    <w:lsdException w:name="Colorful Grid Accent 1" w:semiHidden="0" w:uiPriority="29" w:unhideWhenUsed="0" w:qFormat="1"/>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0"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9"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0"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0"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9"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0"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0"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66"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0D53"/>
    <w:pPr>
      <w:spacing w:after="240" w:line="240" w:lineRule="auto"/>
    </w:pPr>
    <w:rPr>
      <w:rFonts w:ascii="Century Gothic" w:hAnsi="Century Gothic" w:cs="Calibri"/>
    </w:rPr>
  </w:style>
  <w:style w:type="paragraph" w:styleId="Heading1">
    <w:name w:val="heading 1"/>
    <w:basedOn w:val="Normal"/>
    <w:next w:val="Normal"/>
    <w:link w:val="Heading1Char"/>
    <w:uiPriority w:val="2"/>
    <w:qFormat/>
    <w:rsid w:val="00BB4E1A"/>
    <w:pPr>
      <w:keepNext/>
      <w:pageBreakBefore/>
      <w:spacing w:before="120" w:after="360" w:line="240" w:lineRule="atLeast"/>
      <w:outlineLvl w:val="0"/>
    </w:pPr>
    <w:rPr>
      <w:rFonts w:eastAsia="Calibri" w:cs="Times New Roman"/>
      <w:bCs/>
      <w:color w:val="0065A4"/>
      <w:kern w:val="32"/>
      <w:sz w:val="44"/>
      <w:szCs w:val="32"/>
      <w:lang w:eastAsia="x-none"/>
    </w:rPr>
  </w:style>
  <w:style w:type="paragraph" w:styleId="Heading2">
    <w:name w:val="heading 2"/>
    <w:basedOn w:val="Heading1"/>
    <w:next w:val="Normal"/>
    <w:link w:val="Heading2Char"/>
    <w:uiPriority w:val="2"/>
    <w:qFormat/>
    <w:rsid w:val="00641259"/>
    <w:pPr>
      <w:pageBreakBefore w:val="0"/>
      <w:spacing w:before="240" w:after="120" w:line="276" w:lineRule="auto"/>
      <w:outlineLvl w:val="1"/>
    </w:pPr>
    <w:rPr>
      <w:rFonts w:eastAsia="Times New Roman"/>
      <w:b/>
      <w:bCs w:val="0"/>
      <w:iCs/>
      <w:sz w:val="24"/>
      <w:szCs w:val="24"/>
      <w:lang w:val="x-none"/>
    </w:rPr>
  </w:style>
  <w:style w:type="paragraph" w:styleId="Heading3">
    <w:name w:val="heading 3"/>
    <w:basedOn w:val="Heading1"/>
    <w:next w:val="Normal"/>
    <w:link w:val="Heading3Char"/>
    <w:uiPriority w:val="9"/>
    <w:qFormat/>
    <w:rsid w:val="00343B20"/>
    <w:pPr>
      <w:pageBreakBefore w:val="0"/>
      <w:spacing w:before="240" w:after="240"/>
      <w:outlineLvl w:val="2"/>
    </w:pPr>
    <w:rPr>
      <w:rFonts w:eastAsia="Times New Roman"/>
      <w:bCs w:val="0"/>
      <w:color w:val="0070C0"/>
      <w:sz w:val="24"/>
      <w:szCs w:val="26"/>
      <w:lang w:val="x-none"/>
    </w:rPr>
  </w:style>
  <w:style w:type="paragraph" w:styleId="Heading4">
    <w:name w:val="heading 4"/>
    <w:basedOn w:val="Normal"/>
    <w:next w:val="Normal"/>
    <w:link w:val="Heading4Char"/>
    <w:uiPriority w:val="2"/>
    <w:qFormat/>
    <w:rsid w:val="00BD7C72"/>
    <w:pPr>
      <w:keepNext/>
      <w:spacing w:before="240" w:after="60" w:line="276" w:lineRule="auto"/>
      <w:outlineLvl w:val="3"/>
    </w:pPr>
    <w:rPr>
      <w:rFonts w:eastAsia="Times New Roman" w:cs="Times New Roman"/>
      <w:b/>
      <w:bCs/>
      <w:szCs w:val="28"/>
      <w:lang w:val="x-none" w:eastAsia="x-none"/>
    </w:rPr>
  </w:style>
  <w:style w:type="paragraph" w:styleId="Heading5">
    <w:name w:val="heading 5"/>
    <w:basedOn w:val="Normal"/>
    <w:next w:val="Normal"/>
    <w:link w:val="Heading5Char"/>
    <w:uiPriority w:val="9"/>
    <w:semiHidden/>
    <w:qFormat/>
    <w:rsid w:val="00D66C13"/>
    <w:pPr>
      <w:numPr>
        <w:ilvl w:val="4"/>
        <w:numId w:val="8"/>
      </w:numPr>
      <w:spacing w:before="240" w:after="60" w:line="276" w:lineRule="auto"/>
      <w:outlineLvl w:val="4"/>
    </w:pPr>
    <w:rPr>
      <w:rFonts w:ascii="Arial" w:eastAsia="Times New Roman" w:hAnsi="Arial" w:cs="Times New Roman"/>
      <w:b/>
      <w:bCs/>
      <w:i/>
      <w:iCs/>
      <w:sz w:val="26"/>
      <w:szCs w:val="26"/>
      <w:lang w:val="x-none" w:eastAsia="x-none"/>
    </w:rPr>
  </w:style>
  <w:style w:type="paragraph" w:styleId="Heading6">
    <w:name w:val="heading 6"/>
    <w:basedOn w:val="Normal"/>
    <w:next w:val="Normal"/>
    <w:link w:val="Heading6Char"/>
    <w:uiPriority w:val="9"/>
    <w:semiHidden/>
    <w:unhideWhenUsed/>
    <w:qFormat/>
    <w:rsid w:val="00267CF7"/>
    <w:pPr>
      <w:keepNext/>
      <w:keepLines/>
      <w:numPr>
        <w:ilvl w:val="5"/>
        <w:numId w:val="8"/>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267CF7"/>
    <w:pPr>
      <w:keepNext/>
      <w:keepLines/>
      <w:numPr>
        <w:ilvl w:val="6"/>
        <w:numId w:val="8"/>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267CF7"/>
    <w:pPr>
      <w:keepNext/>
      <w:keepLines/>
      <w:numPr>
        <w:ilvl w:val="7"/>
        <w:numId w:val="8"/>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267CF7"/>
    <w:pPr>
      <w:keepNext/>
      <w:keepLines/>
      <w:numPr>
        <w:ilvl w:val="8"/>
        <w:numId w:val="8"/>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34420F"/>
    <w:pPr>
      <w:spacing w:after="200" w:line="276" w:lineRule="auto"/>
      <w:ind w:left="720"/>
      <w:contextualSpacing/>
    </w:pPr>
    <w:rPr>
      <w:rFonts w:cs="Arial"/>
    </w:rPr>
  </w:style>
  <w:style w:type="character" w:customStyle="1" w:styleId="Heading1Char">
    <w:name w:val="Heading 1 Char"/>
    <w:basedOn w:val="DefaultParagraphFont"/>
    <w:link w:val="Heading1"/>
    <w:uiPriority w:val="2"/>
    <w:rsid w:val="00BB4E1A"/>
    <w:rPr>
      <w:rFonts w:ascii="Century Gothic" w:eastAsia="Calibri" w:hAnsi="Century Gothic" w:cs="Times New Roman"/>
      <w:bCs/>
      <w:color w:val="0065A4"/>
      <w:kern w:val="32"/>
      <w:sz w:val="44"/>
      <w:szCs w:val="32"/>
      <w:lang w:eastAsia="x-none"/>
    </w:rPr>
  </w:style>
  <w:style w:type="character" w:customStyle="1" w:styleId="Heading2Char">
    <w:name w:val="Heading 2 Char"/>
    <w:basedOn w:val="DefaultParagraphFont"/>
    <w:link w:val="Heading2"/>
    <w:uiPriority w:val="2"/>
    <w:rsid w:val="00641259"/>
    <w:rPr>
      <w:rFonts w:ascii="Century Gothic" w:eastAsia="Times New Roman" w:hAnsi="Century Gothic" w:cs="Times New Roman"/>
      <w:b/>
      <w:iCs/>
      <w:color w:val="0065A4"/>
      <w:kern w:val="32"/>
      <w:sz w:val="24"/>
      <w:szCs w:val="24"/>
      <w:lang w:val="x-none" w:eastAsia="x-none"/>
    </w:rPr>
  </w:style>
  <w:style w:type="character" w:customStyle="1" w:styleId="Heading3Char">
    <w:name w:val="Heading 3 Char"/>
    <w:basedOn w:val="DefaultParagraphFont"/>
    <w:link w:val="Heading3"/>
    <w:uiPriority w:val="9"/>
    <w:rsid w:val="00343B20"/>
    <w:rPr>
      <w:rFonts w:ascii="Century Gothic" w:eastAsia="Times New Roman" w:hAnsi="Century Gothic" w:cs="Times New Roman"/>
      <w:color w:val="0070C0"/>
      <w:kern w:val="32"/>
      <w:sz w:val="24"/>
      <w:szCs w:val="26"/>
      <w:lang w:val="x-none" w:eastAsia="x-none"/>
    </w:rPr>
  </w:style>
  <w:style w:type="character" w:customStyle="1" w:styleId="Heading4Char">
    <w:name w:val="Heading 4 Char"/>
    <w:basedOn w:val="DefaultParagraphFont"/>
    <w:link w:val="Heading4"/>
    <w:uiPriority w:val="2"/>
    <w:rsid w:val="00D66C13"/>
    <w:rPr>
      <w:rFonts w:ascii="Century Gothic" w:eastAsia="Times New Roman" w:hAnsi="Century Gothic" w:cs="Times New Roman"/>
      <w:b/>
      <w:bCs/>
      <w:szCs w:val="28"/>
      <w:lang w:val="x-none" w:eastAsia="x-none"/>
    </w:rPr>
  </w:style>
  <w:style w:type="character" w:customStyle="1" w:styleId="Heading5Char">
    <w:name w:val="Heading 5 Char"/>
    <w:basedOn w:val="DefaultParagraphFont"/>
    <w:link w:val="Heading5"/>
    <w:uiPriority w:val="9"/>
    <w:semiHidden/>
    <w:rsid w:val="00D66C13"/>
    <w:rPr>
      <w:rFonts w:ascii="Arial" w:eastAsia="Times New Roman" w:hAnsi="Arial" w:cs="Times New Roman"/>
      <w:b/>
      <w:bCs/>
      <w:i/>
      <w:iCs/>
      <w:sz w:val="26"/>
      <w:szCs w:val="26"/>
      <w:lang w:val="x-none" w:eastAsia="x-none"/>
    </w:rPr>
  </w:style>
  <w:style w:type="paragraph" w:styleId="Header">
    <w:name w:val="header"/>
    <w:basedOn w:val="Normal"/>
    <w:link w:val="HeaderChar"/>
    <w:uiPriority w:val="9"/>
    <w:rsid w:val="00D66C13"/>
    <w:pPr>
      <w:tabs>
        <w:tab w:val="center" w:pos="4513"/>
        <w:tab w:val="right" w:pos="9026"/>
      </w:tabs>
      <w:spacing w:after="60"/>
      <w:jc w:val="right"/>
    </w:pPr>
    <w:rPr>
      <w:rFonts w:eastAsia="Calibri" w:cs="Times New Roman"/>
      <w:sz w:val="18"/>
      <w:lang w:val="x-none" w:eastAsia="x-none"/>
    </w:rPr>
  </w:style>
  <w:style w:type="character" w:customStyle="1" w:styleId="HeaderChar">
    <w:name w:val="Header Char"/>
    <w:basedOn w:val="DefaultParagraphFont"/>
    <w:link w:val="Header"/>
    <w:uiPriority w:val="9"/>
    <w:rsid w:val="00D66C13"/>
    <w:rPr>
      <w:rFonts w:ascii="Century Gothic" w:eastAsia="Calibri" w:hAnsi="Century Gothic" w:cs="Times New Roman"/>
      <w:sz w:val="18"/>
      <w:lang w:val="x-none" w:eastAsia="x-none"/>
    </w:rPr>
  </w:style>
  <w:style w:type="paragraph" w:styleId="Footer">
    <w:name w:val="footer"/>
    <w:basedOn w:val="Normal"/>
    <w:link w:val="FooterChar"/>
    <w:uiPriority w:val="9"/>
    <w:rsid w:val="00D66C13"/>
    <w:pPr>
      <w:tabs>
        <w:tab w:val="center" w:pos="4513"/>
        <w:tab w:val="right" w:pos="9026"/>
      </w:tabs>
      <w:spacing w:after="200" w:line="276" w:lineRule="auto"/>
    </w:pPr>
    <w:rPr>
      <w:rFonts w:eastAsia="Calibri" w:cs="Times New Roman"/>
      <w:sz w:val="16"/>
      <w:lang w:val="x-none" w:eastAsia="x-none"/>
    </w:rPr>
  </w:style>
  <w:style w:type="character" w:customStyle="1" w:styleId="FooterChar">
    <w:name w:val="Footer Char"/>
    <w:basedOn w:val="DefaultParagraphFont"/>
    <w:link w:val="Footer"/>
    <w:uiPriority w:val="9"/>
    <w:rsid w:val="00D66C13"/>
    <w:rPr>
      <w:rFonts w:ascii="Century Gothic" w:eastAsia="Calibri" w:hAnsi="Century Gothic" w:cs="Times New Roman"/>
      <w:sz w:val="16"/>
      <w:lang w:val="x-none" w:eastAsia="x-none"/>
    </w:rPr>
  </w:style>
  <w:style w:type="character" w:styleId="PageNumber">
    <w:name w:val="page number"/>
    <w:uiPriority w:val="9"/>
    <w:rsid w:val="00D66C13"/>
    <w:rPr>
      <w:rFonts w:ascii="Century Gothic" w:hAnsi="Century Gothic"/>
      <w:color w:val="0079C1"/>
      <w:sz w:val="22"/>
    </w:rPr>
  </w:style>
  <w:style w:type="table" w:styleId="TableGrid">
    <w:name w:val="Table Grid"/>
    <w:basedOn w:val="TableNormal"/>
    <w:uiPriority w:val="99"/>
    <w:rsid w:val="00D66C13"/>
    <w:pPr>
      <w:spacing w:after="0" w:line="240" w:lineRule="auto"/>
    </w:pPr>
    <w:rPr>
      <w:rFonts w:ascii="Calibri" w:eastAsia="Calibri" w:hAnsi="Calibri" w:cs="Times New Roman"/>
      <w:sz w:val="20"/>
      <w:szCs w:val="20"/>
      <w:lang w:eastAsia="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HWA">
    <w:name w:val="Table (HWA)"/>
    <w:basedOn w:val="TableNormal"/>
    <w:uiPriority w:val="99"/>
    <w:qFormat/>
    <w:rsid w:val="00D66C13"/>
    <w:pPr>
      <w:spacing w:before="60" w:after="60" w:line="60" w:lineRule="atLeast"/>
    </w:pPr>
    <w:rPr>
      <w:rFonts w:ascii="Century Gothic" w:eastAsia="Calibri" w:hAnsi="Century Gothic" w:cs="Times New Roman"/>
      <w:sz w:val="16"/>
      <w:szCs w:val="20"/>
      <w:lang w:eastAsia="en-AU"/>
    </w:rPr>
    <w:tblPr>
      <w:tblInd w:w="0" w:type="dxa"/>
      <w:tblBorders>
        <w:top w:val="single" w:sz="4" w:space="0" w:color="0079C1"/>
        <w:left w:val="single" w:sz="4" w:space="0" w:color="0079C1"/>
        <w:bottom w:val="single" w:sz="4" w:space="0" w:color="0079C1"/>
        <w:right w:val="single" w:sz="4" w:space="0" w:color="0079C1"/>
        <w:insideH w:val="single" w:sz="4" w:space="0" w:color="0079C1"/>
        <w:insideV w:val="single" w:sz="4" w:space="0" w:color="0079C1"/>
      </w:tblBorders>
      <w:tblCellMar>
        <w:top w:w="0" w:type="dxa"/>
        <w:left w:w="108" w:type="dxa"/>
        <w:bottom w:w="0" w:type="dxa"/>
        <w:right w:w="108" w:type="dxa"/>
      </w:tblCellMar>
    </w:tblPr>
    <w:tblStylePr w:type="firstRow">
      <w:rPr>
        <w:rFonts w:ascii="Courier" w:hAnsi="Courier"/>
        <w:b/>
        <w:color w:val="FFFFFF"/>
        <w:sz w:val="18"/>
      </w:rPr>
      <w:tblPr/>
      <w:tcPr>
        <w:shd w:val="clear" w:color="auto" w:fill="0079C1"/>
      </w:tcPr>
    </w:tblStylePr>
  </w:style>
  <w:style w:type="paragraph" w:customStyle="1" w:styleId="TableText">
    <w:name w:val="Table Text"/>
    <w:basedOn w:val="Normal"/>
    <w:uiPriority w:val="5"/>
    <w:qFormat/>
    <w:rsid w:val="000576C4"/>
    <w:pPr>
      <w:spacing w:before="120" w:line="120" w:lineRule="atLeast"/>
    </w:pPr>
    <w:rPr>
      <w:rFonts w:eastAsia="Calibri" w:cs="Times New Roman"/>
      <w:sz w:val="20"/>
    </w:rPr>
  </w:style>
  <w:style w:type="paragraph" w:customStyle="1" w:styleId="TableHeader">
    <w:name w:val="Table Header"/>
    <w:basedOn w:val="TableText"/>
    <w:uiPriority w:val="5"/>
    <w:qFormat/>
    <w:rsid w:val="00D66C13"/>
    <w:rPr>
      <w:b/>
      <w:color w:val="FFFFFF"/>
    </w:rPr>
  </w:style>
  <w:style w:type="character" w:styleId="Hyperlink">
    <w:name w:val="Hyperlink"/>
    <w:uiPriority w:val="99"/>
    <w:rsid w:val="00D66C13"/>
    <w:rPr>
      <w:color w:val="0000FF"/>
      <w:u w:val="single"/>
    </w:rPr>
  </w:style>
  <w:style w:type="paragraph" w:customStyle="1" w:styleId="TableTextcentred">
    <w:name w:val="Table Text (centred)"/>
    <w:basedOn w:val="TableText"/>
    <w:uiPriority w:val="5"/>
    <w:qFormat/>
    <w:rsid w:val="000576C4"/>
    <w:pPr>
      <w:jc w:val="center"/>
    </w:pPr>
  </w:style>
  <w:style w:type="paragraph" w:styleId="TOC1">
    <w:name w:val="toc 1"/>
    <w:basedOn w:val="Normal"/>
    <w:next w:val="Normal"/>
    <w:autoRedefine/>
    <w:uiPriority w:val="39"/>
    <w:unhideWhenUsed/>
    <w:rsid w:val="00BB4E1A"/>
    <w:pPr>
      <w:tabs>
        <w:tab w:val="right" w:leader="dot" w:pos="9628"/>
      </w:tabs>
      <w:spacing w:after="200" w:line="276" w:lineRule="auto"/>
    </w:pPr>
    <w:rPr>
      <w:rFonts w:eastAsia="Calibri" w:cs="Times New Roman"/>
      <w:sz w:val="20"/>
    </w:rPr>
  </w:style>
  <w:style w:type="paragraph" w:styleId="TOC2">
    <w:name w:val="toc 2"/>
    <w:basedOn w:val="Normal"/>
    <w:next w:val="Normal"/>
    <w:autoRedefine/>
    <w:uiPriority w:val="39"/>
    <w:unhideWhenUsed/>
    <w:rsid w:val="00D66C13"/>
    <w:pPr>
      <w:tabs>
        <w:tab w:val="right" w:leader="dot" w:pos="9628"/>
      </w:tabs>
      <w:spacing w:after="200" w:line="276" w:lineRule="auto"/>
      <w:ind w:left="567" w:hanging="567"/>
    </w:pPr>
    <w:rPr>
      <w:rFonts w:eastAsia="Calibri" w:cs="Times New Roman"/>
      <w:sz w:val="20"/>
    </w:rPr>
  </w:style>
  <w:style w:type="paragraph" w:styleId="Caption">
    <w:name w:val="caption"/>
    <w:basedOn w:val="Normal"/>
    <w:next w:val="Normal"/>
    <w:uiPriority w:val="9"/>
    <w:qFormat/>
    <w:rsid w:val="00CD2720"/>
    <w:pPr>
      <w:keepNext/>
      <w:spacing w:before="120" w:after="120" w:line="276" w:lineRule="auto"/>
    </w:pPr>
    <w:rPr>
      <w:rFonts w:eastAsia="Calibri" w:cs="Times New Roman"/>
      <w:b/>
      <w:bCs/>
      <w:szCs w:val="20"/>
    </w:rPr>
  </w:style>
  <w:style w:type="numbering" w:customStyle="1" w:styleId="Listbulleted">
    <w:name w:val="List (bulleted)"/>
    <w:basedOn w:val="NoList"/>
    <w:rsid w:val="00D66C13"/>
    <w:pPr>
      <w:numPr>
        <w:numId w:val="4"/>
      </w:numPr>
    </w:pPr>
  </w:style>
  <w:style w:type="numbering" w:customStyle="1" w:styleId="Listnumbered">
    <w:name w:val="List (numbered)"/>
    <w:basedOn w:val="NoList"/>
    <w:rsid w:val="00D66C13"/>
  </w:style>
  <w:style w:type="numbering" w:customStyle="1" w:styleId="TableListbulleted">
    <w:name w:val="Table List (bulleted)"/>
    <w:basedOn w:val="NoList"/>
    <w:uiPriority w:val="99"/>
    <w:rsid w:val="00D66C13"/>
    <w:pPr>
      <w:numPr>
        <w:numId w:val="6"/>
      </w:numPr>
    </w:pPr>
  </w:style>
  <w:style w:type="numbering" w:customStyle="1" w:styleId="TabledListnumbered">
    <w:name w:val="Tabled List (numbered)"/>
    <w:basedOn w:val="TableListbulleted"/>
    <w:uiPriority w:val="99"/>
    <w:rsid w:val="00D66C13"/>
    <w:pPr>
      <w:numPr>
        <w:numId w:val="7"/>
      </w:numPr>
    </w:pPr>
  </w:style>
  <w:style w:type="paragraph" w:styleId="BalloonText">
    <w:name w:val="Balloon Text"/>
    <w:basedOn w:val="Normal"/>
    <w:link w:val="BalloonTextChar"/>
    <w:uiPriority w:val="99"/>
    <w:semiHidden/>
    <w:unhideWhenUsed/>
    <w:rsid w:val="00D66C13"/>
    <w:rPr>
      <w:rFonts w:ascii="Lucida Grande" w:eastAsia="Calibri" w:hAnsi="Lucida Grande" w:cs="Times New Roman"/>
      <w:sz w:val="18"/>
      <w:szCs w:val="18"/>
      <w:lang w:val="x-none" w:eastAsia="x-none"/>
    </w:rPr>
  </w:style>
  <w:style w:type="character" w:customStyle="1" w:styleId="BalloonTextChar">
    <w:name w:val="Balloon Text Char"/>
    <w:basedOn w:val="DefaultParagraphFont"/>
    <w:link w:val="BalloonText"/>
    <w:uiPriority w:val="99"/>
    <w:semiHidden/>
    <w:rsid w:val="00D66C13"/>
    <w:rPr>
      <w:rFonts w:ascii="Lucida Grande" w:eastAsia="Calibri" w:hAnsi="Lucida Grande" w:cs="Times New Roman"/>
      <w:sz w:val="18"/>
      <w:szCs w:val="18"/>
      <w:lang w:val="x-none" w:eastAsia="x-none"/>
    </w:rPr>
  </w:style>
  <w:style w:type="paragraph" w:styleId="TOC3">
    <w:name w:val="toc 3"/>
    <w:basedOn w:val="Normal"/>
    <w:next w:val="Normal"/>
    <w:autoRedefine/>
    <w:uiPriority w:val="39"/>
    <w:semiHidden/>
    <w:rsid w:val="00D66C13"/>
    <w:pPr>
      <w:spacing w:after="200" w:line="276" w:lineRule="auto"/>
      <w:ind w:left="440"/>
    </w:pPr>
    <w:rPr>
      <w:rFonts w:eastAsia="Calibri" w:cs="Times New Roman"/>
      <w:sz w:val="20"/>
    </w:rPr>
  </w:style>
  <w:style w:type="paragraph" w:styleId="TOC4">
    <w:name w:val="toc 4"/>
    <w:basedOn w:val="Normal"/>
    <w:next w:val="Normal"/>
    <w:autoRedefine/>
    <w:uiPriority w:val="39"/>
    <w:semiHidden/>
    <w:rsid w:val="00D66C13"/>
    <w:pPr>
      <w:spacing w:after="200" w:line="276" w:lineRule="auto"/>
      <w:ind w:left="660"/>
    </w:pPr>
    <w:rPr>
      <w:rFonts w:eastAsia="Calibri" w:cs="Times New Roman"/>
      <w:sz w:val="20"/>
    </w:rPr>
  </w:style>
  <w:style w:type="paragraph" w:styleId="TOC5">
    <w:name w:val="toc 5"/>
    <w:basedOn w:val="Normal"/>
    <w:next w:val="Normal"/>
    <w:autoRedefine/>
    <w:uiPriority w:val="39"/>
    <w:semiHidden/>
    <w:rsid w:val="00D66C13"/>
    <w:pPr>
      <w:spacing w:after="200" w:line="276" w:lineRule="auto"/>
      <w:ind w:left="880"/>
    </w:pPr>
    <w:rPr>
      <w:rFonts w:eastAsia="Calibri" w:cs="Times New Roman"/>
      <w:sz w:val="20"/>
    </w:rPr>
  </w:style>
  <w:style w:type="paragraph" w:styleId="TOC6">
    <w:name w:val="toc 6"/>
    <w:basedOn w:val="Normal"/>
    <w:next w:val="Normal"/>
    <w:autoRedefine/>
    <w:uiPriority w:val="39"/>
    <w:semiHidden/>
    <w:rsid w:val="00D66C13"/>
    <w:pPr>
      <w:spacing w:after="200" w:line="276" w:lineRule="auto"/>
      <w:ind w:left="1100"/>
    </w:pPr>
    <w:rPr>
      <w:rFonts w:eastAsia="Calibri" w:cs="Times New Roman"/>
      <w:sz w:val="20"/>
    </w:rPr>
  </w:style>
  <w:style w:type="paragraph" w:styleId="TOC7">
    <w:name w:val="toc 7"/>
    <w:basedOn w:val="Normal"/>
    <w:next w:val="Normal"/>
    <w:autoRedefine/>
    <w:uiPriority w:val="39"/>
    <w:semiHidden/>
    <w:rsid w:val="00D66C13"/>
    <w:pPr>
      <w:spacing w:after="200" w:line="276" w:lineRule="auto"/>
      <w:ind w:left="1320"/>
    </w:pPr>
    <w:rPr>
      <w:rFonts w:eastAsia="Calibri" w:cs="Times New Roman"/>
      <w:sz w:val="20"/>
    </w:rPr>
  </w:style>
  <w:style w:type="paragraph" w:styleId="TOC8">
    <w:name w:val="toc 8"/>
    <w:basedOn w:val="Normal"/>
    <w:next w:val="Normal"/>
    <w:autoRedefine/>
    <w:uiPriority w:val="39"/>
    <w:semiHidden/>
    <w:rsid w:val="00D66C13"/>
    <w:pPr>
      <w:spacing w:after="200" w:line="276" w:lineRule="auto"/>
      <w:ind w:left="1540"/>
    </w:pPr>
    <w:rPr>
      <w:rFonts w:eastAsia="Calibri" w:cs="Times New Roman"/>
      <w:sz w:val="20"/>
    </w:rPr>
  </w:style>
  <w:style w:type="paragraph" w:styleId="TOC9">
    <w:name w:val="toc 9"/>
    <w:basedOn w:val="Normal"/>
    <w:next w:val="Normal"/>
    <w:autoRedefine/>
    <w:uiPriority w:val="39"/>
    <w:semiHidden/>
    <w:rsid w:val="00D66C13"/>
    <w:pPr>
      <w:spacing w:after="200" w:line="276" w:lineRule="auto"/>
      <w:ind w:left="1760"/>
    </w:pPr>
    <w:rPr>
      <w:rFonts w:eastAsia="Calibri" w:cs="Times New Roman"/>
      <w:sz w:val="20"/>
    </w:rPr>
  </w:style>
  <w:style w:type="paragraph" w:styleId="Title">
    <w:name w:val="Title"/>
    <w:basedOn w:val="Normal"/>
    <w:next w:val="Normal"/>
    <w:link w:val="TitleChar"/>
    <w:uiPriority w:val="9"/>
    <w:qFormat/>
    <w:rsid w:val="00D20D53"/>
    <w:pPr>
      <w:spacing w:before="4000" w:after="160" w:line="276" w:lineRule="auto"/>
    </w:pPr>
    <w:rPr>
      <w:rFonts w:ascii="Avenir LT Std 65 Medium" w:eastAsia="Calibri" w:hAnsi="Avenir LT Std 65 Medium" w:cs="Times New Roman"/>
      <w:b/>
      <w:color w:val="FFFFFF"/>
      <w:sz w:val="60"/>
      <w:szCs w:val="60"/>
      <w:lang w:eastAsia="en-AU"/>
    </w:rPr>
  </w:style>
  <w:style w:type="character" w:customStyle="1" w:styleId="TitleChar">
    <w:name w:val="Title Char"/>
    <w:basedOn w:val="DefaultParagraphFont"/>
    <w:link w:val="Title"/>
    <w:uiPriority w:val="9"/>
    <w:rsid w:val="00D20D53"/>
    <w:rPr>
      <w:rFonts w:ascii="Avenir LT Std 65 Medium" w:eastAsia="Calibri" w:hAnsi="Avenir LT Std 65 Medium" w:cs="Times New Roman"/>
      <w:b/>
      <w:color w:val="FFFFFF"/>
      <w:sz w:val="60"/>
      <w:szCs w:val="60"/>
      <w:lang w:eastAsia="en-AU"/>
    </w:rPr>
  </w:style>
  <w:style w:type="paragraph" w:styleId="Subtitle">
    <w:name w:val="Subtitle"/>
    <w:basedOn w:val="Title"/>
    <w:next w:val="Normal"/>
    <w:link w:val="SubtitleChar"/>
    <w:uiPriority w:val="9"/>
    <w:qFormat/>
    <w:rsid w:val="00D20D53"/>
    <w:pPr>
      <w:spacing w:before="400"/>
    </w:pPr>
    <w:rPr>
      <w:sz w:val="28"/>
    </w:rPr>
  </w:style>
  <w:style w:type="character" w:customStyle="1" w:styleId="SubtitleChar">
    <w:name w:val="Subtitle Char"/>
    <w:basedOn w:val="DefaultParagraphFont"/>
    <w:link w:val="Subtitle"/>
    <w:uiPriority w:val="9"/>
    <w:rsid w:val="00D20D53"/>
    <w:rPr>
      <w:rFonts w:ascii="Avenir LT Std 65 Medium" w:eastAsia="Calibri" w:hAnsi="Avenir LT Std 65 Medium" w:cs="Times New Roman"/>
      <w:b/>
      <w:color w:val="FFFFFF"/>
      <w:sz w:val="28"/>
      <w:szCs w:val="60"/>
      <w:lang w:eastAsia="en-AU"/>
    </w:rPr>
  </w:style>
  <w:style w:type="paragraph" w:styleId="NoSpacing">
    <w:name w:val="No Spacing"/>
    <w:uiPriority w:val="1"/>
    <w:rsid w:val="00D66C13"/>
    <w:pPr>
      <w:spacing w:after="120" w:line="240" w:lineRule="auto"/>
    </w:pPr>
    <w:rPr>
      <w:rFonts w:ascii="Arial" w:eastAsia="Times New Roman" w:hAnsi="Arial" w:cs="Times New Roman"/>
      <w:sz w:val="2"/>
    </w:rPr>
  </w:style>
  <w:style w:type="paragraph" w:styleId="FootnoteText">
    <w:name w:val="footnote text"/>
    <w:basedOn w:val="Normal"/>
    <w:link w:val="FootnoteTextChar"/>
    <w:uiPriority w:val="99"/>
    <w:unhideWhenUsed/>
    <w:rsid w:val="00D66C13"/>
    <w:pPr>
      <w:spacing w:after="200" w:line="276" w:lineRule="auto"/>
      <w:jc w:val="both"/>
    </w:pPr>
    <w:rPr>
      <w:rFonts w:eastAsia="Calibri" w:cs="Times New Roman"/>
      <w:sz w:val="20"/>
      <w:szCs w:val="20"/>
      <w:lang w:val="x-none"/>
    </w:rPr>
  </w:style>
  <w:style w:type="character" w:customStyle="1" w:styleId="FootnoteTextChar">
    <w:name w:val="Footnote Text Char"/>
    <w:basedOn w:val="DefaultParagraphFont"/>
    <w:link w:val="FootnoteText"/>
    <w:uiPriority w:val="99"/>
    <w:rsid w:val="00D66C13"/>
    <w:rPr>
      <w:rFonts w:ascii="Century Gothic" w:eastAsia="Calibri" w:hAnsi="Century Gothic" w:cs="Times New Roman"/>
      <w:sz w:val="20"/>
      <w:szCs w:val="20"/>
      <w:lang w:val="x-none"/>
    </w:rPr>
  </w:style>
  <w:style w:type="character" w:styleId="FootnoteReference">
    <w:name w:val="footnote reference"/>
    <w:uiPriority w:val="99"/>
    <w:unhideWhenUsed/>
    <w:rsid w:val="00D66C13"/>
    <w:rPr>
      <w:vertAlign w:val="superscript"/>
    </w:rPr>
  </w:style>
  <w:style w:type="character" w:styleId="Emphasis">
    <w:name w:val="Emphasis"/>
    <w:uiPriority w:val="20"/>
    <w:qFormat/>
    <w:rsid w:val="00D66C13"/>
    <w:rPr>
      <w:i/>
      <w:iCs/>
    </w:rPr>
  </w:style>
  <w:style w:type="table" w:styleId="ColorfulGrid-Accent1">
    <w:name w:val="Colorful Grid Accent 1"/>
    <w:basedOn w:val="TableNormal"/>
    <w:uiPriority w:val="29"/>
    <w:qFormat/>
    <w:rsid w:val="00D66C13"/>
    <w:pPr>
      <w:spacing w:after="0" w:line="240" w:lineRule="auto"/>
    </w:pPr>
    <w:rPr>
      <w:rFonts w:ascii="Calibri" w:eastAsia="Calibri" w:hAnsi="Calibri" w:cs="Times New Roman"/>
      <w:color w:val="000000" w:themeColor="text1"/>
      <w:sz w:val="20"/>
      <w:szCs w:val="20"/>
      <w:lang w:eastAsia="en-AU"/>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Shading-Accent5">
    <w:name w:val="Colorful Shading Accent 5"/>
    <w:basedOn w:val="TableNormal"/>
    <w:uiPriority w:val="71"/>
    <w:rsid w:val="00D66C13"/>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MediumShading2-Accent3">
    <w:name w:val="Medium Shading 2 Accent 3"/>
    <w:basedOn w:val="TableNormal"/>
    <w:uiPriority w:val="69"/>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ColorfulList-Accent1">
    <w:name w:val="Colorful List Accent 1"/>
    <w:basedOn w:val="TableNormal"/>
    <w:uiPriority w:val="34"/>
    <w:qFormat/>
    <w:rsid w:val="00D66C13"/>
    <w:pPr>
      <w:spacing w:after="0" w:line="240" w:lineRule="auto"/>
    </w:pPr>
    <w:rPr>
      <w:rFonts w:ascii="Calibri" w:eastAsia="Calibri" w:hAnsi="Calibri" w:cs="Times New Roman"/>
      <w:color w:val="000000" w:themeColor="text1"/>
      <w:sz w:val="20"/>
      <w:szCs w:val="20"/>
      <w:lang w:eastAsia="en-AU"/>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MediumShading2-Accent5">
    <w:name w:val="Medium Shading 2 Accent 5"/>
    <w:basedOn w:val="TableNormal"/>
    <w:uiPriority w:val="69"/>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9"/>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FollowedHyperlink">
    <w:name w:val="FollowedHyperlink"/>
    <w:basedOn w:val="DefaultParagraphFont"/>
    <w:uiPriority w:val="99"/>
    <w:semiHidden/>
    <w:unhideWhenUsed/>
    <w:rsid w:val="00D66C13"/>
    <w:rPr>
      <w:color w:val="800080"/>
      <w:u w:val="single"/>
    </w:rPr>
  </w:style>
  <w:style w:type="character" w:styleId="CommentReference">
    <w:name w:val="annotation reference"/>
    <w:basedOn w:val="DefaultParagraphFont"/>
    <w:uiPriority w:val="99"/>
    <w:unhideWhenUsed/>
    <w:rsid w:val="00D66C13"/>
    <w:rPr>
      <w:sz w:val="16"/>
      <w:szCs w:val="16"/>
    </w:rPr>
  </w:style>
  <w:style w:type="paragraph" w:styleId="CommentText">
    <w:name w:val="annotation text"/>
    <w:basedOn w:val="Normal"/>
    <w:link w:val="CommentTextChar"/>
    <w:uiPriority w:val="99"/>
    <w:unhideWhenUsed/>
    <w:rsid w:val="00D66C13"/>
    <w:pPr>
      <w:spacing w:after="200"/>
    </w:pPr>
    <w:rPr>
      <w:rFonts w:eastAsia="Calibri" w:cs="Times New Roman"/>
      <w:sz w:val="20"/>
      <w:szCs w:val="20"/>
    </w:rPr>
  </w:style>
  <w:style w:type="character" w:customStyle="1" w:styleId="CommentTextChar">
    <w:name w:val="Comment Text Char"/>
    <w:basedOn w:val="DefaultParagraphFont"/>
    <w:link w:val="CommentText"/>
    <w:uiPriority w:val="99"/>
    <w:rsid w:val="00D66C13"/>
    <w:rPr>
      <w:rFonts w:ascii="Century Gothic" w:eastAsia="Calibri" w:hAnsi="Century Gothic" w:cs="Times New Roman"/>
      <w:sz w:val="20"/>
      <w:szCs w:val="20"/>
    </w:rPr>
  </w:style>
  <w:style w:type="paragraph" w:styleId="CommentSubject">
    <w:name w:val="annotation subject"/>
    <w:basedOn w:val="CommentText"/>
    <w:next w:val="CommentText"/>
    <w:link w:val="CommentSubjectChar"/>
    <w:uiPriority w:val="99"/>
    <w:semiHidden/>
    <w:unhideWhenUsed/>
    <w:rsid w:val="00D66C13"/>
    <w:rPr>
      <w:b/>
      <w:bCs/>
    </w:rPr>
  </w:style>
  <w:style w:type="character" w:customStyle="1" w:styleId="CommentSubjectChar">
    <w:name w:val="Comment Subject Char"/>
    <w:basedOn w:val="CommentTextChar"/>
    <w:link w:val="CommentSubject"/>
    <w:uiPriority w:val="99"/>
    <w:semiHidden/>
    <w:rsid w:val="00D66C13"/>
    <w:rPr>
      <w:rFonts w:ascii="Century Gothic" w:eastAsia="Calibri" w:hAnsi="Century Gothic" w:cs="Times New Roman"/>
      <w:b/>
      <w:bCs/>
      <w:sz w:val="20"/>
      <w:szCs w:val="20"/>
    </w:rPr>
  </w:style>
  <w:style w:type="table" w:styleId="MediumGrid3">
    <w:name w:val="Medium Grid 3"/>
    <w:basedOn w:val="TableNormal"/>
    <w:uiPriority w:val="60"/>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2">
    <w:name w:val="Medium Grid 3 Accent 2"/>
    <w:basedOn w:val="TableNormal"/>
    <w:uiPriority w:val="60"/>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0"/>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0"/>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0"/>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0"/>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paragraph" w:styleId="NormalWeb">
    <w:name w:val="Normal (Web)"/>
    <w:basedOn w:val="Normal"/>
    <w:uiPriority w:val="99"/>
    <w:semiHidden/>
    <w:unhideWhenUsed/>
    <w:rsid w:val="00D66C13"/>
    <w:pPr>
      <w:spacing w:before="100" w:beforeAutospacing="1" w:after="100" w:afterAutospacing="1"/>
    </w:pPr>
    <w:rPr>
      <w:rFonts w:ascii="Times New Roman" w:eastAsia="Times New Roman" w:hAnsi="Times New Roman" w:cs="Times New Roman"/>
      <w:sz w:val="24"/>
      <w:szCs w:val="24"/>
      <w:lang w:eastAsia="en-AU"/>
    </w:rPr>
  </w:style>
  <w:style w:type="paragraph" w:styleId="TableofFigures">
    <w:name w:val="table of figures"/>
    <w:basedOn w:val="Normal"/>
    <w:next w:val="Normal"/>
    <w:uiPriority w:val="99"/>
    <w:unhideWhenUsed/>
    <w:rsid w:val="003D1C45"/>
    <w:pPr>
      <w:ind w:left="851" w:hanging="851"/>
    </w:pPr>
  </w:style>
  <w:style w:type="numbering" w:customStyle="1" w:styleId="Listbulleted1">
    <w:name w:val="List (bulleted)1"/>
    <w:basedOn w:val="NoList"/>
    <w:rsid w:val="003C7E46"/>
    <w:pPr>
      <w:numPr>
        <w:numId w:val="2"/>
      </w:numPr>
    </w:pPr>
  </w:style>
  <w:style w:type="numbering" w:customStyle="1" w:styleId="TableListbulleted1">
    <w:name w:val="Table List (bulleted)1"/>
    <w:basedOn w:val="NoList"/>
    <w:uiPriority w:val="99"/>
    <w:rsid w:val="003C7E46"/>
    <w:pPr>
      <w:numPr>
        <w:numId w:val="3"/>
      </w:numPr>
    </w:pPr>
  </w:style>
  <w:style w:type="table" w:customStyle="1" w:styleId="TableGrid1">
    <w:name w:val="Table Grid1"/>
    <w:basedOn w:val="TableNormal"/>
    <w:next w:val="TableGrid"/>
    <w:rsid w:val="007238C9"/>
    <w:pPr>
      <w:spacing w:after="0" w:line="240" w:lineRule="auto"/>
    </w:pPr>
    <w:rPr>
      <w:rFonts w:ascii="Times New Roman" w:eastAsia="Times New Roman" w:hAnsi="Times New Roman" w:cs="Times New Roman"/>
      <w:sz w:val="20"/>
      <w:szCs w:val="20"/>
      <w:lang w:eastAsia="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bulleted2">
    <w:name w:val="List (bulleted)2"/>
    <w:basedOn w:val="NoList"/>
    <w:rsid w:val="003932CF"/>
    <w:pPr>
      <w:numPr>
        <w:numId w:val="1"/>
      </w:numPr>
    </w:pPr>
  </w:style>
  <w:style w:type="numbering" w:customStyle="1" w:styleId="Listbulleted3">
    <w:name w:val="List (bulleted)3"/>
    <w:basedOn w:val="NoList"/>
    <w:rsid w:val="00566D8B"/>
  </w:style>
  <w:style w:type="numbering" w:customStyle="1" w:styleId="TabledListnumbered1">
    <w:name w:val="Tabled List (numbered)1"/>
    <w:basedOn w:val="TableListbulleted"/>
    <w:uiPriority w:val="99"/>
    <w:rsid w:val="00566D8B"/>
    <w:pPr>
      <w:numPr>
        <w:numId w:val="5"/>
      </w:numPr>
    </w:pPr>
  </w:style>
  <w:style w:type="numbering" w:customStyle="1" w:styleId="Listbulleted4">
    <w:name w:val="List (bulleted)4"/>
    <w:basedOn w:val="NoList"/>
    <w:rsid w:val="00541F11"/>
  </w:style>
  <w:style w:type="character" w:customStyle="1" w:styleId="Heading6Char">
    <w:name w:val="Heading 6 Char"/>
    <w:basedOn w:val="DefaultParagraphFont"/>
    <w:link w:val="Heading6"/>
    <w:uiPriority w:val="9"/>
    <w:semiHidden/>
    <w:rsid w:val="00267CF7"/>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267CF7"/>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267CF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267CF7"/>
    <w:rPr>
      <w:rFonts w:asciiTheme="majorHAnsi" w:eastAsiaTheme="majorEastAsia" w:hAnsiTheme="majorHAnsi" w:cstheme="majorBidi"/>
      <w:i/>
      <w:iCs/>
      <w:color w:val="404040" w:themeColor="text1" w:themeTint="BF"/>
      <w:sz w:val="20"/>
      <w:szCs w:val="20"/>
    </w:rPr>
  </w:style>
  <w:style w:type="character" w:customStyle="1" w:styleId="ListParagraphChar">
    <w:name w:val="List Paragraph Char"/>
    <w:basedOn w:val="DefaultParagraphFont"/>
    <w:link w:val="ListParagraph"/>
    <w:uiPriority w:val="34"/>
    <w:rsid w:val="0034420F"/>
    <w:rPr>
      <w:rFonts w:ascii="Century Gothic" w:hAnsi="Century Gothic" w:cs="Arial"/>
    </w:rPr>
  </w:style>
  <w:style w:type="table" w:styleId="LightList-Accent1">
    <w:name w:val="Light List Accent 1"/>
    <w:basedOn w:val="TableNormal"/>
    <w:uiPriority w:val="61"/>
    <w:rsid w:val="002E7040"/>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TableHWA1">
    <w:name w:val="Table (HWA)1"/>
    <w:basedOn w:val="TableNormal"/>
    <w:uiPriority w:val="99"/>
    <w:qFormat/>
    <w:rsid w:val="00884823"/>
    <w:pPr>
      <w:spacing w:before="60" w:after="60" w:line="60" w:lineRule="atLeast"/>
    </w:pPr>
    <w:rPr>
      <w:rFonts w:ascii="Century Gothic" w:eastAsia="Calibri" w:hAnsi="Century Gothic" w:cs="Times New Roman"/>
      <w:sz w:val="16"/>
      <w:szCs w:val="20"/>
      <w:lang w:eastAsia="en-AU"/>
    </w:rPr>
    <w:tblPr>
      <w:tblInd w:w="0" w:type="dxa"/>
      <w:tblBorders>
        <w:top w:val="single" w:sz="4" w:space="0" w:color="0079C1"/>
        <w:left w:val="single" w:sz="4" w:space="0" w:color="0079C1"/>
        <w:bottom w:val="single" w:sz="4" w:space="0" w:color="0079C1"/>
        <w:right w:val="single" w:sz="4" w:space="0" w:color="0079C1"/>
        <w:insideH w:val="single" w:sz="4" w:space="0" w:color="0079C1"/>
        <w:insideV w:val="single" w:sz="4" w:space="0" w:color="0079C1"/>
      </w:tblBorders>
      <w:tblCellMar>
        <w:top w:w="0" w:type="dxa"/>
        <w:left w:w="108" w:type="dxa"/>
        <w:bottom w:w="0" w:type="dxa"/>
        <w:right w:w="108" w:type="dxa"/>
      </w:tblCellMar>
    </w:tblPr>
    <w:tblStylePr w:type="firstRow">
      <w:rPr>
        <w:rFonts w:ascii="Courier" w:hAnsi="Courier"/>
        <w:b/>
        <w:color w:val="FFFFFF"/>
        <w:sz w:val="18"/>
      </w:rPr>
      <w:tblPr/>
      <w:tcPr>
        <w:shd w:val="clear" w:color="auto" w:fill="0079C1"/>
      </w:tcPr>
    </w:tblStylePr>
  </w:style>
  <w:style w:type="paragraph" w:styleId="Revision">
    <w:name w:val="Revision"/>
    <w:hidden/>
    <w:uiPriority w:val="99"/>
    <w:semiHidden/>
    <w:rsid w:val="00A927DF"/>
    <w:pPr>
      <w:spacing w:after="0" w:line="240" w:lineRule="auto"/>
    </w:pPr>
    <w:rPr>
      <w:rFonts w:ascii="Calibri" w:hAnsi="Calibri" w:cs="Calibri"/>
    </w:rPr>
  </w:style>
  <w:style w:type="paragraph" w:styleId="EndnoteText">
    <w:name w:val="endnote text"/>
    <w:basedOn w:val="Normal"/>
    <w:link w:val="EndnoteTextChar"/>
    <w:uiPriority w:val="99"/>
    <w:unhideWhenUsed/>
    <w:rsid w:val="007C7001"/>
    <w:pPr>
      <w:spacing w:before="120"/>
      <w:jc w:val="both"/>
    </w:pPr>
    <w:rPr>
      <w:rFonts w:cstheme="minorBidi"/>
      <w:sz w:val="20"/>
      <w:szCs w:val="20"/>
    </w:rPr>
  </w:style>
  <w:style w:type="character" w:customStyle="1" w:styleId="EndnoteTextChar">
    <w:name w:val="Endnote Text Char"/>
    <w:basedOn w:val="DefaultParagraphFont"/>
    <w:link w:val="EndnoteText"/>
    <w:uiPriority w:val="99"/>
    <w:rsid w:val="007C7001"/>
    <w:rPr>
      <w:rFonts w:ascii="Century Gothic" w:hAnsi="Century Gothic"/>
      <w:sz w:val="20"/>
      <w:szCs w:val="20"/>
    </w:rPr>
  </w:style>
  <w:style w:type="character" w:styleId="EndnoteReference">
    <w:name w:val="endnote reference"/>
    <w:basedOn w:val="DefaultParagraphFont"/>
    <w:unhideWhenUsed/>
    <w:rsid w:val="007C7001"/>
    <w:rPr>
      <w:vertAlign w:val="superscript"/>
    </w:rPr>
  </w:style>
  <w:style w:type="paragraph" w:customStyle="1" w:styleId="Bullet">
    <w:name w:val="Bullet"/>
    <w:basedOn w:val="ListParagraph"/>
    <w:qFormat/>
    <w:rsid w:val="009153D9"/>
    <w:pPr>
      <w:numPr>
        <w:numId w:val="9"/>
      </w:numPr>
      <w:spacing w:after="0"/>
    </w:pPr>
    <w:rPr>
      <w:rFonts w:eastAsia="Calibri" w:cs="Times New Roman"/>
      <w:sz w:val="20"/>
      <w:szCs w:val="20"/>
      <w:lang w:val="en-US" w:eastAsia="en-AU"/>
    </w:rPr>
  </w:style>
  <w:style w:type="paragraph" w:styleId="DocumentMap">
    <w:name w:val="Document Map"/>
    <w:basedOn w:val="Normal"/>
    <w:link w:val="DocumentMapChar"/>
    <w:uiPriority w:val="99"/>
    <w:semiHidden/>
    <w:unhideWhenUsed/>
    <w:rsid w:val="00542AFA"/>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542AFA"/>
    <w:rPr>
      <w:rFonts w:ascii="Lucida Grande" w:hAnsi="Lucida Grande" w:cs="Lucida Grande"/>
      <w:sz w:val="24"/>
      <w:szCs w:val="24"/>
    </w:rPr>
  </w:style>
  <w:style w:type="table" w:styleId="LightGrid-Accent1">
    <w:name w:val="Light Grid Accent 1"/>
    <w:basedOn w:val="TableNormal"/>
    <w:uiPriority w:val="62"/>
    <w:rsid w:val="0063176E"/>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MediumShading1-Accent1">
    <w:name w:val="Medium Shading 1 Accent 1"/>
    <w:basedOn w:val="TableNormal"/>
    <w:uiPriority w:val="63"/>
    <w:rsid w:val="0063176E"/>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customStyle="1" w:styleId="Tablenote">
    <w:name w:val="Table note"/>
    <w:basedOn w:val="Normal"/>
    <w:link w:val="TablenoteChar"/>
    <w:qFormat/>
    <w:rsid w:val="00CD2720"/>
    <w:rPr>
      <w:sz w:val="18"/>
      <w:szCs w:val="18"/>
    </w:rPr>
  </w:style>
  <w:style w:type="character" w:customStyle="1" w:styleId="TablenoteChar">
    <w:name w:val="Table note Char"/>
    <w:basedOn w:val="DefaultParagraphFont"/>
    <w:link w:val="Tablenote"/>
    <w:rsid w:val="00CD2720"/>
    <w:rPr>
      <w:rFonts w:ascii="Century Gothic" w:hAnsi="Century Gothic" w:cs="Calibr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2" w:unhideWhenUsed="0" w:qFormat="1"/>
    <w:lsdException w:name="heading 2" w:uiPriority="2" w:qFormat="1"/>
    <w:lsdException w:name="heading 3" w:uiPriority="9" w:qFormat="1"/>
    <w:lsdException w:name="heading 4" w:uiPriority="2"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9"/>
    <w:lsdException w:name="footer" w:uiPriority="9"/>
    <w:lsdException w:name="caption" w:uiPriority="9" w:qFormat="1"/>
    <w:lsdException w:name="page number" w:uiPriority="9"/>
    <w:lsdException w:name="endnote reference" w:uiPriority="0"/>
    <w:lsdException w:name="Title" w:semiHidden="0" w:uiPriority="9" w:unhideWhenUsed="0" w:qFormat="1"/>
    <w:lsdException w:name="Default Paragraph Font" w:uiPriority="1"/>
    <w:lsdException w:name="Body Text" w:uiPriority="1"/>
    <w:lsdException w:name="Subtitle" w:semiHidden="0" w:uiPriority="9"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0"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9"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6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34" w:unhideWhenUsed="0" w:qFormat="1"/>
    <w:lsdException w:name="Colorful Grid Accent 1" w:semiHidden="0" w:uiPriority="29" w:unhideWhenUsed="0" w:qFormat="1"/>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0"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9"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0"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0"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9"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0"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0"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66"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0D53"/>
    <w:pPr>
      <w:spacing w:after="240" w:line="240" w:lineRule="auto"/>
    </w:pPr>
    <w:rPr>
      <w:rFonts w:ascii="Century Gothic" w:hAnsi="Century Gothic" w:cs="Calibri"/>
    </w:rPr>
  </w:style>
  <w:style w:type="paragraph" w:styleId="Heading1">
    <w:name w:val="heading 1"/>
    <w:basedOn w:val="Normal"/>
    <w:next w:val="Normal"/>
    <w:link w:val="Heading1Char"/>
    <w:uiPriority w:val="2"/>
    <w:qFormat/>
    <w:rsid w:val="00BB4E1A"/>
    <w:pPr>
      <w:keepNext/>
      <w:pageBreakBefore/>
      <w:spacing w:before="120" w:after="360" w:line="240" w:lineRule="atLeast"/>
      <w:outlineLvl w:val="0"/>
    </w:pPr>
    <w:rPr>
      <w:rFonts w:eastAsia="Calibri" w:cs="Times New Roman"/>
      <w:bCs/>
      <w:color w:val="0065A4"/>
      <w:kern w:val="32"/>
      <w:sz w:val="44"/>
      <w:szCs w:val="32"/>
      <w:lang w:eastAsia="x-none"/>
    </w:rPr>
  </w:style>
  <w:style w:type="paragraph" w:styleId="Heading2">
    <w:name w:val="heading 2"/>
    <w:basedOn w:val="Heading1"/>
    <w:next w:val="Normal"/>
    <w:link w:val="Heading2Char"/>
    <w:uiPriority w:val="2"/>
    <w:qFormat/>
    <w:rsid w:val="00641259"/>
    <w:pPr>
      <w:pageBreakBefore w:val="0"/>
      <w:spacing w:before="240" w:after="120" w:line="276" w:lineRule="auto"/>
      <w:outlineLvl w:val="1"/>
    </w:pPr>
    <w:rPr>
      <w:rFonts w:eastAsia="Times New Roman"/>
      <w:b/>
      <w:bCs w:val="0"/>
      <w:iCs/>
      <w:sz w:val="24"/>
      <w:szCs w:val="24"/>
      <w:lang w:val="x-none"/>
    </w:rPr>
  </w:style>
  <w:style w:type="paragraph" w:styleId="Heading3">
    <w:name w:val="heading 3"/>
    <w:basedOn w:val="Heading1"/>
    <w:next w:val="Normal"/>
    <w:link w:val="Heading3Char"/>
    <w:uiPriority w:val="9"/>
    <w:qFormat/>
    <w:rsid w:val="00343B20"/>
    <w:pPr>
      <w:pageBreakBefore w:val="0"/>
      <w:spacing w:before="240" w:after="240"/>
      <w:outlineLvl w:val="2"/>
    </w:pPr>
    <w:rPr>
      <w:rFonts w:eastAsia="Times New Roman"/>
      <w:bCs w:val="0"/>
      <w:color w:val="0070C0"/>
      <w:sz w:val="24"/>
      <w:szCs w:val="26"/>
      <w:lang w:val="x-none"/>
    </w:rPr>
  </w:style>
  <w:style w:type="paragraph" w:styleId="Heading4">
    <w:name w:val="heading 4"/>
    <w:basedOn w:val="Normal"/>
    <w:next w:val="Normal"/>
    <w:link w:val="Heading4Char"/>
    <w:uiPriority w:val="2"/>
    <w:qFormat/>
    <w:rsid w:val="00BD7C72"/>
    <w:pPr>
      <w:keepNext/>
      <w:spacing w:before="240" w:after="60" w:line="276" w:lineRule="auto"/>
      <w:outlineLvl w:val="3"/>
    </w:pPr>
    <w:rPr>
      <w:rFonts w:eastAsia="Times New Roman" w:cs="Times New Roman"/>
      <w:b/>
      <w:bCs/>
      <w:szCs w:val="28"/>
      <w:lang w:val="x-none" w:eastAsia="x-none"/>
    </w:rPr>
  </w:style>
  <w:style w:type="paragraph" w:styleId="Heading5">
    <w:name w:val="heading 5"/>
    <w:basedOn w:val="Normal"/>
    <w:next w:val="Normal"/>
    <w:link w:val="Heading5Char"/>
    <w:uiPriority w:val="9"/>
    <w:semiHidden/>
    <w:qFormat/>
    <w:rsid w:val="00D66C13"/>
    <w:pPr>
      <w:numPr>
        <w:ilvl w:val="4"/>
        <w:numId w:val="8"/>
      </w:numPr>
      <w:spacing w:before="240" w:after="60" w:line="276" w:lineRule="auto"/>
      <w:outlineLvl w:val="4"/>
    </w:pPr>
    <w:rPr>
      <w:rFonts w:ascii="Arial" w:eastAsia="Times New Roman" w:hAnsi="Arial" w:cs="Times New Roman"/>
      <w:b/>
      <w:bCs/>
      <w:i/>
      <w:iCs/>
      <w:sz w:val="26"/>
      <w:szCs w:val="26"/>
      <w:lang w:val="x-none" w:eastAsia="x-none"/>
    </w:rPr>
  </w:style>
  <w:style w:type="paragraph" w:styleId="Heading6">
    <w:name w:val="heading 6"/>
    <w:basedOn w:val="Normal"/>
    <w:next w:val="Normal"/>
    <w:link w:val="Heading6Char"/>
    <w:uiPriority w:val="9"/>
    <w:semiHidden/>
    <w:unhideWhenUsed/>
    <w:qFormat/>
    <w:rsid w:val="00267CF7"/>
    <w:pPr>
      <w:keepNext/>
      <w:keepLines/>
      <w:numPr>
        <w:ilvl w:val="5"/>
        <w:numId w:val="8"/>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267CF7"/>
    <w:pPr>
      <w:keepNext/>
      <w:keepLines/>
      <w:numPr>
        <w:ilvl w:val="6"/>
        <w:numId w:val="8"/>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267CF7"/>
    <w:pPr>
      <w:keepNext/>
      <w:keepLines/>
      <w:numPr>
        <w:ilvl w:val="7"/>
        <w:numId w:val="8"/>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267CF7"/>
    <w:pPr>
      <w:keepNext/>
      <w:keepLines/>
      <w:numPr>
        <w:ilvl w:val="8"/>
        <w:numId w:val="8"/>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34420F"/>
    <w:pPr>
      <w:spacing w:after="200" w:line="276" w:lineRule="auto"/>
      <w:ind w:left="720"/>
      <w:contextualSpacing/>
    </w:pPr>
    <w:rPr>
      <w:rFonts w:cs="Arial"/>
    </w:rPr>
  </w:style>
  <w:style w:type="character" w:customStyle="1" w:styleId="Heading1Char">
    <w:name w:val="Heading 1 Char"/>
    <w:basedOn w:val="DefaultParagraphFont"/>
    <w:link w:val="Heading1"/>
    <w:uiPriority w:val="2"/>
    <w:rsid w:val="00BB4E1A"/>
    <w:rPr>
      <w:rFonts w:ascii="Century Gothic" w:eastAsia="Calibri" w:hAnsi="Century Gothic" w:cs="Times New Roman"/>
      <w:bCs/>
      <w:color w:val="0065A4"/>
      <w:kern w:val="32"/>
      <w:sz w:val="44"/>
      <w:szCs w:val="32"/>
      <w:lang w:eastAsia="x-none"/>
    </w:rPr>
  </w:style>
  <w:style w:type="character" w:customStyle="1" w:styleId="Heading2Char">
    <w:name w:val="Heading 2 Char"/>
    <w:basedOn w:val="DefaultParagraphFont"/>
    <w:link w:val="Heading2"/>
    <w:uiPriority w:val="2"/>
    <w:rsid w:val="00641259"/>
    <w:rPr>
      <w:rFonts w:ascii="Century Gothic" w:eastAsia="Times New Roman" w:hAnsi="Century Gothic" w:cs="Times New Roman"/>
      <w:b/>
      <w:iCs/>
      <w:color w:val="0065A4"/>
      <w:kern w:val="32"/>
      <w:sz w:val="24"/>
      <w:szCs w:val="24"/>
      <w:lang w:val="x-none" w:eastAsia="x-none"/>
    </w:rPr>
  </w:style>
  <w:style w:type="character" w:customStyle="1" w:styleId="Heading3Char">
    <w:name w:val="Heading 3 Char"/>
    <w:basedOn w:val="DefaultParagraphFont"/>
    <w:link w:val="Heading3"/>
    <w:uiPriority w:val="9"/>
    <w:rsid w:val="00343B20"/>
    <w:rPr>
      <w:rFonts w:ascii="Century Gothic" w:eastAsia="Times New Roman" w:hAnsi="Century Gothic" w:cs="Times New Roman"/>
      <w:color w:val="0070C0"/>
      <w:kern w:val="32"/>
      <w:sz w:val="24"/>
      <w:szCs w:val="26"/>
      <w:lang w:val="x-none" w:eastAsia="x-none"/>
    </w:rPr>
  </w:style>
  <w:style w:type="character" w:customStyle="1" w:styleId="Heading4Char">
    <w:name w:val="Heading 4 Char"/>
    <w:basedOn w:val="DefaultParagraphFont"/>
    <w:link w:val="Heading4"/>
    <w:uiPriority w:val="2"/>
    <w:rsid w:val="00D66C13"/>
    <w:rPr>
      <w:rFonts w:ascii="Century Gothic" w:eastAsia="Times New Roman" w:hAnsi="Century Gothic" w:cs="Times New Roman"/>
      <w:b/>
      <w:bCs/>
      <w:szCs w:val="28"/>
      <w:lang w:val="x-none" w:eastAsia="x-none"/>
    </w:rPr>
  </w:style>
  <w:style w:type="character" w:customStyle="1" w:styleId="Heading5Char">
    <w:name w:val="Heading 5 Char"/>
    <w:basedOn w:val="DefaultParagraphFont"/>
    <w:link w:val="Heading5"/>
    <w:uiPriority w:val="9"/>
    <w:semiHidden/>
    <w:rsid w:val="00D66C13"/>
    <w:rPr>
      <w:rFonts w:ascii="Arial" w:eastAsia="Times New Roman" w:hAnsi="Arial" w:cs="Times New Roman"/>
      <w:b/>
      <w:bCs/>
      <w:i/>
      <w:iCs/>
      <w:sz w:val="26"/>
      <w:szCs w:val="26"/>
      <w:lang w:val="x-none" w:eastAsia="x-none"/>
    </w:rPr>
  </w:style>
  <w:style w:type="paragraph" w:styleId="Header">
    <w:name w:val="header"/>
    <w:basedOn w:val="Normal"/>
    <w:link w:val="HeaderChar"/>
    <w:uiPriority w:val="9"/>
    <w:rsid w:val="00D66C13"/>
    <w:pPr>
      <w:tabs>
        <w:tab w:val="center" w:pos="4513"/>
        <w:tab w:val="right" w:pos="9026"/>
      </w:tabs>
      <w:spacing w:after="60"/>
      <w:jc w:val="right"/>
    </w:pPr>
    <w:rPr>
      <w:rFonts w:eastAsia="Calibri" w:cs="Times New Roman"/>
      <w:sz w:val="18"/>
      <w:lang w:val="x-none" w:eastAsia="x-none"/>
    </w:rPr>
  </w:style>
  <w:style w:type="character" w:customStyle="1" w:styleId="HeaderChar">
    <w:name w:val="Header Char"/>
    <w:basedOn w:val="DefaultParagraphFont"/>
    <w:link w:val="Header"/>
    <w:uiPriority w:val="9"/>
    <w:rsid w:val="00D66C13"/>
    <w:rPr>
      <w:rFonts w:ascii="Century Gothic" w:eastAsia="Calibri" w:hAnsi="Century Gothic" w:cs="Times New Roman"/>
      <w:sz w:val="18"/>
      <w:lang w:val="x-none" w:eastAsia="x-none"/>
    </w:rPr>
  </w:style>
  <w:style w:type="paragraph" w:styleId="Footer">
    <w:name w:val="footer"/>
    <w:basedOn w:val="Normal"/>
    <w:link w:val="FooterChar"/>
    <w:uiPriority w:val="9"/>
    <w:rsid w:val="00D66C13"/>
    <w:pPr>
      <w:tabs>
        <w:tab w:val="center" w:pos="4513"/>
        <w:tab w:val="right" w:pos="9026"/>
      </w:tabs>
      <w:spacing w:after="200" w:line="276" w:lineRule="auto"/>
    </w:pPr>
    <w:rPr>
      <w:rFonts w:eastAsia="Calibri" w:cs="Times New Roman"/>
      <w:sz w:val="16"/>
      <w:lang w:val="x-none" w:eastAsia="x-none"/>
    </w:rPr>
  </w:style>
  <w:style w:type="character" w:customStyle="1" w:styleId="FooterChar">
    <w:name w:val="Footer Char"/>
    <w:basedOn w:val="DefaultParagraphFont"/>
    <w:link w:val="Footer"/>
    <w:uiPriority w:val="9"/>
    <w:rsid w:val="00D66C13"/>
    <w:rPr>
      <w:rFonts w:ascii="Century Gothic" w:eastAsia="Calibri" w:hAnsi="Century Gothic" w:cs="Times New Roman"/>
      <w:sz w:val="16"/>
      <w:lang w:val="x-none" w:eastAsia="x-none"/>
    </w:rPr>
  </w:style>
  <w:style w:type="character" w:styleId="PageNumber">
    <w:name w:val="page number"/>
    <w:uiPriority w:val="9"/>
    <w:rsid w:val="00D66C13"/>
    <w:rPr>
      <w:rFonts w:ascii="Century Gothic" w:hAnsi="Century Gothic"/>
      <w:color w:val="0079C1"/>
      <w:sz w:val="22"/>
    </w:rPr>
  </w:style>
  <w:style w:type="table" w:styleId="TableGrid">
    <w:name w:val="Table Grid"/>
    <w:basedOn w:val="TableNormal"/>
    <w:uiPriority w:val="99"/>
    <w:rsid w:val="00D66C13"/>
    <w:pPr>
      <w:spacing w:after="0" w:line="240" w:lineRule="auto"/>
    </w:pPr>
    <w:rPr>
      <w:rFonts w:ascii="Calibri" w:eastAsia="Calibri" w:hAnsi="Calibri" w:cs="Times New Roman"/>
      <w:sz w:val="20"/>
      <w:szCs w:val="20"/>
      <w:lang w:eastAsia="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HWA">
    <w:name w:val="Table (HWA)"/>
    <w:basedOn w:val="TableNormal"/>
    <w:uiPriority w:val="99"/>
    <w:qFormat/>
    <w:rsid w:val="00D66C13"/>
    <w:pPr>
      <w:spacing w:before="60" w:after="60" w:line="60" w:lineRule="atLeast"/>
    </w:pPr>
    <w:rPr>
      <w:rFonts w:ascii="Century Gothic" w:eastAsia="Calibri" w:hAnsi="Century Gothic" w:cs="Times New Roman"/>
      <w:sz w:val="16"/>
      <w:szCs w:val="20"/>
      <w:lang w:eastAsia="en-AU"/>
    </w:rPr>
    <w:tblPr>
      <w:tblInd w:w="0" w:type="dxa"/>
      <w:tblBorders>
        <w:top w:val="single" w:sz="4" w:space="0" w:color="0079C1"/>
        <w:left w:val="single" w:sz="4" w:space="0" w:color="0079C1"/>
        <w:bottom w:val="single" w:sz="4" w:space="0" w:color="0079C1"/>
        <w:right w:val="single" w:sz="4" w:space="0" w:color="0079C1"/>
        <w:insideH w:val="single" w:sz="4" w:space="0" w:color="0079C1"/>
        <w:insideV w:val="single" w:sz="4" w:space="0" w:color="0079C1"/>
      </w:tblBorders>
      <w:tblCellMar>
        <w:top w:w="0" w:type="dxa"/>
        <w:left w:w="108" w:type="dxa"/>
        <w:bottom w:w="0" w:type="dxa"/>
        <w:right w:w="108" w:type="dxa"/>
      </w:tblCellMar>
    </w:tblPr>
    <w:tblStylePr w:type="firstRow">
      <w:rPr>
        <w:rFonts w:ascii="Courier" w:hAnsi="Courier"/>
        <w:b/>
        <w:color w:val="FFFFFF"/>
        <w:sz w:val="18"/>
      </w:rPr>
      <w:tblPr/>
      <w:tcPr>
        <w:shd w:val="clear" w:color="auto" w:fill="0079C1"/>
      </w:tcPr>
    </w:tblStylePr>
  </w:style>
  <w:style w:type="paragraph" w:customStyle="1" w:styleId="TableText">
    <w:name w:val="Table Text"/>
    <w:basedOn w:val="Normal"/>
    <w:uiPriority w:val="5"/>
    <w:qFormat/>
    <w:rsid w:val="000576C4"/>
    <w:pPr>
      <w:spacing w:before="120" w:line="120" w:lineRule="atLeast"/>
    </w:pPr>
    <w:rPr>
      <w:rFonts w:eastAsia="Calibri" w:cs="Times New Roman"/>
      <w:sz w:val="20"/>
    </w:rPr>
  </w:style>
  <w:style w:type="paragraph" w:customStyle="1" w:styleId="TableHeader">
    <w:name w:val="Table Header"/>
    <w:basedOn w:val="TableText"/>
    <w:uiPriority w:val="5"/>
    <w:qFormat/>
    <w:rsid w:val="00D66C13"/>
    <w:rPr>
      <w:b/>
      <w:color w:val="FFFFFF"/>
    </w:rPr>
  </w:style>
  <w:style w:type="character" w:styleId="Hyperlink">
    <w:name w:val="Hyperlink"/>
    <w:uiPriority w:val="99"/>
    <w:rsid w:val="00D66C13"/>
    <w:rPr>
      <w:color w:val="0000FF"/>
      <w:u w:val="single"/>
    </w:rPr>
  </w:style>
  <w:style w:type="paragraph" w:customStyle="1" w:styleId="TableTextcentred">
    <w:name w:val="Table Text (centred)"/>
    <w:basedOn w:val="TableText"/>
    <w:uiPriority w:val="5"/>
    <w:qFormat/>
    <w:rsid w:val="000576C4"/>
    <w:pPr>
      <w:jc w:val="center"/>
    </w:pPr>
  </w:style>
  <w:style w:type="paragraph" w:styleId="TOC1">
    <w:name w:val="toc 1"/>
    <w:basedOn w:val="Normal"/>
    <w:next w:val="Normal"/>
    <w:autoRedefine/>
    <w:uiPriority w:val="39"/>
    <w:unhideWhenUsed/>
    <w:rsid w:val="00BB4E1A"/>
    <w:pPr>
      <w:tabs>
        <w:tab w:val="right" w:leader="dot" w:pos="9628"/>
      </w:tabs>
      <w:spacing w:after="200" w:line="276" w:lineRule="auto"/>
    </w:pPr>
    <w:rPr>
      <w:rFonts w:eastAsia="Calibri" w:cs="Times New Roman"/>
      <w:sz w:val="20"/>
    </w:rPr>
  </w:style>
  <w:style w:type="paragraph" w:styleId="TOC2">
    <w:name w:val="toc 2"/>
    <w:basedOn w:val="Normal"/>
    <w:next w:val="Normal"/>
    <w:autoRedefine/>
    <w:uiPriority w:val="39"/>
    <w:unhideWhenUsed/>
    <w:rsid w:val="00D66C13"/>
    <w:pPr>
      <w:tabs>
        <w:tab w:val="right" w:leader="dot" w:pos="9628"/>
      </w:tabs>
      <w:spacing w:after="200" w:line="276" w:lineRule="auto"/>
      <w:ind w:left="567" w:hanging="567"/>
    </w:pPr>
    <w:rPr>
      <w:rFonts w:eastAsia="Calibri" w:cs="Times New Roman"/>
      <w:sz w:val="20"/>
    </w:rPr>
  </w:style>
  <w:style w:type="paragraph" w:styleId="Caption">
    <w:name w:val="caption"/>
    <w:basedOn w:val="Normal"/>
    <w:next w:val="Normal"/>
    <w:uiPriority w:val="9"/>
    <w:qFormat/>
    <w:rsid w:val="00CD2720"/>
    <w:pPr>
      <w:keepNext/>
      <w:spacing w:before="120" w:after="120" w:line="276" w:lineRule="auto"/>
    </w:pPr>
    <w:rPr>
      <w:rFonts w:eastAsia="Calibri" w:cs="Times New Roman"/>
      <w:b/>
      <w:bCs/>
      <w:szCs w:val="20"/>
    </w:rPr>
  </w:style>
  <w:style w:type="numbering" w:customStyle="1" w:styleId="Listbulleted">
    <w:name w:val="List (bulleted)"/>
    <w:basedOn w:val="NoList"/>
    <w:rsid w:val="00D66C13"/>
    <w:pPr>
      <w:numPr>
        <w:numId w:val="4"/>
      </w:numPr>
    </w:pPr>
  </w:style>
  <w:style w:type="numbering" w:customStyle="1" w:styleId="Listnumbered">
    <w:name w:val="List (numbered)"/>
    <w:basedOn w:val="NoList"/>
    <w:rsid w:val="00D66C13"/>
  </w:style>
  <w:style w:type="numbering" w:customStyle="1" w:styleId="TableListbulleted">
    <w:name w:val="Table List (bulleted)"/>
    <w:basedOn w:val="NoList"/>
    <w:uiPriority w:val="99"/>
    <w:rsid w:val="00D66C13"/>
    <w:pPr>
      <w:numPr>
        <w:numId w:val="6"/>
      </w:numPr>
    </w:pPr>
  </w:style>
  <w:style w:type="numbering" w:customStyle="1" w:styleId="TabledListnumbered">
    <w:name w:val="Tabled List (numbered)"/>
    <w:basedOn w:val="TableListbulleted"/>
    <w:uiPriority w:val="99"/>
    <w:rsid w:val="00D66C13"/>
    <w:pPr>
      <w:numPr>
        <w:numId w:val="7"/>
      </w:numPr>
    </w:pPr>
  </w:style>
  <w:style w:type="paragraph" w:styleId="BalloonText">
    <w:name w:val="Balloon Text"/>
    <w:basedOn w:val="Normal"/>
    <w:link w:val="BalloonTextChar"/>
    <w:uiPriority w:val="99"/>
    <w:semiHidden/>
    <w:unhideWhenUsed/>
    <w:rsid w:val="00D66C13"/>
    <w:rPr>
      <w:rFonts w:ascii="Lucida Grande" w:eastAsia="Calibri" w:hAnsi="Lucida Grande" w:cs="Times New Roman"/>
      <w:sz w:val="18"/>
      <w:szCs w:val="18"/>
      <w:lang w:val="x-none" w:eastAsia="x-none"/>
    </w:rPr>
  </w:style>
  <w:style w:type="character" w:customStyle="1" w:styleId="BalloonTextChar">
    <w:name w:val="Balloon Text Char"/>
    <w:basedOn w:val="DefaultParagraphFont"/>
    <w:link w:val="BalloonText"/>
    <w:uiPriority w:val="99"/>
    <w:semiHidden/>
    <w:rsid w:val="00D66C13"/>
    <w:rPr>
      <w:rFonts w:ascii="Lucida Grande" w:eastAsia="Calibri" w:hAnsi="Lucida Grande" w:cs="Times New Roman"/>
      <w:sz w:val="18"/>
      <w:szCs w:val="18"/>
      <w:lang w:val="x-none" w:eastAsia="x-none"/>
    </w:rPr>
  </w:style>
  <w:style w:type="paragraph" w:styleId="TOC3">
    <w:name w:val="toc 3"/>
    <w:basedOn w:val="Normal"/>
    <w:next w:val="Normal"/>
    <w:autoRedefine/>
    <w:uiPriority w:val="39"/>
    <w:semiHidden/>
    <w:rsid w:val="00D66C13"/>
    <w:pPr>
      <w:spacing w:after="200" w:line="276" w:lineRule="auto"/>
      <w:ind w:left="440"/>
    </w:pPr>
    <w:rPr>
      <w:rFonts w:eastAsia="Calibri" w:cs="Times New Roman"/>
      <w:sz w:val="20"/>
    </w:rPr>
  </w:style>
  <w:style w:type="paragraph" w:styleId="TOC4">
    <w:name w:val="toc 4"/>
    <w:basedOn w:val="Normal"/>
    <w:next w:val="Normal"/>
    <w:autoRedefine/>
    <w:uiPriority w:val="39"/>
    <w:semiHidden/>
    <w:rsid w:val="00D66C13"/>
    <w:pPr>
      <w:spacing w:after="200" w:line="276" w:lineRule="auto"/>
      <w:ind w:left="660"/>
    </w:pPr>
    <w:rPr>
      <w:rFonts w:eastAsia="Calibri" w:cs="Times New Roman"/>
      <w:sz w:val="20"/>
    </w:rPr>
  </w:style>
  <w:style w:type="paragraph" w:styleId="TOC5">
    <w:name w:val="toc 5"/>
    <w:basedOn w:val="Normal"/>
    <w:next w:val="Normal"/>
    <w:autoRedefine/>
    <w:uiPriority w:val="39"/>
    <w:semiHidden/>
    <w:rsid w:val="00D66C13"/>
    <w:pPr>
      <w:spacing w:after="200" w:line="276" w:lineRule="auto"/>
      <w:ind w:left="880"/>
    </w:pPr>
    <w:rPr>
      <w:rFonts w:eastAsia="Calibri" w:cs="Times New Roman"/>
      <w:sz w:val="20"/>
    </w:rPr>
  </w:style>
  <w:style w:type="paragraph" w:styleId="TOC6">
    <w:name w:val="toc 6"/>
    <w:basedOn w:val="Normal"/>
    <w:next w:val="Normal"/>
    <w:autoRedefine/>
    <w:uiPriority w:val="39"/>
    <w:semiHidden/>
    <w:rsid w:val="00D66C13"/>
    <w:pPr>
      <w:spacing w:after="200" w:line="276" w:lineRule="auto"/>
      <w:ind w:left="1100"/>
    </w:pPr>
    <w:rPr>
      <w:rFonts w:eastAsia="Calibri" w:cs="Times New Roman"/>
      <w:sz w:val="20"/>
    </w:rPr>
  </w:style>
  <w:style w:type="paragraph" w:styleId="TOC7">
    <w:name w:val="toc 7"/>
    <w:basedOn w:val="Normal"/>
    <w:next w:val="Normal"/>
    <w:autoRedefine/>
    <w:uiPriority w:val="39"/>
    <w:semiHidden/>
    <w:rsid w:val="00D66C13"/>
    <w:pPr>
      <w:spacing w:after="200" w:line="276" w:lineRule="auto"/>
      <w:ind w:left="1320"/>
    </w:pPr>
    <w:rPr>
      <w:rFonts w:eastAsia="Calibri" w:cs="Times New Roman"/>
      <w:sz w:val="20"/>
    </w:rPr>
  </w:style>
  <w:style w:type="paragraph" w:styleId="TOC8">
    <w:name w:val="toc 8"/>
    <w:basedOn w:val="Normal"/>
    <w:next w:val="Normal"/>
    <w:autoRedefine/>
    <w:uiPriority w:val="39"/>
    <w:semiHidden/>
    <w:rsid w:val="00D66C13"/>
    <w:pPr>
      <w:spacing w:after="200" w:line="276" w:lineRule="auto"/>
      <w:ind w:left="1540"/>
    </w:pPr>
    <w:rPr>
      <w:rFonts w:eastAsia="Calibri" w:cs="Times New Roman"/>
      <w:sz w:val="20"/>
    </w:rPr>
  </w:style>
  <w:style w:type="paragraph" w:styleId="TOC9">
    <w:name w:val="toc 9"/>
    <w:basedOn w:val="Normal"/>
    <w:next w:val="Normal"/>
    <w:autoRedefine/>
    <w:uiPriority w:val="39"/>
    <w:semiHidden/>
    <w:rsid w:val="00D66C13"/>
    <w:pPr>
      <w:spacing w:after="200" w:line="276" w:lineRule="auto"/>
      <w:ind w:left="1760"/>
    </w:pPr>
    <w:rPr>
      <w:rFonts w:eastAsia="Calibri" w:cs="Times New Roman"/>
      <w:sz w:val="20"/>
    </w:rPr>
  </w:style>
  <w:style w:type="paragraph" w:styleId="Title">
    <w:name w:val="Title"/>
    <w:basedOn w:val="Normal"/>
    <w:next w:val="Normal"/>
    <w:link w:val="TitleChar"/>
    <w:uiPriority w:val="9"/>
    <w:qFormat/>
    <w:rsid w:val="00D20D53"/>
    <w:pPr>
      <w:spacing w:before="4000" w:after="160" w:line="276" w:lineRule="auto"/>
    </w:pPr>
    <w:rPr>
      <w:rFonts w:ascii="Avenir LT Std 65 Medium" w:eastAsia="Calibri" w:hAnsi="Avenir LT Std 65 Medium" w:cs="Times New Roman"/>
      <w:b/>
      <w:color w:val="FFFFFF"/>
      <w:sz w:val="60"/>
      <w:szCs w:val="60"/>
      <w:lang w:eastAsia="en-AU"/>
    </w:rPr>
  </w:style>
  <w:style w:type="character" w:customStyle="1" w:styleId="TitleChar">
    <w:name w:val="Title Char"/>
    <w:basedOn w:val="DefaultParagraphFont"/>
    <w:link w:val="Title"/>
    <w:uiPriority w:val="9"/>
    <w:rsid w:val="00D20D53"/>
    <w:rPr>
      <w:rFonts w:ascii="Avenir LT Std 65 Medium" w:eastAsia="Calibri" w:hAnsi="Avenir LT Std 65 Medium" w:cs="Times New Roman"/>
      <w:b/>
      <w:color w:val="FFFFFF"/>
      <w:sz w:val="60"/>
      <w:szCs w:val="60"/>
      <w:lang w:eastAsia="en-AU"/>
    </w:rPr>
  </w:style>
  <w:style w:type="paragraph" w:styleId="Subtitle">
    <w:name w:val="Subtitle"/>
    <w:basedOn w:val="Title"/>
    <w:next w:val="Normal"/>
    <w:link w:val="SubtitleChar"/>
    <w:uiPriority w:val="9"/>
    <w:qFormat/>
    <w:rsid w:val="00D20D53"/>
    <w:pPr>
      <w:spacing w:before="400"/>
    </w:pPr>
    <w:rPr>
      <w:sz w:val="28"/>
    </w:rPr>
  </w:style>
  <w:style w:type="character" w:customStyle="1" w:styleId="SubtitleChar">
    <w:name w:val="Subtitle Char"/>
    <w:basedOn w:val="DefaultParagraphFont"/>
    <w:link w:val="Subtitle"/>
    <w:uiPriority w:val="9"/>
    <w:rsid w:val="00D20D53"/>
    <w:rPr>
      <w:rFonts w:ascii="Avenir LT Std 65 Medium" w:eastAsia="Calibri" w:hAnsi="Avenir LT Std 65 Medium" w:cs="Times New Roman"/>
      <w:b/>
      <w:color w:val="FFFFFF"/>
      <w:sz w:val="28"/>
      <w:szCs w:val="60"/>
      <w:lang w:eastAsia="en-AU"/>
    </w:rPr>
  </w:style>
  <w:style w:type="paragraph" w:styleId="NoSpacing">
    <w:name w:val="No Spacing"/>
    <w:uiPriority w:val="1"/>
    <w:rsid w:val="00D66C13"/>
    <w:pPr>
      <w:spacing w:after="120" w:line="240" w:lineRule="auto"/>
    </w:pPr>
    <w:rPr>
      <w:rFonts w:ascii="Arial" w:eastAsia="Times New Roman" w:hAnsi="Arial" w:cs="Times New Roman"/>
      <w:sz w:val="2"/>
    </w:rPr>
  </w:style>
  <w:style w:type="paragraph" w:styleId="FootnoteText">
    <w:name w:val="footnote text"/>
    <w:basedOn w:val="Normal"/>
    <w:link w:val="FootnoteTextChar"/>
    <w:uiPriority w:val="99"/>
    <w:unhideWhenUsed/>
    <w:rsid w:val="00D66C13"/>
    <w:pPr>
      <w:spacing w:after="200" w:line="276" w:lineRule="auto"/>
      <w:jc w:val="both"/>
    </w:pPr>
    <w:rPr>
      <w:rFonts w:eastAsia="Calibri" w:cs="Times New Roman"/>
      <w:sz w:val="20"/>
      <w:szCs w:val="20"/>
      <w:lang w:val="x-none"/>
    </w:rPr>
  </w:style>
  <w:style w:type="character" w:customStyle="1" w:styleId="FootnoteTextChar">
    <w:name w:val="Footnote Text Char"/>
    <w:basedOn w:val="DefaultParagraphFont"/>
    <w:link w:val="FootnoteText"/>
    <w:uiPriority w:val="99"/>
    <w:rsid w:val="00D66C13"/>
    <w:rPr>
      <w:rFonts w:ascii="Century Gothic" w:eastAsia="Calibri" w:hAnsi="Century Gothic" w:cs="Times New Roman"/>
      <w:sz w:val="20"/>
      <w:szCs w:val="20"/>
      <w:lang w:val="x-none"/>
    </w:rPr>
  </w:style>
  <w:style w:type="character" w:styleId="FootnoteReference">
    <w:name w:val="footnote reference"/>
    <w:uiPriority w:val="99"/>
    <w:unhideWhenUsed/>
    <w:rsid w:val="00D66C13"/>
    <w:rPr>
      <w:vertAlign w:val="superscript"/>
    </w:rPr>
  </w:style>
  <w:style w:type="character" w:styleId="Emphasis">
    <w:name w:val="Emphasis"/>
    <w:uiPriority w:val="20"/>
    <w:qFormat/>
    <w:rsid w:val="00D66C13"/>
    <w:rPr>
      <w:i/>
      <w:iCs/>
    </w:rPr>
  </w:style>
  <w:style w:type="table" w:styleId="ColorfulGrid-Accent1">
    <w:name w:val="Colorful Grid Accent 1"/>
    <w:basedOn w:val="TableNormal"/>
    <w:uiPriority w:val="29"/>
    <w:qFormat/>
    <w:rsid w:val="00D66C13"/>
    <w:pPr>
      <w:spacing w:after="0" w:line="240" w:lineRule="auto"/>
    </w:pPr>
    <w:rPr>
      <w:rFonts w:ascii="Calibri" w:eastAsia="Calibri" w:hAnsi="Calibri" w:cs="Times New Roman"/>
      <w:color w:val="000000" w:themeColor="text1"/>
      <w:sz w:val="20"/>
      <w:szCs w:val="20"/>
      <w:lang w:eastAsia="en-AU"/>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Shading-Accent5">
    <w:name w:val="Colorful Shading Accent 5"/>
    <w:basedOn w:val="TableNormal"/>
    <w:uiPriority w:val="71"/>
    <w:rsid w:val="00D66C13"/>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MediumShading2-Accent3">
    <w:name w:val="Medium Shading 2 Accent 3"/>
    <w:basedOn w:val="TableNormal"/>
    <w:uiPriority w:val="69"/>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ColorfulList-Accent1">
    <w:name w:val="Colorful List Accent 1"/>
    <w:basedOn w:val="TableNormal"/>
    <w:uiPriority w:val="34"/>
    <w:qFormat/>
    <w:rsid w:val="00D66C13"/>
    <w:pPr>
      <w:spacing w:after="0" w:line="240" w:lineRule="auto"/>
    </w:pPr>
    <w:rPr>
      <w:rFonts w:ascii="Calibri" w:eastAsia="Calibri" w:hAnsi="Calibri" w:cs="Times New Roman"/>
      <w:color w:val="000000" w:themeColor="text1"/>
      <w:sz w:val="20"/>
      <w:szCs w:val="20"/>
      <w:lang w:eastAsia="en-AU"/>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MediumShading2-Accent5">
    <w:name w:val="Medium Shading 2 Accent 5"/>
    <w:basedOn w:val="TableNormal"/>
    <w:uiPriority w:val="69"/>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9"/>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FollowedHyperlink">
    <w:name w:val="FollowedHyperlink"/>
    <w:basedOn w:val="DefaultParagraphFont"/>
    <w:uiPriority w:val="99"/>
    <w:semiHidden/>
    <w:unhideWhenUsed/>
    <w:rsid w:val="00D66C13"/>
    <w:rPr>
      <w:color w:val="800080"/>
      <w:u w:val="single"/>
    </w:rPr>
  </w:style>
  <w:style w:type="character" w:styleId="CommentReference">
    <w:name w:val="annotation reference"/>
    <w:basedOn w:val="DefaultParagraphFont"/>
    <w:uiPriority w:val="99"/>
    <w:unhideWhenUsed/>
    <w:rsid w:val="00D66C13"/>
    <w:rPr>
      <w:sz w:val="16"/>
      <w:szCs w:val="16"/>
    </w:rPr>
  </w:style>
  <w:style w:type="paragraph" w:styleId="CommentText">
    <w:name w:val="annotation text"/>
    <w:basedOn w:val="Normal"/>
    <w:link w:val="CommentTextChar"/>
    <w:uiPriority w:val="99"/>
    <w:unhideWhenUsed/>
    <w:rsid w:val="00D66C13"/>
    <w:pPr>
      <w:spacing w:after="200"/>
    </w:pPr>
    <w:rPr>
      <w:rFonts w:eastAsia="Calibri" w:cs="Times New Roman"/>
      <w:sz w:val="20"/>
      <w:szCs w:val="20"/>
    </w:rPr>
  </w:style>
  <w:style w:type="character" w:customStyle="1" w:styleId="CommentTextChar">
    <w:name w:val="Comment Text Char"/>
    <w:basedOn w:val="DefaultParagraphFont"/>
    <w:link w:val="CommentText"/>
    <w:uiPriority w:val="99"/>
    <w:rsid w:val="00D66C13"/>
    <w:rPr>
      <w:rFonts w:ascii="Century Gothic" w:eastAsia="Calibri" w:hAnsi="Century Gothic" w:cs="Times New Roman"/>
      <w:sz w:val="20"/>
      <w:szCs w:val="20"/>
    </w:rPr>
  </w:style>
  <w:style w:type="paragraph" w:styleId="CommentSubject">
    <w:name w:val="annotation subject"/>
    <w:basedOn w:val="CommentText"/>
    <w:next w:val="CommentText"/>
    <w:link w:val="CommentSubjectChar"/>
    <w:uiPriority w:val="99"/>
    <w:semiHidden/>
    <w:unhideWhenUsed/>
    <w:rsid w:val="00D66C13"/>
    <w:rPr>
      <w:b/>
      <w:bCs/>
    </w:rPr>
  </w:style>
  <w:style w:type="character" w:customStyle="1" w:styleId="CommentSubjectChar">
    <w:name w:val="Comment Subject Char"/>
    <w:basedOn w:val="CommentTextChar"/>
    <w:link w:val="CommentSubject"/>
    <w:uiPriority w:val="99"/>
    <w:semiHidden/>
    <w:rsid w:val="00D66C13"/>
    <w:rPr>
      <w:rFonts w:ascii="Century Gothic" w:eastAsia="Calibri" w:hAnsi="Century Gothic" w:cs="Times New Roman"/>
      <w:b/>
      <w:bCs/>
      <w:sz w:val="20"/>
      <w:szCs w:val="20"/>
    </w:rPr>
  </w:style>
  <w:style w:type="table" w:styleId="MediumGrid3">
    <w:name w:val="Medium Grid 3"/>
    <w:basedOn w:val="TableNormal"/>
    <w:uiPriority w:val="60"/>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2">
    <w:name w:val="Medium Grid 3 Accent 2"/>
    <w:basedOn w:val="TableNormal"/>
    <w:uiPriority w:val="60"/>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0"/>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0"/>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0"/>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0"/>
    <w:rsid w:val="00D66C13"/>
    <w:pPr>
      <w:spacing w:after="0" w:line="240" w:lineRule="auto"/>
    </w:pPr>
    <w:rPr>
      <w:rFonts w:ascii="Calibri" w:eastAsia="Calibri" w:hAnsi="Calibri" w:cs="Times New Roman"/>
      <w:sz w:val="20"/>
      <w:szCs w:val="20"/>
      <w:lang w:eastAsia="en-A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paragraph" w:styleId="NormalWeb">
    <w:name w:val="Normal (Web)"/>
    <w:basedOn w:val="Normal"/>
    <w:uiPriority w:val="99"/>
    <w:semiHidden/>
    <w:unhideWhenUsed/>
    <w:rsid w:val="00D66C13"/>
    <w:pPr>
      <w:spacing w:before="100" w:beforeAutospacing="1" w:after="100" w:afterAutospacing="1"/>
    </w:pPr>
    <w:rPr>
      <w:rFonts w:ascii="Times New Roman" w:eastAsia="Times New Roman" w:hAnsi="Times New Roman" w:cs="Times New Roman"/>
      <w:sz w:val="24"/>
      <w:szCs w:val="24"/>
      <w:lang w:eastAsia="en-AU"/>
    </w:rPr>
  </w:style>
  <w:style w:type="paragraph" w:styleId="TableofFigures">
    <w:name w:val="table of figures"/>
    <w:basedOn w:val="Normal"/>
    <w:next w:val="Normal"/>
    <w:uiPriority w:val="99"/>
    <w:unhideWhenUsed/>
    <w:rsid w:val="003D1C45"/>
    <w:pPr>
      <w:ind w:left="851" w:hanging="851"/>
    </w:pPr>
  </w:style>
  <w:style w:type="numbering" w:customStyle="1" w:styleId="Listbulleted1">
    <w:name w:val="List (bulleted)1"/>
    <w:basedOn w:val="NoList"/>
    <w:rsid w:val="003C7E46"/>
    <w:pPr>
      <w:numPr>
        <w:numId w:val="2"/>
      </w:numPr>
    </w:pPr>
  </w:style>
  <w:style w:type="numbering" w:customStyle="1" w:styleId="TableListbulleted1">
    <w:name w:val="Table List (bulleted)1"/>
    <w:basedOn w:val="NoList"/>
    <w:uiPriority w:val="99"/>
    <w:rsid w:val="003C7E46"/>
    <w:pPr>
      <w:numPr>
        <w:numId w:val="3"/>
      </w:numPr>
    </w:pPr>
  </w:style>
  <w:style w:type="table" w:customStyle="1" w:styleId="TableGrid1">
    <w:name w:val="Table Grid1"/>
    <w:basedOn w:val="TableNormal"/>
    <w:next w:val="TableGrid"/>
    <w:rsid w:val="007238C9"/>
    <w:pPr>
      <w:spacing w:after="0" w:line="240" w:lineRule="auto"/>
    </w:pPr>
    <w:rPr>
      <w:rFonts w:ascii="Times New Roman" w:eastAsia="Times New Roman" w:hAnsi="Times New Roman" w:cs="Times New Roman"/>
      <w:sz w:val="20"/>
      <w:szCs w:val="20"/>
      <w:lang w:eastAsia="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bulleted2">
    <w:name w:val="List (bulleted)2"/>
    <w:basedOn w:val="NoList"/>
    <w:rsid w:val="003932CF"/>
    <w:pPr>
      <w:numPr>
        <w:numId w:val="1"/>
      </w:numPr>
    </w:pPr>
  </w:style>
  <w:style w:type="numbering" w:customStyle="1" w:styleId="Listbulleted3">
    <w:name w:val="List (bulleted)3"/>
    <w:basedOn w:val="NoList"/>
    <w:rsid w:val="00566D8B"/>
  </w:style>
  <w:style w:type="numbering" w:customStyle="1" w:styleId="TabledListnumbered1">
    <w:name w:val="Tabled List (numbered)1"/>
    <w:basedOn w:val="TableListbulleted"/>
    <w:uiPriority w:val="99"/>
    <w:rsid w:val="00566D8B"/>
    <w:pPr>
      <w:numPr>
        <w:numId w:val="5"/>
      </w:numPr>
    </w:pPr>
  </w:style>
  <w:style w:type="numbering" w:customStyle="1" w:styleId="Listbulleted4">
    <w:name w:val="List (bulleted)4"/>
    <w:basedOn w:val="NoList"/>
    <w:rsid w:val="00541F11"/>
  </w:style>
  <w:style w:type="character" w:customStyle="1" w:styleId="Heading6Char">
    <w:name w:val="Heading 6 Char"/>
    <w:basedOn w:val="DefaultParagraphFont"/>
    <w:link w:val="Heading6"/>
    <w:uiPriority w:val="9"/>
    <w:semiHidden/>
    <w:rsid w:val="00267CF7"/>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267CF7"/>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267CF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267CF7"/>
    <w:rPr>
      <w:rFonts w:asciiTheme="majorHAnsi" w:eastAsiaTheme="majorEastAsia" w:hAnsiTheme="majorHAnsi" w:cstheme="majorBidi"/>
      <w:i/>
      <w:iCs/>
      <w:color w:val="404040" w:themeColor="text1" w:themeTint="BF"/>
      <w:sz w:val="20"/>
      <w:szCs w:val="20"/>
    </w:rPr>
  </w:style>
  <w:style w:type="character" w:customStyle="1" w:styleId="ListParagraphChar">
    <w:name w:val="List Paragraph Char"/>
    <w:basedOn w:val="DefaultParagraphFont"/>
    <w:link w:val="ListParagraph"/>
    <w:uiPriority w:val="34"/>
    <w:rsid w:val="0034420F"/>
    <w:rPr>
      <w:rFonts w:ascii="Century Gothic" w:hAnsi="Century Gothic" w:cs="Arial"/>
    </w:rPr>
  </w:style>
  <w:style w:type="table" w:styleId="LightList-Accent1">
    <w:name w:val="Light List Accent 1"/>
    <w:basedOn w:val="TableNormal"/>
    <w:uiPriority w:val="61"/>
    <w:rsid w:val="002E7040"/>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TableHWA1">
    <w:name w:val="Table (HWA)1"/>
    <w:basedOn w:val="TableNormal"/>
    <w:uiPriority w:val="99"/>
    <w:qFormat/>
    <w:rsid w:val="00884823"/>
    <w:pPr>
      <w:spacing w:before="60" w:after="60" w:line="60" w:lineRule="atLeast"/>
    </w:pPr>
    <w:rPr>
      <w:rFonts w:ascii="Century Gothic" w:eastAsia="Calibri" w:hAnsi="Century Gothic" w:cs="Times New Roman"/>
      <w:sz w:val="16"/>
      <w:szCs w:val="20"/>
      <w:lang w:eastAsia="en-AU"/>
    </w:rPr>
    <w:tblPr>
      <w:tblInd w:w="0" w:type="dxa"/>
      <w:tblBorders>
        <w:top w:val="single" w:sz="4" w:space="0" w:color="0079C1"/>
        <w:left w:val="single" w:sz="4" w:space="0" w:color="0079C1"/>
        <w:bottom w:val="single" w:sz="4" w:space="0" w:color="0079C1"/>
        <w:right w:val="single" w:sz="4" w:space="0" w:color="0079C1"/>
        <w:insideH w:val="single" w:sz="4" w:space="0" w:color="0079C1"/>
        <w:insideV w:val="single" w:sz="4" w:space="0" w:color="0079C1"/>
      </w:tblBorders>
      <w:tblCellMar>
        <w:top w:w="0" w:type="dxa"/>
        <w:left w:w="108" w:type="dxa"/>
        <w:bottom w:w="0" w:type="dxa"/>
        <w:right w:w="108" w:type="dxa"/>
      </w:tblCellMar>
    </w:tblPr>
    <w:tblStylePr w:type="firstRow">
      <w:rPr>
        <w:rFonts w:ascii="Courier" w:hAnsi="Courier"/>
        <w:b/>
        <w:color w:val="FFFFFF"/>
        <w:sz w:val="18"/>
      </w:rPr>
      <w:tblPr/>
      <w:tcPr>
        <w:shd w:val="clear" w:color="auto" w:fill="0079C1"/>
      </w:tcPr>
    </w:tblStylePr>
  </w:style>
  <w:style w:type="paragraph" w:styleId="Revision">
    <w:name w:val="Revision"/>
    <w:hidden/>
    <w:uiPriority w:val="99"/>
    <w:semiHidden/>
    <w:rsid w:val="00A927DF"/>
    <w:pPr>
      <w:spacing w:after="0" w:line="240" w:lineRule="auto"/>
    </w:pPr>
    <w:rPr>
      <w:rFonts w:ascii="Calibri" w:hAnsi="Calibri" w:cs="Calibri"/>
    </w:rPr>
  </w:style>
  <w:style w:type="paragraph" w:styleId="EndnoteText">
    <w:name w:val="endnote text"/>
    <w:basedOn w:val="Normal"/>
    <w:link w:val="EndnoteTextChar"/>
    <w:uiPriority w:val="99"/>
    <w:unhideWhenUsed/>
    <w:rsid w:val="007C7001"/>
    <w:pPr>
      <w:spacing w:before="120"/>
      <w:jc w:val="both"/>
    </w:pPr>
    <w:rPr>
      <w:rFonts w:cstheme="minorBidi"/>
      <w:sz w:val="20"/>
      <w:szCs w:val="20"/>
    </w:rPr>
  </w:style>
  <w:style w:type="character" w:customStyle="1" w:styleId="EndnoteTextChar">
    <w:name w:val="Endnote Text Char"/>
    <w:basedOn w:val="DefaultParagraphFont"/>
    <w:link w:val="EndnoteText"/>
    <w:uiPriority w:val="99"/>
    <w:rsid w:val="007C7001"/>
    <w:rPr>
      <w:rFonts w:ascii="Century Gothic" w:hAnsi="Century Gothic"/>
      <w:sz w:val="20"/>
      <w:szCs w:val="20"/>
    </w:rPr>
  </w:style>
  <w:style w:type="character" w:styleId="EndnoteReference">
    <w:name w:val="endnote reference"/>
    <w:basedOn w:val="DefaultParagraphFont"/>
    <w:unhideWhenUsed/>
    <w:rsid w:val="007C7001"/>
    <w:rPr>
      <w:vertAlign w:val="superscript"/>
    </w:rPr>
  </w:style>
  <w:style w:type="paragraph" w:customStyle="1" w:styleId="Bullet">
    <w:name w:val="Bullet"/>
    <w:basedOn w:val="ListParagraph"/>
    <w:qFormat/>
    <w:rsid w:val="009153D9"/>
    <w:pPr>
      <w:numPr>
        <w:numId w:val="9"/>
      </w:numPr>
      <w:spacing w:after="0"/>
    </w:pPr>
    <w:rPr>
      <w:rFonts w:eastAsia="Calibri" w:cs="Times New Roman"/>
      <w:sz w:val="20"/>
      <w:szCs w:val="20"/>
      <w:lang w:val="en-US" w:eastAsia="en-AU"/>
    </w:rPr>
  </w:style>
  <w:style w:type="paragraph" w:styleId="DocumentMap">
    <w:name w:val="Document Map"/>
    <w:basedOn w:val="Normal"/>
    <w:link w:val="DocumentMapChar"/>
    <w:uiPriority w:val="99"/>
    <w:semiHidden/>
    <w:unhideWhenUsed/>
    <w:rsid w:val="00542AFA"/>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542AFA"/>
    <w:rPr>
      <w:rFonts w:ascii="Lucida Grande" w:hAnsi="Lucida Grande" w:cs="Lucida Grande"/>
      <w:sz w:val="24"/>
      <w:szCs w:val="24"/>
    </w:rPr>
  </w:style>
  <w:style w:type="table" w:styleId="LightGrid-Accent1">
    <w:name w:val="Light Grid Accent 1"/>
    <w:basedOn w:val="TableNormal"/>
    <w:uiPriority w:val="62"/>
    <w:rsid w:val="0063176E"/>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MediumShading1-Accent1">
    <w:name w:val="Medium Shading 1 Accent 1"/>
    <w:basedOn w:val="TableNormal"/>
    <w:uiPriority w:val="63"/>
    <w:rsid w:val="0063176E"/>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customStyle="1" w:styleId="Tablenote">
    <w:name w:val="Table note"/>
    <w:basedOn w:val="Normal"/>
    <w:link w:val="TablenoteChar"/>
    <w:qFormat/>
    <w:rsid w:val="00CD2720"/>
    <w:rPr>
      <w:sz w:val="18"/>
      <w:szCs w:val="18"/>
    </w:rPr>
  </w:style>
  <w:style w:type="character" w:customStyle="1" w:styleId="TablenoteChar">
    <w:name w:val="Table note Char"/>
    <w:basedOn w:val="DefaultParagraphFont"/>
    <w:link w:val="Tablenote"/>
    <w:rsid w:val="00CD2720"/>
    <w:rPr>
      <w:rFonts w:ascii="Century Gothic" w:hAnsi="Century Gothic" w:cs="Calibr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145710">
      <w:bodyDiv w:val="1"/>
      <w:marLeft w:val="0"/>
      <w:marRight w:val="0"/>
      <w:marTop w:val="0"/>
      <w:marBottom w:val="0"/>
      <w:divBdr>
        <w:top w:val="none" w:sz="0" w:space="0" w:color="auto"/>
        <w:left w:val="none" w:sz="0" w:space="0" w:color="auto"/>
        <w:bottom w:val="none" w:sz="0" w:space="0" w:color="auto"/>
        <w:right w:val="none" w:sz="0" w:space="0" w:color="auto"/>
      </w:divBdr>
    </w:div>
    <w:div w:id="86385173">
      <w:bodyDiv w:val="1"/>
      <w:marLeft w:val="0"/>
      <w:marRight w:val="0"/>
      <w:marTop w:val="0"/>
      <w:marBottom w:val="0"/>
      <w:divBdr>
        <w:top w:val="none" w:sz="0" w:space="0" w:color="auto"/>
        <w:left w:val="none" w:sz="0" w:space="0" w:color="auto"/>
        <w:bottom w:val="none" w:sz="0" w:space="0" w:color="auto"/>
        <w:right w:val="none" w:sz="0" w:space="0" w:color="auto"/>
      </w:divBdr>
    </w:div>
    <w:div w:id="90323772">
      <w:bodyDiv w:val="1"/>
      <w:marLeft w:val="0"/>
      <w:marRight w:val="0"/>
      <w:marTop w:val="0"/>
      <w:marBottom w:val="0"/>
      <w:divBdr>
        <w:top w:val="none" w:sz="0" w:space="0" w:color="auto"/>
        <w:left w:val="none" w:sz="0" w:space="0" w:color="auto"/>
        <w:bottom w:val="none" w:sz="0" w:space="0" w:color="auto"/>
        <w:right w:val="none" w:sz="0" w:space="0" w:color="auto"/>
      </w:divBdr>
      <w:divsChild>
        <w:div w:id="863245677">
          <w:marLeft w:val="547"/>
          <w:marRight w:val="0"/>
          <w:marTop w:val="96"/>
          <w:marBottom w:val="0"/>
          <w:divBdr>
            <w:top w:val="none" w:sz="0" w:space="0" w:color="auto"/>
            <w:left w:val="none" w:sz="0" w:space="0" w:color="auto"/>
            <w:bottom w:val="none" w:sz="0" w:space="0" w:color="auto"/>
            <w:right w:val="none" w:sz="0" w:space="0" w:color="auto"/>
          </w:divBdr>
        </w:div>
      </w:divsChild>
    </w:div>
    <w:div w:id="104274079">
      <w:bodyDiv w:val="1"/>
      <w:marLeft w:val="0"/>
      <w:marRight w:val="0"/>
      <w:marTop w:val="0"/>
      <w:marBottom w:val="0"/>
      <w:divBdr>
        <w:top w:val="none" w:sz="0" w:space="0" w:color="auto"/>
        <w:left w:val="none" w:sz="0" w:space="0" w:color="auto"/>
        <w:bottom w:val="none" w:sz="0" w:space="0" w:color="auto"/>
        <w:right w:val="none" w:sz="0" w:space="0" w:color="auto"/>
      </w:divBdr>
    </w:div>
    <w:div w:id="137459752">
      <w:bodyDiv w:val="1"/>
      <w:marLeft w:val="0"/>
      <w:marRight w:val="0"/>
      <w:marTop w:val="0"/>
      <w:marBottom w:val="0"/>
      <w:divBdr>
        <w:top w:val="none" w:sz="0" w:space="0" w:color="auto"/>
        <w:left w:val="none" w:sz="0" w:space="0" w:color="auto"/>
        <w:bottom w:val="none" w:sz="0" w:space="0" w:color="auto"/>
        <w:right w:val="none" w:sz="0" w:space="0" w:color="auto"/>
      </w:divBdr>
    </w:div>
    <w:div w:id="148401030">
      <w:bodyDiv w:val="1"/>
      <w:marLeft w:val="0"/>
      <w:marRight w:val="0"/>
      <w:marTop w:val="0"/>
      <w:marBottom w:val="0"/>
      <w:divBdr>
        <w:top w:val="none" w:sz="0" w:space="0" w:color="auto"/>
        <w:left w:val="none" w:sz="0" w:space="0" w:color="auto"/>
        <w:bottom w:val="none" w:sz="0" w:space="0" w:color="auto"/>
        <w:right w:val="none" w:sz="0" w:space="0" w:color="auto"/>
      </w:divBdr>
    </w:div>
    <w:div w:id="161044998">
      <w:bodyDiv w:val="1"/>
      <w:marLeft w:val="0"/>
      <w:marRight w:val="0"/>
      <w:marTop w:val="0"/>
      <w:marBottom w:val="0"/>
      <w:divBdr>
        <w:top w:val="none" w:sz="0" w:space="0" w:color="auto"/>
        <w:left w:val="none" w:sz="0" w:space="0" w:color="auto"/>
        <w:bottom w:val="none" w:sz="0" w:space="0" w:color="auto"/>
        <w:right w:val="none" w:sz="0" w:space="0" w:color="auto"/>
      </w:divBdr>
    </w:div>
    <w:div w:id="165052002">
      <w:bodyDiv w:val="1"/>
      <w:marLeft w:val="0"/>
      <w:marRight w:val="0"/>
      <w:marTop w:val="0"/>
      <w:marBottom w:val="0"/>
      <w:divBdr>
        <w:top w:val="none" w:sz="0" w:space="0" w:color="auto"/>
        <w:left w:val="none" w:sz="0" w:space="0" w:color="auto"/>
        <w:bottom w:val="none" w:sz="0" w:space="0" w:color="auto"/>
        <w:right w:val="none" w:sz="0" w:space="0" w:color="auto"/>
      </w:divBdr>
    </w:div>
    <w:div w:id="180626661">
      <w:bodyDiv w:val="1"/>
      <w:marLeft w:val="0"/>
      <w:marRight w:val="0"/>
      <w:marTop w:val="0"/>
      <w:marBottom w:val="0"/>
      <w:divBdr>
        <w:top w:val="none" w:sz="0" w:space="0" w:color="auto"/>
        <w:left w:val="none" w:sz="0" w:space="0" w:color="auto"/>
        <w:bottom w:val="none" w:sz="0" w:space="0" w:color="auto"/>
        <w:right w:val="none" w:sz="0" w:space="0" w:color="auto"/>
      </w:divBdr>
    </w:div>
    <w:div w:id="247808447">
      <w:bodyDiv w:val="1"/>
      <w:marLeft w:val="0"/>
      <w:marRight w:val="0"/>
      <w:marTop w:val="0"/>
      <w:marBottom w:val="0"/>
      <w:divBdr>
        <w:top w:val="none" w:sz="0" w:space="0" w:color="auto"/>
        <w:left w:val="none" w:sz="0" w:space="0" w:color="auto"/>
        <w:bottom w:val="none" w:sz="0" w:space="0" w:color="auto"/>
        <w:right w:val="none" w:sz="0" w:space="0" w:color="auto"/>
      </w:divBdr>
    </w:div>
    <w:div w:id="249852174">
      <w:bodyDiv w:val="1"/>
      <w:marLeft w:val="0"/>
      <w:marRight w:val="0"/>
      <w:marTop w:val="0"/>
      <w:marBottom w:val="0"/>
      <w:divBdr>
        <w:top w:val="none" w:sz="0" w:space="0" w:color="auto"/>
        <w:left w:val="none" w:sz="0" w:space="0" w:color="auto"/>
        <w:bottom w:val="none" w:sz="0" w:space="0" w:color="auto"/>
        <w:right w:val="none" w:sz="0" w:space="0" w:color="auto"/>
      </w:divBdr>
    </w:div>
    <w:div w:id="254019198">
      <w:bodyDiv w:val="1"/>
      <w:marLeft w:val="0"/>
      <w:marRight w:val="0"/>
      <w:marTop w:val="0"/>
      <w:marBottom w:val="0"/>
      <w:divBdr>
        <w:top w:val="none" w:sz="0" w:space="0" w:color="auto"/>
        <w:left w:val="none" w:sz="0" w:space="0" w:color="auto"/>
        <w:bottom w:val="none" w:sz="0" w:space="0" w:color="auto"/>
        <w:right w:val="none" w:sz="0" w:space="0" w:color="auto"/>
      </w:divBdr>
    </w:div>
    <w:div w:id="264388230">
      <w:bodyDiv w:val="1"/>
      <w:marLeft w:val="0"/>
      <w:marRight w:val="0"/>
      <w:marTop w:val="0"/>
      <w:marBottom w:val="0"/>
      <w:divBdr>
        <w:top w:val="none" w:sz="0" w:space="0" w:color="auto"/>
        <w:left w:val="none" w:sz="0" w:space="0" w:color="auto"/>
        <w:bottom w:val="none" w:sz="0" w:space="0" w:color="auto"/>
        <w:right w:val="none" w:sz="0" w:space="0" w:color="auto"/>
      </w:divBdr>
    </w:div>
    <w:div w:id="272396583">
      <w:bodyDiv w:val="1"/>
      <w:marLeft w:val="0"/>
      <w:marRight w:val="0"/>
      <w:marTop w:val="0"/>
      <w:marBottom w:val="0"/>
      <w:divBdr>
        <w:top w:val="none" w:sz="0" w:space="0" w:color="auto"/>
        <w:left w:val="none" w:sz="0" w:space="0" w:color="auto"/>
        <w:bottom w:val="none" w:sz="0" w:space="0" w:color="auto"/>
        <w:right w:val="none" w:sz="0" w:space="0" w:color="auto"/>
      </w:divBdr>
    </w:div>
    <w:div w:id="296106943">
      <w:bodyDiv w:val="1"/>
      <w:marLeft w:val="0"/>
      <w:marRight w:val="0"/>
      <w:marTop w:val="0"/>
      <w:marBottom w:val="0"/>
      <w:divBdr>
        <w:top w:val="none" w:sz="0" w:space="0" w:color="auto"/>
        <w:left w:val="none" w:sz="0" w:space="0" w:color="auto"/>
        <w:bottom w:val="none" w:sz="0" w:space="0" w:color="auto"/>
        <w:right w:val="none" w:sz="0" w:space="0" w:color="auto"/>
      </w:divBdr>
    </w:div>
    <w:div w:id="298800590">
      <w:bodyDiv w:val="1"/>
      <w:marLeft w:val="0"/>
      <w:marRight w:val="0"/>
      <w:marTop w:val="0"/>
      <w:marBottom w:val="0"/>
      <w:divBdr>
        <w:top w:val="none" w:sz="0" w:space="0" w:color="auto"/>
        <w:left w:val="none" w:sz="0" w:space="0" w:color="auto"/>
        <w:bottom w:val="none" w:sz="0" w:space="0" w:color="auto"/>
        <w:right w:val="none" w:sz="0" w:space="0" w:color="auto"/>
      </w:divBdr>
    </w:div>
    <w:div w:id="301468555">
      <w:bodyDiv w:val="1"/>
      <w:marLeft w:val="0"/>
      <w:marRight w:val="0"/>
      <w:marTop w:val="0"/>
      <w:marBottom w:val="0"/>
      <w:divBdr>
        <w:top w:val="none" w:sz="0" w:space="0" w:color="auto"/>
        <w:left w:val="none" w:sz="0" w:space="0" w:color="auto"/>
        <w:bottom w:val="none" w:sz="0" w:space="0" w:color="auto"/>
        <w:right w:val="none" w:sz="0" w:space="0" w:color="auto"/>
      </w:divBdr>
    </w:div>
    <w:div w:id="314335060">
      <w:bodyDiv w:val="1"/>
      <w:marLeft w:val="0"/>
      <w:marRight w:val="0"/>
      <w:marTop w:val="0"/>
      <w:marBottom w:val="0"/>
      <w:divBdr>
        <w:top w:val="none" w:sz="0" w:space="0" w:color="auto"/>
        <w:left w:val="none" w:sz="0" w:space="0" w:color="auto"/>
        <w:bottom w:val="none" w:sz="0" w:space="0" w:color="auto"/>
        <w:right w:val="none" w:sz="0" w:space="0" w:color="auto"/>
      </w:divBdr>
    </w:div>
    <w:div w:id="314799122">
      <w:bodyDiv w:val="1"/>
      <w:marLeft w:val="0"/>
      <w:marRight w:val="0"/>
      <w:marTop w:val="0"/>
      <w:marBottom w:val="0"/>
      <w:divBdr>
        <w:top w:val="none" w:sz="0" w:space="0" w:color="auto"/>
        <w:left w:val="none" w:sz="0" w:space="0" w:color="auto"/>
        <w:bottom w:val="none" w:sz="0" w:space="0" w:color="auto"/>
        <w:right w:val="none" w:sz="0" w:space="0" w:color="auto"/>
      </w:divBdr>
    </w:div>
    <w:div w:id="315181529">
      <w:bodyDiv w:val="1"/>
      <w:marLeft w:val="0"/>
      <w:marRight w:val="0"/>
      <w:marTop w:val="0"/>
      <w:marBottom w:val="0"/>
      <w:divBdr>
        <w:top w:val="none" w:sz="0" w:space="0" w:color="auto"/>
        <w:left w:val="none" w:sz="0" w:space="0" w:color="auto"/>
        <w:bottom w:val="none" w:sz="0" w:space="0" w:color="auto"/>
        <w:right w:val="none" w:sz="0" w:space="0" w:color="auto"/>
      </w:divBdr>
    </w:div>
    <w:div w:id="316303035">
      <w:bodyDiv w:val="1"/>
      <w:marLeft w:val="0"/>
      <w:marRight w:val="0"/>
      <w:marTop w:val="0"/>
      <w:marBottom w:val="0"/>
      <w:divBdr>
        <w:top w:val="none" w:sz="0" w:space="0" w:color="auto"/>
        <w:left w:val="none" w:sz="0" w:space="0" w:color="auto"/>
        <w:bottom w:val="none" w:sz="0" w:space="0" w:color="auto"/>
        <w:right w:val="none" w:sz="0" w:space="0" w:color="auto"/>
      </w:divBdr>
    </w:div>
    <w:div w:id="317000170">
      <w:bodyDiv w:val="1"/>
      <w:marLeft w:val="0"/>
      <w:marRight w:val="0"/>
      <w:marTop w:val="0"/>
      <w:marBottom w:val="0"/>
      <w:divBdr>
        <w:top w:val="none" w:sz="0" w:space="0" w:color="auto"/>
        <w:left w:val="none" w:sz="0" w:space="0" w:color="auto"/>
        <w:bottom w:val="none" w:sz="0" w:space="0" w:color="auto"/>
        <w:right w:val="none" w:sz="0" w:space="0" w:color="auto"/>
      </w:divBdr>
    </w:div>
    <w:div w:id="359086041">
      <w:bodyDiv w:val="1"/>
      <w:marLeft w:val="0"/>
      <w:marRight w:val="0"/>
      <w:marTop w:val="0"/>
      <w:marBottom w:val="0"/>
      <w:divBdr>
        <w:top w:val="none" w:sz="0" w:space="0" w:color="auto"/>
        <w:left w:val="none" w:sz="0" w:space="0" w:color="auto"/>
        <w:bottom w:val="none" w:sz="0" w:space="0" w:color="auto"/>
        <w:right w:val="none" w:sz="0" w:space="0" w:color="auto"/>
      </w:divBdr>
    </w:div>
    <w:div w:id="363288311">
      <w:bodyDiv w:val="1"/>
      <w:marLeft w:val="0"/>
      <w:marRight w:val="0"/>
      <w:marTop w:val="0"/>
      <w:marBottom w:val="0"/>
      <w:divBdr>
        <w:top w:val="none" w:sz="0" w:space="0" w:color="auto"/>
        <w:left w:val="none" w:sz="0" w:space="0" w:color="auto"/>
        <w:bottom w:val="none" w:sz="0" w:space="0" w:color="auto"/>
        <w:right w:val="none" w:sz="0" w:space="0" w:color="auto"/>
      </w:divBdr>
    </w:div>
    <w:div w:id="375858921">
      <w:bodyDiv w:val="1"/>
      <w:marLeft w:val="0"/>
      <w:marRight w:val="0"/>
      <w:marTop w:val="0"/>
      <w:marBottom w:val="0"/>
      <w:divBdr>
        <w:top w:val="none" w:sz="0" w:space="0" w:color="auto"/>
        <w:left w:val="none" w:sz="0" w:space="0" w:color="auto"/>
        <w:bottom w:val="none" w:sz="0" w:space="0" w:color="auto"/>
        <w:right w:val="none" w:sz="0" w:space="0" w:color="auto"/>
      </w:divBdr>
    </w:div>
    <w:div w:id="401102305">
      <w:bodyDiv w:val="1"/>
      <w:marLeft w:val="0"/>
      <w:marRight w:val="0"/>
      <w:marTop w:val="0"/>
      <w:marBottom w:val="0"/>
      <w:divBdr>
        <w:top w:val="none" w:sz="0" w:space="0" w:color="auto"/>
        <w:left w:val="none" w:sz="0" w:space="0" w:color="auto"/>
        <w:bottom w:val="none" w:sz="0" w:space="0" w:color="auto"/>
        <w:right w:val="none" w:sz="0" w:space="0" w:color="auto"/>
      </w:divBdr>
    </w:div>
    <w:div w:id="402415325">
      <w:bodyDiv w:val="1"/>
      <w:marLeft w:val="0"/>
      <w:marRight w:val="0"/>
      <w:marTop w:val="0"/>
      <w:marBottom w:val="0"/>
      <w:divBdr>
        <w:top w:val="none" w:sz="0" w:space="0" w:color="auto"/>
        <w:left w:val="none" w:sz="0" w:space="0" w:color="auto"/>
        <w:bottom w:val="none" w:sz="0" w:space="0" w:color="auto"/>
        <w:right w:val="none" w:sz="0" w:space="0" w:color="auto"/>
      </w:divBdr>
    </w:div>
    <w:div w:id="447622418">
      <w:bodyDiv w:val="1"/>
      <w:marLeft w:val="0"/>
      <w:marRight w:val="0"/>
      <w:marTop w:val="0"/>
      <w:marBottom w:val="0"/>
      <w:divBdr>
        <w:top w:val="none" w:sz="0" w:space="0" w:color="auto"/>
        <w:left w:val="none" w:sz="0" w:space="0" w:color="auto"/>
        <w:bottom w:val="none" w:sz="0" w:space="0" w:color="auto"/>
        <w:right w:val="none" w:sz="0" w:space="0" w:color="auto"/>
      </w:divBdr>
    </w:div>
    <w:div w:id="474612693">
      <w:bodyDiv w:val="1"/>
      <w:marLeft w:val="0"/>
      <w:marRight w:val="0"/>
      <w:marTop w:val="0"/>
      <w:marBottom w:val="0"/>
      <w:divBdr>
        <w:top w:val="none" w:sz="0" w:space="0" w:color="auto"/>
        <w:left w:val="none" w:sz="0" w:space="0" w:color="auto"/>
        <w:bottom w:val="none" w:sz="0" w:space="0" w:color="auto"/>
        <w:right w:val="none" w:sz="0" w:space="0" w:color="auto"/>
      </w:divBdr>
    </w:div>
    <w:div w:id="475799457">
      <w:bodyDiv w:val="1"/>
      <w:marLeft w:val="0"/>
      <w:marRight w:val="0"/>
      <w:marTop w:val="0"/>
      <w:marBottom w:val="0"/>
      <w:divBdr>
        <w:top w:val="none" w:sz="0" w:space="0" w:color="auto"/>
        <w:left w:val="none" w:sz="0" w:space="0" w:color="auto"/>
        <w:bottom w:val="none" w:sz="0" w:space="0" w:color="auto"/>
        <w:right w:val="none" w:sz="0" w:space="0" w:color="auto"/>
      </w:divBdr>
    </w:div>
    <w:div w:id="483276182">
      <w:bodyDiv w:val="1"/>
      <w:marLeft w:val="0"/>
      <w:marRight w:val="0"/>
      <w:marTop w:val="0"/>
      <w:marBottom w:val="0"/>
      <w:divBdr>
        <w:top w:val="none" w:sz="0" w:space="0" w:color="auto"/>
        <w:left w:val="none" w:sz="0" w:space="0" w:color="auto"/>
        <w:bottom w:val="none" w:sz="0" w:space="0" w:color="auto"/>
        <w:right w:val="none" w:sz="0" w:space="0" w:color="auto"/>
      </w:divBdr>
    </w:div>
    <w:div w:id="515005556">
      <w:bodyDiv w:val="1"/>
      <w:marLeft w:val="0"/>
      <w:marRight w:val="0"/>
      <w:marTop w:val="0"/>
      <w:marBottom w:val="0"/>
      <w:divBdr>
        <w:top w:val="none" w:sz="0" w:space="0" w:color="auto"/>
        <w:left w:val="none" w:sz="0" w:space="0" w:color="auto"/>
        <w:bottom w:val="none" w:sz="0" w:space="0" w:color="auto"/>
        <w:right w:val="none" w:sz="0" w:space="0" w:color="auto"/>
      </w:divBdr>
    </w:div>
    <w:div w:id="525409844">
      <w:bodyDiv w:val="1"/>
      <w:marLeft w:val="0"/>
      <w:marRight w:val="0"/>
      <w:marTop w:val="0"/>
      <w:marBottom w:val="0"/>
      <w:divBdr>
        <w:top w:val="none" w:sz="0" w:space="0" w:color="auto"/>
        <w:left w:val="none" w:sz="0" w:space="0" w:color="auto"/>
        <w:bottom w:val="none" w:sz="0" w:space="0" w:color="auto"/>
        <w:right w:val="none" w:sz="0" w:space="0" w:color="auto"/>
      </w:divBdr>
    </w:div>
    <w:div w:id="583956320">
      <w:bodyDiv w:val="1"/>
      <w:marLeft w:val="0"/>
      <w:marRight w:val="0"/>
      <w:marTop w:val="0"/>
      <w:marBottom w:val="0"/>
      <w:divBdr>
        <w:top w:val="none" w:sz="0" w:space="0" w:color="auto"/>
        <w:left w:val="none" w:sz="0" w:space="0" w:color="auto"/>
        <w:bottom w:val="none" w:sz="0" w:space="0" w:color="auto"/>
        <w:right w:val="none" w:sz="0" w:space="0" w:color="auto"/>
      </w:divBdr>
    </w:div>
    <w:div w:id="584800436">
      <w:bodyDiv w:val="1"/>
      <w:marLeft w:val="0"/>
      <w:marRight w:val="0"/>
      <w:marTop w:val="0"/>
      <w:marBottom w:val="0"/>
      <w:divBdr>
        <w:top w:val="none" w:sz="0" w:space="0" w:color="auto"/>
        <w:left w:val="none" w:sz="0" w:space="0" w:color="auto"/>
        <w:bottom w:val="none" w:sz="0" w:space="0" w:color="auto"/>
        <w:right w:val="none" w:sz="0" w:space="0" w:color="auto"/>
      </w:divBdr>
    </w:div>
    <w:div w:id="611791095">
      <w:bodyDiv w:val="1"/>
      <w:marLeft w:val="0"/>
      <w:marRight w:val="0"/>
      <w:marTop w:val="0"/>
      <w:marBottom w:val="0"/>
      <w:divBdr>
        <w:top w:val="none" w:sz="0" w:space="0" w:color="auto"/>
        <w:left w:val="none" w:sz="0" w:space="0" w:color="auto"/>
        <w:bottom w:val="none" w:sz="0" w:space="0" w:color="auto"/>
        <w:right w:val="none" w:sz="0" w:space="0" w:color="auto"/>
      </w:divBdr>
    </w:div>
    <w:div w:id="677194784">
      <w:bodyDiv w:val="1"/>
      <w:marLeft w:val="0"/>
      <w:marRight w:val="0"/>
      <w:marTop w:val="0"/>
      <w:marBottom w:val="0"/>
      <w:divBdr>
        <w:top w:val="none" w:sz="0" w:space="0" w:color="auto"/>
        <w:left w:val="none" w:sz="0" w:space="0" w:color="auto"/>
        <w:bottom w:val="none" w:sz="0" w:space="0" w:color="auto"/>
        <w:right w:val="none" w:sz="0" w:space="0" w:color="auto"/>
      </w:divBdr>
    </w:div>
    <w:div w:id="682628015">
      <w:bodyDiv w:val="1"/>
      <w:marLeft w:val="0"/>
      <w:marRight w:val="0"/>
      <w:marTop w:val="0"/>
      <w:marBottom w:val="0"/>
      <w:divBdr>
        <w:top w:val="none" w:sz="0" w:space="0" w:color="auto"/>
        <w:left w:val="none" w:sz="0" w:space="0" w:color="auto"/>
        <w:bottom w:val="none" w:sz="0" w:space="0" w:color="auto"/>
        <w:right w:val="none" w:sz="0" w:space="0" w:color="auto"/>
      </w:divBdr>
    </w:div>
    <w:div w:id="687489187">
      <w:bodyDiv w:val="1"/>
      <w:marLeft w:val="0"/>
      <w:marRight w:val="0"/>
      <w:marTop w:val="0"/>
      <w:marBottom w:val="0"/>
      <w:divBdr>
        <w:top w:val="none" w:sz="0" w:space="0" w:color="auto"/>
        <w:left w:val="none" w:sz="0" w:space="0" w:color="auto"/>
        <w:bottom w:val="none" w:sz="0" w:space="0" w:color="auto"/>
        <w:right w:val="none" w:sz="0" w:space="0" w:color="auto"/>
      </w:divBdr>
    </w:div>
    <w:div w:id="689726175">
      <w:bodyDiv w:val="1"/>
      <w:marLeft w:val="0"/>
      <w:marRight w:val="0"/>
      <w:marTop w:val="0"/>
      <w:marBottom w:val="0"/>
      <w:divBdr>
        <w:top w:val="none" w:sz="0" w:space="0" w:color="auto"/>
        <w:left w:val="none" w:sz="0" w:space="0" w:color="auto"/>
        <w:bottom w:val="none" w:sz="0" w:space="0" w:color="auto"/>
        <w:right w:val="none" w:sz="0" w:space="0" w:color="auto"/>
      </w:divBdr>
    </w:div>
    <w:div w:id="709112968">
      <w:bodyDiv w:val="1"/>
      <w:marLeft w:val="0"/>
      <w:marRight w:val="0"/>
      <w:marTop w:val="0"/>
      <w:marBottom w:val="0"/>
      <w:divBdr>
        <w:top w:val="none" w:sz="0" w:space="0" w:color="auto"/>
        <w:left w:val="none" w:sz="0" w:space="0" w:color="auto"/>
        <w:bottom w:val="none" w:sz="0" w:space="0" w:color="auto"/>
        <w:right w:val="none" w:sz="0" w:space="0" w:color="auto"/>
      </w:divBdr>
    </w:div>
    <w:div w:id="722801384">
      <w:bodyDiv w:val="1"/>
      <w:marLeft w:val="0"/>
      <w:marRight w:val="0"/>
      <w:marTop w:val="0"/>
      <w:marBottom w:val="0"/>
      <w:divBdr>
        <w:top w:val="none" w:sz="0" w:space="0" w:color="auto"/>
        <w:left w:val="none" w:sz="0" w:space="0" w:color="auto"/>
        <w:bottom w:val="none" w:sz="0" w:space="0" w:color="auto"/>
        <w:right w:val="none" w:sz="0" w:space="0" w:color="auto"/>
      </w:divBdr>
    </w:div>
    <w:div w:id="747651401">
      <w:bodyDiv w:val="1"/>
      <w:marLeft w:val="0"/>
      <w:marRight w:val="0"/>
      <w:marTop w:val="0"/>
      <w:marBottom w:val="0"/>
      <w:divBdr>
        <w:top w:val="none" w:sz="0" w:space="0" w:color="auto"/>
        <w:left w:val="none" w:sz="0" w:space="0" w:color="auto"/>
        <w:bottom w:val="none" w:sz="0" w:space="0" w:color="auto"/>
        <w:right w:val="none" w:sz="0" w:space="0" w:color="auto"/>
      </w:divBdr>
    </w:div>
    <w:div w:id="748112944">
      <w:bodyDiv w:val="1"/>
      <w:marLeft w:val="0"/>
      <w:marRight w:val="0"/>
      <w:marTop w:val="0"/>
      <w:marBottom w:val="0"/>
      <w:divBdr>
        <w:top w:val="none" w:sz="0" w:space="0" w:color="auto"/>
        <w:left w:val="none" w:sz="0" w:space="0" w:color="auto"/>
        <w:bottom w:val="none" w:sz="0" w:space="0" w:color="auto"/>
        <w:right w:val="none" w:sz="0" w:space="0" w:color="auto"/>
      </w:divBdr>
    </w:div>
    <w:div w:id="748574451">
      <w:bodyDiv w:val="1"/>
      <w:marLeft w:val="0"/>
      <w:marRight w:val="0"/>
      <w:marTop w:val="0"/>
      <w:marBottom w:val="0"/>
      <w:divBdr>
        <w:top w:val="none" w:sz="0" w:space="0" w:color="auto"/>
        <w:left w:val="none" w:sz="0" w:space="0" w:color="auto"/>
        <w:bottom w:val="none" w:sz="0" w:space="0" w:color="auto"/>
        <w:right w:val="none" w:sz="0" w:space="0" w:color="auto"/>
      </w:divBdr>
    </w:div>
    <w:div w:id="757140456">
      <w:bodyDiv w:val="1"/>
      <w:marLeft w:val="0"/>
      <w:marRight w:val="0"/>
      <w:marTop w:val="0"/>
      <w:marBottom w:val="0"/>
      <w:divBdr>
        <w:top w:val="none" w:sz="0" w:space="0" w:color="auto"/>
        <w:left w:val="none" w:sz="0" w:space="0" w:color="auto"/>
        <w:bottom w:val="none" w:sz="0" w:space="0" w:color="auto"/>
        <w:right w:val="none" w:sz="0" w:space="0" w:color="auto"/>
      </w:divBdr>
    </w:div>
    <w:div w:id="757562128">
      <w:bodyDiv w:val="1"/>
      <w:marLeft w:val="0"/>
      <w:marRight w:val="0"/>
      <w:marTop w:val="0"/>
      <w:marBottom w:val="0"/>
      <w:divBdr>
        <w:top w:val="none" w:sz="0" w:space="0" w:color="auto"/>
        <w:left w:val="none" w:sz="0" w:space="0" w:color="auto"/>
        <w:bottom w:val="none" w:sz="0" w:space="0" w:color="auto"/>
        <w:right w:val="none" w:sz="0" w:space="0" w:color="auto"/>
      </w:divBdr>
    </w:div>
    <w:div w:id="806556073">
      <w:bodyDiv w:val="1"/>
      <w:marLeft w:val="0"/>
      <w:marRight w:val="0"/>
      <w:marTop w:val="0"/>
      <w:marBottom w:val="0"/>
      <w:divBdr>
        <w:top w:val="none" w:sz="0" w:space="0" w:color="auto"/>
        <w:left w:val="none" w:sz="0" w:space="0" w:color="auto"/>
        <w:bottom w:val="none" w:sz="0" w:space="0" w:color="auto"/>
        <w:right w:val="none" w:sz="0" w:space="0" w:color="auto"/>
      </w:divBdr>
    </w:div>
    <w:div w:id="873616388">
      <w:bodyDiv w:val="1"/>
      <w:marLeft w:val="0"/>
      <w:marRight w:val="0"/>
      <w:marTop w:val="0"/>
      <w:marBottom w:val="0"/>
      <w:divBdr>
        <w:top w:val="none" w:sz="0" w:space="0" w:color="auto"/>
        <w:left w:val="none" w:sz="0" w:space="0" w:color="auto"/>
        <w:bottom w:val="none" w:sz="0" w:space="0" w:color="auto"/>
        <w:right w:val="none" w:sz="0" w:space="0" w:color="auto"/>
      </w:divBdr>
    </w:div>
    <w:div w:id="941303194">
      <w:bodyDiv w:val="1"/>
      <w:marLeft w:val="0"/>
      <w:marRight w:val="0"/>
      <w:marTop w:val="0"/>
      <w:marBottom w:val="0"/>
      <w:divBdr>
        <w:top w:val="none" w:sz="0" w:space="0" w:color="auto"/>
        <w:left w:val="none" w:sz="0" w:space="0" w:color="auto"/>
        <w:bottom w:val="none" w:sz="0" w:space="0" w:color="auto"/>
        <w:right w:val="none" w:sz="0" w:space="0" w:color="auto"/>
      </w:divBdr>
    </w:div>
    <w:div w:id="1010793740">
      <w:bodyDiv w:val="1"/>
      <w:marLeft w:val="0"/>
      <w:marRight w:val="0"/>
      <w:marTop w:val="0"/>
      <w:marBottom w:val="0"/>
      <w:divBdr>
        <w:top w:val="none" w:sz="0" w:space="0" w:color="auto"/>
        <w:left w:val="none" w:sz="0" w:space="0" w:color="auto"/>
        <w:bottom w:val="none" w:sz="0" w:space="0" w:color="auto"/>
        <w:right w:val="none" w:sz="0" w:space="0" w:color="auto"/>
      </w:divBdr>
    </w:div>
    <w:div w:id="1011372286">
      <w:bodyDiv w:val="1"/>
      <w:marLeft w:val="0"/>
      <w:marRight w:val="0"/>
      <w:marTop w:val="0"/>
      <w:marBottom w:val="0"/>
      <w:divBdr>
        <w:top w:val="none" w:sz="0" w:space="0" w:color="auto"/>
        <w:left w:val="none" w:sz="0" w:space="0" w:color="auto"/>
        <w:bottom w:val="none" w:sz="0" w:space="0" w:color="auto"/>
        <w:right w:val="none" w:sz="0" w:space="0" w:color="auto"/>
      </w:divBdr>
    </w:div>
    <w:div w:id="1030035950">
      <w:bodyDiv w:val="1"/>
      <w:marLeft w:val="0"/>
      <w:marRight w:val="0"/>
      <w:marTop w:val="0"/>
      <w:marBottom w:val="0"/>
      <w:divBdr>
        <w:top w:val="none" w:sz="0" w:space="0" w:color="auto"/>
        <w:left w:val="none" w:sz="0" w:space="0" w:color="auto"/>
        <w:bottom w:val="none" w:sz="0" w:space="0" w:color="auto"/>
        <w:right w:val="none" w:sz="0" w:space="0" w:color="auto"/>
      </w:divBdr>
    </w:div>
    <w:div w:id="1034504611">
      <w:bodyDiv w:val="1"/>
      <w:marLeft w:val="0"/>
      <w:marRight w:val="0"/>
      <w:marTop w:val="0"/>
      <w:marBottom w:val="0"/>
      <w:divBdr>
        <w:top w:val="none" w:sz="0" w:space="0" w:color="auto"/>
        <w:left w:val="none" w:sz="0" w:space="0" w:color="auto"/>
        <w:bottom w:val="none" w:sz="0" w:space="0" w:color="auto"/>
        <w:right w:val="none" w:sz="0" w:space="0" w:color="auto"/>
      </w:divBdr>
    </w:div>
    <w:div w:id="1058748135">
      <w:bodyDiv w:val="1"/>
      <w:marLeft w:val="0"/>
      <w:marRight w:val="0"/>
      <w:marTop w:val="0"/>
      <w:marBottom w:val="0"/>
      <w:divBdr>
        <w:top w:val="none" w:sz="0" w:space="0" w:color="auto"/>
        <w:left w:val="none" w:sz="0" w:space="0" w:color="auto"/>
        <w:bottom w:val="none" w:sz="0" w:space="0" w:color="auto"/>
        <w:right w:val="none" w:sz="0" w:space="0" w:color="auto"/>
      </w:divBdr>
    </w:div>
    <w:div w:id="1062289116">
      <w:bodyDiv w:val="1"/>
      <w:marLeft w:val="0"/>
      <w:marRight w:val="0"/>
      <w:marTop w:val="0"/>
      <w:marBottom w:val="0"/>
      <w:divBdr>
        <w:top w:val="none" w:sz="0" w:space="0" w:color="auto"/>
        <w:left w:val="none" w:sz="0" w:space="0" w:color="auto"/>
        <w:bottom w:val="none" w:sz="0" w:space="0" w:color="auto"/>
        <w:right w:val="none" w:sz="0" w:space="0" w:color="auto"/>
      </w:divBdr>
    </w:div>
    <w:div w:id="1077752339">
      <w:bodyDiv w:val="1"/>
      <w:marLeft w:val="0"/>
      <w:marRight w:val="0"/>
      <w:marTop w:val="0"/>
      <w:marBottom w:val="0"/>
      <w:divBdr>
        <w:top w:val="none" w:sz="0" w:space="0" w:color="auto"/>
        <w:left w:val="none" w:sz="0" w:space="0" w:color="auto"/>
        <w:bottom w:val="none" w:sz="0" w:space="0" w:color="auto"/>
        <w:right w:val="none" w:sz="0" w:space="0" w:color="auto"/>
      </w:divBdr>
    </w:div>
    <w:div w:id="1082990056">
      <w:bodyDiv w:val="1"/>
      <w:marLeft w:val="0"/>
      <w:marRight w:val="0"/>
      <w:marTop w:val="0"/>
      <w:marBottom w:val="0"/>
      <w:divBdr>
        <w:top w:val="none" w:sz="0" w:space="0" w:color="auto"/>
        <w:left w:val="none" w:sz="0" w:space="0" w:color="auto"/>
        <w:bottom w:val="none" w:sz="0" w:space="0" w:color="auto"/>
        <w:right w:val="none" w:sz="0" w:space="0" w:color="auto"/>
      </w:divBdr>
    </w:div>
    <w:div w:id="1084840389">
      <w:bodyDiv w:val="1"/>
      <w:marLeft w:val="0"/>
      <w:marRight w:val="0"/>
      <w:marTop w:val="0"/>
      <w:marBottom w:val="0"/>
      <w:divBdr>
        <w:top w:val="none" w:sz="0" w:space="0" w:color="auto"/>
        <w:left w:val="none" w:sz="0" w:space="0" w:color="auto"/>
        <w:bottom w:val="none" w:sz="0" w:space="0" w:color="auto"/>
        <w:right w:val="none" w:sz="0" w:space="0" w:color="auto"/>
      </w:divBdr>
    </w:div>
    <w:div w:id="1097602892">
      <w:bodyDiv w:val="1"/>
      <w:marLeft w:val="0"/>
      <w:marRight w:val="0"/>
      <w:marTop w:val="0"/>
      <w:marBottom w:val="0"/>
      <w:divBdr>
        <w:top w:val="none" w:sz="0" w:space="0" w:color="auto"/>
        <w:left w:val="none" w:sz="0" w:space="0" w:color="auto"/>
        <w:bottom w:val="none" w:sz="0" w:space="0" w:color="auto"/>
        <w:right w:val="none" w:sz="0" w:space="0" w:color="auto"/>
      </w:divBdr>
    </w:div>
    <w:div w:id="1107702552">
      <w:bodyDiv w:val="1"/>
      <w:marLeft w:val="0"/>
      <w:marRight w:val="0"/>
      <w:marTop w:val="0"/>
      <w:marBottom w:val="0"/>
      <w:divBdr>
        <w:top w:val="none" w:sz="0" w:space="0" w:color="auto"/>
        <w:left w:val="none" w:sz="0" w:space="0" w:color="auto"/>
        <w:bottom w:val="none" w:sz="0" w:space="0" w:color="auto"/>
        <w:right w:val="none" w:sz="0" w:space="0" w:color="auto"/>
      </w:divBdr>
    </w:div>
    <w:div w:id="1165826295">
      <w:bodyDiv w:val="1"/>
      <w:marLeft w:val="0"/>
      <w:marRight w:val="0"/>
      <w:marTop w:val="0"/>
      <w:marBottom w:val="0"/>
      <w:divBdr>
        <w:top w:val="none" w:sz="0" w:space="0" w:color="auto"/>
        <w:left w:val="none" w:sz="0" w:space="0" w:color="auto"/>
        <w:bottom w:val="none" w:sz="0" w:space="0" w:color="auto"/>
        <w:right w:val="none" w:sz="0" w:space="0" w:color="auto"/>
      </w:divBdr>
    </w:div>
    <w:div w:id="1167860151">
      <w:bodyDiv w:val="1"/>
      <w:marLeft w:val="0"/>
      <w:marRight w:val="0"/>
      <w:marTop w:val="0"/>
      <w:marBottom w:val="0"/>
      <w:divBdr>
        <w:top w:val="none" w:sz="0" w:space="0" w:color="auto"/>
        <w:left w:val="none" w:sz="0" w:space="0" w:color="auto"/>
        <w:bottom w:val="none" w:sz="0" w:space="0" w:color="auto"/>
        <w:right w:val="none" w:sz="0" w:space="0" w:color="auto"/>
      </w:divBdr>
    </w:div>
    <w:div w:id="1199709429">
      <w:bodyDiv w:val="1"/>
      <w:marLeft w:val="0"/>
      <w:marRight w:val="0"/>
      <w:marTop w:val="0"/>
      <w:marBottom w:val="0"/>
      <w:divBdr>
        <w:top w:val="none" w:sz="0" w:space="0" w:color="auto"/>
        <w:left w:val="none" w:sz="0" w:space="0" w:color="auto"/>
        <w:bottom w:val="none" w:sz="0" w:space="0" w:color="auto"/>
        <w:right w:val="none" w:sz="0" w:space="0" w:color="auto"/>
      </w:divBdr>
    </w:div>
    <w:div w:id="1257060815">
      <w:bodyDiv w:val="1"/>
      <w:marLeft w:val="0"/>
      <w:marRight w:val="0"/>
      <w:marTop w:val="0"/>
      <w:marBottom w:val="0"/>
      <w:divBdr>
        <w:top w:val="none" w:sz="0" w:space="0" w:color="auto"/>
        <w:left w:val="none" w:sz="0" w:space="0" w:color="auto"/>
        <w:bottom w:val="none" w:sz="0" w:space="0" w:color="auto"/>
        <w:right w:val="none" w:sz="0" w:space="0" w:color="auto"/>
      </w:divBdr>
    </w:div>
    <w:div w:id="1270815327">
      <w:bodyDiv w:val="1"/>
      <w:marLeft w:val="0"/>
      <w:marRight w:val="0"/>
      <w:marTop w:val="0"/>
      <w:marBottom w:val="0"/>
      <w:divBdr>
        <w:top w:val="none" w:sz="0" w:space="0" w:color="auto"/>
        <w:left w:val="none" w:sz="0" w:space="0" w:color="auto"/>
        <w:bottom w:val="none" w:sz="0" w:space="0" w:color="auto"/>
        <w:right w:val="none" w:sz="0" w:space="0" w:color="auto"/>
      </w:divBdr>
    </w:div>
    <w:div w:id="1285186981">
      <w:bodyDiv w:val="1"/>
      <w:marLeft w:val="0"/>
      <w:marRight w:val="0"/>
      <w:marTop w:val="0"/>
      <w:marBottom w:val="0"/>
      <w:divBdr>
        <w:top w:val="none" w:sz="0" w:space="0" w:color="auto"/>
        <w:left w:val="none" w:sz="0" w:space="0" w:color="auto"/>
        <w:bottom w:val="none" w:sz="0" w:space="0" w:color="auto"/>
        <w:right w:val="none" w:sz="0" w:space="0" w:color="auto"/>
      </w:divBdr>
    </w:div>
    <w:div w:id="1302231775">
      <w:bodyDiv w:val="1"/>
      <w:marLeft w:val="0"/>
      <w:marRight w:val="0"/>
      <w:marTop w:val="0"/>
      <w:marBottom w:val="0"/>
      <w:divBdr>
        <w:top w:val="none" w:sz="0" w:space="0" w:color="auto"/>
        <w:left w:val="none" w:sz="0" w:space="0" w:color="auto"/>
        <w:bottom w:val="none" w:sz="0" w:space="0" w:color="auto"/>
        <w:right w:val="none" w:sz="0" w:space="0" w:color="auto"/>
      </w:divBdr>
    </w:div>
    <w:div w:id="1308784274">
      <w:bodyDiv w:val="1"/>
      <w:marLeft w:val="0"/>
      <w:marRight w:val="0"/>
      <w:marTop w:val="0"/>
      <w:marBottom w:val="0"/>
      <w:divBdr>
        <w:top w:val="none" w:sz="0" w:space="0" w:color="auto"/>
        <w:left w:val="none" w:sz="0" w:space="0" w:color="auto"/>
        <w:bottom w:val="none" w:sz="0" w:space="0" w:color="auto"/>
        <w:right w:val="none" w:sz="0" w:space="0" w:color="auto"/>
      </w:divBdr>
    </w:div>
    <w:div w:id="1310094251">
      <w:bodyDiv w:val="1"/>
      <w:marLeft w:val="0"/>
      <w:marRight w:val="0"/>
      <w:marTop w:val="0"/>
      <w:marBottom w:val="0"/>
      <w:divBdr>
        <w:top w:val="none" w:sz="0" w:space="0" w:color="auto"/>
        <w:left w:val="none" w:sz="0" w:space="0" w:color="auto"/>
        <w:bottom w:val="none" w:sz="0" w:space="0" w:color="auto"/>
        <w:right w:val="none" w:sz="0" w:space="0" w:color="auto"/>
      </w:divBdr>
    </w:div>
    <w:div w:id="1334332046">
      <w:bodyDiv w:val="1"/>
      <w:marLeft w:val="0"/>
      <w:marRight w:val="0"/>
      <w:marTop w:val="0"/>
      <w:marBottom w:val="0"/>
      <w:divBdr>
        <w:top w:val="none" w:sz="0" w:space="0" w:color="auto"/>
        <w:left w:val="none" w:sz="0" w:space="0" w:color="auto"/>
        <w:bottom w:val="none" w:sz="0" w:space="0" w:color="auto"/>
        <w:right w:val="none" w:sz="0" w:space="0" w:color="auto"/>
      </w:divBdr>
    </w:div>
    <w:div w:id="1399864485">
      <w:bodyDiv w:val="1"/>
      <w:marLeft w:val="0"/>
      <w:marRight w:val="0"/>
      <w:marTop w:val="0"/>
      <w:marBottom w:val="0"/>
      <w:divBdr>
        <w:top w:val="none" w:sz="0" w:space="0" w:color="auto"/>
        <w:left w:val="none" w:sz="0" w:space="0" w:color="auto"/>
        <w:bottom w:val="none" w:sz="0" w:space="0" w:color="auto"/>
        <w:right w:val="none" w:sz="0" w:space="0" w:color="auto"/>
      </w:divBdr>
    </w:div>
    <w:div w:id="1401635864">
      <w:bodyDiv w:val="1"/>
      <w:marLeft w:val="0"/>
      <w:marRight w:val="0"/>
      <w:marTop w:val="0"/>
      <w:marBottom w:val="0"/>
      <w:divBdr>
        <w:top w:val="none" w:sz="0" w:space="0" w:color="auto"/>
        <w:left w:val="none" w:sz="0" w:space="0" w:color="auto"/>
        <w:bottom w:val="none" w:sz="0" w:space="0" w:color="auto"/>
        <w:right w:val="none" w:sz="0" w:space="0" w:color="auto"/>
      </w:divBdr>
    </w:div>
    <w:div w:id="1407723948">
      <w:bodyDiv w:val="1"/>
      <w:marLeft w:val="0"/>
      <w:marRight w:val="0"/>
      <w:marTop w:val="0"/>
      <w:marBottom w:val="0"/>
      <w:divBdr>
        <w:top w:val="none" w:sz="0" w:space="0" w:color="auto"/>
        <w:left w:val="none" w:sz="0" w:space="0" w:color="auto"/>
        <w:bottom w:val="none" w:sz="0" w:space="0" w:color="auto"/>
        <w:right w:val="none" w:sz="0" w:space="0" w:color="auto"/>
      </w:divBdr>
    </w:div>
    <w:div w:id="1418400084">
      <w:bodyDiv w:val="1"/>
      <w:marLeft w:val="0"/>
      <w:marRight w:val="0"/>
      <w:marTop w:val="0"/>
      <w:marBottom w:val="0"/>
      <w:divBdr>
        <w:top w:val="none" w:sz="0" w:space="0" w:color="auto"/>
        <w:left w:val="none" w:sz="0" w:space="0" w:color="auto"/>
        <w:bottom w:val="none" w:sz="0" w:space="0" w:color="auto"/>
        <w:right w:val="none" w:sz="0" w:space="0" w:color="auto"/>
      </w:divBdr>
    </w:div>
    <w:div w:id="1426533764">
      <w:bodyDiv w:val="1"/>
      <w:marLeft w:val="0"/>
      <w:marRight w:val="0"/>
      <w:marTop w:val="0"/>
      <w:marBottom w:val="0"/>
      <w:divBdr>
        <w:top w:val="none" w:sz="0" w:space="0" w:color="auto"/>
        <w:left w:val="none" w:sz="0" w:space="0" w:color="auto"/>
        <w:bottom w:val="none" w:sz="0" w:space="0" w:color="auto"/>
        <w:right w:val="none" w:sz="0" w:space="0" w:color="auto"/>
      </w:divBdr>
    </w:div>
    <w:div w:id="1430933654">
      <w:bodyDiv w:val="1"/>
      <w:marLeft w:val="0"/>
      <w:marRight w:val="0"/>
      <w:marTop w:val="0"/>
      <w:marBottom w:val="0"/>
      <w:divBdr>
        <w:top w:val="none" w:sz="0" w:space="0" w:color="auto"/>
        <w:left w:val="none" w:sz="0" w:space="0" w:color="auto"/>
        <w:bottom w:val="none" w:sz="0" w:space="0" w:color="auto"/>
        <w:right w:val="none" w:sz="0" w:space="0" w:color="auto"/>
      </w:divBdr>
    </w:div>
    <w:div w:id="1523788697">
      <w:bodyDiv w:val="1"/>
      <w:marLeft w:val="0"/>
      <w:marRight w:val="0"/>
      <w:marTop w:val="0"/>
      <w:marBottom w:val="0"/>
      <w:divBdr>
        <w:top w:val="none" w:sz="0" w:space="0" w:color="auto"/>
        <w:left w:val="none" w:sz="0" w:space="0" w:color="auto"/>
        <w:bottom w:val="none" w:sz="0" w:space="0" w:color="auto"/>
        <w:right w:val="none" w:sz="0" w:space="0" w:color="auto"/>
      </w:divBdr>
    </w:div>
    <w:div w:id="1539007885">
      <w:bodyDiv w:val="1"/>
      <w:marLeft w:val="0"/>
      <w:marRight w:val="0"/>
      <w:marTop w:val="0"/>
      <w:marBottom w:val="0"/>
      <w:divBdr>
        <w:top w:val="none" w:sz="0" w:space="0" w:color="auto"/>
        <w:left w:val="none" w:sz="0" w:space="0" w:color="auto"/>
        <w:bottom w:val="none" w:sz="0" w:space="0" w:color="auto"/>
        <w:right w:val="none" w:sz="0" w:space="0" w:color="auto"/>
      </w:divBdr>
    </w:div>
    <w:div w:id="1541623747">
      <w:bodyDiv w:val="1"/>
      <w:marLeft w:val="0"/>
      <w:marRight w:val="0"/>
      <w:marTop w:val="0"/>
      <w:marBottom w:val="0"/>
      <w:divBdr>
        <w:top w:val="none" w:sz="0" w:space="0" w:color="auto"/>
        <w:left w:val="none" w:sz="0" w:space="0" w:color="auto"/>
        <w:bottom w:val="none" w:sz="0" w:space="0" w:color="auto"/>
        <w:right w:val="none" w:sz="0" w:space="0" w:color="auto"/>
      </w:divBdr>
    </w:div>
    <w:div w:id="1557818989">
      <w:bodyDiv w:val="1"/>
      <w:marLeft w:val="0"/>
      <w:marRight w:val="0"/>
      <w:marTop w:val="0"/>
      <w:marBottom w:val="0"/>
      <w:divBdr>
        <w:top w:val="none" w:sz="0" w:space="0" w:color="auto"/>
        <w:left w:val="none" w:sz="0" w:space="0" w:color="auto"/>
        <w:bottom w:val="none" w:sz="0" w:space="0" w:color="auto"/>
        <w:right w:val="none" w:sz="0" w:space="0" w:color="auto"/>
      </w:divBdr>
    </w:div>
    <w:div w:id="1587422465">
      <w:bodyDiv w:val="1"/>
      <w:marLeft w:val="0"/>
      <w:marRight w:val="0"/>
      <w:marTop w:val="0"/>
      <w:marBottom w:val="0"/>
      <w:divBdr>
        <w:top w:val="none" w:sz="0" w:space="0" w:color="auto"/>
        <w:left w:val="none" w:sz="0" w:space="0" w:color="auto"/>
        <w:bottom w:val="none" w:sz="0" w:space="0" w:color="auto"/>
        <w:right w:val="none" w:sz="0" w:space="0" w:color="auto"/>
      </w:divBdr>
    </w:div>
    <w:div w:id="1598177132">
      <w:bodyDiv w:val="1"/>
      <w:marLeft w:val="0"/>
      <w:marRight w:val="0"/>
      <w:marTop w:val="0"/>
      <w:marBottom w:val="0"/>
      <w:divBdr>
        <w:top w:val="none" w:sz="0" w:space="0" w:color="auto"/>
        <w:left w:val="none" w:sz="0" w:space="0" w:color="auto"/>
        <w:bottom w:val="none" w:sz="0" w:space="0" w:color="auto"/>
        <w:right w:val="none" w:sz="0" w:space="0" w:color="auto"/>
      </w:divBdr>
    </w:div>
    <w:div w:id="1639337351">
      <w:bodyDiv w:val="1"/>
      <w:marLeft w:val="0"/>
      <w:marRight w:val="0"/>
      <w:marTop w:val="0"/>
      <w:marBottom w:val="0"/>
      <w:divBdr>
        <w:top w:val="none" w:sz="0" w:space="0" w:color="auto"/>
        <w:left w:val="none" w:sz="0" w:space="0" w:color="auto"/>
        <w:bottom w:val="none" w:sz="0" w:space="0" w:color="auto"/>
        <w:right w:val="none" w:sz="0" w:space="0" w:color="auto"/>
      </w:divBdr>
    </w:div>
    <w:div w:id="1690375634">
      <w:bodyDiv w:val="1"/>
      <w:marLeft w:val="0"/>
      <w:marRight w:val="0"/>
      <w:marTop w:val="0"/>
      <w:marBottom w:val="0"/>
      <w:divBdr>
        <w:top w:val="none" w:sz="0" w:space="0" w:color="auto"/>
        <w:left w:val="none" w:sz="0" w:space="0" w:color="auto"/>
        <w:bottom w:val="none" w:sz="0" w:space="0" w:color="auto"/>
        <w:right w:val="none" w:sz="0" w:space="0" w:color="auto"/>
      </w:divBdr>
    </w:div>
    <w:div w:id="1732541013">
      <w:bodyDiv w:val="1"/>
      <w:marLeft w:val="0"/>
      <w:marRight w:val="0"/>
      <w:marTop w:val="0"/>
      <w:marBottom w:val="0"/>
      <w:divBdr>
        <w:top w:val="none" w:sz="0" w:space="0" w:color="auto"/>
        <w:left w:val="none" w:sz="0" w:space="0" w:color="auto"/>
        <w:bottom w:val="none" w:sz="0" w:space="0" w:color="auto"/>
        <w:right w:val="none" w:sz="0" w:space="0" w:color="auto"/>
      </w:divBdr>
      <w:divsChild>
        <w:div w:id="1309477984">
          <w:marLeft w:val="547"/>
          <w:marRight w:val="0"/>
          <w:marTop w:val="86"/>
          <w:marBottom w:val="0"/>
          <w:divBdr>
            <w:top w:val="none" w:sz="0" w:space="0" w:color="auto"/>
            <w:left w:val="none" w:sz="0" w:space="0" w:color="auto"/>
            <w:bottom w:val="none" w:sz="0" w:space="0" w:color="auto"/>
            <w:right w:val="none" w:sz="0" w:space="0" w:color="auto"/>
          </w:divBdr>
        </w:div>
        <w:div w:id="747383032">
          <w:marLeft w:val="547"/>
          <w:marRight w:val="0"/>
          <w:marTop w:val="86"/>
          <w:marBottom w:val="0"/>
          <w:divBdr>
            <w:top w:val="none" w:sz="0" w:space="0" w:color="auto"/>
            <w:left w:val="none" w:sz="0" w:space="0" w:color="auto"/>
            <w:bottom w:val="none" w:sz="0" w:space="0" w:color="auto"/>
            <w:right w:val="none" w:sz="0" w:space="0" w:color="auto"/>
          </w:divBdr>
        </w:div>
        <w:div w:id="1855997933">
          <w:marLeft w:val="1166"/>
          <w:marRight w:val="0"/>
          <w:marTop w:val="72"/>
          <w:marBottom w:val="0"/>
          <w:divBdr>
            <w:top w:val="none" w:sz="0" w:space="0" w:color="auto"/>
            <w:left w:val="none" w:sz="0" w:space="0" w:color="auto"/>
            <w:bottom w:val="none" w:sz="0" w:space="0" w:color="auto"/>
            <w:right w:val="none" w:sz="0" w:space="0" w:color="auto"/>
          </w:divBdr>
        </w:div>
        <w:div w:id="1370647952">
          <w:marLeft w:val="1166"/>
          <w:marRight w:val="0"/>
          <w:marTop w:val="72"/>
          <w:marBottom w:val="0"/>
          <w:divBdr>
            <w:top w:val="none" w:sz="0" w:space="0" w:color="auto"/>
            <w:left w:val="none" w:sz="0" w:space="0" w:color="auto"/>
            <w:bottom w:val="none" w:sz="0" w:space="0" w:color="auto"/>
            <w:right w:val="none" w:sz="0" w:space="0" w:color="auto"/>
          </w:divBdr>
        </w:div>
        <w:div w:id="1136488038">
          <w:marLeft w:val="1166"/>
          <w:marRight w:val="0"/>
          <w:marTop w:val="72"/>
          <w:marBottom w:val="0"/>
          <w:divBdr>
            <w:top w:val="none" w:sz="0" w:space="0" w:color="auto"/>
            <w:left w:val="none" w:sz="0" w:space="0" w:color="auto"/>
            <w:bottom w:val="none" w:sz="0" w:space="0" w:color="auto"/>
            <w:right w:val="none" w:sz="0" w:space="0" w:color="auto"/>
          </w:divBdr>
        </w:div>
        <w:div w:id="1427577868">
          <w:marLeft w:val="547"/>
          <w:marRight w:val="0"/>
          <w:marTop w:val="86"/>
          <w:marBottom w:val="0"/>
          <w:divBdr>
            <w:top w:val="none" w:sz="0" w:space="0" w:color="auto"/>
            <w:left w:val="none" w:sz="0" w:space="0" w:color="auto"/>
            <w:bottom w:val="none" w:sz="0" w:space="0" w:color="auto"/>
            <w:right w:val="none" w:sz="0" w:space="0" w:color="auto"/>
          </w:divBdr>
        </w:div>
        <w:div w:id="941960427">
          <w:marLeft w:val="1166"/>
          <w:marRight w:val="0"/>
          <w:marTop w:val="72"/>
          <w:marBottom w:val="0"/>
          <w:divBdr>
            <w:top w:val="none" w:sz="0" w:space="0" w:color="auto"/>
            <w:left w:val="none" w:sz="0" w:space="0" w:color="auto"/>
            <w:bottom w:val="none" w:sz="0" w:space="0" w:color="auto"/>
            <w:right w:val="none" w:sz="0" w:space="0" w:color="auto"/>
          </w:divBdr>
        </w:div>
        <w:div w:id="1907062734">
          <w:marLeft w:val="1166"/>
          <w:marRight w:val="0"/>
          <w:marTop w:val="72"/>
          <w:marBottom w:val="0"/>
          <w:divBdr>
            <w:top w:val="none" w:sz="0" w:space="0" w:color="auto"/>
            <w:left w:val="none" w:sz="0" w:space="0" w:color="auto"/>
            <w:bottom w:val="none" w:sz="0" w:space="0" w:color="auto"/>
            <w:right w:val="none" w:sz="0" w:space="0" w:color="auto"/>
          </w:divBdr>
        </w:div>
        <w:div w:id="607200833">
          <w:marLeft w:val="1166"/>
          <w:marRight w:val="0"/>
          <w:marTop w:val="72"/>
          <w:marBottom w:val="0"/>
          <w:divBdr>
            <w:top w:val="none" w:sz="0" w:space="0" w:color="auto"/>
            <w:left w:val="none" w:sz="0" w:space="0" w:color="auto"/>
            <w:bottom w:val="none" w:sz="0" w:space="0" w:color="auto"/>
            <w:right w:val="none" w:sz="0" w:space="0" w:color="auto"/>
          </w:divBdr>
        </w:div>
        <w:div w:id="1691565817">
          <w:marLeft w:val="547"/>
          <w:marRight w:val="0"/>
          <w:marTop w:val="86"/>
          <w:marBottom w:val="0"/>
          <w:divBdr>
            <w:top w:val="none" w:sz="0" w:space="0" w:color="auto"/>
            <w:left w:val="none" w:sz="0" w:space="0" w:color="auto"/>
            <w:bottom w:val="none" w:sz="0" w:space="0" w:color="auto"/>
            <w:right w:val="none" w:sz="0" w:space="0" w:color="auto"/>
          </w:divBdr>
        </w:div>
        <w:div w:id="1116366731">
          <w:marLeft w:val="1166"/>
          <w:marRight w:val="0"/>
          <w:marTop w:val="72"/>
          <w:marBottom w:val="0"/>
          <w:divBdr>
            <w:top w:val="none" w:sz="0" w:space="0" w:color="auto"/>
            <w:left w:val="none" w:sz="0" w:space="0" w:color="auto"/>
            <w:bottom w:val="none" w:sz="0" w:space="0" w:color="auto"/>
            <w:right w:val="none" w:sz="0" w:space="0" w:color="auto"/>
          </w:divBdr>
        </w:div>
        <w:div w:id="506409602">
          <w:marLeft w:val="1166"/>
          <w:marRight w:val="0"/>
          <w:marTop w:val="72"/>
          <w:marBottom w:val="0"/>
          <w:divBdr>
            <w:top w:val="none" w:sz="0" w:space="0" w:color="auto"/>
            <w:left w:val="none" w:sz="0" w:space="0" w:color="auto"/>
            <w:bottom w:val="none" w:sz="0" w:space="0" w:color="auto"/>
            <w:right w:val="none" w:sz="0" w:space="0" w:color="auto"/>
          </w:divBdr>
        </w:div>
        <w:div w:id="1889605440">
          <w:marLeft w:val="1166"/>
          <w:marRight w:val="0"/>
          <w:marTop w:val="72"/>
          <w:marBottom w:val="0"/>
          <w:divBdr>
            <w:top w:val="none" w:sz="0" w:space="0" w:color="auto"/>
            <w:left w:val="none" w:sz="0" w:space="0" w:color="auto"/>
            <w:bottom w:val="none" w:sz="0" w:space="0" w:color="auto"/>
            <w:right w:val="none" w:sz="0" w:space="0" w:color="auto"/>
          </w:divBdr>
        </w:div>
        <w:div w:id="1231967709">
          <w:marLeft w:val="1166"/>
          <w:marRight w:val="0"/>
          <w:marTop w:val="72"/>
          <w:marBottom w:val="0"/>
          <w:divBdr>
            <w:top w:val="none" w:sz="0" w:space="0" w:color="auto"/>
            <w:left w:val="none" w:sz="0" w:space="0" w:color="auto"/>
            <w:bottom w:val="none" w:sz="0" w:space="0" w:color="auto"/>
            <w:right w:val="none" w:sz="0" w:space="0" w:color="auto"/>
          </w:divBdr>
        </w:div>
        <w:div w:id="418140478">
          <w:marLeft w:val="547"/>
          <w:marRight w:val="0"/>
          <w:marTop w:val="86"/>
          <w:marBottom w:val="0"/>
          <w:divBdr>
            <w:top w:val="none" w:sz="0" w:space="0" w:color="auto"/>
            <w:left w:val="none" w:sz="0" w:space="0" w:color="auto"/>
            <w:bottom w:val="none" w:sz="0" w:space="0" w:color="auto"/>
            <w:right w:val="none" w:sz="0" w:space="0" w:color="auto"/>
          </w:divBdr>
        </w:div>
      </w:divsChild>
    </w:div>
    <w:div w:id="1790129719">
      <w:bodyDiv w:val="1"/>
      <w:marLeft w:val="0"/>
      <w:marRight w:val="0"/>
      <w:marTop w:val="0"/>
      <w:marBottom w:val="0"/>
      <w:divBdr>
        <w:top w:val="none" w:sz="0" w:space="0" w:color="auto"/>
        <w:left w:val="none" w:sz="0" w:space="0" w:color="auto"/>
        <w:bottom w:val="none" w:sz="0" w:space="0" w:color="auto"/>
        <w:right w:val="none" w:sz="0" w:space="0" w:color="auto"/>
      </w:divBdr>
    </w:div>
    <w:div w:id="1814105862">
      <w:bodyDiv w:val="1"/>
      <w:marLeft w:val="0"/>
      <w:marRight w:val="0"/>
      <w:marTop w:val="0"/>
      <w:marBottom w:val="0"/>
      <w:divBdr>
        <w:top w:val="none" w:sz="0" w:space="0" w:color="auto"/>
        <w:left w:val="none" w:sz="0" w:space="0" w:color="auto"/>
        <w:bottom w:val="none" w:sz="0" w:space="0" w:color="auto"/>
        <w:right w:val="none" w:sz="0" w:space="0" w:color="auto"/>
      </w:divBdr>
    </w:div>
    <w:div w:id="1830362023">
      <w:bodyDiv w:val="1"/>
      <w:marLeft w:val="0"/>
      <w:marRight w:val="0"/>
      <w:marTop w:val="0"/>
      <w:marBottom w:val="0"/>
      <w:divBdr>
        <w:top w:val="none" w:sz="0" w:space="0" w:color="auto"/>
        <w:left w:val="none" w:sz="0" w:space="0" w:color="auto"/>
        <w:bottom w:val="none" w:sz="0" w:space="0" w:color="auto"/>
        <w:right w:val="none" w:sz="0" w:space="0" w:color="auto"/>
      </w:divBdr>
    </w:div>
    <w:div w:id="1848597075">
      <w:bodyDiv w:val="1"/>
      <w:marLeft w:val="0"/>
      <w:marRight w:val="0"/>
      <w:marTop w:val="0"/>
      <w:marBottom w:val="0"/>
      <w:divBdr>
        <w:top w:val="none" w:sz="0" w:space="0" w:color="auto"/>
        <w:left w:val="none" w:sz="0" w:space="0" w:color="auto"/>
        <w:bottom w:val="none" w:sz="0" w:space="0" w:color="auto"/>
        <w:right w:val="none" w:sz="0" w:space="0" w:color="auto"/>
      </w:divBdr>
    </w:div>
    <w:div w:id="1866795747">
      <w:bodyDiv w:val="1"/>
      <w:marLeft w:val="0"/>
      <w:marRight w:val="0"/>
      <w:marTop w:val="0"/>
      <w:marBottom w:val="0"/>
      <w:divBdr>
        <w:top w:val="none" w:sz="0" w:space="0" w:color="auto"/>
        <w:left w:val="none" w:sz="0" w:space="0" w:color="auto"/>
        <w:bottom w:val="none" w:sz="0" w:space="0" w:color="auto"/>
        <w:right w:val="none" w:sz="0" w:space="0" w:color="auto"/>
      </w:divBdr>
    </w:div>
    <w:div w:id="1889607666">
      <w:bodyDiv w:val="1"/>
      <w:marLeft w:val="0"/>
      <w:marRight w:val="0"/>
      <w:marTop w:val="0"/>
      <w:marBottom w:val="0"/>
      <w:divBdr>
        <w:top w:val="none" w:sz="0" w:space="0" w:color="auto"/>
        <w:left w:val="none" w:sz="0" w:space="0" w:color="auto"/>
        <w:bottom w:val="none" w:sz="0" w:space="0" w:color="auto"/>
        <w:right w:val="none" w:sz="0" w:space="0" w:color="auto"/>
      </w:divBdr>
    </w:div>
    <w:div w:id="1892034643">
      <w:bodyDiv w:val="1"/>
      <w:marLeft w:val="0"/>
      <w:marRight w:val="0"/>
      <w:marTop w:val="0"/>
      <w:marBottom w:val="0"/>
      <w:divBdr>
        <w:top w:val="none" w:sz="0" w:space="0" w:color="auto"/>
        <w:left w:val="none" w:sz="0" w:space="0" w:color="auto"/>
        <w:bottom w:val="none" w:sz="0" w:space="0" w:color="auto"/>
        <w:right w:val="none" w:sz="0" w:space="0" w:color="auto"/>
      </w:divBdr>
    </w:div>
    <w:div w:id="1916091934">
      <w:bodyDiv w:val="1"/>
      <w:marLeft w:val="0"/>
      <w:marRight w:val="0"/>
      <w:marTop w:val="0"/>
      <w:marBottom w:val="0"/>
      <w:divBdr>
        <w:top w:val="none" w:sz="0" w:space="0" w:color="auto"/>
        <w:left w:val="none" w:sz="0" w:space="0" w:color="auto"/>
        <w:bottom w:val="none" w:sz="0" w:space="0" w:color="auto"/>
        <w:right w:val="none" w:sz="0" w:space="0" w:color="auto"/>
      </w:divBdr>
    </w:div>
    <w:div w:id="1953511266">
      <w:bodyDiv w:val="1"/>
      <w:marLeft w:val="0"/>
      <w:marRight w:val="0"/>
      <w:marTop w:val="0"/>
      <w:marBottom w:val="0"/>
      <w:divBdr>
        <w:top w:val="none" w:sz="0" w:space="0" w:color="auto"/>
        <w:left w:val="none" w:sz="0" w:space="0" w:color="auto"/>
        <w:bottom w:val="none" w:sz="0" w:space="0" w:color="auto"/>
        <w:right w:val="none" w:sz="0" w:space="0" w:color="auto"/>
      </w:divBdr>
    </w:div>
    <w:div w:id="1990862358">
      <w:bodyDiv w:val="1"/>
      <w:marLeft w:val="0"/>
      <w:marRight w:val="0"/>
      <w:marTop w:val="0"/>
      <w:marBottom w:val="0"/>
      <w:divBdr>
        <w:top w:val="none" w:sz="0" w:space="0" w:color="auto"/>
        <w:left w:val="none" w:sz="0" w:space="0" w:color="auto"/>
        <w:bottom w:val="none" w:sz="0" w:space="0" w:color="auto"/>
        <w:right w:val="none" w:sz="0" w:space="0" w:color="auto"/>
      </w:divBdr>
    </w:div>
    <w:div w:id="2059161118">
      <w:bodyDiv w:val="1"/>
      <w:marLeft w:val="0"/>
      <w:marRight w:val="0"/>
      <w:marTop w:val="0"/>
      <w:marBottom w:val="0"/>
      <w:divBdr>
        <w:top w:val="none" w:sz="0" w:space="0" w:color="auto"/>
        <w:left w:val="none" w:sz="0" w:space="0" w:color="auto"/>
        <w:bottom w:val="none" w:sz="0" w:space="0" w:color="auto"/>
        <w:right w:val="none" w:sz="0" w:space="0" w:color="auto"/>
      </w:divBdr>
    </w:div>
    <w:div w:id="2114084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chart" Target="charts/chart2.xml"/><Relationship Id="rId26" Type="http://schemas.openxmlformats.org/officeDocument/2006/relationships/header" Target="header5.xml"/><Relationship Id="rId3" Type="http://schemas.openxmlformats.org/officeDocument/2006/relationships/styles" Target="styles.xml"/><Relationship Id="rId21" Type="http://schemas.openxmlformats.org/officeDocument/2006/relationships/chart" Target="charts/chart5.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chart" Target="charts/chart1.xml"/><Relationship Id="rId25" Type="http://schemas.openxmlformats.org/officeDocument/2006/relationships/image" Target="media/image5.emf"/><Relationship Id="rId2" Type="http://schemas.openxmlformats.org/officeDocument/2006/relationships/numbering" Target="numbering.xml"/><Relationship Id="rId16" Type="http://schemas.openxmlformats.org/officeDocument/2006/relationships/image" Target="media/image1.emf"/><Relationship Id="rId20" Type="http://schemas.openxmlformats.org/officeDocument/2006/relationships/chart" Target="charts/chart4.xml"/><Relationship Id="rId29" Type="http://schemas.openxmlformats.org/officeDocument/2006/relationships/image" Target="media/image7.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copyright@health.gov.au" TargetMode="External"/><Relationship Id="rId24" Type="http://schemas.openxmlformats.org/officeDocument/2006/relationships/image" Target="media/image4.emf"/><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image" Target="media/image3.png"/><Relationship Id="rId28" Type="http://schemas.openxmlformats.org/officeDocument/2006/relationships/image" Target="media/image6.emf"/><Relationship Id="rId10" Type="http://schemas.openxmlformats.org/officeDocument/2006/relationships/header" Target="header1.xml"/><Relationship Id="rId19" Type="http://schemas.openxmlformats.org/officeDocument/2006/relationships/chart" Target="charts/chart3.xml"/><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2.xml"/><Relationship Id="rId22" Type="http://schemas.openxmlformats.org/officeDocument/2006/relationships/image" Target="media/image2.png"/><Relationship Id="rId27" Type="http://schemas.openxmlformats.org/officeDocument/2006/relationships/header" Target="header6.xml"/><Relationship Id="rId30" Type="http://schemas.openxmlformats.org/officeDocument/2006/relationships/image" Target="media/image8.emf"/></Relationships>
</file>

<file path=word/_rels/footnotes.xml.rels><?xml version="1.0" encoding="UTF-8" standalone="yes"?>
<Relationships xmlns="http://schemas.openxmlformats.org/package/2006/relationships"><Relationship Id="rId3" Type="http://schemas.openxmlformats.org/officeDocument/2006/relationships/hyperlink" Target="http://highereducationstatistics.education.gov.au/Help.aspx" TargetMode="External"/><Relationship Id="rId2" Type="http://schemas.openxmlformats.org/officeDocument/2006/relationships/hyperlink" Target="http://highereducationstatistics.education.gov.au/Help.aspx" TargetMode="External"/><Relationship Id="rId1" Type="http://schemas.openxmlformats.org/officeDocument/2006/relationships/hyperlink" Target="http://highereducationstatistics.education.gov.au/Help.aspx" TargetMode="External"/></Relationships>
</file>

<file path=word/charts/_rels/chart1.xml.rels><?xml version="1.0" encoding="UTF-8" standalone="yes"?>
<Relationships xmlns="http://schemas.openxmlformats.org/package/2006/relationships"><Relationship Id="rId2" Type="http://schemas.openxmlformats.org/officeDocument/2006/relationships/oleObject" Target="file:///\\hwa.local\DFS\Group\Information%20Analysis%20&amp;%20Planning\HW2025%20Nursing%20Update\Report%20write%20up\Nursing%20profile_all%20graphs.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hwa.local\DFS\Group\Information%20Analysis%20&amp;%20Planning\HW2025%20Nursing%20Update\Data\Report%20graphs\all%20grahps.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hwa.local\DFS\Group\Information%20Analysis%20&amp;%20Planning\HW2025%20Nursing%20Update\Report%20write%20up\Nursing%20profile_all%20graphs.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hwa.local\DFS\Group\Information%20Analysis%20&amp;%20Planning\HW2025%20Nursing%20Update\Report%20write%20up\Nursing%20profile_all%20graphs.xlsx" TargetMode="External"/></Relationships>
</file>

<file path=word/charts/_rels/chart5.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3"/>
    </mc:Choice>
    <mc:Fallback>
      <c:style val="3"/>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invertIfNegative val="0"/>
          <c:dPt>
            <c:idx val="19"/>
            <c:invertIfNegative val="0"/>
            <c:bubble3D val="0"/>
            <c:spPr>
              <a:solidFill>
                <a:schemeClr val="accent2"/>
              </a:solidFill>
            </c:spPr>
          </c:dPt>
          <c:dPt>
            <c:idx val="22"/>
            <c:invertIfNegative val="0"/>
            <c:bubble3D val="0"/>
          </c:dPt>
          <c:cat>
            <c:strRef>
              <c:f>'Figure 2'!$G$4:$G$35</c:f>
              <c:strCache>
                <c:ptCount val="32"/>
                <c:pt idx="0">
                  <c:v>Mexico (a)</c:v>
                </c:pt>
                <c:pt idx="1">
                  <c:v>Greece (b)</c:v>
                </c:pt>
                <c:pt idx="2">
                  <c:v>Korea (a)</c:v>
                </c:pt>
                <c:pt idx="3">
                  <c:v>Israel (a)</c:v>
                </c:pt>
                <c:pt idx="4">
                  <c:v>Poland (a)</c:v>
                </c:pt>
                <c:pt idx="5">
                  <c:v>Spain (a)</c:v>
                </c:pt>
                <c:pt idx="6">
                  <c:v>Slovak Republic (b)</c:v>
                </c:pt>
                <c:pt idx="7">
                  <c:v>Portugal (b)</c:v>
                </c:pt>
                <c:pt idx="8">
                  <c:v>Estonia (a)</c:v>
                </c:pt>
                <c:pt idx="9">
                  <c:v>Hungary (a)</c:v>
                </c:pt>
                <c:pt idx="10">
                  <c:v>Italy (c)</c:v>
                </c:pt>
                <c:pt idx="11">
                  <c:v>Austria (a)</c:v>
                </c:pt>
                <c:pt idx="12">
                  <c:v>Czech Republic (a)</c:v>
                </c:pt>
                <c:pt idx="13">
                  <c:v>Slovenia (a)</c:v>
                </c:pt>
                <c:pt idx="14">
                  <c:v>United Kingdom (a)</c:v>
                </c:pt>
                <c:pt idx="15">
                  <c:v>France (b)</c:v>
                </c:pt>
                <c:pt idx="16">
                  <c:v>Canada (a)</c:v>
                </c:pt>
                <c:pt idx="17">
                  <c:v>Japan (a)</c:v>
                </c:pt>
                <c:pt idx="18">
                  <c:v>New Zealand (a)</c:v>
                </c:pt>
                <c:pt idx="19">
                  <c:v>Australia (a)</c:v>
                </c:pt>
                <c:pt idx="20">
                  <c:v>Finland (a)</c:v>
                </c:pt>
                <c:pt idx="21">
                  <c:v>Sweden (a)</c:v>
                </c:pt>
                <c:pt idx="22">
                  <c:v>United States (b)</c:v>
                </c:pt>
                <c:pt idx="23">
                  <c:v>Luxembourg (a)</c:v>
                </c:pt>
                <c:pt idx="24">
                  <c:v>Germany (a)</c:v>
                </c:pt>
                <c:pt idx="25">
                  <c:v>Netherlands (a)</c:v>
                </c:pt>
                <c:pt idx="26">
                  <c:v>Ireland (b)</c:v>
                </c:pt>
                <c:pt idx="27">
                  <c:v>Norway (a)</c:v>
                </c:pt>
                <c:pt idx="28">
                  <c:v>Iceland (a)</c:v>
                </c:pt>
                <c:pt idx="29">
                  <c:v>Belgium (c)</c:v>
                </c:pt>
                <c:pt idx="30">
                  <c:v>Denmark (a)</c:v>
                </c:pt>
                <c:pt idx="31">
                  <c:v>Switzerland (a)</c:v>
                </c:pt>
              </c:strCache>
            </c:strRef>
          </c:cat>
          <c:val>
            <c:numRef>
              <c:f>'Figure 2'!$H$4:$H$35</c:f>
              <c:numCache>
                <c:formatCode>0.0"                       "</c:formatCode>
                <c:ptCount val="32"/>
                <c:pt idx="0">
                  <c:v>2.7</c:v>
                </c:pt>
                <c:pt idx="1">
                  <c:v>3.3</c:v>
                </c:pt>
                <c:pt idx="2">
                  <c:v>4.7</c:v>
                </c:pt>
                <c:pt idx="3">
                  <c:v>4.8</c:v>
                </c:pt>
                <c:pt idx="4">
                  <c:v>5.2</c:v>
                </c:pt>
                <c:pt idx="5">
                  <c:v>5.5</c:v>
                </c:pt>
                <c:pt idx="6">
                  <c:v>5.9</c:v>
                </c:pt>
                <c:pt idx="7">
                  <c:v>6.1</c:v>
                </c:pt>
                <c:pt idx="8">
                  <c:v>6.2</c:v>
                </c:pt>
                <c:pt idx="9">
                  <c:v>6.2</c:v>
                </c:pt>
                <c:pt idx="10">
                  <c:v>6.3</c:v>
                </c:pt>
                <c:pt idx="11">
                  <c:v>7.8</c:v>
                </c:pt>
                <c:pt idx="12">
                  <c:v>8</c:v>
                </c:pt>
                <c:pt idx="13">
                  <c:v>8.3000000000000007</c:v>
                </c:pt>
                <c:pt idx="14">
                  <c:v>8.6</c:v>
                </c:pt>
                <c:pt idx="15">
                  <c:v>8.7000000000000011</c:v>
                </c:pt>
                <c:pt idx="16">
                  <c:v>9.3000000000000007</c:v>
                </c:pt>
                <c:pt idx="17">
                  <c:v>10</c:v>
                </c:pt>
                <c:pt idx="18">
                  <c:v>10</c:v>
                </c:pt>
                <c:pt idx="19">
                  <c:v>10.1</c:v>
                </c:pt>
                <c:pt idx="20">
                  <c:v>10.3</c:v>
                </c:pt>
                <c:pt idx="21">
                  <c:v>11.1</c:v>
                </c:pt>
                <c:pt idx="22">
                  <c:v>11.1</c:v>
                </c:pt>
                <c:pt idx="23">
                  <c:v>11.3</c:v>
                </c:pt>
                <c:pt idx="24">
                  <c:v>11.4</c:v>
                </c:pt>
                <c:pt idx="25">
                  <c:v>11.8</c:v>
                </c:pt>
                <c:pt idx="26">
                  <c:v>12.2</c:v>
                </c:pt>
                <c:pt idx="27">
                  <c:v>12.9</c:v>
                </c:pt>
                <c:pt idx="28">
                  <c:v>14.8</c:v>
                </c:pt>
                <c:pt idx="29">
                  <c:v>15.4</c:v>
                </c:pt>
                <c:pt idx="30">
                  <c:v>15.4</c:v>
                </c:pt>
                <c:pt idx="31">
                  <c:v>16.600000000000001</c:v>
                </c:pt>
              </c:numCache>
            </c:numRef>
          </c:val>
        </c:ser>
        <c:dLbls>
          <c:showLegendKey val="0"/>
          <c:showVal val="0"/>
          <c:showCatName val="0"/>
          <c:showSerName val="0"/>
          <c:showPercent val="0"/>
          <c:showBubbleSize val="0"/>
        </c:dLbls>
        <c:gapWidth val="150"/>
        <c:axId val="98208000"/>
        <c:axId val="100073472"/>
      </c:barChart>
      <c:catAx>
        <c:axId val="98208000"/>
        <c:scaling>
          <c:orientation val="minMax"/>
        </c:scaling>
        <c:delete val="0"/>
        <c:axPos val="l"/>
        <c:majorTickMark val="out"/>
        <c:minorTickMark val="none"/>
        <c:tickLblPos val="nextTo"/>
        <c:txPr>
          <a:bodyPr/>
          <a:lstStyle/>
          <a:p>
            <a:pPr>
              <a:defRPr>
                <a:latin typeface="Avenir LT Std 35 Light" pitchFamily="34" charset="0"/>
              </a:defRPr>
            </a:pPr>
            <a:endParaRPr lang="en-US"/>
          </a:p>
        </c:txPr>
        <c:crossAx val="100073472"/>
        <c:crosses val="autoZero"/>
        <c:auto val="1"/>
        <c:lblAlgn val="ctr"/>
        <c:lblOffset val="100"/>
        <c:noMultiLvlLbl val="0"/>
      </c:catAx>
      <c:valAx>
        <c:axId val="100073472"/>
        <c:scaling>
          <c:orientation val="minMax"/>
        </c:scaling>
        <c:delete val="0"/>
        <c:axPos val="b"/>
        <c:majorGridlines/>
        <c:numFmt formatCode="0" sourceLinked="0"/>
        <c:majorTickMark val="out"/>
        <c:minorTickMark val="none"/>
        <c:tickLblPos val="nextTo"/>
        <c:crossAx val="98208000"/>
        <c:crosses val="autoZero"/>
        <c:crossBetween val="between"/>
      </c:valAx>
    </c:plotArea>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7"/>
    </mc:Choice>
    <mc:Fallback>
      <c:style val="7"/>
    </mc:Fallback>
  </mc:AlternateContent>
  <c:chart>
    <c:autoTitleDeleted val="0"/>
    <c:plotArea>
      <c:layout/>
      <c:lineChart>
        <c:grouping val="standard"/>
        <c:varyColors val="0"/>
        <c:ser>
          <c:idx val="1"/>
          <c:order val="0"/>
          <c:tx>
            <c:strRef>
              <c:f>'Figure 3'!$E$2</c:f>
              <c:strCache>
                <c:ptCount val="1"/>
                <c:pt idx="0">
                  <c:v>Enrolled nurses</c:v>
                </c:pt>
              </c:strCache>
            </c:strRef>
          </c:tx>
          <c:spPr>
            <a:ln>
              <a:solidFill>
                <a:srgbClr val="0070C0"/>
              </a:solidFill>
              <a:prstDash val="sysDot"/>
            </a:ln>
          </c:spPr>
          <c:marker>
            <c:symbol val="none"/>
          </c:marker>
          <c:cat>
            <c:numRef>
              <c:f>'Figure 3'!$D$8:$D$10</c:f>
              <c:numCache>
                <c:formatCode>General</c:formatCode>
                <c:ptCount val="3"/>
                <c:pt idx="0">
                  <c:v>2009</c:v>
                </c:pt>
                <c:pt idx="1">
                  <c:v>2011</c:v>
                </c:pt>
                <c:pt idx="2">
                  <c:v>2012</c:v>
                </c:pt>
              </c:numCache>
            </c:numRef>
          </c:cat>
          <c:val>
            <c:numRef>
              <c:f>'Figure 3'!$E$8:$E$10</c:f>
              <c:numCache>
                <c:formatCode>#,##0</c:formatCode>
                <c:ptCount val="3"/>
                <c:pt idx="0">
                  <c:v>60860.76</c:v>
                </c:pt>
                <c:pt idx="1">
                  <c:v>59934</c:v>
                </c:pt>
                <c:pt idx="2">
                  <c:v>58400</c:v>
                </c:pt>
              </c:numCache>
            </c:numRef>
          </c:val>
          <c:smooth val="0"/>
        </c:ser>
        <c:ser>
          <c:idx val="0"/>
          <c:order val="1"/>
          <c:tx>
            <c:strRef>
              <c:f>'Figure 3'!$F$2</c:f>
              <c:strCache>
                <c:ptCount val="1"/>
                <c:pt idx="0">
                  <c:v>Registered nurses</c:v>
                </c:pt>
              </c:strCache>
            </c:strRef>
          </c:tx>
          <c:spPr>
            <a:ln>
              <a:solidFill>
                <a:srgbClr val="0070C0"/>
              </a:solidFill>
              <a:prstDash val="dash"/>
            </a:ln>
          </c:spPr>
          <c:marker>
            <c:symbol val="none"/>
          </c:marker>
          <c:cat>
            <c:numRef>
              <c:f>'Figure 3'!$D$8:$D$10</c:f>
              <c:numCache>
                <c:formatCode>General</c:formatCode>
                <c:ptCount val="3"/>
                <c:pt idx="0">
                  <c:v>2009</c:v>
                </c:pt>
                <c:pt idx="1">
                  <c:v>2011</c:v>
                </c:pt>
                <c:pt idx="2">
                  <c:v>2012</c:v>
                </c:pt>
              </c:numCache>
            </c:numRef>
          </c:cat>
          <c:val>
            <c:numRef>
              <c:f>'Figure 3'!$F$8:$F$10</c:f>
              <c:numCache>
                <c:formatCode>#,##0</c:formatCode>
                <c:ptCount val="3"/>
                <c:pt idx="0">
                  <c:v>260120.89</c:v>
                </c:pt>
                <c:pt idx="1">
                  <c:v>268883</c:v>
                </c:pt>
                <c:pt idx="2">
                  <c:v>273404</c:v>
                </c:pt>
              </c:numCache>
            </c:numRef>
          </c:val>
          <c:smooth val="0"/>
        </c:ser>
        <c:ser>
          <c:idx val="2"/>
          <c:order val="2"/>
          <c:tx>
            <c:strRef>
              <c:f>'Figure 3'!$G$2</c:f>
              <c:strCache>
                <c:ptCount val="1"/>
                <c:pt idx="0">
                  <c:v>All nurses </c:v>
                </c:pt>
              </c:strCache>
            </c:strRef>
          </c:tx>
          <c:spPr>
            <a:ln>
              <a:solidFill>
                <a:srgbClr val="0070C0"/>
              </a:solidFill>
              <a:prstDash val="solid"/>
            </a:ln>
          </c:spPr>
          <c:marker>
            <c:symbol val="none"/>
          </c:marker>
          <c:cat>
            <c:numRef>
              <c:f>'Figure 3'!$D$8:$D$10</c:f>
              <c:numCache>
                <c:formatCode>General</c:formatCode>
                <c:ptCount val="3"/>
                <c:pt idx="0">
                  <c:v>2009</c:v>
                </c:pt>
                <c:pt idx="1">
                  <c:v>2011</c:v>
                </c:pt>
                <c:pt idx="2">
                  <c:v>2012</c:v>
                </c:pt>
              </c:numCache>
            </c:numRef>
          </c:cat>
          <c:val>
            <c:numRef>
              <c:f>'Figure 3'!$G$8:$G$10</c:f>
              <c:numCache>
                <c:formatCode>#,##0</c:formatCode>
                <c:ptCount val="3"/>
                <c:pt idx="0">
                  <c:v>320981.65000000002</c:v>
                </c:pt>
                <c:pt idx="1">
                  <c:v>328817</c:v>
                </c:pt>
                <c:pt idx="2">
                  <c:v>331804</c:v>
                </c:pt>
              </c:numCache>
            </c:numRef>
          </c:val>
          <c:smooth val="0"/>
        </c:ser>
        <c:dLbls>
          <c:showLegendKey val="0"/>
          <c:showVal val="0"/>
          <c:showCatName val="0"/>
          <c:showSerName val="0"/>
          <c:showPercent val="0"/>
          <c:showBubbleSize val="0"/>
        </c:dLbls>
        <c:marker val="1"/>
        <c:smooth val="0"/>
        <c:axId val="100098432"/>
        <c:axId val="100100352"/>
      </c:lineChart>
      <c:catAx>
        <c:axId val="100098432"/>
        <c:scaling>
          <c:orientation val="minMax"/>
        </c:scaling>
        <c:delete val="0"/>
        <c:axPos val="b"/>
        <c:title>
          <c:tx>
            <c:rich>
              <a:bodyPr/>
              <a:lstStyle/>
              <a:p>
                <a:pPr>
                  <a:defRPr/>
                </a:pPr>
                <a:r>
                  <a:rPr lang="en-AU"/>
                  <a:t>2011</a:t>
                </a:r>
              </a:p>
            </c:rich>
          </c:tx>
          <c:overlay val="0"/>
        </c:title>
        <c:numFmt formatCode="yyyy" sourceLinked="0"/>
        <c:majorTickMark val="out"/>
        <c:minorTickMark val="none"/>
        <c:tickLblPos val="none"/>
        <c:crossAx val="100100352"/>
        <c:crosses val="autoZero"/>
        <c:auto val="0"/>
        <c:lblAlgn val="ctr"/>
        <c:lblOffset val="100"/>
        <c:tickLblSkip val="1"/>
        <c:noMultiLvlLbl val="0"/>
      </c:catAx>
      <c:valAx>
        <c:axId val="100100352"/>
        <c:scaling>
          <c:orientation val="minMax"/>
        </c:scaling>
        <c:delete val="0"/>
        <c:axPos val="l"/>
        <c:majorGridlines/>
        <c:title>
          <c:tx>
            <c:rich>
              <a:bodyPr rot="-5400000" vert="horz"/>
              <a:lstStyle/>
              <a:p>
                <a:pPr>
                  <a:defRPr/>
                </a:pPr>
                <a:r>
                  <a:rPr lang="en-US"/>
                  <a:t>Number</a:t>
                </a:r>
              </a:p>
            </c:rich>
          </c:tx>
          <c:layout>
            <c:manualLayout>
              <c:xMode val="edge"/>
              <c:yMode val="edge"/>
              <c:x val="1.94444444444444E-2"/>
              <c:y val="0.31927748614756501"/>
            </c:manualLayout>
          </c:layout>
          <c:overlay val="0"/>
        </c:title>
        <c:numFmt formatCode="#,##0" sourceLinked="0"/>
        <c:majorTickMark val="out"/>
        <c:minorTickMark val="none"/>
        <c:tickLblPos val="nextTo"/>
        <c:crossAx val="100098432"/>
        <c:crosses val="autoZero"/>
        <c:crossBetween val="between"/>
      </c:valAx>
    </c:plotArea>
    <c:legend>
      <c:legendPos val="t"/>
      <c:overlay val="0"/>
    </c:legend>
    <c:plotVisOnly val="1"/>
    <c:dispBlanksAs val="gap"/>
    <c:showDLblsOverMax val="0"/>
  </c:chart>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0"/>
    <c:plotArea>
      <c:layout/>
      <c:barChart>
        <c:barDir val="col"/>
        <c:grouping val="stacked"/>
        <c:varyColors val="0"/>
        <c:ser>
          <c:idx val="0"/>
          <c:order val="0"/>
          <c:tx>
            <c:strRef>
              <c:f>'Figure 27'!$A$9</c:f>
              <c:strCache>
                <c:ptCount val="1"/>
                <c:pt idx="0">
                  <c:v>Domestic</c:v>
                </c:pt>
              </c:strCache>
            </c:strRef>
          </c:tx>
          <c:invertIfNegative val="0"/>
          <c:dLbls>
            <c:numFmt formatCode="#,##0" sourceLinked="0"/>
            <c:txPr>
              <a:bodyPr/>
              <a:lstStyle/>
              <a:p>
                <a:pPr>
                  <a:defRPr sz="800">
                    <a:solidFill>
                      <a:schemeClr val="bg1"/>
                    </a:solidFill>
                    <a:latin typeface="Avenir LT Std 35 Light" pitchFamily="34" charset="0"/>
                  </a:defRPr>
                </a:pPr>
                <a:endParaRPr lang="en-US"/>
              </a:p>
            </c:txPr>
            <c:showLegendKey val="0"/>
            <c:showVal val="1"/>
            <c:showCatName val="0"/>
            <c:showSerName val="0"/>
            <c:showPercent val="0"/>
            <c:showBubbleSize val="0"/>
            <c:showLeaderLines val="0"/>
          </c:dLbls>
          <c:cat>
            <c:numRef>
              <c:f>'Figure 27'!$B$8:$E$8</c:f>
              <c:numCache>
                <c:formatCode>General</c:formatCode>
                <c:ptCount val="4"/>
                <c:pt idx="0">
                  <c:v>2009</c:v>
                </c:pt>
                <c:pt idx="1">
                  <c:v>2010</c:v>
                </c:pt>
                <c:pt idx="2">
                  <c:v>2011</c:v>
                </c:pt>
                <c:pt idx="3">
                  <c:v>2012</c:v>
                </c:pt>
              </c:numCache>
            </c:numRef>
          </c:cat>
          <c:val>
            <c:numRef>
              <c:f>'Figure 27'!$B$9:$E$9</c:f>
              <c:numCache>
                <c:formatCode>General</c:formatCode>
                <c:ptCount val="4"/>
                <c:pt idx="0">
                  <c:v>12526</c:v>
                </c:pt>
                <c:pt idx="1">
                  <c:v>13838</c:v>
                </c:pt>
                <c:pt idx="2">
                  <c:v>13779</c:v>
                </c:pt>
                <c:pt idx="3">
                  <c:v>15384</c:v>
                </c:pt>
              </c:numCache>
            </c:numRef>
          </c:val>
        </c:ser>
        <c:ser>
          <c:idx val="1"/>
          <c:order val="1"/>
          <c:tx>
            <c:strRef>
              <c:f>'Figure 27'!$A$10</c:f>
              <c:strCache>
                <c:ptCount val="1"/>
                <c:pt idx="0">
                  <c:v>Overseas</c:v>
                </c:pt>
              </c:strCache>
            </c:strRef>
          </c:tx>
          <c:invertIfNegative val="0"/>
          <c:dLbls>
            <c:numFmt formatCode="#,##0" sourceLinked="0"/>
            <c:txPr>
              <a:bodyPr/>
              <a:lstStyle/>
              <a:p>
                <a:pPr>
                  <a:defRPr sz="800">
                    <a:solidFill>
                      <a:schemeClr val="bg1"/>
                    </a:solidFill>
                    <a:latin typeface="Avenir LT Std 35 Light" pitchFamily="34" charset="0"/>
                  </a:defRPr>
                </a:pPr>
                <a:endParaRPr lang="en-US"/>
              </a:p>
            </c:txPr>
            <c:showLegendKey val="0"/>
            <c:showVal val="1"/>
            <c:showCatName val="0"/>
            <c:showSerName val="0"/>
            <c:showPercent val="0"/>
            <c:showBubbleSize val="0"/>
            <c:showLeaderLines val="0"/>
          </c:dLbls>
          <c:cat>
            <c:numRef>
              <c:f>'Figure 27'!$B$8:$E$8</c:f>
              <c:numCache>
                <c:formatCode>General</c:formatCode>
                <c:ptCount val="4"/>
                <c:pt idx="0">
                  <c:v>2009</c:v>
                </c:pt>
                <c:pt idx="1">
                  <c:v>2010</c:v>
                </c:pt>
                <c:pt idx="2">
                  <c:v>2011</c:v>
                </c:pt>
                <c:pt idx="3">
                  <c:v>2012</c:v>
                </c:pt>
              </c:numCache>
            </c:numRef>
          </c:cat>
          <c:val>
            <c:numRef>
              <c:f>'Figure 27'!$B$10:$E$10</c:f>
              <c:numCache>
                <c:formatCode>General</c:formatCode>
                <c:ptCount val="4"/>
                <c:pt idx="0">
                  <c:v>2706</c:v>
                </c:pt>
                <c:pt idx="1">
                  <c:v>2790</c:v>
                </c:pt>
                <c:pt idx="2">
                  <c:v>2559</c:v>
                </c:pt>
                <c:pt idx="3">
                  <c:v>2406</c:v>
                </c:pt>
              </c:numCache>
            </c:numRef>
          </c:val>
        </c:ser>
        <c:dLbls>
          <c:showLegendKey val="0"/>
          <c:showVal val="0"/>
          <c:showCatName val="0"/>
          <c:showSerName val="0"/>
          <c:showPercent val="0"/>
          <c:showBubbleSize val="0"/>
        </c:dLbls>
        <c:gapWidth val="150"/>
        <c:overlap val="100"/>
        <c:axId val="100137984"/>
        <c:axId val="103490304"/>
      </c:barChart>
      <c:catAx>
        <c:axId val="100137984"/>
        <c:scaling>
          <c:orientation val="minMax"/>
        </c:scaling>
        <c:delete val="0"/>
        <c:axPos val="b"/>
        <c:numFmt formatCode="General" sourceLinked="1"/>
        <c:majorTickMark val="out"/>
        <c:minorTickMark val="none"/>
        <c:tickLblPos val="nextTo"/>
        <c:txPr>
          <a:bodyPr/>
          <a:lstStyle/>
          <a:p>
            <a:pPr>
              <a:defRPr>
                <a:latin typeface="Avenir LT Std 35 Light" pitchFamily="34" charset="0"/>
              </a:defRPr>
            </a:pPr>
            <a:endParaRPr lang="en-US"/>
          </a:p>
        </c:txPr>
        <c:crossAx val="103490304"/>
        <c:crosses val="autoZero"/>
        <c:auto val="1"/>
        <c:lblAlgn val="ctr"/>
        <c:lblOffset val="100"/>
        <c:noMultiLvlLbl val="0"/>
      </c:catAx>
      <c:valAx>
        <c:axId val="103490304"/>
        <c:scaling>
          <c:orientation val="minMax"/>
        </c:scaling>
        <c:delete val="0"/>
        <c:axPos val="l"/>
        <c:majorGridlines/>
        <c:title>
          <c:tx>
            <c:rich>
              <a:bodyPr rot="-5400000" vert="horz"/>
              <a:lstStyle/>
              <a:p>
                <a:pPr>
                  <a:defRPr>
                    <a:latin typeface="Avenir LT Std 35 Light" pitchFamily="34" charset="0"/>
                  </a:defRPr>
                </a:pPr>
                <a:r>
                  <a:rPr lang="en-AU">
                    <a:latin typeface="Avenir LT Std 35 Light" pitchFamily="34" charset="0"/>
                  </a:rPr>
                  <a:t>Number of commencing enrolments</a:t>
                </a:r>
              </a:p>
            </c:rich>
          </c:tx>
          <c:layout>
            <c:manualLayout>
              <c:xMode val="edge"/>
              <c:yMode val="edge"/>
              <c:x val="1.6666714474898287E-2"/>
              <c:y val="7.2936030055066645E-2"/>
            </c:manualLayout>
          </c:layout>
          <c:overlay val="0"/>
        </c:title>
        <c:numFmt formatCode="#,##0" sourceLinked="0"/>
        <c:majorTickMark val="out"/>
        <c:minorTickMark val="none"/>
        <c:tickLblPos val="nextTo"/>
        <c:txPr>
          <a:bodyPr/>
          <a:lstStyle/>
          <a:p>
            <a:pPr>
              <a:defRPr sz="800">
                <a:latin typeface="Avenir LT Std 35 Light" pitchFamily="34" charset="0"/>
              </a:defRPr>
            </a:pPr>
            <a:endParaRPr lang="en-US"/>
          </a:p>
        </c:txPr>
        <c:crossAx val="100137984"/>
        <c:crosses val="autoZero"/>
        <c:crossBetween val="between"/>
      </c:valAx>
    </c:plotArea>
    <c:legend>
      <c:legendPos val="b"/>
      <c:overlay val="0"/>
      <c:txPr>
        <a:bodyPr/>
        <a:lstStyle/>
        <a:p>
          <a:pPr>
            <a:defRPr>
              <a:latin typeface="Avenir LT Std 35 Light" pitchFamily="34" charset="0"/>
            </a:defRPr>
          </a:pPr>
          <a:endParaRPr lang="en-US"/>
        </a:p>
      </c:txPr>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11"/>
    </mc:Choice>
    <mc:Fallback>
      <c:style val="11"/>
    </mc:Fallback>
  </mc:AlternateContent>
  <c:chart>
    <c:autoTitleDeleted val="0"/>
    <c:plotArea>
      <c:layout/>
      <c:barChart>
        <c:barDir val="col"/>
        <c:grouping val="stacked"/>
        <c:varyColors val="0"/>
        <c:ser>
          <c:idx val="0"/>
          <c:order val="0"/>
          <c:tx>
            <c:strRef>
              <c:f>'Figure 28'!$A$10</c:f>
              <c:strCache>
                <c:ptCount val="1"/>
                <c:pt idx="0">
                  <c:v>Domestic</c:v>
                </c:pt>
              </c:strCache>
            </c:strRef>
          </c:tx>
          <c:invertIfNegative val="0"/>
          <c:dLbls>
            <c:numFmt formatCode="#,##0" sourceLinked="0"/>
            <c:spPr>
              <a:effectLst/>
            </c:spPr>
            <c:txPr>
              <a:bodyPr/>
              <a:lstStyle/>
              <a:p>
                <a:pPr>
                  <a:defRPr sz="800">
                    <a:solidFill>
                      <a:schemeClr val="bg1"/>
                    </a:solidFill>
                    <a:latin typeface="Avenir LT Std 35 Light" pitchFamily="34" charset="0"/>
                  </a:defRPr>
                </a:pPr>
                <a:endParaRPr lang="en-US"/>
              </a:p>
            </c:txPr>
            <c:showLegendKey val="0"/>
            <c:showVal val="1"/>
            <c:showCatName val="0"/>
            <c:showSerName val="0"/>
            <c:showPercent val="0"/>
            <c:showBubbleSize val="0"/>
            <c:showLeaderLines val="0"/>
          </c:dLbls>
          <c:cat>
            <c:numRef>
              <c:f>'Figure 28'!$B$9:$E$9</c:f>
              <c:numCache>
                <c:formatCode>General</c:formatCode>
                <c:ptCount val="4"/>
                <c:pt idx="0">
                  <c:v>2009</c:v>
                </c:pt>
                <c:pt idx="1">
                  <c:v>2010</c:v>
                </c:pt>
                <c:pt idx="2">
                  <c:v>2011</c:v>
                </c:pt>
                <c:pt idx="3">
                  <c:v>2012</c:v>
                </c:pt>
              </c:numCache>
            </c:numRef>
          </c:cat>
          <c:val>
            <c:numRef>
              <c:f>'Figure 28'!$B$10:$E$10</c:f>
              <c:numCache>
                <c:formatCode>General</c:formatCode>
                <c:ptCount val="4"/>
                <c:pt idx="0">
                  <c:v>7266</c:v>
                </c:pt>
                <c:pt idx="1">
                  <c:v>7452</c:v>
                </c:pt>
                <c:pt idx="2">
                  <c:v>7936</c:v>
                </c:pt>
                <c:pt idx="3">
                  <c:v>8516</c:v>
                </c:pt>
              </c:numCache>
            </c:numRef>
          </c:val>
        </c:ser>
        <c:ser>
          <c:idx val="1"/>
          <c:order val="1"/>
          <c:tx>
            <c:strRef>
              <c:f>'Figure 28'!$A$11</c:f>
              <c:strCache>
                <c:ptCount val="1"/>
                <c:pt idx="0">
                  <c:v>Overseas</c:v>
                </c:pt>
              </c:strCache>
            </c:strRef>
          </c:tx>
          <c:invertIfNegative val="0"/>
          <c:dLbls>
            <c:numFmt formatCode="#,##0" sourceLinked="0"/>
            <c:txPr>
              <a:bodyPr/>
              <a:lstStyle/>
              <a:p>
                <a:pPr>
                  <a:defRPr sz="800">
                    <a:solidFill>
                      <a:schemeClr val="bg1"/>
                    </a:solidFill>
                    <a:latin typeface="Avenir LT Std 35 Light" pitchFamily="34" charset="0"/>
                  </a:defRPr>
                </a:pPr>
                <a:endParaRPr lang="en-US"/>
              </a:p>
            </c:txPr>
            <c:showLegendKey val="0"/>
            <c:showVal val="1"/>
            <c:showCatName val="0"/>
            <c:showSerName val="0"/>
            <c:showPercent val="0"/>
            <c:showBubbleSize val="0"/>
            <c:showLeaderLines val="0"/>
          </c:dLbls>
          <c:cat>
            <c:numRef>
              <c:f>'Figure 28'!$B$9:$E$9</c:f>
              <c:numCache>
                <c:formatCode>General</c:formatCode>
                <c:ptCount val="4"/>
                <c:pt idx="0">
                  <c:v>2009</c:v>
                </c:pt>
                <c:pt idx="1">
                  <c:v>2010</c:v>
                </c:pt>
                <c:pt idx="2">
                  <c:v>2011</c:v>
                </c:pt>
                <c:pt idx="3">
                  <c:v>2012</c:v>
                </c:pt>
              </c:numCache>
            </c:numRef>
          </c:cat>
          <c:val>
            <c:numRef>
              <c:f>'Figure 28'!$B$11:$E$11</c:f>
              <c:numCache>
                <c:formatCode>General</c:formatCode>
                <c:ptCount val="4"/>
                <c:pt idx="0">
                  <c:v>1742</c:v>
                </c:pt>
                <c:pt idx="1">
                  <c:v>1993</c:v>
                </c:pt>
                <c:pt idx="2">
                  <c:v>2136</c:v>
                </c:pt>
                <c:pt idx="3">
                  <c:v>2119</c:v>
                </c:pt>
              </c:numCache>
            </c:numRef>
          </c:val>
        </c:ser>
        <c:dLbls>
          <c:showLegendKey val="0"/>
          <c:showVal val="0"/>
          <c:showCatName val="0"/>
          <c:showSerName val="0"/>
          <c:showPercent val="0"/>
          <c:showBubbleSize val="0"/>
        </c:dLbls>
        <c:gapWidth val="150"/>
        <c:overlap val="100"/>
        <c:axId val="103512320"/>
        <c:axId val="103530496"/>
      </c:barChart>
      <c:catAx>
        <c:axId val="103512320"/>
        <c:scaling>
          <c:orientation val="minMax"/>
        </c:scaling>
        <c:delete val="0"/>
        <c:axPos val="b"/>
        <c:numFmt formatCode="General" sourceLinked="1"/>
        <c:majorTickMark val="out"/>
        <c:minorTickMark val="none"/>
        <c:tickLblPos val="nextTo"/>
        <c:txPr>
          <a:bodyPr/>
          <a:lstStyle/>
          <a:p>
            <a:pPr>
              <a:defRPr>
                <a:latin typeface="Avenir LT Std 35 Light" pitchFamily="34" charset="0"/>
              </a:defRPr>
            </a:pPr>
            <a:endParaRPr lang="en-US"/>
          </a:p>
        </c:txPr>
        <c:crossAx val="103530496"/>
        <c:crosses val="autoZero"/>
        <c:auto val="1"/>
        <c:lblAlgn val="ctr"/>
        <c:lblOffset val="100"/>
        <c:noMultiLvlLbl val="0"/>
      </c:catAx>
      <c:valAx>
        <c:axId val="103530496"/>
        <c:scaling>
          <c:orientation val="minMax"/>
        </c:scaling>
        <c:delete val="0"/>
        <c:axPos val="l"/>
        <c:majorGridlines/>
        <c:title>
          <c:tx>
            <c:rich>
              <a:bodyPr rot="-5400000" vert="horz"/>
              <a:lstStyle/>
              <a:p>
                <a:pPr>
                  <a:defRPr>
                    <a:latin typeface="Avenir LT Std 35 Light" pitchFamily="34" charset="0"/>
                  </a:defRPr>
                </a:pPr>
                <a:r>
                  <a:rPr lang="en-AU">
                    <a:latin typeface="Avenir LT Std 35 Light" pitchFamily="34" charset="0"/>
                  </a:rPr>
                  <a:t>Number of completions</a:t>
                </a:r>
              </a:p>
            </c:rich>
          </c:tx>
          <c:overlay val="0"/>
        </c:title>
        <c:numFmt formatCode="#,##0" sourceLinked="0"/>
        <c:majorTickMark val="out"/>
        <c:minorTickMark val="none"/>
        <c:tickLblPos val="nextTo"/>
        <c:txPr>
          <a:bodyPr/>
          <a:lstStyle/>
          <a:p>
            <a:pPr>
              <a:defRPr sz="900">
                <a:latin typeface="Avenir LT Std 35 Light" pitchFamily="34" charset="0"/>
              </a:defRPr>
            </a:pPr>
            <a:endParaRPr lang="en-US"/>
          </a:p>
        </c:txPr>
        <c:crossAx val="103512320"/>
        <c:crosses val="autoZero"/>
        <c:crossBetween val="between"/>
      </c:valAx>
    </c:plotArea>
    <c:legend>
      <c:legendPos val="b"/>
      <c:overlay val="0"/>
      <c:txPr>
        <a:bodyPr/>
        <a:lstStyle/>
        <a:p>
          <a:pPr>
            <a:defRPr>
              <a:latin typeface="Avenir LT Std 35 Light" pitchFamily="34" charset="0"/>
            </a:defRPr>
          </a:pPr>
          <a:endParaRPr lang="en-US"/>
        </a:p>
      </c:txPr>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stacked"/>
        <c:varyColors val="0"/>
        <c:ser>
          <c:idx val="0"/>
          <c:order val="0"/>
          <c:tx>
            <c:v>Female</c:v>
          </c:tx>
          <c:spPr>
            <a:solidFill>
              <a:srgbClr val="0070C0"/>
            </a:solidFill>
          </c:spPr>
          <c:invertIfNegative val="0"/>
          <c:dLbls>
            <c:txPr>
              <a:bodyPr/>
              <a:lstStyle/>
              <a:p>
                <a:pPr>
                  <a:defRPr sz="800">
                    <a:solidFill>
                      <a:schemeClr val="bg1"/>
                    </a:solidFill>
                    <a:latin typeface="Avenir LT Std 35 Light" pitchFamily="34" charset="0"/>
                  </a:defRPr>
                </a:pPr>
                <a:endParaRPr lang="en-US"/>
              </a:p>
            </c:txPr>
            <c:showLegendKey val="0"/>
            <c:showVal val="1"/>
            <c:showCatName val="0"/>
            <c:showSerName val="0"/>
            <c:showPercent val="0"/>
            <c:showBubbleSize val="0"/>
            <c:showLeaderLines val="0"/>
          </c:dLbls>
          <c:cat>
            <c:numRef>
              <c:f>'Figure 30'!$C$7:$F$7</c:f>
              <c:numCache>
                <c:formatCode>General</c:formatCode>
                <c:ptCount val="4"/>
                <c:pt idx="0">
                  <c:v>2009</c:v>
                </c:pt>
                <c:pt idx="1">
                  <c:v>2010</c:v>
                </c:pt>
                <c:pt idx="2">
                  <c:v>2011</c:v>
                </c:pt>
                <c:pt idx="3">
                  <c:v>2012</c:v>
                </c:pt>
              </c:numCache>
            </c:numRef>
          </c:cat>
          <c:val>
            <c:numRef>
              <c:f>'Figure 30'!$C$10:$F$10</c:f>
              <c:numCache>
                <c:formatCode>#,##0</c:formatCode>
                <c:ptCount val="4"/>
                <c:pt idx="0">
                  <c:v>14504</c:v>
                </c:pt>
                <c:pt idx="1">
                  <c:v>17026</c:v>
                </c:pt>
                <c:pt idx="2">
                  <c:v>19900</c:v>
                </c:pt>
                <c:pt idx="3">
                  <c:v>20116</c:v>
                </c:pt>
              </c:numCache>
            </c:numRef>
          </c:val>
        </c:ser>
        <c:ser>
          <c:idx val="1"/>
          <c:order val="1"/>
          <c:tx>
            <c:v>Male</c:v>
          </c:tx>
          <c:spPr>
            <a:solidFill>
              <a:srgbClr val="1F497D">
                <a:lumMod val="40000"/>
                <a:lumOff val="60000"/>
              </a:srgbClr>
            </a:solidFill>
          </c:spPr>
          <c:invertIfNegative val="0"/>
          <c:dLbls>
            <c:txPr>
              <a:bodyPr/>
              <a:lstStyle/>
              <a:p>
                <a:pPr>
                  <a:defRPr sz="800">
                    <a:solidFill>
                      <a:schemeClr val="bg1"/>
                    </a:solidFill>
                    <a:latin typeface="Avenir LT Std 35 Light" pitchFamily="34" charset="0"/>
                  </a:defRPr>
                </a:pPr>
                <a:endParaRPr lang="en-US"/>
              </a:p>
            </c:txPr>
            <c:showLegendKey val="0"/>
            <c:showVal val="1"/>
            <c:showCatName val="0"/>
            <c:showSerName val="0"/>
            <c:showPercent val="0"/>
            <c:showBubbleSize val="0"/>
            <c:showLeaderLines val="0"/>
          </c:dLbls>
          <c:cat>
            <c:numRef>
              <c:f>'Figure 30'!$C$7:$F$7</c:f>
              <c:numCache>
                <c:formatCode>General</c:formatCode>
                <c:ptCount val="4"/>
                <c:pt idx="0">
                  <c:v>2009</c:v>
                </c:pt>
                <c:pt idx="1">
                  <c:v>2010</c:v>
                </c:pt>
                <c:pt idx="2">
                  <c:v>2011</c:v>
                </c:pt>
                <c:pt idx="3">
                  <c:v>2012</c:v>
                </c:pt>
              </c:numCache>
            </c:numRef>
          </c:cat>
          <c:val>
            <c:numRef>
              <c:f>'Figure 30'!$C$9:$F$9</c:f>
              <c:numCache>
                <c:formatCode>#,##0</c:formatCode>
                <c:ptCount val="4"/>
                <c:pt idx="0">
                  <c:v>2227</c:v>
                </c:pt>
                <c:pt idx="1">
                  <c:v>2632</c:v>
                </c:pt>
                <c:pt idx="2">
                  <c:v>3325</c:v>
                </c:pt>
                <c:pt idx="3">
                  <c:v>2952</c:v>
                </c:pt>
              </c:numCache>
            </c:numRef>
          </c:val>
        </c:ser>
        <c:dLbls>
          <c:showLegendKey val="0"/>
          <c:showVal val="0"/>
          <c:showCatName val="0"/>
          <c:showSerName val="0"/>
          <c:showPercent val="0"/>
          <c:showBubbleSize val="0"/>
        </c:dLbls>
        <c:gapWidth val="150"/>
        <c:overlap val="100"/>
        <c:axId val="103896576"/>
        <c:axId val="103898112"/>
      </c:barChart>
      <c:catAx>
        <c:axId val="103896576"/>
        <c:scaling>
          <c:orientation val="minMax"/>
        </c:scaling>
        <c:delete val="0"/>
        <c:axPos val="b"/>
        <c:numFmt formatCode="General" sourceLinked="1"/>
        <c:majorTickMark val="out"/>
        <c:minorTickMark val="none"/>
        <c:tickLblPos val="nextTo"/>
        <c:txPr>
          <a:bodyPr/>
          <a:lstStyle/>
          <a:p>
            <a:pPr>
              <a:defRPr sz="900">
                <a:latin typeface="Avenir LT Std 35 Light" pitchFamily="34" charset="0"/>
              </a:defRPr>
            </a:pPr>
            <a:endParaRPr lang="en-US"/>
          </a:p>
        </c:txPr>
        <c:crossAx val="103898112"/>
        <c:crosses val="autoZero"/>
        <c:auto val="1"/>
        <c:lblAlgn val="ctr"/>
        <c:lblOffset val="100"/>
        <c:noMultiLvlLbl val="0"/>
      </c:catAx>
      <c:valAx>
        <c:axId val="103898112"/>
        <c:scaling>
          <c:orientation val="minMax"/>
        </c:scaling>
        <c:delete val="0"/>
        <c:axPos val="l"/>
        <c:majorGridlines/>
        <c:title>
          <c:tx>
            <c:rich>
              <a:bodyPr rot="-5400000" vert="horz"/>
              <a:lstStyle/>
              <a:p>
                <a:pPr>
                  <a:defRPr>
                    <a:latin typeface="Avenir LT Std 35 Light" pitchFamily="34" charset="0"/>
                  </a:defRPr>
                </a:pPr>
                <a:r>
                  <a:rPr lang="en-US">
                    <a:latin typeface="Avenir LT Std 35 Light" pitchFamily="34" charset="0"/>
                  </a:rPr>
                  <a:t>Number of commencing enrolments</a:t>
                </a:r>
              </a:p>
            </c:rich>
          </c:tx>
          <c:layout>
            <c:manualLayout>
              <c:xMode val="edge"/>
              <c:yMode val="edge"/>
              <c:x val="1.6666629236445955E-2"/>
              <c:y val="0.12755280038362368"/>
            </c:manualLayout>
          </c:layout>
          <c:overlay val="0"/>
        </c:title>
        <c:numFmt formatCode="#,##0" sourceLinked="0"/>
        <c:majorTickMark val="out"/>
        <c:minorTickMark val="none"/>
        <c:tickLblPos val="nextTo"/>
        <c:txPr>
          <a:bodyPr/>
          <a:lstStyle/>
          <a:p>
            <a:pPr>
              <a:defRPr sz="900">
                <a:latin typeface="Avenir LT Std 35 Light" pitchFamily="34" charset="0"/>
              </a:defRPr>
            </a:pPr>
            <a:endParaRPr lang="en-US"/>
          </a:p>
        </c:txPr>
        <c:crossAx val="103896576"/>
        <c:crosses val="autoZero"/>
        <c:crossBetween val="between"/>
      </c:valAx>
    </c:plotArea>
    <c:legend>
      <c:legendPos val="b"/>
      <c:overlay val="0"/>
      <c:txPr>
        <a:bodyPr/>
        <a:lstStyle/>
        <a:p>
          <a:pPr>
            <a:defRPr>
              <a:latin typeface="Avenir LT Std 35 Light" pitchFamily="34" charset="0"/>
            </a:defRPr>
          </a:pPr>
          <a:endParaRPr lang="en-US"/>
        </a:p>
      </c:txPr>
    </c:legend>
    <c:plotVisOnly val="1"/>
    <c:dispBlanksAs val="gap"/>
    <c:showDLblsOverMax val="0"/>
  </c:chart>
  <c:externalData r:id="rId2">
    <c:autoUpdate val="0"/>
  </c:externalData>
</c:chartSpace>
</file>

<file path=word/drawings/drawing1.xml><?xml version="1.0" encoding="utf-8"?>
<c:userShapes xmlns:c="http://schemas.openxmlformats.org/drawingml/2006/chart">
  <cdr:relSizeAnchor xmlns:cdr="http://schemas.openxmlformats.org/drawingml/2006/chartDrawing">
    <cdr:from>
      <cdr:x>0.77926</cdr:x>
      <cdr:y>0.86799</cdr:y>
    </cdr:from>
    <cdr:to>
      <cdr:x>0.89836</cdr:x>
      <cdr:y>0.9637</cdr:y>
    </cdr:to>
    <cdr:sp macro="" textlink="">
      <cdr:nvSpPr>
        <cdr:cNvPr id="2" name="TextBox 1"/>
        <cdr:cNvSpPr txBox="1"/>
      </cdr:nvSpPr>
      <cdr:spPr>
        <a:xfrm xmlns:a="http://schemas.openxmlformats.org/drawingml/2006/main">
          <a:off x="3614738" y="2505076"/>
          <a:ext cx="552450" cy="27622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AU" sz="1000" b="1" i="0" u="none" strike="noStrike" kern="1200" baseline="0">
              <a:solidFill>
                <a:sysClr val="windowText" lastClr="000000"/>
              </a:solidFill>
              <a:latin typeface="+mn-lt"/>
              <a:ea typeface="+mn-ea"/>
              <a:cs typeface="+mn-cs"/>
            </a:rPr>
            <a:t>2012</a:t>
          </a:r>
        </a:p>
      </cdr:txBody>
    </cdr:sp>
  </cdr:relSizeAnchor>
  <cdr:relSizeAnchor xmlns:cdr="http://schemas.openxmlformats.org/drawingml/2006/chartDrawing">
    <cdr:from>
      <cdr:x>0.2577</cdr:x>
      <cdr:y>0.87459</cdr:y>
    </cdr:from>
    <cdr:to>
      <cdr:x>0.38296</cdr:x>
      <cdr:y>0.9571</cdr:y>
    </cdr:to>
    <cdr:sp macro="" textlink="">
      <cdr:nvSpPr>
        <cdr:cNvPr id="3" name="TextBox 2"/>
        <cdr:cNvSpPr txBox="1"/>
      </cdr:nvSpPr>
      <cdr:spPr>
        <a:xfrm xmlns:a="http://schemas.openxmlformats.org/drawingml/2006/main">
          <a:off x="1195388" y="2524126"/>
          <a:ext cx="581025" cy="23812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AU" sz="1000" b="1"/>
            <a:t>2009</a:t>
          </a: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08E2B5-7F48-46F5-BFEA-F5B27EA727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54</Pages>
  <Words>15830</Words>
  <Characters>90236</Characters>
  <Application>Microsoft Office Word</Application>
  <DocSecurity>4</DocSecurity>
  <Lines>751</Lines>
  <Paragraphs>211</Paragraphs>
  <ScaleCrop>false</ScaleCrop>
  <HeadingPairs>
    <vt:vector size="2" baseType="variant">
      <vt:variant>
        <vt:lpstr>Title</vt:lpstr>
      </vt:variant>
      <vt:variant>
        <vt:i4>1</vt:i4>
      </vt:variant>
    </vt:vector>
  </HeadingPairs>
  <TitlesOfParts>
    <vt:vector size="1" baseType="lpstr">
      <vt:lpstr>Australia’s Future Health Workforce: Nurses – Overview Report</vt:lpstr>
    </vt:vector>
  </TitlesOfParts>
  <Company>HWA</Company>
  <LinksUpToDate>false</LinksUpToDate>
  <CharactersWithSpaces>105855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Australia’s Future Health Workforce: Nurses – Overview Report</dc:title>
  <dc:subject>Health workforce</dc:subject>
  <dc:creator>Health Workforce Australia</dc:creator>
  <cp:keywords>nursing, workforce planning, projections</cp:keywords>
  <cp:lastModifiedBy>Gill Sharon</cp:lastModifiedBy>
  <cp:revision>2</cp:revision>
  <cp:lastPrinted>2015-02-09T01:39:00Z</cp:lastPrinted>
  <dcterms:created xsi:type="dcterms:W3CDTF">2015-06-18T05:10:00Z</dcterms:created>
  <dcterms:modified xsi:type="dcterms:W3CDTF">2015-06-18T05:10:00Z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