
<file path=[Content_Types].xml><?xml version="1.0" encoding="utf-8"?>
<Types xmlns="http://schemas.openxmlformats.org/package/2006/content-types">
  <Default Extension="tmp" ContentType="image/png"/>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displacedByCustomXml="next"/>
    <w:bookmarkEnd w:id="0" w:displacedByCustomXml="next"/>
    <w:sdt>
      <w:sdtPr>
        <w:rPr>
          <w:rFonts w:eastAsia="Times New Roman" w:cs="Arial"/>
          <w:szCs w:val="22"/>
          <w:lang w:val="en-US"/>
        </w:rPr>
        <w:id w:val="-1169015991"/>
        <w:docPartObj>
          <w:docPartGallery w:val="Cover Pages"/>
          <w:docPartUnique/>
        </w:docPartObj>
      </w:sdtPr>
      <w:sdtEndPr>
        <w:rPr>
          <w:b/>
          <w:noProof/>
          <w:color w:val="EEECE1"/>
          <w:lang w:val="en-AU" w:eastAsia="en-AU"/>
        </w:rPr>
      </w:sdtEndPr>
      <w:sdtContent>
        <w:p w:rsidR="00941260" w:rsidRDefault="00D2425C" w:rsidP="00941260">
          <w:pPr>
            <w:spacing w:after="0" w:line="240" w:lineRule="auto"/>
            <w:outlineLvl w:val="8"/>
            <w:rPr>
              <w:rFonts w:eastAsia="Times New Roman" w:cs="Arial"/>
              <w:szCs w:val="22"/>
              <w:lang w:val="en-US"/>
            </w:rPr>
          </w:pPr>
          <w:r w:rsidRPr="00C5671E">
            <w:rPr>
              <w:rFonts w:eastAsia="PMingLiU" w:cs="Arial"/>
              <w:b/>
              <w:sz w:val="40"/>
              <w:szCs w:val="40"/>
            </w:rPr>
            <w:t>Department of Health</w:t>
          </w:r>
          <w:r w:rsidR="00941260">
            <w:rPr>
              <w:rFonts w:eastAsia="PMingLiU" w:cs="Arial"/>
              <w:b/>
              <w:sz w:val="40"/>
              <w:szCs w:val="40"/>
            </w:rPr>
            <w:t xml:space="preserve"> </w:t>
          </w:r>
          <w:r w:rsidRPr="00D2425C">
            <w:rPr>
              <w:rFonts w:eastAsia="PMingLiU" w:cs="Arial"/>
              <w:b/>
              <w:sz w:val="40"/>
              <w:szCs w:val="40"/>
            </w:rPr>
            <w:t xml:space="preserve">Australia’s </w:t>
          </w:r>
          <w:r w:rsidR="00941260">
            <w:rPr>
              <w:rFonts w:eastAsia="PMingLiU" w:cs="Arial"/>
              <w:b/>
              <w:sz w:val="40"/>
              <w:szCs w:val="40"/>
            </w:rPr>
            <w:br/>
          </w:r>
          <w:r w:rsidRPr="00D2425C">
            <w:rPr>
              <w:rFonts w:eastAsia="PMingLiU" w:cs="Arial"/>
              <w:b/>
              <w:sz w:val="40"/>
              <w:szCs w:val="40"/>
            </w:rPr>
            <w:t>Future Health Workforce Report – Midwives</w:t>
          </w:r>
          <w:r w:rsidR="00941260">
            <w:rPr>
              <w:rFonts w:eastAsia="Times New Roman" w:cs="Arial"/>
              <w:b/>
              <w:color w:val="FFFFFF"/>
              <w:sz w:val="40"/>
              <w:szCs w:val="40"/>
              <w:lang w:val="en-US"/>
            </w:rPr>
            <w:t>p</w:t>
          </w:r>
        </w:p>
        <w:p w:rsidR="0007288C" w:rsidRPr="00941260" w:rsidRDefault="00C5671E" w:rsidP="00941260">
          <w:pPr>
            <w:spacing w:after="0" w:line="240" w:lineRule="auto"/>
            <w:outlineLvl w:val="8"/>
            <w:rPr>
              <w:rFonts w:eastAsia="Times New Roman" w:cs="Arial"/>
              <w:szCs w:val="22"/>
              <w:lang w:val="en-US"/>
            </w:rPr>
          </w:pPr>
          <w:r>
            <w:rPr>
              <w:rFonts w:eastAsia="Times New Roman" w:cs="Arial"/>
              <w:b/>
              <w:noProof/>
              <w:color w:val="EEECE1"/>
              <w:szCs w:val="22"/>
              <w:lang w:eastAsia="en-AU"/>
            </w:rPr>
            <w:br w:type="page"/>
          </w:r>
        </w:p>
      </w:sdtContent>
    </w:sdt>
    <w:bookmarkStart w:id="1" w:name="_Toc424637707" w:displacedByCustomXml="next"/>
    <w:sdt>
      <w:sdtPr>
        <w:rPr>
          <w:rFonts w:ascii="Arial" w:eastAsiaTheme="minorHAnsi" w:hAnsi="Arial" w:cs="Times New Roman"/>
          <w:color w:val="auto"/>
          <w:sz w:val="22"/>
          <w:szCs w:val="24"/>
          <w:lang w:val="en-AU"/>
        </w:rPr>
        <w:id w:val="-173962200"/>
        <w:docPartObj>
          <w:docPartGallery w:val="Table of Contents"/>
          <w:docPartUnique/>
        </w:docPartObj>
      </w:sdtPr>
      <w:sdtEndPr>
        <w:rPr>
          <w:b/>
          <w:bCs/>
          <w:noProof/>
        </w:rPr>
      </w:sdtEndPr>
      <w:sdtContent>
        <w:p w:rsidR="00A024D9" w:rsidRDefault="00A024D9">
          <w:pPr>
            <w:pStyle w:val="TOCHeading"/>
          </w:pPr>
          <w:r>
            <w:t>Table of Contents</w:t>
          </w:r>
        </w:p>
        <w:p w:rsidR="00267124" w:rsidRDefault="00A024D9">
          <w:pPr>
            <w:pStyle w:val="TOC1"/>
            <w:rPr>
              <w:rFonts w:asciiTheme="minorHAnsi" w:eastAsiaTheme="minorEastAsia" w:hAnsiTheme="minorHAnsi" w:cstheme="minorBidi"/>
              <w:szCs w:val="22"/>
              <w:lang w:eastAsia="en-AU"/>
            </w:rPr>
          </w:pPr>
          <w:r>
            <w:rPr>
              <w:b/>
              <w:bCs/>
            </w:rPr>
            <w:fldChar w:fldCharType="begin"/>
          </w:r>
          <w:r>
            <w:rPr>
              <w:b/>
              <w:bCs/>
            </w:rPr>
            <w:instrText xml:space="preserve"> TOC \o "1-3" \h \z \u </w:instrText>
          </w:r>
          <w:r>
            <w:rPr>
              <w:b/>
              <w:bCs/>
            </w:rPr>
            <w:fldChar w:fldCharType="separate"/>
          </w:r>
          <w:hyperlink w:anchor="_Toc10808367" w:history="1">
            <w:r w:rsidR="00267124" w:rsidRPr="00456916">
              <w:rPr>
                <w:rStyle w:val="Hyperlink"/>
                <w:rFonts w:eastAsia="PMingLiU"/>
                <w:lang w:val="en-US" w:eastAsia="ja-JP"/>
              </w:rPr>
              <w:t>Table of Figures</w:t>
            </w:r>
            <w:r w:rsidR="00267124">
              <w:rPr>
                <w:webHidden/>
              </w:rPr>
              <w:tab/>
            </w:r>
            <w:r w:rsidR="00267124">
              <w:rPr>
                <w:webHidden/>
              </w:rPr>
              <w:fldChar w:fldCharType="begin"/>
            </w:r>
            <w:r w:rsidR="00267124">
              <w:rPr>
                <w:webHidden/>
              </w:rPr>
              <w:instrText xml:space="preserve"> PAGEREF _Toc10808367 \h </w:instrText>
            </w:r>
            <w:r w:rsidR="00267124">
              <w:rPr>
                <w:webHidden/>
              </w:rPr>
            </w:r>
            <w:r w:rsidR="00267124">
              <w:rPr>
                <w:webHidden/>
              </w:rPr>
              <w:fldChar w:fldCharType="separate"/>
            </w:r>
            <w:r w:rsidR="00B33232">
              <w:rPr>
                <w:webHidden/>
              </w:rPr>
              <w:t>4</w:t>
            </w:r>
            <w:r w:rsidR="00267124">
              <w:rPr>
                <w:webHidden/>
              </w:rPr>
              <w:fldChar w:fldCharType="end"/>
            </w:r>
          </w:hyperlink>
        </w:p>
        <w:p w:rsidR="00267124" w:rsidRDefault="001B1897">
          <w:pPr>
            <w:pStyle w:val="TOC1"/>
            <w:rPr>
              <w:rFonts w:asciiTheme="minorHAnsi" w:eastAsiaTheme="minorEastAsia" w:hAnsiTheme="minorHAnsi" w:cstheme="minorBidi"/>
              <w:szCs w:val="22"/>
              <w:lang w:eastAsia="en-AU"/>
            </w:rPr>
          </w:pPr>
          <w:hyperlink w:anchor="_Toc10808368" w:history="1">
            <w:r w:rsidR="00267124" w:rsidRPr="00456916">
              <w:rPr>
                <w:rStyle w:val="Hyperlink"/>
              </w:rPr>
              <w:t>Report Overview</w:t>
            </w:r>
            <w:r w:rsidR="00267124">
              <w:rPr>
                <w:webHidden/>
              </w:rPr>
              <w:tab/>
            </w:r>
            <w:r w:rsidR="00267124">
              <w:rPr>
                <w:webHidden/>
              </w:rPr>
              <w:fldChar w:fldCharType="begin"/>
            </w:r>
            <w:r w:rsidR="00267124">
              <w:rPr>
                <w:webHidden/>
              </w:rPr>
              <w:instrText xml:space="preserve"> PAGEREF _Toc10808368 \h </w:instrText>
            </w:r>
            <w:r w:rsidR="00267124">
              <w:rPr>
                <w:webHidden/>
              </w:rPr>
            </w:r>
            <w:r w:rsidR="00267124">
              <w:rPr>
                <w:webHidden/>
              </w:rPr>
              <w:fldChar w:fldCharType="separate"/>
            </w:r>
            <w:r w:rsidR="00B33232">
              <w:rPr>
                <w:webHidden/>
              </w:rPr>
              <w:t>5</w:t>
            </w:r>
            <w:r w:rsidR="00267124">
              <w:rPr>
                <w:webHidden/>
              </w:rPr>
              <w:fldChar w:fldCharType="end"/>
            </w:r>
          </w:hyperlink>
        </w:p>
        <w:p w:rsidR="00267124" w:rsidRDefault="001B1897">
          <w:pPr>
            <w:pStyle w:val="TOC1"/>
            <w:rPr>
              <w:rFonts w:asciiTheme="minorHAnsi" w:eastAsiaTheme="minorEastAsia" w:hAnsiTheme="minorHAnsi" w:cstheme="minorBidi"/>
              <w:szCs w:val="22"/>
              <w:lang w:eastAsia="en-AU"/>
            </w:rPr>
          </w:pPr>
          <w:hyperlink w:anchor="_Toc10808369" w:history="1">
            <w:r w:rsidR="00267124" w:rsidRPr="00456916">
              <w:rPr>
                <w:rStyle w:val="Hyperlink"/>
              </w:rPr>
              <w:t>Key Findings</w:t>
            </w:r>
            <w:r w:rsidR="00267124">
              <w:rPr>
                <w:webHidden/>
              </w:rPr>
              <w:tab/>
            </w:r>
            <w:r w:rsidR="00267124">
              <w:rPr>
                <w:webHidden/>
              </w:rPr>
              <w:fldChar w:fldCharType="begin"/>
            </w:r>
            <w:r w:rsidR="00267124">
              <w:rPr>
                <w:webHidden/>
              </w:rPr>
              <w:instrText xml:space="preserve"> PAGEREF _Toc10808369 \h </w:instrText>
            </w:r>
            <w:r w:rsidR="00267124">
              <w:rPr>
                <w:webHidden/>
              </w:rPr>
            </w:r>
            <w:r w:rsidR="00267124">
              <w:rPr>
                <w:webHidden/>
              </w:rPr>
              <w:fldChar w:fldCharType="separate"/>
            </w:r>
            <w:r w:rsidR="00B33232">
              <w:rPr>
                <w:webHidden/>
              </w:rPr>
              <w:t>5</w:t>
            </w:r>
            <w:r w:rsidR="00267124">
              <w:rPr>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370" w:history="1">
            <w:r w:rsidR="00267124" w:rsidRPr="00456916">
              <w:rPr>
                <w:rStyle w:val="Hyperlink"/>
                <w:noProof/>
              </w:rPr>
              <w:t>Continuity of care (baseline) scenario</w:t>
            </w:r>
            <w:r w:rsidR="00267124">
              <w:rPr>
                <w:noProof/>
                <w:webHidden/>
              </w:rPr>
              <w:tab/>
            </w:r>
            <w:r w:rsidR="00267124">
              <w:rPr>
                <w:noProof/>
                <w:webHidden/>
              </w:rPr>
              <w:fldChar w:fldCharType="begin"/>
            </w:r>
            <w:r w:rsidR="00267124">
              <w:rPr>
                <w:noProof/>
                <w:webHidden/>
              </w:rPr>
              <w:instrText xml:space="preserve"> PAGEREF _Toc10808370 \h </w:instrText>
            </w:r>
            <w:r w:rsidR="00267124">
              <w:rPr>
                <w:noProof/>
                <w:webHidden/>
              </w:rPr>
            </w:r>
            <w:r w:rsidR="00267124">
              <w:rPr>
                <w:noProof/>
                <w:webHidden/>
              </w:rPr>
              <w:fldChar w:fldCharType="separate"/>
            </w:r>
            <w:r w:rsidR="00B33232">
              <w:rPr>
                <w:noProof/>
                <w:webHidden/>
              </w:rPr>
              <w:t>5</w:t>
            </w:r>
            <w:r w:rsidR="00267124">
              <w:rPr>
                <w:noProof/>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371" w:history="1">
            <w:r w:rsidR="00267124" w:rsidRPr="00456916">
              <w:rPr>
                <w:rStyle w:val="Hyperlink"/>
                <w:noProof/>
              </w:rPr>
              <w:t>Population growth</w:t>
            </w:r>
            <w:r w:rsidR="00267124">
              <w:rPr>
                <w:noProof/>
                <w:webHidden/>
              </w:rPr>
              <w:tab/>
            </w:r>
            <w:r w:rsidR="00267124">
              <w:rPr>
                <w:noProof/>
                <w:webHidden/>
              </w:rPr>
              <w:fldChar w:fldCharType="begin"/>
            </w:r>
            <w:r w:rsidR="00267124">
              <w:rPr>
                <w:noProof/>
                <w:webHidden/>
              </w:rPr>
              <w:instrText xml:space="preserve"> PAGEREF _Toc10808371 \h </w:instrText>
            </w:r>
            <w:r w:rsidR="00267124">
              <w:rPr>
                <w:noProof/>
                <w:webHidden/>
              </w:rPr>
            </w:r>
            <w:r w:rsidR="00267124">
              <w:rPr>
                <w:noProof/>
                <w:webHidden/>
              </w:rPr>
              <w:fldChar w:fldCharType="separate"/>
            </w:r>
            <w:r w:rsidR="00B33232">
              <w:rPr>
                <w:noProof/>
                <w:webHidden/>
              </w:rPr>
              <w:t>5</w:t>
            </w:r>
            <w:r w:rsidR="00267124">
              <w:rPr>
                <w:noProof/>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372" w:history="1">
            <w:r w:rsidR="00267124" w:rsidRPr="00456916">
              <w:rPr>
                <w:rStyle w:val="Hyperlink"/>
                <w:noProof/>
              </w:rPr>
              <w:t>Increased hours worked</w:t>
            </w:r>
            <w:r w:rsidR="00267124">
              <w:rPr>
                <w:noProof/>
                <w:webHidden/>
              </w:rPr>
              <w:tab/>
            </w:r>
            <w:r w:rsidR="00267124">
              <w:rPr>
                <w:noProof/>
                <w:webHidden/>
              </w:rPr>
              <w:fldChar w:fldCharType="begin"/>
            </w:r>
            <w:r w:rsidR="00267124">
              <w:rPr>
                <w:noProof/>
                <w:webHidden/>
              </w:rPr>
              <w:instrText xml:space="preserve"> PAGEREF _Toc10808372 \h </w:instrText>
            </w:r>
            <w:r w:rsidR="00267124">
              <w:rPr>
                <w:noProof/>
                <w:webHidden/>
              </w:rPr>
            </w:r>
            <w:r w:rsidR="00267124">
              <w:rPr>
                <w:noProof/>
                <w:webHidden/>
              </w:rPr>
              <w:fldChar w:fldCharType="separate"/>
            </w:r>
            <w:r w:rsidR="00B33232">
              <w:rPr>
                <w:noProof/>
                <w:webHidden/>
              </w:rPr>
              <w:t>5</w:t>
            </w:r>
            <w:r w:rsidR="00267124">
              <w:rPr>
                <w:noProof/>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373" w:history="1">
            <w:r w:rsidR="00267124" w:rsidRPr="00456916">
              <w:rPr>
                <w:rStyle w:val="Hyperlink"/>
                <w:noProof/>
              </w:rPr>
              <w:t>Jurisdictional findings</w:t>
            </w:r>
            <w:r w:rsidR="00267124">
              <w:rPr>
                <w:noProof/>
                <w:webHidden/>
              </w:rPr>
              <w:tab/>
            </w:r>
            <w:r w:rsidR="00267124">
              <w:rPr>
                <w:noProof/>
                <w:webHidden/>
              </w:rPr>
              <w:fldChar w:fldCharType="begin"/>
            </w:r>
            <w:r w:rsidR="00267124">
              <w:rPr>
                <w:noProof/>
                <w:webHidden/>
              </w:rPr>
              <w:instrText xml:space="preserve"> PAGEREF _Toc10808373 \h </w:instrText>
            </w:r>
            <w:r w:rsidR="00267124">
              <w:rPr>
                <w:noProof/>
                <w:webHidden/>
              </w:rPr>
            </w:r>
            <w:r w:rsidR="00267124">
              <w:rPr>
                <w:noProof/>
                <w:webHidden/>
              </w:rPr>
              <w:fldChar w:fldCharType="separate"/>
            </w:r>
            <w:r w:rsidR="00B33232">
              <w:rPr>
                <w:noProof/>
                <w:webHidden/>
              </w:rPr>
              <w:t>5</w:t>
            </w:r>
            <w:r w:rsidR="00267124">
              <w:rPr>
                <w:noProof/>
                <w:webHidden/>
              </w:rPr>
              <w:fldChar w:fldCharType="end"/>
            </w:r>
          </w:hyperlink>
        </w:p>
        <w:p w:rsidR="00267124" w:rsidRDefault="001B1897">
          <w:pPr>
            <w:pStyle w:val="TOC1"/>
            <w:rPr>
              <w:rFonts w:asciiTheme="minorHAnsi" w:eastAsiaTheme="minorEastAsia" w:hAnsiTheme="minorHAnsi" w:cstheme="minorBidi"/>
              <w:szCs w:val="22"/>
              <w:lang w:eastAsia="en-AU"/>
            </w:rPr>
          </w:pPr>
          <w:hyperlink w:anchor="_Toc10808374" w:history="1">
            <w:r w:rsidR="00267124" w:rsidRPr="00456916">
              <w:rPr>
                <w:rStyle w:val="Hyperlink"/>
              </w:rPr>
              <w:t>Introduction</w:t>
            </w:r>
            <w:r w:rsidR="00267124">
              <w:rPr>
                <w:webHidden/>
              </w:rPr>
              <w:tab/>
            </w:r>
            <w:r w:rsidR="00267124">
              <w:rPr>
                <w:webHidden/>
              </w:rPr>
              <w:fldChar w:fldCharType="begin"/>
            </w:r>
            <w:r w:rsidR="00267124">
              <w:rPr>
                <w:webHidden/>
              </w:rPr>
              <w:instrText xml:space="preserve"> PAGEREF _Toc10808374 \h </w:instrText>
            </w:r>
            <w:r w:rsidR="00267124">
              <w:rPr>
                <w:webHidden/>
              </w:rPr>
            </w:r>
            <w:r w:rsidR="00267124">
              <w:rPr>
                <w:webHidden/>
              </w:rPr>
              <w:fldChar w:fldCharType="separate"/>
            </w:r>
            <w:r w:rsidR="00B33232">
              <w:rPr>
                <w:webHidden/>
              </w:rPr>
              <w:t>7</w:t>
            </w:r>
            <w:r w:rsidR="00267124">
              <w:rPr>
                <w:webHidden/>
              </w:rPr>
              <w:fldChar w:fldCharType="end"/>
            </w:r>
          </w:hyperlink>
        </w:p>
        <w:p w:rsidR="00267124" w:rsidRDefault="001B1897">
          <w:pPr>
            <w:pStyle w:val="TOC1"/>
            <w:rPr>
              <w:rFonts w:asciiTheme="minorHAnsi" w:eastAsiaTheme="minorEastAsia" w:hAnsiTheme="minorHAnsi" w:cstheme="minorBidi"/>
              <w:szCs w:val="22"/>
              <w:lang w:eastAsia="en-AU"/>
            </w:rPr>
          </w:pPr>
          <w:hyperlink w:anchor="_Toc10808375" w:history="1">
            <w:r w:rsidR="00267124" w:rsidRPr="00456916">
              <w:rPr>
                <w:rStyle w:val="Hyperlink"/>
              </w:rPr>
              <w:t>Current workforce status</w:t>
            </w:r>
            <w:r w:rsidR="00267124">
              <w:rPr>
                <w:webHidden/>
              </w:rPr>
              <w:tab/>
            </w:r>
            <w:r w:rsidR="00267124">
              <w:rPr>
                <w:webHidden/>
              </w:rPr>
              <w:fldChar w:fldCharType="begin"/>
            </w:r>
            <w:r w:rsidR="00267124">
              <w:rPr>
                <w:webHidden/>
              </w:rPr>
              <w:instrText xml:space="preserve"> PAGEREF _Toc10808375 \h </w:instrText>
            </w:r>
            <w:r w:rsidR="00267124">
              <w:rPr>
                <w:webHidden/>
              </w:rPr>
            </w:r>
            <w:r w:rsidR="00267124">
              <w:rPr>
                <w:webHidden/>
              </w:rPr>
              <w:fldChar w:fldCharType="separate"/>
            </w:r>
            <w:r w:rsidR="00B33232">
              <w:rPr>
                <w:webHidden/>
              </w:rPr>
              <w:t>8</w:t>
            </w:r>
            <w:r w:rsidR="00267124">
              <w:rPr>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376" w:history="1">
            <w:r w:rsidR="00267124" w:rsidRPr="00456916">
              <w:rPr>
                <w:rStyle w:val="Hyperlink"/>
                <w:noProof/>
              </w:rPr>
              <w:t>Registration</w:t>
            </w:r>
            <w:r w:rsidR="00267124">
              <w:rPr>
                <w:noProof/>
                <w:webHidden/>
              </w:rPr>
              <w:tab/>
            </w:r>
            <w:r w:rsidR="00267124">
              <w:rPr>
                <w:noProof/>
                <w:webHidden/>
              </w:rPr>
              <w:fldChar w:fldCharType="begin"/>
            </w:r>
            <w:r w:rsidR="00267124">
              <w:rPr>
                <w:noProof/>
                <w:webHidden/>
              </w:rPr>
              <w:instrText xml:space="preserve"> PAGEREF _Toc10808376 \h </w:instrText>
            </w:r>
            <w:r w:rsidR="00267124">
              <w:rPr>
                <w:noProof/>
                <w:webHidden/>
              </w:rPr>
            </w:r>
            <w:r w:rsidR="00267124">
              <w:rPr>
                <w:noProof/>
                <w:webHidden/>
              </w:rPr>
              <w:fldChar w:fldCharType="separate"/>
            </w:r>
            <w:r w:rsidR="00B33232">
              <w:rPr>
                <w:noProof/>
                <w:webHidden/>
              </w:rPr>
              <w:t>8</w:t>
            </w:r>
            <w:r w:rsidR="00267124">
              <w:rPr>
                <w:noProof/>
                <w:webHidden/>
              </w:rPr>
              <w:fldChar w:fldCharType="end"/>
            </w:r>
          </w:hyperlink>
        </w:p>
        <w:p w:rsidR="00267124" w:rsidRDefault="001B1897">
          <w:pPr>
            <w:pStyle w:val="TOC1"/>
            <w:rPr>
              <w:rFonts w:asciiTheme="minorHAnsi" w:eastAsiaTheme="minorEastAsia" w:hAnsiTheme="minorHAnsi" w:cstheme="minorBidi"/>
              <w:szCs w:val="22"/>
              <w:lang w:eastAsia="en-AU"/>
            </w:rPr>
          </w:pPr>
          <w:hyperlink w:anchor="_Toc10808377" w:history="1">
            <w:r w:rsidR="00267124" w:rsidRPr="00456916">
              <w:rPr>
                <w:rStyle w:val="Hyperlink"/>
              </w:rPr>
              <w:t>Current demographics</w:t>
            </w:r>
            <w:r w:rsidR="00267124">
              <w:rPr>
                <w:webHidden/>
              </w:rPr>
              <w:tab/>
            </w:r>
            <w:r w:rsidR="00267124">
              <w:rPr>
                <w:webHidden/>
              </w:rPr>
              <w:fldChar w:fldCharType="begin"/>
            </w:r>
            <w:r w:rsidR="00267124">
              <w:rPr>
                <w:webHidden/>
              </w:rPr>
              <w:instrText xml:space="preserve"> PAGEREF _Toc10808377 \h </w:instrText>
            </w:r>
            <w:r w:rsidR="00267124">
              <w:rPr>
                <w:webHidden/>
              </w:rPr>
            </w:r>
            <w:r w:rsidR="00267124">
              <w:rPr>
                <w:webHidden/>
              </w:rPr>
              <w:fldChar w:fldCharType="separate"/>
            </w:r>
            <w:r w:rsidR="00B33232">
              <w:rPr>
                <w:webHidden/>
              </w:rPr>
              <w:t>10</w:t>
            </w:r>
            <w:r w:rsidR="00267124">
              <w:rPr>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378" w:history="1">
            <w:r w:rsidR="00267124" w:rsidRPr="00456916">
              <w:rPr>
                <w:rStyle w:val="Hyperlink"/>
                <w:noProof/>
              </w:rPr>
              <w:t>Role in midwifery</w:t>
            </w:r>
            <w:r w:rsidR="00267124">
              <w:rPr>
                <w:noProof/>
                <w:webHidden/>
              </w:rPr>
              <w:tab/>
            </w:r>
            <w:r w:rsidR="00267124">
              <w:rPr>
                <w:noProof/>
                <w:webHidden/>
              </w:rPr>
              <w:fldChar w:fldCharType="begin"/>
            </w:r>
            <w:r w:rsidR="00267124">
              <w:rPr>
                <w:noProof/>
                <w:webHidden/>
              </w:rPr>
              <w:instrText xml:space="preserve"> PAGEREF _Toc10808378 \h </w:instrText>
            </w:r>
            <w:r w:rsidR="00267124">
              <w:rPr>
                <w:noProof/>
                <w:webHidden/>
              </w:rPr>
            </w:r>
            <w:r w:rsidR="00267124">
              <w:rPr>
                <w:noProof/>
                <w:webHidden/>
              </w:rPr>
              <w:fldChar w:fldCharType="separate"/>
            </w:r>
            <w:r w:rsidR="00B33232">
              <w:rPr>
                <w:noProof/>
                <w:webHidden/>
              </w:rPr>
              <w:t>10</w:t>
            </w:r>
            <w:r w:rsidR="00267124">
              <w:rPr>
                <w:noProof/>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379" w:history="1">
            <w:r w:rsidR="00267124" w:rsidRPr="00456916">
              <w:rPr>
                <w:rStyle w:val="Hyperlink"/>
                <w:noProof/>
              </w:rPr>
              <w:t>Work setting</w:t>
            </w:r>
            <w:r w:rsidR="00267124">
              <w:rPr>
                <w:noProof/>
                <w:webHidden/>
              </w:rPr>
              <w:tab/>
            </w:r>
            <w:r w:rsidR="00267124">
              <w:rPr>
                <w:noProof/>
                <w:webHidden/>
              </w:rPr>
              <w:fldChar w:fldCharType="begin"/>
            </w:r>
            <w:r w:rsidR="00267124">
              <w:rPr>
                <w:noProof/>
                <w:webHidden/>
              </w:rPr>
              <w:instrText xml:space="preserve"> PAGEREF _Toc10808379 \h </w:instrText>
            </w:r>
            <w:r w:rsidR="00267124">
              <w:rPr>
                <w:noProof/>
                <w:webHidden/>
              </w:rPr>
            </w:r>
            <w:r w:rsidR="00267124">
              <w:rPr>
                <w:noProof/>
                <w:webHidden/>
              </w:rPr>
              <w:fldChar w:fldCharType="separate"/>
            </w:r>
            <w:r w:rsidR="00B33232">
              <w:rPr>
                <w:noProof/>
                <w:webHidden/>
              </w:rPr>
              <w:t>11</w:t>
            </w:r>
            <w:r w:rsidR="00267124">
              <w:rPr>
                <w:noProof/>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380" w:history="1">
            <w:r w:rsidR="00267124" w:rsidRPr="00456916">
              <w:rPr>
                <w:rStyle w:val="Hyperlink"/>
                <w:noProof/>
              </w:rPr>
              <w:t>Distribution</w:t>
            </w:r>
            <w:r w:rsidR="00267124">
              <w:rPr>
                <w:noProof/>
                <w:webHidden/>
              </w:rPr>
              <w:tab/>
            </w:r>
            <w:r w:rsidR="00267124">
              <w:rPr>
                <w:noProof/>
                <w:webHidden/>
              </w:rPr>
              <w:fldChar w:fldCharType="begin"/>
            </w:r>
            <w:r w:rsidR="00267124">
              <w:rPr>
                <w:noProof/>
                <w:webHidden/>
              </w:rPr>
              <w:instrText xml:space="preserve"> PAGEREF _Toc10808380 \h </w:instrText>
            </w:r>
            <w:r w:rsidR="00267124">
              <w:rPr>
                <w:noProof/>
                <w:webHidden/>
              </w:rPr>
            </w:r>
            <w:r w:rsidR="00267124">
              <w:rPr>
                <w:noProof/>
                <w:webHidden/>
              </w:rPr>
              <w:fldChar w:fldCharType="separate"/>
            </w:r>
            <w:r w:rsidR="00B33232">
              <w:rPr>
                <w:noProof/>
                <w:webHidden/>
              </w:rPr>
              <w:t>11</w:t>
            </w:r>
            <w:r w:rsidR="00267124">
              <w:rPr>
                <w:noProof/>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381" w:history="1">
            <w:r w:rsidR="00267124" w:rsidRPr="00456916">
              <w:rPr>
                <w:rStyle w:val="Hyperlink"/>
                <w:noProof/>
              </w:rPr>
              <w:t>Hours worked</w:t>
            </w:r>
            <w:r w:rsidR="00267124">
              <w:rPr>
                <w:noProof/>
                <w:webHidden/>
              </w:rPr>
              <w:tab/>
            </w:r>
            <w:r w:rsidR="00267124">
              <w:rPr>
                <w:noProof/>
                <w:webHidden/>
              </w:rPr>
              <w:fldChar w:fldCharType="begin"/>
            </w:r>
            <w:r w:rsidR="00267124">
              <w:rPr>
                <w:noProof/>
                <w:webHidden/>
              </w:rPr>
              <w:instrText xml:space="preserve"> PAGEREF _Toc10808381 \h </w:instrText>
            </w:r>
            <w:r w:rsidR="00267124">
              <w:rPr>
                <w:noProof/>
                <w:webHidden/>
              </w:rPr>
            </w:r>
            <w:r w:rsidR="00267124">
              <w:rPr>
                <w:noProof/>
                <w:webHidden/>
              </w:rPr>
              <w:fldChar w:fldCharType="separate"/>
            </w:r>
            <w:r w:rsidR="00B33232">
              <w:rPr>
                <w:noProof/>
                <w:webHidden/>
              </w:rPr>
              <w:t>12</w:t>
            </w:r>
            <w:r w:rsidR="00267124">
              <w:rPr>
                <w:noProof/>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382" w:history="1">
            <w:r w:rsidR="00267124" w:rsidRPr="00456916">
              <w:rPr>
                <w:rStyle w:val="Hyperlink"/>
                <w:noProof/>
              </w:rPr>
              <w:t>Midwives who attended a home birth as the primary midwife</w:t>
            </w:r>
            <w:r w:rsidR="00267124">
              <w:rPr>
                <w:noProof/>
                <w:webHidden/>
              </w:rPr>
              <w:tab/>
            </w:r>
            <w:r w:rsidR="00267124">
              <w:rPr>
                <w:noProof/>
                <w:webHidden/>
              </w:rPr>
              <w:fldChar w:fldCharType="begin"/>
            </w:r>
            <w:r w:rsidR="00267124">
              <w:rPr>
                <w:noProof/>
                <w:webHidden/>
              </w:rPr>
              <w:instrText xml:space="preserve"> PAGEREF _Toc10808382 \h </w:instrText>
            </w:r>
            <w:r w:rsidR="00267124">
              <w:rPr>
                <w:noProof/>
                <w:webHidden/>
              </w:rPr>
            </w:r>
            <w:r w:rsidR="00267124">
              <w:rPr>
                <w:noProof/>
                <w:webHidden/>
              </w:rPr>
              <w:fldChar w:fldCharType="separate"/>
            </w:r>
            <w:r w:rsidR="00B33232">
              <w:rPr>
                <w:noProof/>
                <w:webHidden/>
              </w:rPr>
              <w:t>13</w:t>
            </w:r>
            <w:r w:rsidR="00267124">
              <w:rPr>
                <w:noProof/>
                <w:webHidden/>
              </w:rPr>
              <w:fldChar w:fldCharType="end"/>
            </w:r>
          </w:hyperlink>
        </w:p>
        <w:p w:rsidR="00267124" w:rsidRDefault="001B1897">
          <w:pPr>
            <w:pStyle w:val="TOC1"/>
            <w:rPr>
              <w:rFonts w:asciiTheme="minorHAnsi" w:eastAsiaTheme="minorEastAsia" w:hAnsiTheme="minorHAnsi" w:cstheme="minorBidi"/>
              <w:szCs w:val="22"/>
              <w:lang w:eastAsia="en-AU"/>
            </w:rPr>
          </w:pPr>
          <w:hyperlink w:anchor="_Toc10808383" w:history="1">
            <w:r w:rsidR="00267124" w:rsidRPr="00456916">
              <w:rPr>
                <w:rStyle w:val="Hyperlink"/>
                <w:rFonts w:eastAsia="Times New Roman"/>
              </w:rPr>
              <w:t>Education</w:t>
            </w:r>
            <w:r w:rsidR="00267124">
              <w:rPr>
                <w:webHidden/>
              </w:rPr>
              <w:tab/>
            </w:r>
            <w:r w:rsidR="00267124">
              <w:rPr>
                <w:webHidden/>
              </w:rPr>
              <w:fldChar w:fldCharType="begin"/>
            </w:r>
            <w:r w:rsidR="00267124">
              <w:rPr>
                <w:webHidden/>
              </w:rPr>
              <w:instrText xml:space="preserve"> PAGEREF _Toc10808383 \h </w:instrText>
            </w:r>
            <w:r w:rsidR="00267124">
              <w:rPr>
                <w:webHidden/>
              </w:rPr>
            </w:r>
            <w:r w:rsidR="00267124">
              <w:rPr>
                <w:webHidden/>
              </w:rPr>
              <w:fldChar w:fldCharType="separate"/>
            </w:r>
            <w:r w:rsidR="00B33232">
              <w:rPr>
                <w:webHidden/>
              </w:rPr>
              <w:t>14</w:t>
            </w:r>
            <w:r w:rsidR="00267124">
              <w:rPr>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384" w:history="1">
            <w:r w:rsidR="00267124" w:rsidRPr="00456916">
              <w:rPr>
                <w:rStyle w:val="Hyperlink"/>
                <w:noProof/>
              </w:rPr>
              <w:t>Bachelor of Midwifery</w:t>
            </w:r>
            <w:r w:rsidR="00267124">
              <w:rPr>
                <w:noProof/>
                <w:webHidden/>
              </w:rPr>
              <w:tab/>
            </w:r>
            <w:r w:rsidR="00267124">
              <w:rPr>
                <w:noProof/>
                <w:webHidden/>
              </w:rPr>
              <w:fldChar w:fldCharType="begin"/>
            </w:r>
            <w:r w:rsidR="00267124">
              <w:rPr>
                <w:noProof/>
                <w:webHidden/>
              </w:rPr>
              <w:instrText xml:space="preserve"> PAGEREF _Toc10808384 \h </w:instrText>
            </w:r>
            <w:r w:rsidR="00267124">
              <w:rPr>
                <w:noProof/>
                <w:webHidden/>
              </w:rPr>
            </w:r>
            <w:r w:rsidR="00267124">
              <w:rPr>
                <w:noProof/>
                <w:webHidden/>
              </w:rPr>
              <w:fldChar w:fldCharType="separate"/>
            </w:r>
            <w:r w:rsidR="00B33232">
              <w:rPr>
                <w:noProof/>
                <w:webHidden/>
              </w:rPr>
              <w:t>14</w:t>
            </w:r>
            <w:r w:rsidR="00267124">
              <w:rPr>
                <w:noProof/>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385" w:history="1">
            <w:r w:rsidR="00267124" w:rsidRPr="00456916">
              <w:rPr>
                <w:rStyle w:val="Hyperlink"/>
                <w:noProof/>
              </w:rPr>
              <w:t>Bachelors of Nursing and Midwifery</w:t>
            </w:r>
            <w:r w:rsidR="00267124">
              <w:rPr>
                <w:noProof/>
                <w:webHidden/>
              </w:rPr>
              <w:tab/>
            </w:r>
            <w:r w:rsidR="00267124">
              <w:rPr>
                <w:noProof/>
                <w:webHidden/>
              </w:rPr>
              <w:fldChar w:fldCharType="begin"/>
            </w:r>
            <w:r w:rsidR="00267124">
              <w:rPr>
                <w:noProof/>
                <w:webHidden/>
              </w:rPr>
              <w:instrText xml:space="preserve"> PAGEREF _Toc10808385 \h </w:instrText>
            </w:r>
            <w:r w:rsidR="00267124">
              <w:rPr>
                <w:noProof/>
                <w:webHidden/>
              </w:rPr>
            </w:r>
            <w:r w:rsidR="00267124">
              <w:rPr>
                <w:noProof/>
                <w:webHidden/>
              </w:rPr>
              <w:fldChar w:fldCharType="separate"/>
            </w:r>
            <w:r w:rsidR="00B33232">
              <w:rPr>
                <w:noProof/>
                <w:webHidden/>
              </w:rPr>
              <w:t>14</w:t>
            </w:r>
            <w:r w:rsidR="00267124">
              <w:rPr>
                <w:noProof/>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386" w:history="1">
            <w:r w:rsidR="00267124" w:rsidRPr="00456916">
              <w:rPr>
                <w:rStyle w:val="Hyperlink"/>
                <w:noProof/>
              </w:rPr>
              <w:t>Graduate Diploma of Midwifery</w:t>
            </w:r>
            <w:r w:rsidR="00267124">
              <w:rPr>
                <w:noProof/>
                <w:webHidden/>
              </w:rPr>
              <w:tab/>
            </w:r>
            <w:r w:rsidR="00267124">
              <w:rPr>
                <w:noProof/>
                <w:webHidden/>
              </w:rPr>
              <w:fldChar w:fldCharType="begin"/>
            </w:r>
            <w:r w:rsidR="00267124">
              <w:rPr>
                <w:noProof/>
                <w:webHidden/>
              </w:rPr>
              <w:instrText xml:space="preserve"> PAGEREF _Toc10808386 \h </w:instrText>
            </w:r>
            <w:r w:rsidR="00267124">
              <w:rPr>
                <w:noProof/>
                <w:webHidden/>
              </w:rPr>
            </w:r>
            <w:r w:rsidR="00267124">
              <w:rPr>
                <w:noProof/>
                <w:webHidden/>
              </w:rPr>
              <w:fldChar w:fldCharType="separate"/>
            </w:r>
            <w:r w:rsidR="00B33232">
              <w:rPr>
                <w:noProof/>
                <w:webHidden/>
              </w:rPr>
              <w:t>14</w:t>
            </w:r>
            <w:r w:rsidR="00267124">
              <w:rPr>
                <w:noProof/>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387" w:history="1">
            <w:r w:rsidR="00267124" w:rsidRPr="00456916">
              <w:rPr>
                <w:rStyle w:val="Hyperlink"/>
                <w:noProof/>
              </w:rPr>
              <w:t>Master of Midwifery</w:t>
            </w:r>
            <w:r w:rsidR="00267124">
              <w:rPr>
                <w:noProof/>
                <w:webHidden/>
              </w:rPr>
              <w:tab/>
            </w:r>
            <w:r w:rsidR="00267124">
              <w:rPr>
                <w:noProof/>
                <w:webHidden/>
              </w:rPr>
              <w:fldChar w:fldCharType="begin"/>
            </w:r>
            <w:r w:rsidR="00267124">
              <w:rPr>
                <w:noProof/>
                <w:webHidden/>
              </w:rPr>
              <w:instrText xml:space="preserve"> PAGEREF _Toc10808387 \h </w:instrText>
            </w:r>
            <w:r w:rsidR="00267124">
              <w:rPr>
                <w:noProof/>
                <w:webHidden/>
              </w:rPr>
            </w:r>
            <w:r w:rsidR="00267124">
              <w:rPr>
                <w:noProof/>
                <w:webHidden/>
              </w:rPr>
              <w:fldChar w:fldCharType="separate"/>
            </w:r>
            <w:r w:rsidR="00B33232">
              <w:rPr>
                <w:noProof/>
                <w:webHidden/>
              </w:rPr>
              <w:t>14</w:t>
            </w:r>
            <w:r w:rsidR="00267124">
              <w:rPr>
                <w:noProof/>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388" w:history="1">
            <w:r w:rsidR="00267124" w:rsidRPr="00456916">
              <w:rPr>
                <w:rStyle w:val="Hyperlink"/>
                <w:noProof/>
              </w:rPr>
              <w:t>Endorsed Midwife</w:t>
            </w:r>
            <w:r w:rsidR="00267124">
              <w:rPr>
                <w:noProof/>
                <w:webHidden/>
              </w:rPr>
              <w:tab/>
            </w:r>
            <w:r w:rsidR="00267124">
              <w:rPr>
                <w:noProof/>
                <w:webHidden/>
              </w:rPr>
              <w:fldChar w:fldCharType="begin"/>
            </w:r>
            <w:r w:rsidR="00267124">
              <w:rPr>
                <w:noProof/>
                <w:webHidden/>
              </w:rPr>
              <w:instrText xml:space="preserve"> PAGEREF _Toc10808388 \h </w:instrText>
            </w:r>
            <w:r w:rsidR="00267124">
              <w:rPr>
                <w:noProof/>
                <w:webHidden/>
              </w:rPr>
            </w:r>
            <w:r w:rsidR="00267124">
              <w:rPr>
                <w:noProof/>
                <w:webHidden/>
              </w:rPr>
              <w:fldChar w:fldCharType="separate"/>
            </w:r>
            <w:r w:rsidR="00B33232">
              <w:rPr>
                <w:noProof/>
                <w:webHidden/>
              </w:rPr>
              <w:t>14</w:t>
            </w:r>
            <w:r w:rsidR="00267124">
              <w:rPr>
                <w:noProof/>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389" w:history="1">
            <w:r w:rsidR="00267124" w:rsidRPr="00456916">
              <w:rPr>
                <w:rStyle w:val="Hyperlink"/>
                <w:noProof/>
              </w:rPr>
              <w:t>Entry Programs for Internationally Qualified (EPIQ) Midwives</w:t>
            </w:r>
            <w:r w:rsidR="00267124">
              <w:rPr>
                <w:noProof/>
                <w:webHidden/>
              </w:rPr>
              <w:tab/>
            </w:r>
            <w:r w:rsidR="00267124">
              <w:rPr>
                <w:noProof/>
                <w:webHidden/>
              </w:rPr>
              <w:fldChar w:fldCharType="begin"/>
            </w:r>
            <w:r w:rsidR="00267124">
              <w:rPr>
                <w:noProof/>
                <w:webHidden/>
              </w:rPr>
              <w:instrText xml:space="preserve"> PAGEREF _Toc10808389 \h </w:instrText>
            </w:r>
            <w:r w:rsidR="00267124">
              <w:rPr>
                <w:noProof/>
                <w:webHidden/>
              </w:rPr>
            </w:r>
            <w:r w:rsidR="00267124">
              <w:rPr>
                <w:noProof/>
                <w:webHidden/>
              </w:rPr>
              <w:fldChar w:fldCharType="separate"/>
            </w:r>
            <w:r w:rsidR="00B33232">
              <w:rPr>
                <w:noProof/>
                <w:webHidden/>
              </w:rPr>
              <w:t>15</w:t>
            </w:r>
            <w:r w:rsidR="00267124">
              <w:rPr>
                <w:noProof/>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390" w:history="1">
            <w:r w:rsidR="00267124" w:rsidRPr="00456916">
              <w:rPr>
                <w:rStyle w:val="Hyperlink"/>
                <w:noProof/>
              </w:rPr>
              <w:t>Return to Practice</w:t>
            </w:r>
            <w:r w:rsidR="00267124">
              <w:rPr>
                <w:noProof/>
                <w:webHidden/>
              </w:rPr>
              <w:tab/>
            </w:r>
            <w:r w:rsidR="00267124">
              <w:rPr>
                <w:noProof/>
                <w:webHidden/>
              </w:rPr>
              <w:fldChar w:fldCharType="begin"/>
            </w:r>
            <w:r w:rsidR="00267124">
              <w:rPr>
                <w:noProof/>
                <w:webHidden/>
              </w:rPr>
              <w:instrText xml:space="preserve"> PAGEREF _Toc10808390 \h </w:instrText>
            </w:r>
            <w:r w:rsidR="00267124">
              <w:rPr>
                <w:noProof/>
                <w:webHidden/>
              </w:rPr>
            </w:r>
            <w:r w:rsidR="00267124">
              <w:rPr>
                <w:noProof/>
                <w:webHidden/>
              </w:rPr>
              <w:fldChar w:fldCharType="separate"/>
            </w:r>
            <w:r w:rsidR="00B33232">
              <w:rPr>
                <w:noProof/>
                <w:webHidden/>
              </w:rPr>
              <w:t>15</w:t>
            </w:r>
            <w:r w:rsidR="00267124">
              <w:rPr>
                <w:noProof/>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391" w:history="1">
            <w:r w:rsidR="00267124" w:rsidRPr="00456916">
              <w:rPr>
                <w:rStyle w:val="Hyperlink"/>
                <w:noProof/>
              </w:rPr>
              <w:t>Midwifery Programs and Recent Trends</w:t>
            </w:r>
            <w:r w:rsidR="00267124">
              <w:rPr>
                <w:noProof/>
                <w:webHidden/>
              </w:rPr>
              <w:tab/>
            </w:r>
            <w:r w:rsidR="00267124">
              <w:rPr>
                <w:noProof/>
                <w:webHidden/>
              </w:rPr>
              <w:fldChar w:fldCharType="begin"/>
            </w:r>
            <w:r w:rsidR="00267124">
              <w:rPr>
                <w:noProof/>
                <w:webHidden/>
              </w:rPr>
              <w:instrText xml:space="preserve"> PAGEREF _Toc10808391 \h </w:instrText>
            </w:r>
            <w:r w:rsidR="00267124">
              <w:rPr>
                <w:noProof/>
                <w:webHidden/>
              </w:rPr>
            </w:r>
            <w:r w:rsidR="00267124">
              <w:rPr>
                <w:noProof/>
                <w:webHidden/>
              </w:rPr>
              <w:fldChar w:fldCharType="separate"/>
            </w:r>
            <w:r w:rsidR="00B33232">
              <w:rPr>
                <w:noProof/>
                <w:webHidden/>
              </w:rPr>
              <w:t>15</w:t>
            </w:r>
            <w:r w:rsidR="00267124">
              <w:rPr>
                <w:noProof/>
                <w:webHidden/>
              </w:rPr>
              <w:fldChar w:fldCharType="end"/>
            </w:r>
          </w:hyperlink>
        </w:p>
        <w:p w:rsidR="00267124" w:rsidRDefault="001B1897">
          <w:pPr>
            <w:pStyle w:val="TOC1"/>
            <w:rPr>
              <w:rFonts w:asciiTheme="minorHAnsi" w:eastAsiaTheme="minorEastAsia" w:hAnsiTheme="minorHAnsi" w:cstheme="minorBidi"/>
              <w:szCs w:val="22"/>
              <w:lang w:eastAsia="en-AU"/>
            </w:rPr>
          </w:pPr>
          <w:hyperlink w:anchor="_Toc10808392" w:history="1">
            <w:r w:rsidR="00267124" w:rsidRPr="00456916">
              <w:rPr>
                <w:rStyle w:val="Hyperlink"/>
              </w:rPr>
              <w:t>Models of Care</w:t>
            </w:r>
            <w:r w:rsidR="00267124">
              <w:rPr>
                <w:webHidden/>
              </w:rPr>
              <w:tab/>
            </w:r>
            <w:r w:rsidR="00267124">
              <w:rPr>
                <w:webHidden/>
              </w:rPr>
              <w:fldChar w:fldCharType="begin"/>
            </w:r>
            <w:r w:rsidR="00267124">
              <w:rPr>
                <w:webHidden/>
              </w:rPr>
              <w:instrText xml:space="preserve"> PAGEREF _Toc10808392 \h </w:instrText>
            </w:r>
            <w:r w:rsidR="00267124">
              <w:rPr>
                <w:webHidden/>
              </w:rPr>
            </w:r>
            <w:r w:rsidR="00267124">
              <w:rPr>
                <w:webHidden/>
              </w:rPr>
              <w:fldChar w:fldCharType="separate"/>
            </w:r>
            <w:r w:rsidR="00B33232">
              <w:rPr>
                <w:webHidden/>
              </w:rPr>
              <w:t>16</w:t>
            </w:r>
            <w:r w:rsidR="00267124">
              <w:rPr>
                <w:webHidden/>
              </w:rPr>
              <w:fldChar w:fldCharType="end"/>
            </w:r>
          </w:hyperlink>
        </w:p>
        <w:p w:rsidR="00267124" w:rsidRDefault="001B1897">
          <w:pPr>
            <w:pStyle w:val="TOC1"/>
            <w:rPr>
              <w:rFonts w:asciiTheme="minorHAnsi" w:eastAsiaTheme="minorEastAsia" w:hAnsiTheme="minorHAnsi" w:cstheme="minorBidi"/>
              <w:szCs w:val="22"/>
              <w:lang w:eastAsia="en-AU"/>
            </w:rPr>
          </w:pPr>
          <w:hyperlink w:anchor="_Toc10808393" w:history="1">
            <w:r w:rsidR="00267124" w:rsidRPr="00456916">
              <w:rPr>
                <w:rStyle w:val="Hyperlink"/>
              </w:rPr>
              <w:t>Workforce projections</w:t>
            </w:r>
            <w:r w:rsidR="00267124">
              <w:rPr>
                <w:webHidden/>
              </w:rPr>
              <w:tab/>
            </w:r>
            <w:r w:rsidR="00267124">
              <w:rPr>
                <w:webHidden/>
              </w:rPr>
              <w:fldChar w:fldCharType="begin"/>
            </w:r>
            <w:r w:rsidR="00267124">
              <w:rPr>
                <w:webHidden/>
              </w:rPr>
              <w:instrText xml:space="preserve"> PAGEREF _Toc10808393 \h </w:instrText>
            </w:r>
            <w:r w:rsidR="00267124">
              <w:rPr>
                <w:webHidden/>
              </w:rPr>
            </w:r>
            <w:r w:rsidR="00267124">
              <w:rPr>
                <w:webHidden/>
              </w:rPr>
              <w:fldChar w:fldCharType="separate"/>
            </w:r>
            <w:r w:rsidR="00B33232">
              <w:rPr>
                <w:webHidden/>
              </w:rPr>
              <w:t>17</w:t>
            </w:r>
            <w:r w:rsidR="00267124">
              <w:rPr>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394" w:history="1">
            <w:r w:rsidR="00267124" w:rsidRPr="00456916">
              <w:rPr>
                <w:rStyle w:val="Hyperlink"/>
                <w:noProof/>
              </w:rPr>
              <w:t>Supply methodology</w:t>
            </w:r>
            <w:r w:rsidR="00267124">
              <w:rPr>
                <w:noProof/>
                <w:webHidden/>
              </w:rPr>
              <w:tab/>
            </w:r>
            <w:r w:rsidR="00267124">
              <w:rPr>
                <w:noProof/>
                <w:webHidden/>
              </w:rPr>
              <w:fldChar w:fldCharType="begin"/>
            </w:r>
            <w:r w:rsidR="00267124">
              <w:rPr>
                <w:noProof/>
                <w:webHidden/>
              </w:rPr>
              <w:instrText xml:space="preserve"> PAGEREF _Toc10808394 \h </w:instrText>
            </w:r>
            <w:r w:rsidR="00267124">
              <w:rPr>
                <w:noProof/>
                <w:webHidden/>
              </w:rPr>
            </w:r>
            <w:r w:rsidR="00267124">
              <w:rPr>
                <w:noProof/>
                <w:webHidden/>
              </w:rPr>
              <w:fldChar w:fldCharType="separate"/>
            </w:r>
            <w:r w:rsidR="00B33232">
              <w:rPr>
                <w:noProof/>
                <w:webHidden/>
              </w:rPr>
              <w:t>17</w:t>
            </w:r>
            <w:r w:rsidR="00267124">
              <w:rPr>
                <w:noProof/>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395" w:history="1">
            <w:r w:rsidR="00267124" w:rsidRPr="00456916">
              <w:rPr>
                <w:rStyle w:val="Hyperlink"/>
                <w:noProof/>
              </w:rPr>
              <w:t>Key inputs in the stock and flow model</w:t>
            </w:r>
            <w:r w:rsidR="00267124">
              <w:rPr>
                <w:noProof/>
                <w:webHidden/>
              </w:rPr>
              <w:tab/>
            </w:r>
            <w:r w:rsidR="00267124">
              <w:rPr>
                <w:noProof/>
                <w:webHidden/>
              </w:rPr>
              <w:fldChar w:fldCharType="begin"/>
            </w:r>
            <w:r w:rsidR="00267124">
              <w:rPr>
                <w:noProof/>
                <w:webHidden/>
              </w:rPr>
              <w:instrText xml:space="preserve"> PAGEREF _Toc10808395 \h </w:instrText>
            </w:r>
            <w:r w:rsidR="00267124">
              <w:rPr>
                <w:noProof/>
                <w:webHidden/>
              </w:rPr>
            </w:r>
            <w:r w:rsidR="00267124">
              <w:rPr>
                <w:noProof/>
                <w:webHidden/>
              </w:rPr>
              <w:fldChar w:fldCharType="separate"/>
            </w:r>
            <w:r w:rsidR="00B33232">
              <w:rPr>
                <w:noProof/>
                <w:webHidden/>
              </w:rPr>
              <w:t>18</w:t>
            </w:r>
            <w:r w:rsidR="00267124">
              <w:rPr>
                <w:noProof/>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396" w:history="1">
            <w:r w:rsidR="00267124" w:rsidRPr="00456916">
              <w:rPr>
                <w:rStyle w:val="Hyperlink"/>
                <w:noProof/>
              </w:rPr>
              <w:t>Workforce stock</w:t>
            </w:r>
            <w:r w:rsidR="00267124">
              <w:rPr>
                <w:noProof/>
                <w:webHidden/>
              </w:rPr>
              <w:tab/>
            </w:r>
            <w:r w:rsidR="00267124">
              <w:rPr>
                <w:noProof/>
                <w:webHidden/>
              </w:rPr>
              <w:fldChar w:fldCharType="begin"/>
            </w:r>
            <w:r w:rsidR="00267124">
              <w:rPr>
                <w:noProof/>
                <w:webHidden/>
              </w:rPr>
              <w:instrText xml:space="preserve"> PAGEREF _Toc10808396 \h </w:instrText>
            </w:r>
            <w:r w:rsidR="00267124">
              <w:rPr>
                <w:noProof/>
                <w:webHidden/>
              </w:rPr>
            </w:r>
            <w:r w:rsidR="00267124">
              <w:rPr>
                <w:noProof/>
                <w:webHidden/>
              </w:rPr>
              <w:fldChar w:fldCharType="separate"/>
            </w:r>
            <w:r w:rsidR="00B33232">
              <w:rPr>
                <w:noProof/>
                <w:webHidden/>
              </w:rPr>
              <w:t>18</w:t>
            </w:r>
            <w:r w:rsidR="00267124">
              <w:rPr>
                <w:noProof/>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397" w:history="1">
            <w:r w:rsidR="00267124" w:rsidRPr="00456916">
              <w:rPr>
                <w:rStyle w:val="Hyperlink"/>
                <w:noProof/>
              </w:rPr>
              <w:t>New graduates</w:t>
            </w:r>
            <w:r w:rsidR="00267124">
              <w:rPr>
                <w:noProof/>
                <w:webHidden/>
              </w:rPr>
              <w:tab/>
            </w:r>
            <w:r w:rsidR="00267124">
              <w:rPr>
                <w:noProof/>
                <w:webHidden/>
              </w:rPr>
              <w:fldChar w:fldCharType="begin"/>
            </w:r>
            <w:r w:rsidR="00267124">
              <w:rPr>
                <w:noProof/>
                <w:webHidden/>
              </w:rPr>
              <w:instrText xml:space="preserve"> PAGEREF _Toc10808397 \h </w:instrText>
            </w:r>
            <w:r w:rsidR="00267124">
              <w:rPr>
                <w:noProof/>
                <w:webHidden/>
              </w:rPr>
            </w:r>
            <w:r w:rsidR="00267124">
              <w:rPr>
                <w:noProof/>
                <w:webHidden/>
              </w:rPr>
              <w:fldChar w:fldCharType="separate"/>
            </w:r>
            <w:r w:rsidR="00B33232">
              <w:rPr>
                <w:noProof/>
                <w:webHidden/>
              </w:rPr>
              <w:t>18</w:t>
            </w:r>
            <w:r w:rsidR="00267124">
              <w:rPr>
                <w:noProof/>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398" w:history="1">
            <w:r w:rsidR="00267124" w:rsidRPr="00456916">
              <w:rPr>
                <w:rStyle w:val="Hyperlink"/>
                <w:noProof/>
              </w:rPr>
              <w:t>Migration</w:t>
            </w:r>
            <w:r w:rsidR="00267124">
              <w:rPr>
                <w:noProof/>
                <w:webHidden/>
              </w:rPr>
              <w:tab/>
            </w:r>
            <w:r w:rsidR="00267124">
              <w:rPr>
                <w:noProof/>
                <w:webHidden/>
              </w:rPr>
              <w:fldChar w:fldCharType="begin"/>
            </w:r>
            <w:r w:rsidR="00267124">
              <w:rPr>
                <w:noProof/>
                <w:webHidden/>
              </w:rPr>
              <w:instrText xml:space="preserve"> PAGEREF _Toc10808398 \h </w:instrText>
            </w:r>
            <w:r w:rsidR="00267124">
              <w:rPr>
                <w:noProof/>
                <w:webHidden/>
              </w:rPr>
            </w:r>
            <w:r w:rsidR="00267124">
              <w:rPr>
                <w:noProof/>
                <w:webHidden/>
              </w:rPr>
              <w:fldChar w:fldCharType="separate"/>
            </w:r>
            <w:r w:rsidR="00B33232">
              <w:rPr>
                <w:noProof/>
                <w:webHidden/>
              </w:rPr>
              <w:t>19</w:t>
            </w:r>
            <w:r w:rsidR="00267124">
              <w:rPr>
                <w:noProof/>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399" w:history="1">
            <w:r w:rsidR="00267124" w:rsidRPr="00456916">
              <w:rPr>
                <w:rStyle w:val="Hyperlink"/>
                <w:noProof/>
              </w:rPr>
              <w:t>New entrants</w:t>
            </w:r>
            <w:r w:rsidR="00267124">
              <w:rPr>
                <w:noProof/>
                <w:webHidden/>
              </w:rPr>
              <w:tab/>
            </w:r>
            <w:r w:rsidR="00267124">
              <w:rPr>
                <w:noProof/>
                <w:webHidden/>
              </w:rPr>
              <w:fldChar w:fldCharType="begin"/>
            </w:r>
            <w:r w:rsidR="00267124">
              <w:rPr>
                <w:noProof/>
                <w:webHidden/>
              </w:rPr>
              <w:instrText xml:space="preserve"> PAGEREF _Toc10808399 \h </w:instrText>
            </w:r>
            <w:r w:rsidR="00267124">
              <w:rPr>
                <w:noProof/>
                <w:webHidden/>
              </w:rPr>
            </w:r>
            <w:r w:rsidR="00267124">
              <w:rPr>
                <w:noProof/>
                <w:webHidden/>
              </w:rPr>
              <w:fldChar w:fldCharType="separate"/>
            </w:r>
            <w:r w:rsidR="00B33232">
              <w:rPr>
                <w:noProof/>
                <w:webHidden/>
              </w:rPr>
              <w:t>20</w:t>
            </w:r>
            <w:r w:rsidR="00267124">
              <w:rPr>
                <w:noProof/>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400" w:history="1">
            <w:r w:rsidR="00267124" w:rsidRPr="00456916">
              <w:rPr>
                <w:rStyle w:val="Hyperlink"/>
                <w:noProof/>
              </w:rPr>
              <w:t>Exits</w:t>
            </w:r>
            <w:r w:rsidR="00267124">
              <w:rPr>
                <w:noProof/>
                <w:webHidden/>
              </w:rPr>
              <w:tab/>
            </w:r>
            <w:r w:rsidR="00267124">
              <w:rPr>
                <w:noProof/>
                <w:webHidden/>
              </w:rPr>
              <w:fldChar w:fldCharType="begin"/>
            </w:r>
            <w:r w:rsidR="00267124">
              <w:rPr>
                <w:noProof/>
                <w:webHidden/>
              </w:rPr>
              <w:instrText xml:space="preserve"> PAGEREF _Toc10808400 \h </w:instrText>
            </w:r>
            <w:r w:rsidR="00267124">
              <w:rPr>
                <w:noProof/>
                <w:webHidden/>
              </w:rPr>
            </w:r>
            <w:r w:rsidR="00267124">
              <w:rPr>
                <w:noProof/>
                <w:webHidden/>
              </w:rPr>
              <w:fldChar w:fldCharType="separate"/>
            </w:r>
            <w:r w:rsidR="00B33232">
              <w:rPr>
                <w:noProof/>
                <w:webHidden/>
              </w:rPr>
              <w:t>20</w:t>
            </w:r>
            <w:r w:rsidR="00267124">
              <w:rPr>
                <w:noProof/>
                <w:webHidden/>
              </w:rPr>
              <w:fldChar w:fldCharType="end"/>
            </w:r>
          </w:hyperlink>
        </w:p>
        <w:p w:rsidR="00267124" w:rsidRDefault="001B1897">
          <w:pPr>
            <w:pStyle w:val="TOC1"/>
            <w:rPr>
              <w:rFonts w:asciiTheme="minorHAnsi" w:eastAsiaTheme="minorEastAsia" w:hAnsiTheme="minorHAnsi" w:cstheme="minorBidi"/>
              <w:szCs w:val="22"/>
              <w:lang w:eastAsia="en-AU"/>
            </w:rPr>
          </w:pPr>
          <w:hyperlink w:anchor="_Toc10808401" w:history="1">
            <w:r w:rsidR="00267124" w:rsidRPr="00456916">
              <w:rPr>
                <w:rStyle w:val="Hyperlink"/>
              </w:rPr>
              <w:t>Midwifery Training Analysis Pipeline (TAP) methodology</w:t>
            </w:r>
            <w:r w:rsidR="00267124">
              <w:rPr>
                <w:webHidden/>
              </w:rPr>
              <w:tab/>
            </w:r>
            <w:r w:rsidR="00267124">
              <w:rPr>
                <w:webHidden/>
              </w:rPr>
              <w:fldChar w:fldCharType="begin"/>
            </w:r>
            <w:r w:rsidR="00267124">
              <w:rPr>
                <w:webHidden/>
              </w:rPr>
              <w:instrText xml:space="preserve"> PAGEREF _Toc10808401 \h </w:instrText>
            </w:r>
            <w:r w:rsidR="00267124">
              <w:rPr>
                <w:webHidden/>
              </w:rPr>
            </w:r>
            <w:r w:rsidR="00267124">
              <w:rPr>
                <w:webHidden/>
              </w:rPr>
              <w:fldChar w:fldCharType="separate"/>
            </w:r>
            <w:r w:rsidR="00B33232">
              <w:rPr>
                <w:webHidden/>
              </w:rPr>
              <w:t>20</w:t>
            </w:r>
            <w:r w:rsidR="00267124">
              <w:rPr>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402" w:history="1">
            <w:r w:rsidR="00267124" w:rsidRPr="00456916">
              <w:rPr>
                <w:rStyle w:val="Hyperlink"/>
                <w:noProof/>
              </w:rPr>
              <w:t>Midwife</w:t>
            </w:r>
            <w:r w:rsidR="00267124" w:rsidRPr="00456916">
              <w:rPr>
                <w:rStyle w:val="Hyperlink"/>
                <w:noProof/>
                <w:lang w:val="x-none"/>
              </w:rPr>
              <w:t xml:space="preserve"> </w:t>
            </w:r>
            <w:r w:rsidR="00267124" w:rsidRPr="00456916">
              <w:rPr>
                <w:rStyle w:val="Hyperlink"/>
                <w:noProof/>
              </w:rPr>
              <w:t>Training</w:t>
            </w:r>
            <w:r w:rsidR="00267124" w:rsidRPr="00456916">
              <w:rPr>
                <w:rStyle w:val="Hyperlink"/>
                <w:noProof/>
                <w:lang w:val="x-none"/>
              </w:rPr>
              <w:t xml:space="preserve"> </w:t>
            </w:r>
            <w:r w:rsidR="00267124" w:rsidRPr="00456916">
              <w:rPr>
                <w:rStyle w:val="Hyperlink"/>
                <w:noProof/>
              </w:rPr>
              <w:t>Analysis Pipeline</w:t>
            </w:r>
            <w:r w:rsidR="00267124">
              <w:rPr>
                <w:noProof/>
                <w:webHidden/>
              </w:rPr>
              <w:tab/>
            </w:r>
            <w:r w:rsidR="00267124">
              <w:rPr>
                <w:noProof/>
                <w:webHidden/>
              </w:rPr>
              <w:fldChar w:fldCharType="begin"/>
            </w:r>
            <w:r w:rsidR="00267124">
              <w:rPr>
                <w:noProof/>
                <w:webHidden/>
              </w:rPr>
              <w:instrText xml:space="preserve"> PAGEREF _Toc10808402 \h </w:instrText>
            </w:r>
            <w:r w:rsidR="00267124">
              <w:rPr>
                <w:noProof/>
                <w:webHidden/>
              </w:rPr>
            </w:r>
            <w:r w:rsidR="00267124">
              <w:rPr>
                <w:noProof/>
                <w:webHidden/>
              </w:rPr>
              <w:fldChar w:fldCharType="separate"/>
            </w:r>
            <w:r w:rsidR="00B33232">
              <w:rPr>
                <w:noProof/>
                <w:webHidden/>
              </w:rPr>
              <w:t>21</w:t>
            </w:r>
            <w:r w:rsidR="00267124">
              <w:rPr>
                <w:noProof/>
                <w:webHidden/>
              </w:rPr>
              <w:fldChar w:fldCharType="end"/>
            </w:r>
          </w:hyperlink>
        </w:p>
        <w:p w:rsidR="00267124" w:rsidRDefault="001B1897">
          <w:pPr>
            <w:pStyle w:val="TOC1"/>
            <w:rPr>
              <w:rFonts w:asciiTheme="minorHAnsi" w:eastAsiaTheme="minorEastAsia" w:hAnsiTheme="minorHAnsi" w:cstheme="minorBidi"/>
              <w:szCs w:val="22"/>
              <w:lang w:eastAsia="en-AU"/>
            </w:rPr>
          </w:pPr>
          <w:hyperlink w:anchor="_Toc10808403" w:history="1">
            <w:r w:rsidR="00267124" w:rsidRPr="00456916">
              <w:rPr>
                <w:rStyle w:val="Hyperlink"/>
              </w:rPr>
              <w:t>Demand</w:t>
            </w:r>
            <w:r w:rsidR="00267124">
              <w:rPr>
                <w:webHidden/>
              </w:rPr>
              <w:tab/>
            </w:r>
            <w:r w:rsidR="00267124">
              <w:rPr>
                <w:webHidden/>
              </w:rPr>
              <w:fldChar w:fldCharType="begin"/>
            </w:r>
            <w:r w:rsidR="00267124">
              <w:rPr>
                <w:webHidden/>
              </w:rPr>
              <w:instrText xml:space="preserve"> PAGEREF _Toc10808403 \h </w:instrText>
            </w:r>
            <w:r w:rsidR="00267124">
              <w:rPr>
                <w:webHidden/>
              </w:rPr>
            </w:r>
            <w:r w:rsidR="00267124">
              <w:rPr>
                <w:webHidden/>
              </w:rPr>
              <w:fldChar w:fldCharType="separate"/>
            </w:r>
            <w:r w:rsidR="00B33232">
              <w:rPr>
                <w:webHidden/>
              </w:rPr>
              <w:t>23</w:t>
            </w:r>
            <w:r w:rsidR="00267124">
              <w:rPr>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404" w:history="1">
            <w:r w:rsidR="00267124" w:rsidRPr="00456916">
              <w:rPr>
                <w:rStyle w:val="Hyperlink"/>
                <w:rFonts w:eastAsia="Calibri"/>
                <w:noProof/>
                <w:lang w:eastAsia="en-AU"/>
              </w:rPr>
              <w:t>Previous methodology</w:t>
            </w:r>
            <w:r w:rsidR="00267124">
              <w:rPr>
                <w:noProof/>
                <w:webHidden/>
              </w:rPr>
              <w:tab/>
            </w:r>
            <w:r w:rsidR="00267124">
              <w:rPr>
                <w:noProof/>
                <w:webHidden/>
              </w:rPr>
              <w:fldChar w:fldCharType="begin"/>
            </w:r>
            <w:r w:rsidR="00267124">
              <w:rPr>
                <w:noProof/>
                <w:webHidden/>
              </w:rPr>
              <w:instrText xml:space="preserve"> PAGEREF _Toc10808404 \h </w:instrText>
            </w:r>
            <w:r w:rsidR="00267124">
              <w:rPr>
                <w:noProof/>
                <w:webHidden/>
              </w:rPr>
            </w:r>
            <w:r w:rsidR="00267124">
              <w:rPr>
                <w:noProof/>
                <w:webHidden/>
              </w:rPr>
              <w:fldChar w:fldCharType="separate"/>
            </w:r>
            <w:r w:rsidR="00B33232">
              <w:rPr>
                <w:noProof/>
                <w:webHidden/>
              </w:rPr>
              <w:t>23</w:t>
            </w:r>
            <w:r w:rsidR="00267124">
              <w:rPr>
                <w:noProof/>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405" w:history="1">
            <w:r w:rsidR="00267124" w:rsidRPr="00456916">
              <w:rPr>
                <w:rStyle w:val="Hyperlink"/>
                <w:rFonts w:eastAsia="Calibri"/>
                <w:noProof/>
              </w:rPr>
              <w:t>Continuity of care</w:t>
            </w:r>
            <w:r w:rsidR="00267124">
              <w:rPr>
                <w:noProof/>
                <w:webHidden/>
              </w:rPr>
              <w:tab/>
            </w:r>
            <w:r w:rsidR="00267124">
              <w:rPr>
                <w:noProof/>
                <w:webHidden/>
              </w:rPr>
              <w:fldChar w:fldCharType="begin"/>
            </w:r>
            <w:r w:rsidR="00267124">
              <w:rPr>
                <w:noProof/>
                <w:webHidden/>
              </w:rPr>
              <w:instrText xml:space="preserve"> PAGEREF _Toc10808405 \h </w:instrText>
            </w:r>
            <w:r w:rsidR="00267124">
              <w:rPr>
                <w:noProof/>
                <w:webHidden/>
              </w:rPr>
            </w:r>
            <w:r w:rsidR="00267124">
              <w:rPr>
                <w:noProof/>
                <w:webHidden/>
              </w:rPr>
              <w:fldChar w:fldCharType="separate"/>
            </w:r>
            <w:r w:rsidR="00B33232">
              <w:rPr>
                <w:noProof/>
                <w:webHidden/>
              </w:rPr>
              <w:t>23</w:t>
            </w:r>
            <w:r w:rsidR="00267124">
              <w:rPr>
                <w:noProof/>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406" w:history="1">
            <w:r w:rsidR="00267124" w:rsidRPr="00456916">
              <w:rPr>
                <w:rStyle w:val="Hyperlink"/>
                <w:rFonts w:eastAsia="Calibri"/>
                <w:noProof/>
                <w:lang w:eastAsia="en-AU"/>
              </w:rPr>
              <w:t>Full continuity of care</w:t>
            </w:r>
            <w:r w:rsidR="00267124">
              <w:rPr>
                <w:noProof/>
                <w:webHidden/>
              </w:rPr>
              <w:tab/>
            </w:r>
            <w:r w:rsidR="00267124">
              <w:rPr>
                <w:noProof/>
                <w:webHidden/>
              </w:rPr>
              <w:fldChar w:fldCharType="begin"/>
            </w:r>
            <w:r w:rsidR="00267124">
              <w:rPr>
                <w:noProof/>
                <w:webHidden/>
              </w:rPr>
              <w:instrText xml:space="preserve"> PAGEREF _Toc10808406 \h </w:instrText>
            </w:r>
            <w:r w:rsidR="00267124">
              <w:rPr>
                <w:noProof/>
                <w:webHidden/>
              </w:rPr>
            </w:r>
            <w:r w:rsidR="00267124">
              <w:rPr>
                <w:noProof/>
                <w:webHidden/>
              </w:rPr>
              <w:fldChar w:fldCharType="separate"/>
            </w:r>
            <w:r w:rsidR="00B33232">
              <w:rPr>
                <w:noProof/>
                <w:webHidden/>
              </w:rPr>
              <w:t>25</w:t>
            </w:r>
            <w:r w:rsidR="00267124">
              <w:rPr>
                <w:noProof/>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407" w:history="1">
            <w:r w:rsidR="00267124" w:rsidRPr="00456916">
              <w:rPr>
                <w:rStyle w:val="Hyperlink"/>
                <w:noProof/>
              </w:rPr>
              <w:t>Data sources</w:t>
            </w:r>
            <w:r w:rsidR="00267124">
              <w:rPr>
                <w:noProof/>
                <w:webHidden/>
              </w:rPr>
              <w:tab/>
            </w:r>
            <w:r w:rsidR="00267124">
              <w:rPr>
                <w:noProof/>
                <w:webHidden/>
              </w:rPr>
              <w:fldChar w:fldCharType="begin"/>
            </w:r>
            <w:r w:rsidR="00267124">
              <w:rPr>
                <w:noProof/>
                <w:webHidden/>
              </w:rPr>
              <w:instrText xml:space="preserve"> PAGEREF _Toc10808407 \h </w:instrText>
            </w:r>
            <w:r w:rsidR="00267124">
              <w:rPr>
                <w:noProof/>
                <w:webHidden/>
              </w:rPr>
            </w:r>
            <w:r w:rsidR="00267124">
              <w:rPr>
                <w:noProof/>
                <w:webHidden/>
              </w:rPr>
              <w:fldChar w:fldCharType="separate"/>
            </w:r>
            <w:r w:rsidR="00B33232">
              <w:rPr>
                <w:noProof/>
                <w:webHidden/>
              </w:rPr>
              <w:t>25</w:t>
            </w:r>
            <w:r w:rsidR="00267124">
              <w:rPr>
                <w:noProof/>
                <w:webHidden/>
              </w:rPr>
              <w:fldChar w:fldCharType="end"/>
            </w:r>
          </w:hyperlink>
        </w:p>
        <w:p w:rsidR="00267124" w:rsidRDefault="001B1897">
          <w:pPr>
            <w:pStyle w:val="TOC1"/>
            <w:rPr>
              <w:rFonts w:asciiTheme="minorHAnsi" w:eastAsiaTheme="minorEastAsia" w:hAnsiTheme="minorHAnsi" w:cstheme="minorBidi"/>
              <w:szCs w:val="22"/>
              <w:lang w:eastAsia="en-AU"/>
            </w:rPr>
          </w:pPr>
          <w:hyperlink w:anchor="_Toc10808408" w:history="1">
            <w:r w:rsidR="00267124" w:rsidRPr="00456916">
              <w:rPr>
                <w:rStyle w:val="Hyperlink"/>
              </w:rPr>
              <w:t>Current utilisation trends</w:t>
            </w:r>
            <w:r w:rsidR="00267124">
              <w:rPr>
                <w:webHidden/>
              </w:rPr>
              <w:tab/>
            </w:r>
            <w:r w:rsidR="00267124">
              <w:rPr>
                <w:webHidden/>
              </w:rPr>
              <w:fldChar w:fldCharType="begin"/>
            </w:r>
            <w:r w:rsidR="00267124">
              <w:rPr>
                <w:webHidden/>
              </w:rPr>
              <w:instrText xml:space="preserve"> PAGEREF _Toc10808408 \h </w:instrText>
            </w:r>
            <w:r w:rsidR="00267124">
              <w:rPr>
                <w:webHidden/>
              </w:rPr>
            </w:r>
            <w:r w:rsidR="00267124">
              <w:rPr>
                <w:webHidden/>
              </w:rPr>
              <w:fldChar w:fldCharType="separate"/>
            </w:r>
            <w:r w:rsidR="00B33232">
              <w:rPr>
                <w:webHidden/>
              </w:rPr>
              <w:t>26</w:t>
            </w:r>
            <w:r w:rsidR="00267124">
              <w:rPr>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409" w:history="1">
            <w:r w:rsidR="00267124" w:rsidRPr="00456916">
              <w:rPr>
                <w:rStyle w:val="Hyperlink"/>
                <w:noProof/>
              </w:rPr>
              <w:t>Births</w:t>
            </w:r>
            <w:r w:rsidR="00267124">
              <w:rPr>
                <w:noProof/>
                <w:webHidden/>
              </w:rPr>
              <w:tab/>
            </w:r>
            <w:r w:rsidR="00267124">
              <w:rPr>
                <w:noProof/>
                <w:webHidden/>
              </w:rPr>
              <w:fldChar w:fldCharType="begin"/>
            </w:r>
            <w:r w:rsidR="00267124">
              <w:rPr>
                <w:noProof/>
                <w:webHidden/>
              </w:rPr>
              <w:instrText xml:space="preserve"> PAGEREF _Toc10808409 \h </w:instrText>
            </w:r>
            <w:r w:rsidR="00267124">
              <w:rPr>
                <w:noProof/>
                <w:webHidden/>
              </w:rPr>
            </w:r>
            <w:r w:rsidR="00267124">
              <w:rPr>
                <w:noProof/>
                <w:webHidden/>
              </w:rPr>
              <w:fldChar w:fldCharType="separate"/>
            </w:r>
            <w:r w:rsidR="00B33232">
              <w:rPr>
                <w:noProof/>
                <w:webHidden/>
              </w:rPr>
              <w:t>26</w:t>
            </w:r>
            <w:r w:rsidR="00267124">
              <w:rPr>
                <w:noProof/>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410" w:history="1">
            <w:r w:rsidR="00267124" w:rsidRPr="00456916">
              <w:rPr>
                <w:rStyle w:val="Hyperlink"/>
                <w:noProof/>
              </w:rPr>
              <w:t>Antenatal attendances</w:t>
            </w:r>
            <w:r w:rsidR="00267124">
              <w:rPr>
                <w:noProof/>
                <w:webHidden/>
              </w:rPr>
              <w:tab/>
            </w:r>
            <w:r w:rsidR="00267124">
              <w:rPr>
                <w:noProof/>
                <w:webHidden/>
              </w:rPr>
              <w:fldChar w:fldCharType="begin"/>
            </w:r>
            <w:r w:rsidR="00267124">
              <w:rPr>
                <w:noProof/>
                <w:webHidden/>
              </w:rPr>
              <w:instrText xml:space="preserve"> PAGEREF _Toc10808410 \h </w:instrText>
            </w:r>
            <w:r w:rsidR="00267124">
              <w:rPr>
                <w:noProof/>
                <w:webHidden/>
              </w:rPr>
            </w:r>
            <w:r w:rsidR="00267124">
              <w:rPr>
                <w:noProof/>
                <w:webHidden/>
              </w:rPr>
              <w:fldChar w:fldCharType="separate"/>
            </w:r>
            <w:r w:rsidR="00B33232">
              <w:rPr>
                <w:noProof/>
                <w:webHidden/>
              </w:rPr>
              <w:t>30</w:t>
            </w:r>
            <w:r w:rsidR="00267124">
              <w:rPr>
                <w:noProof/>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411" w:history="1">
            <w:r w:rsidR="00267124" w:rsidRPr="00456916">
              <w:rPr>
                <w:rStyle w:val="Hyperlink"/>
                <w:noProof/>
              </w:rPr>
              <w:t>Postnatal</w:t>
            </w:r>
            <w:r w:rsidR="00267124">
              <w:rPr>
                <w:noProof/>
                <w:webHidden/>
              </w:rPr>
              <w:tab/>
            </w:r>
            <w:r w:rsidR="00267124">
              <w:rPr>
                <w:noProof/>
                <w:webHidden/>
              </w:rPr>
              <w:fldChar w:fldCharType="begin"/>
            </w:r>
            <w:r w:rsidR="00267124">
              <w:rPr>
                <w:noProof/>
                <w:webHidden/>
              </w:rPr>
              <w:instrText xml:space="preserve"> PAGEREF _Toc10808411 \h </w:instrText>
            </w:r>
            <w:r w:rsidR="00267124">
              <w:rPr>
                <w:noProof/>
                <w:webHidden/>
              </w:rPr>
            </w:r>
            <w:r w:rsidR="00267124">
              <w:rPr>
                <w:noProof/>
                <w:webHidden/>
              </w:rPr>
              <w:fldChar w:fldCharType="separate"/>
            </w:r>
            <w:r w:rsidR="00B33232">
              <w:rPr>
                <w:noProof/>
                <w:webHidden/>
              </w:rPr>
              <w:t>30</w:t>
            </w:r>
            <w:r w:rsidR="00267124">
              <w:rPr>
                <w:noProof/>
                <w:webHidden/>
              </w:rPr>
              <w:fldChar w:fldCharType="end"/>
            </w:r>
          </w:hyperlink>
        </w:p>
        <w:p w:rsidR="00267124" w:rsidRDefault="001B1897">
          <w:pPr>
            <w:pStyle w:val="TOC1"/>
            <w:rPr>
              <w:rFonts w:asciiTheme="minorHAnsi" w:eastAsiaTheme="minorEastAsia" w:hAnsiTheme="minorHAnsi" w:cstheme="minorBidi"/>
              <w:szCs w:val="22"/>
              <w:lang w:eastAsia="en-AU"/>
            </w:rPr>
          </w:pPr>
          <w:hyperlink w:anchor="_Toc10808412" w:history="1">
            <w:r w:rsidR="00267124" w:rsidRPr="00456916">
              <w:rPr>
                <w:rStyle w:val="Hyperlink"/>
              </w:rPr>
              <w:t>Scenarios</w:t>
            </w:r>
            <w:r w:rsidR="00267124">
              <w:rPr>
                <w:webHidden/>
              </w:rPr>
              <w:tab/>
            </w:r>
            <w:r w:rsidR="00267124">
              <w:rPr>
                <w:webHidden/>
              </w:rPr>
              <w:fldChar w:fldCharType="begin"/>
            </w:r>
            <w:r w:rsidR="00267124">
              <w:rPr>
                <w:webHidden/>
              </w:rPr>
              <w:instrText xml:space="preserve"> PAGEREF _Toc10808412 \h </w:instrText>
            </w:r>
            <w:r w:rsidR="00267124">
              <w:rPr>
                <w:webHidden/>
              </w:rPr>
            </w:r>
            <w:r w:rsidR="00267124">
              <w:rPr>
                <w:webHidden/>
              </w:rPr>
              <w:fldChar w:fldCharType="separate"/>
            </w:r>
            <w:r w:rsidR="00B33232">
              <w:rPr>
                <w:webHidden/>
              </w:rPr>
              <w:t>31</w:t>
            </w:r>
            <w:r w:rsidR="00267124">
              <w:rPr>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413" w:history="1">
            <w:r w:rsidR="00267124" w:rsidRPr="00456916">
              <w:rPr>
                <w:rStyle w:val="Hyperlink"/>
                <w:noProof/>
              </w:rPr>
              <w:t>Continuity of care (baseline) scenario</w:t>
            </w:r>
            <w:r w:rsidR="00267124">
              <w:rPr>
                <w:noProof/>
                <w:webHidden/>
              </w:rPr>
              <w:tab/>
            </w:r>
            <w:r w:rsidR="00267124">
              <w:rPr>
                <w:noProof/>
                <w:webHidden/>
              </w:rPr>
              <w:fldChar w:fldCharType="begin"/>
            </w:r>
            <w:r w:rsidR="00267124">
              <w:rPr>
                <w:noProof/>
                <w:webHidden/>
              </w:rPr>
              <w:instrText xml:space="preserve"> PAGEREF _Toc10808413 \h </w:instrText>
            </w:r>
            <w:r w:rsidR="00267124">
              <w:rPr>
                <w:noProof/>
                <w:webHidden/>
              </w:rPr>
            </w:r>
            <w:r w:rsidR="00267124">
              <w:rPr>
                <w:noProof/>
                <w:webHidden/>
              </w:rPr>
              <w:fldChar w:fldCharType="separate"/>
            </w:r>
            <w:r w:rsidR="00B33232">
              <w:rPr>
                <w:noProof/>
                <w:webHidden/>
              </w:rPr>
              <w:t>31</w:t>
            </w:r>
            <w:r w:rsidR="00267124">
              <w:rPr>
                <w:noProof/>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414" w:history="1">
            <w:r w:rsidR="00267124" w:rsidRPr="00456916">
              <w:rPr>
                <w:rStyle w:val="Hyperlink"/>
                <w:rFonts w:eastAsia="Calibri"/>
                <w:noProof/>
              </w:rPr>
              <w:t>Population growth</w:t>
            </w:r>
            <w:r w:rsidR="00267124">
              <w:rPr>
                <w:noProof/>
                <w:webHidden/>
              </w:rPr>
              <w:tab/>
            </w:r>
            <w:r w:rsidR="00267124">
              <w:rPr>
                <w:noProof/>
                <w:webHidden/>
              </w:rPr>
              <w:fldChar w:fldCharType="begin"/>
            </w:r>
            <w:r w:rsidR="00267124">
              <w:rPr>
                <w:noProof/>
                <w:webHidden/>
              </w:rPr>
              <w:instrText xml:space="preserve"> PAGEREF _Toc10808414 \h </w:instrText>
            </w:r>
            <w:r w:rsidR="00267124">
              <w:rPr>
                <w:noProof/>
                <w:webHidden/>
              </w:rPr>
            </w:r>
            <w:r w:rsidR="00267124">
              <w:rPr>
                <w:noProof/>
                <w:webHidden/>
              </w:rPr>
              <w:fldChar w:fldCharType="separate"/>
            </w:r>
            <w:r w:rsidR="00B33232">
              <w:rPr>
                <w:noProof/>
                <w:webHidden/>
              </w:rPr>
              <w:t>31</w:t>
            </w:r>
            <w:r w:rsidR="00267124">
              <w:rPr>
                <w:noProof/>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415" w:history="1">
            <w:r w:rsidR="00267124" w:rsidRPr="00456916">
              <w:rPr>
                <w:rStyle w:val="Hyperlink"/>
                <w:noProof/>
              </w:rPr>
              <w:t>Increased hours worked</w:t>
            </w:r>
            <w:r w:rsidR="00267124">
              <w:rPr>
                <w:noProof/>
                <w:webHidden/>
              </w:rPr>
              <w:tab/>
            </w:r>
            <w:r w:rsidR="00267124">
              <w:rPr>
                <w:noProof/>
                <w:webHidden/>
              </w:rPr>
              <w:fldChar w:fldCharType="begin"/>
            </w:r>
            <w:r w:rsidR="00267124">
              <w:rPr>
                <w:noProof/>
                <w:webHidden/>
              </w:rPr>
              <w:instrText xml:space="preserve"> PAGEREF _Toc10808415 \h </w:instrText>
            </w:r>
            <w:r w:rsidR="00267124">
              <w:rPr>
                <w:noProof/>
                <w:webHidden/>
              </w:rPr>
            </w:r>
            <w:r w:rsidR="00267124">
              <w:rPr>
                <w:noProof/>
                <w:webHidden/>
              </w:rPr>
              <w:fldChar w:fldCharType="separate"/>
            </w:r>
            <w:r w:rsidR="00B33232">
              <w:rPr>
                <w:noProof/>
                <w:webHidden/>
              </w:rPr>
              <w:t>31</w:t>
            </w:r>
            <w:r w:rsidR="00267124">
              <w:rPr>
                <w:noProof/>
                <w:webHidden/>
              </w:rPr>
              <w:fldChar w:fldCharType="end"/>
            </w:r>
          </w:hyperlink>
        </w:p>
        <w:p w:rsidR="00267124" w:rsidRDefault="001B1897">
          <w:pPr>
            <w:pStyle w:val="TOC1"/>
            <w:rPr>
              <w:rFonts w:asciiTheme="minorHAnsi" w:eastAsiaTheme="minorEastAsia" w:hAnsiTheme="minorHAnsi" w:cstheme="minorBidi"/>
              <w:szCs w:val="22"/>
              <w:lang w:eastAsia="en-AU"/>
            </w:rPr>
          </w:pPr>
          <w:hyperlink w:anchor="_Toc10808416" w:history="1">
            <w:r w:rsidR="00267124" w:rsidRPr="00456916">
              <w:rPr>
                <w:rStyle w:val="Hyperlink"/>
              </w:rPr>
              <w:t>Results</w:t>
            </w:r>
            <w:r w:rsidR="00267124">
              <w:rPr>
                <w:webHidden/>
              </w:rPr>
              <w:tab/>
            </w:r>
            <w:r w:rsidR="00267124">
              <w:rPr>
                <w:webHidden/>
              </w:rPr>
              <w:fldChar w:fldCharType="begin"/>
            </w:r>
            <w:r w:rsidR="00267124">
              <w:rPr>
                <w:webHidden/>
              </w:rPr>
              <w:instrText xml:space="preserve"> PAGEREF _Toc10808416 \h </w:instrText>
            </w:r>
            <w:r w:rsidR="00267124">
              <w:rPr>
                <w:webHidden/>
              </w:rPr>
            </w:r>
            <w:r w:rsidR="00267124">
              <w:rPr>
                <w:webHidden/>
              </w:rPr>
              <w:fldChar w:fldCharType="separate"/>
            </w:r>
            <w:r w:rsidR="00B33232">
              <w:rPr>
                <w:webHidden/>
              </w:rPr>
              <w:t>32</w:t>
            </w:r>
            <w:r w:rsidR="00267124">
              <w:rPr>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417" w:history="1">
            <w:r w:rsidR="00267124" w:rsidRPr="00456916">
              <w:rPr>
                <w:rStyle w:val="Hyperlink"/>
                <w:noProof/>
              </w:rPr>
              <w:t>Continuity of care (baseline) scenario - Results</w:t>
            </w:r>
            <w:r w:rsidR="00267124">
              <w:rPr>
                <w:noProof/>
                <w:webHidden/>
              </w:rPr>
              <w:tab/>
            </w:r>
            <w:r w:rsidR="00267124">
              <w:rPr>
                <w:noProof/>
                <w:webHidden/>
              </w:rPr>
              <w:fldChar w:fldCharType="begin"/>
            </w:r>
            <w:r w:rsidR="00267124">
              <w:rPr>
                <w:noProof/>
                <w:webHidden/>
              </w:rPr>
              <w:instrText xml:space="preserve"> PAGEREF _Toc10808417 \h </w:instrText>
            </w:r>
            <w:r w:rsidR="00267124">
              <w:rPr>
                <w:noProof/>
                <w:webHidden/>
              </w:rPr>
            </w:r>
            <w:r w:rsidR="00267124">
              <w:rPr>
                <w:noProof/>
                <w:webHidden/>
              </w:rPr>
              <w:fldChar w:fldCharType="separate"/>
            </w:r>
            <w:r w:rsidR="00B33232">
              <w:rPr>
                <w:noProof/>
                <w:webHidden/>
              </w:rPr>
              <w:t>32</w:t>
            </w:r>
            <w:r w:rsidR="00267124">
              <w:rPr>
                <w:noProof/>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418" w:history="1">
            <w:r w:rsidR="00267124" w:rsidRPr="00456916">
              <w:rPr>
                <w:rStyle w:val="Hyperlink"/>
                <w:noProof/>
              </w:rPr>
              <w:t>Population growth</w:t>
            </w:r>
            <w:r w:rsidR="00267124">
              <w:rPr>
                <w:noProof/>
                <w:webHidden/>
              </w:rPr>
              <w:tab/>
            </w:r>
            <w:r w:rsidR="00267124">
              <w:rPr>
                <w:noProof/>
                <w:webHidden/>
              </w:rPr>
              <w:fldChar w:fldCharType="begin"/>
            </w:r>
            <w:r w:rsidR="00267124">
              <w:rPr>
                <w:noProof/>
                <w:webHidden/>
              </w:rPr>
              <w:instrText xml:space="preserve"> PAGEREF _Toc10808418 \h </w:instrText>
            </w:r>
            <w:r w:rsidR="00267124">
              <w:rPr>
                <w:noProof/>
                <w:webHidden/>
              </w:rPr>
            </w:r>
            <w:r w:rsidR="00267124">
              <w:rPr>
                <w:noProof/>
                <w:webHidden/>
              </w:rPr>
              <w:fldChar w:fldCharType="separate"/>
            </w:r>
            <w:r w:rsidR="00B33232">
              <w:rPr>
                <w:noProof/>
                <w:webHidden/>
              </w:rPr>
              <w:t>33</w:t>
            </w:r>
            <w:r w:rsidR="00267124">
              <w:rPr>
                <w:noProof/>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419" w:history="1">
            <w:r w:rsidR="00267124" w:rsidRPr="00456916">
              <w:rPr>
                <w:rStyle w:val="Hyperlink"/>
                <w:rFonts w:eastAsia="Calibri"/>
                <w:noProof/>
                <w:lang w:val="en-US"/>
              </w:rPr>
              <w:t>Increased hours worked</w:t>
            </w:r>
            <w:r w:rsidR="00267124">
              <w:rPr>
                <w:noProof/>
                <w:webHidden/>
              </w:rPr>
              <w:tab/>
            </w:r>
            <w:r w:rsidR="00267124">
              <w:rPr>
                <w:noProof/>
                <w:webHidden/>
              </w:rPr>
              <w:fldChar w:fldCharType="begin"/>
            </w:r>
            <w:r w:rsidR="00267124">
              <w:rPr>
                <w:noProof/>
                <w:webHidden/>
              </w:rPr>
              <w:instrText xml:space="preserve"> PAGEREF _Toc10808419 \h </w:instrText>
            </w:r>
            <w:r w:rsidR="00267124">
              <w:rPr>
                <w:noProof/>
                <w:webHidden/>
              </w:rPr>
            </w:r>
            <w:r w:rsidR="00267124">
              <w:rPr>
                <w:noProof/>
                <w:webHidden/>
              </w:rPr>
              <w:fldChar w:fldCharType="separate"/>
            </w:r>
            <w:r w:rsidR="00B33232">
              <w:rPr>
                <w:noProof/>
                <w:webHidden/>
              </w:rPr>
              <w:t>33</w:t>
            </w:r>
            <w:r w:rsidR="00267124">
              <w:rPr>
                <w:noProof/>
                <w:webHidden/>
              </w:rPr>
              <w:fldChar w:fldCharType="end"/>
            </w:r>
          </w:hyperlink>
        </w:p>
        <w:p w:rsidR="00267124" w:rsidRDefault="001B1897">
          <w:pPr>
            <w:pStyle w:val="TOC1"/>
            <w:rPr>
              <w:rFonts w:asciiTheme="minorHAnsi" w:eastAsiaTheme="minorEastAsia" w:hAnsiTheme="minorHAnsi" w:cstheme="minorBidi"/>
              <w:szCs w:val="22"/>
              <w:lang w:eastAsia="en-AU"/>
            </w:rPr>
          </w:pPr>
          <w:hyperlink w:anchor="_Toc10808420" w:history="1">
            <w:r w:rsidR="00267124" w:rsidRPr="00456916">
              <w:rPr>
                <w:rStyle w:val="Hyperlink"/>
              </w:rPr>
              <w:t>Assumptions</w:t>
            </w:r>
            <w:r w:rsidR="00267124">
              <w:rPr>
                <w:webHidden/>
              </w:rPr>
              <w:tab/>
            </w:r>
            <w:r w:rsidR="00267124">
              <w:rPr>
                <w:webHidden/>
              </w:rPr>
              <w:fldChar w:fldCharType="begin"/>
            </w:r>
            <w:r w:rsidR="00267124">
              <w:rPr>
                <w:webHidden/>
              </w:rPr>
              <w:instrText xml:space="preserve"> PAGEREF _Toc10808420 \h </w:instrText>
            </w:r>
            <w:r w:rsidR="00267124">
              <w:rPr>
                <w:webHidden/>
              </w:rPr>
            </w:r>
            <w:r w:rsidR="00267124">
              <w:rPr>
                <w:webHidden/>
              </w:rPr>
              <w:fldChar w:fldCharType="separate"/>
            </w:r>
            <w:r w:rsidR="00B33232">
              <w:rPr>
                <w:webHidden/>
              </w:rPr>
              <w:t>34</w:t>
            </w:r>
            <w:r w:rsidR="00267124">
              <w:rPr>
                <w:webHidden/>
              </w:rPr>
              <w:fldChar w:fldCharType="end"/>
            </w:r>
          </w:hyperlink>
        </w:p>
        <w:p w:rsidR="00267124" w:rsidRDefault="001B1897">
          <w:pPr>
            <w:pStyle w:val="TOC2"/>
            <w:tabs>
              <w:tab w:val="right" w:leader="dot" w:pos="9016"/>
            </w:tabs>
            <w:rPr>
              <w:rFonts w:asciiTheme="minorHAnsi" w:eastAsiaTheme="minorEastAsia" w:hAnsiTheme="minorHAnsi" w:cstheme="minorBidi"/>
              <w:noProof/>
              <w:sz w:val="22"/>
              <w:szCs w:val="22"/>
              <w:lang w:eastAsia="en-AU"/>
            </w:rPr>
          </w:pPr>
          <w:hyperlink w:anchor="_Toc10808421" w:history="1">
            <w:r w:rsidR="00267124" w:rsidRPr="00456916">
              <w:rPr>
                <w:rStyle w:val="Hyperlink"/>
                <w:noProof/>
              </w:rPr>
              <w:t>Supply assumptions</w:t>
            </w:r>
            <w:r w:rsidR="00267124">
              <w:rPr>
                <w:noProof/>
                <w:webHidden/>
              </w:rPr>
              <w:tab/>
            </w:r>
            <w:r w:rsidR="00267124">
              <w:rPr>
                <w:noProof/>
                <w:webHidden/>
              </w:rPr>
              <w:fldChar w:fldCharType="begin"/>
            </w:r>
            <w:r w:rsidR="00267124">
              <w:rPr>
                <w:noProof/>
                <w:webHidden/>
              </w:rPr>
              <w:instrText xml:space="preserve"> PAGEREF _Toc10808421 \h </w:instrText>
            </w:r>
            <w:r w:rsidR="00267124">
              <w:rPr>
                <w:noProof/>
                <w:webHidden/>
              </w:rPr>
            </w:r>
            <w:r w:rsidR="00267124">
              <w:rPr>
                <w:noProof/>
                <w:webHidden/>
              </w:rPr>
              <w:fldChar w:fldCharType="separate"/>
            </w:r>
            <w:r w:rsidR="00B33232">
              <w:rPr>
                <w:noProof/>
                <w:webHidden/>
              </w:rPr>
              <w:t>34</w:t>
            </w:r>
            <w:r w:rsidR="00267124">
              <w:rPr>
                <w:noProof/>
                <w:webHidden/>
              </w:rPr>
              <w:fldChar w:fldCharType="end"/>
            </w:r>
          </w:hyperlink>
        </w:p>
        <w:p w:rsidR="00267124" w:rsidRDefault="001B1897">
          <w:pPr>
            <w:pStyle w:val="TOC1"/>
            <w:rPr>
              <w:rFonts w:asciiTheme="minorHAnsi" w:eastAsiaTheme="minorEastAsia" w:hAnsiTheme="minorHAnsi" w:cstheme="minorBidi"/>
              <w:szCs w:val="22"/>
              <w:lang w:eastAsia="en-AU"/>
            </w:rPr>
          </w:pPr>
          <w:hyperlink w:anchor="_Toc10808422" w:history="1">
            <w:r w:rsidR="00267124" w:rsidRPr="00456916">
              <w:rPr>
                <w:rStyle w:val="Hyperlink"/>
                <w:rFonts w:eastAsia="Times New Roman"/>
              </w:rPr>
              <w:t>Appendix A: Workforce survey</w:t>
            </w:r>
            <w:r w:rsidR="00267124">
              <w:rPr>
                <w:webHidden/>
              </w:rPr>
              <w:tab/>
            </w:r>
            <w:r w:rsidR="00267124">
              <w:rPr>
                <w:webHidden/>
              </w:rPr>
              <w:fldChar w:fldCharType="begin"/>
            </w:r>
            <w:r w:rsidR="00267124">
              <w:rPr>
                <w:webHidden/>
              </w:rPr>
              <w:instrText xml:space="preserve"> PAGEREF _Toc10808422 \h </w:instrText>
            </w:r>
            <w:r w:rsidR="00267124">
              <w:rPr>
                <w:webHidden/>
              </w:rPr>
            </w:r>
            <w:r w:rsidR="00267124">
              <w:rPr>
                <w:webHidden/>
              </w:rPr>
              <w:fldChar w:fldCharType="separate"/>
            </w:r>
            <w:r w:rsidR="00B33232">
              <w:rPr>
                <w:webHidden/>
              </w:rPr>
              <w:t>36</w:t>
            </w:r>
            <w:r w:rsidR="00267124">
              <w:rPr>
                <w:webHidden/>
              </w:rPr>
              <w:fldChar w:fldCharType="end"/>
            </w:r>
          </w:hyperlink>
        </w:p>
        <w:p w:rsidR="00267124" w:rsidRDefault="001B1897">
          <w:pPr>
            <w:pStyle w:val="TOC1"/>
            <w:rPr>
              <w:rFonts w:asciiTheme="minorHAnsi" w:eastAsiaTheme="minorEastAsia" w:hAnsiTheme="minorHAnsi" w:cstheme="minorBidi"/>
              <w:szCs w:val="22"/>
              <w:lang w:eastAsia="en-AU"/>
            </w:rPr>
          </w:pPr>
          <w:hyperlink w:anchor="_Toc10808423" w:history="1">
            <w:r w:rsidR="00267124" w:rsidRPr="00456916">
              <w:rPr>
                <w:rStyle w:val="Hyperlink"/>
                <w:rFonts w:eastAsia="Times New Roman"/>
              </w:rPr>
              <w:t>Appendix B: Jurisdictional perspectives</w:t>
            </w:r>
            <w:r w:rsidR="00267124">
              <w:rPr>
                <w:webHidden/>
              </w:rPr>
              <w:tab/>
            </w:r>
            <w:r w:rsidR="00267124">
              <w:rPr>
                <w:webHidden/>
              </w:rPr>
              <w:fldChar w:fldCharType="begin"/>
            </w:r>
            <w:r w:rsidR="00267124">
              <w:rPr>
                <w:webHidden/>
              </w:rPr>
              <w:instrText xml:space="preserve"> PAGEREF _Toc10808423 \h </w:instrText>
            </w:r>
            <w:r w:rsidR="00267124">
              <w:rPr>
                <w:webHidden/>
              </w:rPr>
            </w:r>
            <w:r w:rsidR="00267124">
              <w:rPr>
                <w:webHidden/>
              </w:rPr>
              <w:fldChar w:fldCharType="separate"/>
            </w:r>
            <w:r w:rsidR="00B33232">
              <w:rPr>
                <w:webHidden/>
              </w:rPr>
              <w:t>40</w:t>
            </w:r>
            <w:r w:rsidR="00267124">
              <w:rPr>
                <w:webHidden/>
              </w:rPr>
              <w:fldChar w:fldCharType="end"/>
            </w:r>
          </w:hyperlink>
        </w:p>
        <w:p w:rsidR="00267124" w:rsidRDefault="001B1897">
          <w:pPr>
            <w:pStyle w:val="TOC1"/>
            <w:rPr>
              <w:rFonts w:asciiTheme="minorHAnsi" w:eastAsiaTheme="minorEastAsia" w:hAnsiTheme="minorHAnsi" w:cstheme="minorBidi"/>
              <w:szCs w:val="22"/>
              <w:lang w:eastAsia="en-AU"/>
            </w:rPr>
          </w:pPr>
          <w:hyperlink w:anchor="_Toc10808424" w:history="1">
            <w:r w:rsidR="00B5591A">
              <w:rPr>
                <w:rStyle w:val="Hyperlink"/>
              </w:rPr>
              <w:t>Appendix C: NNMEAN</w:t>
            </w:r>
            <w:r w:rsidR="00267124" w:rsidRPr="00456916">
              <w:rPr>
                <w:rStyle w:val="Hyperlink"/>
              </w:rPr>
              <w:t xml:space="preserve"> and </w:t>
            </w:r>
            <w:r w:rsidR="00B5591A">
              <w:rPr>
                <w:rStyle w:val="Hyperlink"/>
              </w:rPr>
              <w:t xml:space="preserve">MTAG </w:t>
            </w:r>
            <w:r w:rsidR="006139E7">
              <w:rPr>
                <w:rStyle w:val="Hyperlink"/>
              </w:rPr>
              <w:t>m</w:t>
            </w:r>
            <w:r w:rsidR="00267124" w:rsidRPr="00456916">
              <w:rPr>
                <w:rStyle w:val="Hyperlink"/>
              </w:rPr>
              <w:t>embers</w:t>
            </w:r>
            <w:r w:rsidR="00267124">
              <w:rPr>
                <w:webHidden/>
              </w:rPr>
              <w:tab/>
            </w:r>
            <w:r w:rsidR="00267124">
              <w:rPr>
                <w:webHidden/>
              </w:rPr>
              <w:fldChar w:fldCharType="begin"/>
            </w:r>
            <w:r w:rsidR="00267124">
              <w:rPr>
                <w:webHidden/>
              </w:rPr>
              <w:instrText xml:space="preserve"> PAGEREF _Toc10808424 \h </w:instrText>
            </w:r>
            <w:r w:rsidR="00267124">
              <w:rPr>
                <w:webHidden/>
              </w:rPr>
            </w:r>
            <w:r w:rsidR="00267124">
              <w:rPr>
                <w:webHidden/>
              </w:rPr>
              <w:fldChar w:fldCharType="separate"/>
            </w:r>
            <w:r w:rsidR="00B33232">
              <w:rPr>
                <w:webHidden/>
              </w:rPr>
              <w:t>59</w:t>
            </w:r>
            <w:r w:rsidR="00267124">
              <w:rPr>
                <w:webHidden/>
              </w:rPr>
              <w:fldChar w:fldCharType="end"/>
            </w:r>
          </w:hyperlink>
        </w:p>
        <w:p w:rsidR="007B1DB6" w:rsidRPr="008A7558" w:rsidRDefault="00A024D9">
          <w:r>
            <w:rPr>
              <w:b/>
              <w:bCs/>
              <w:noProof/>
            </w:rPr>
            <w:fldChar w:fldCharType="end"/>
          </w:r>
        </w:p>
      </w:sdtContent>
    </w:sdt>
    <w:p w:rsidR="00CA2032" w:rsidRDefault="00CA2032">
      <w:pPr>
        <w:rPr>
          <w:rFonts w:eastAsia="PMingLiU" w:cs="Arial"/>
          <w:b/>
          <w:bCs/>
          <w:color w:val="365F91"/>
          <w:szCs w:val="22"/>
          <w:lang w:val="en-US" w:eastAsia="ja-JP"/>
        </w:rPr>
      </w:pPr>
      <w:r>
        <w:rPr>
          <w:rFonts w:eastAsia="PMingLiU" w:cs="Arial"/>
          <w:b/>
          <w:bCs/>
          <w:color w:val="365F91"/>
          <w:szCs w:val="22"/>
          <w:lang w:val="en-US" w:eastAsia="ja-JP"/>
        </w:rPr>
        <w:br w:type="page"/>
      </w:r>
    </w:p>
    <w:p w:rsidR="00C97607" w:rsidRDefault="00CA2032" w:rsidP="008A7558">
      <w:pPr>
        <w:pStyle w:val="Heading1"/>
        <w:tabs>
          <w:tab w:val="left" w:pos="4678"/>
        </w:tabs>
        <w:rPr>
          <w:noProof/>
        </w:rPr>
      </w:pPr>
      <w:bookmarkStart w:id="2" w:name="_Toc1727710"/>
      <w:bookmarkStart w:id="3" w:name="_Toc1727825"/>
      <w:bookmarkStart w:id="4" w:name="_Toc10808367"/>
      <w:r>
        <w:rPr>
          <w:rFonts w:eastAsia="PMingLiU"/>
          <w:lang w:val="en-US" w:eastAsia="ja-JP"/>
        </w:rPr>
        <w:lastRenderedPageBreak/>
        <w:t>Table of Figures</w:t>
      </w:r>
      <w:bookmarkEnd w:id="2"/>
      <w:bookmarkEnd w:id="3"/>
      <w:bookmarkEnd w:id="4"/>
      <w:r w:rsidR="00C97607">
        <w:rPr>
          <w:rFonts w:eastAsia="Calibri" w:cs="Arial"/>
          <w:b/>
          <w:bCs/>
          <w:color w:val="548DD4"/>
          <w:kern w:val="28"/>
          <w:szCs w:val="22"/>
        </w:rPr>
        <w:fldChar w:fldCharType="begin"/>
      </w:r>
      <w:r w:rsidR="00C97607">
        <w:rPr>
          <w:rFonts w:eastAsia="Calibri" w:cs="Arial"/>
          <w:b/>
          <w:bCs/>
          <w:color w:val="548DD4"/>
          <w:kern w:val="28"/>
          <w:szCs w:val="22"/>
        </w:rPr>
        <w:instrText xml:space="preserve"> TOC \h \z \t "Caption,1" </w:instrText>
      </w:r>
      <w:r w:rsidR="00C97607">
        <w:rPr>
          <w:rFonts w:eastAsia="Calibri" w:cs="Arial"/>
          <w:b/>
          <w:bCs/>
          <w:color w:val="548DD4"/>
          <w:kern w:val="28"/>
          <w:szCs w:val="22"/>
        </w:rPr>
        <w:fldChar w:fldCharType="separate"/>
      </w:r>
    </w:p>
    <w:p w:rsidR="00C97607" w:rsidRDefault="001B1897" w:rsidP="008A7558">
      <w:pPr>
        <w:pStyle w:val="TOC1"/>
        <w:tabs>
          <w:tab w:val="left" w:pos="4678"/>
        </w:tabs>
        <w:rPr>
          <w:rFonts w:asciiTheme="minorHAnsi" w:eastAsiaTheme="minorEastAsia" w:hAnsiTheme="minorHAnsi" w:cstheme="minorBidi"/>
          <w:szCs w:val="22"/>
          <w:lang w:eastAsia="en-AU"/>
        </w:rPr>
      </w:pPr>
      <w:hyperlink w:anchor="_Toc1724995" w:history="1">
        <w:r w:rsidR="00C97607" w:rsidRPr="004B2CDF">
          <w:rPr>
            <w:rStyle w:val="Hyperlink"/>
          </w:rPr>
          <w:t>Figure 1: Midwifery workforce, 2017</w:t>
        </w:r>
        <w:r w:rsidR="00C97607">
          <w:rPr>
            <w:webHidden/>
          </w:rPr>
          <w:tab/>
        </w:r>
        <w:r w:rsidR="00405BE9">
          <w:rPr>
            <w:webHidden/>
          </w:rPr>
          <w:tab/>
        </w:r>
        <w:r w:rsidR="00C97607">
          <w:rPr>
            <w:webHidden/>
          </w:rPr>
          <w:fldChar w:fldCharType="begin"/>
        </w:r>
        <w:r w:rsidR="00C97607">
          <w:rPr>
            <w:webHidden/>
          </w:rPr>
          <w:instrText xml:space="preserve"> PAGEREF _Toc1724995 \h </w:instrText>
        </w:r>
        <w:r w:rsidR="00C97607">
          <w:rPr>
            <w:webHidden/>
          </w:rPr>
        </w:r>
        <w:r w:rsidR="00C97607">
          <w:rPr>
            <w:webHidden/>
          </w:rPr>
          <w:fldChar w:fldCharType="separate"/>
        </w:r>
        <w:r w:rsidR="00B33232">
          <w:rPr>
            <w:webHidden/>
          </w:rPr>
          <w:t>8</w:t>
        </w:r>
        <w:r w:rsidR="00C97607">
          <w:rPr>
            <w:webHidden/>
          </w:rPr>
          <w:fldChar w:fldCharType="end"/>
        </w:r>
      </w:hyperlink>
    </w:p>
    <w:p w:rsidR="00C97607" w:rsidRDefault="001B1897" w:rsidP="008A7558">
      <w:pPr>
        <w:pStyle w:val="TOC1"/>
        <w:tabs>
          <w:tab w:val="left" w:pos="4678"/>
        </w:tabs>
        <w:rPr>
          <w:rFonts w:asciiTheme="minorHAnsi" w:eastAsiaTheme="minorEastAsia" w:hAnsiTheme="minorHAnsi" w:cstheme="minorBidi"/>
          <w:szCs w:val="22"/>
          <w:lang w:eastAsia="en-AU"/>
        </w:rPr>
      </w:pPr>
      <w:hyperlink w:anchor="_Toc1724996" w:history="1">
        <w:r w:rsidR="00C97607" w:rsidRPr="004B2CDF">
          <w:rPr>
            <w:rStyle w:val="Hyperlink"/>
          </w:rPr>
          <w:t>Figure 2: Midwifery supply headcount and FTE, 2013 – 2017</w:t>
        </w:r>
        <w:r w:rsidR="00C97607">
          <w:rPr>
            <w:webHidden/>
          </w:rPr>
          <w:tab/>
        </w:r>
        <w:r w:rsidR="00C97607">
          <w:rPr>
            <w:webHidden/>
          </w:rPr>
          <w:fldChar w:fldCharType="begin"/>
        </w:r>
        <w:r w:rsidR="00C97607">
          <w:rPr>
            <w:webHidden/>
          </w:rPr>
          <w:instrText xml:space="preserve"> PAGEREF _Toc1724996 \h </w:instrText>
        </w:r>
        <w:r w:rsidR="00C97607">
          <w:rPr>
            <w:webHidden/>
          </w:rPr>
        </w:r>
        <w:r w:rsidR="00C97607">
          <w:rPr>
            <w:webHidden/>
          </w:rPr>
          <w:fldChar w:fldCharType="separate"/>
        </w:r>
        <w:r w:rsidR="00B33232">
          <w:rPr>
            <w:webHidden/>
          </w:rPr>
          <w:t>9</w:t>
        </w:r>
        <w:r w:rsidR="00C97607">
          <w:rPr>
            <w:webHidden/>
          </w:rPr>
          <w:fldChar w:fldCharType="end"/>
        </w:r>
      </w:hyperlink>
    </w:p>
    <w:p w:rsidR="00C97607" w:rsidRDefault="001B1897" w:rsidP="008A7558">
      <w:pPr>
        <w:pStyle w:val="TOC1"/>
        <w:tabs>
          <w:tab w:val="left" w:pos="4678"/>
        </w:tabs>
        <w:rPr>
          <w:rFonts w:asciiTheme="minorHAnsi" w:eastAsiaTheme="minorEastAsia" w:hAnsiTheme="minorHAnsi" w:cstheme="minorBidi"/>
          <w:szCs w:val="22"/>
          <w:lang w:eastAsia="en-AU"/>
        </w:rPr>
      </w:pPr>
      <w:hyperlink w:anchor="_Toc1724997" w:history="1">
        <w:r w:rsidR="00C97607" w:rsidRPr="004B2CDF">
          <w:rPr>
            <w:rStyle w:val="Hyperlink"/>
          </w:rPr>
          <w:t>Figure 3 : Demographics of the midwifery (supply) Workforce 2017</w:t>
        </w:r>
        <w:r w:rsidR="00C97607">
          <w:rPr>
            <w:webHidden/>
          </w:rPr>
          <w:tab/>
        </w:r>
        <w:r w:rsidR="00C97607">
          <w:rPr>
            <w:webHidden/>
          </w:rPr>
          <w:fldChar w:fldCharType="begin"/>
        </w:r>
        <w:r w:rsidR="00C97607">
          <w:rPr>
            <w:webHidden/>
          </w:rPr>
          <w:instrText xml:space="preserve"> PAGEREF _Toc1724997 \h </w:instrText>
        </w:r>
        <w:r w:rsidR="00C97607">
          <w:rPr>
            <w:webHidden/>
          </w:rPr>
        </w:r>
        <w:r w:rsidR="00C97607">
          <w:rPr>
            <w:webHidden/>
          </w:rPr>
          <w:fldChar w:fldCharType="separate"/>
        </w:r>
        <w:r w:rsidR="00B33232">
          <w:rPr>
            <w:webHidden/>
          </w:rPr>
          <w:t>10</w:t>
        </w:r>
        <w:r w:rsidR="00C97607">
          <w:rPr>
            <w:webHidden/>
          </w:rPr>
          <w:fldChar w:fldCharType="end"/>
        </w:r>
      </w:hyperlink>
    </w:p>
    <w:p w:rsidR="00C97607" w:rsidRDefault="001B1897" w:rsidP="008A7558">
      <w:pPr>
        <w:pStyle w:val="TOC1"/>
        <w:tabs>
          <w:tab w:val="left" w:pos="4678"/>
        </w:tabs>
        <w:rPr>
          <w:rFonts w:asciiTheme="minorHAnsi" w:eastAsiaTheme="minorEastAsia" w:hAnsiTheme="minorHAnsi" w:cstheme="minorBidi"/>
          <w:szCs w:val="22"/>
          <w:lang w:eastAsia="en-AU"/>
        </w:rPr>
      </w:pPr>
      <w:hyperlink w:anchor="_Toc1724998" w:history="1">
        <w:r w:rsidR="00C97607" w:rsidRPr="004B2CDF">
          <w:rPr>
            <w:rStyle w:val="Hyperlink"/>
          </w:rPr>
          <w:t>Figure 4: Role in Midwifery</w:t>
        </w:r>
        <w:r w:rsidR="00C97607">
          <w:rPr>
            <w:webHidden/>
          </w:rPr>
          <w:tab/>
        </w:r>
        <w:r w:rsidR="00405BE9">
          <w:rPr>
            <w:webHidden/>
          </w:rPr>
          <w:tab/>
        </w:r>
        <w:r w:rsidR="00C97607">
          <w:rPr>
            <w:webHidden/>
          </w:rPr>
          <w:fldChar w:fldCharType="begin"/>
        </w:r>
        <w:r w:rsidR="00C97607">
          <w:rPr>
            <w:webHidden/>
          </w:rPr>
          <w:instrText xml:space="preserve"> PAGEREF _Toc1724998 \h </w:instrText>
        </w:r>
        <w:r w:rsidR="00C97607">
          <w:rPr>
            <w:webHidden/>
          </w:rPr>
        </w:r>
        <w:r w:rsidR="00C97607">
          <w:rPr>
            <w:webHidden/>
          </w:rPr>
          <w:fldChar w:fldCharType="separate"/>
        </w:r>
        <w:r w:rsidR="00B33232">
          <w:rPr>
            <w:webHidden/>
          </w:rPr>
          <w:t>10</w:t>
        </w:r>
        <w:r w:rsidR="00C97607">
          <w:rPr>
            <w:webHidden/>
          </w:rPr>
          <w:fldChar w:fldCharType="end"/>
        </w:r>
      </w:hyperlink>
    </w:p>
    <w:p w:rsidR="00C97607" w:rsidRDefault="001B1897" w:rsidP="008A7558">
      <w:pPr>
        <w:pStyle w:val="TOC1"/>
        <w:tabs>
          <w:tab w:val="left" w:pos="4678"/>
        </w:tabs>
        <w:rPr>
          <w:rFonts w:asciiTheme="minorHAnsi" w:eastAsiaTheme="minorEastAsia" w:hAnsiTheme="minorHAnsi" w:cstheme="minorBidi"/>
          <w:szCs w:val="22"/>
          <w:lang w:eastAsia="en-AU"/>
        </w:rPr>
      </w:pPr>
      <w:hyperlink w:anchor="_Toc1724999" w:history="1">
        <w:r w:rsidR="00C97607" w:rsidRPr="004B2CDF">
          <w:rPr>
            <w:rStyle w:val="Hyperlink"/>
          </w:rPr>
          <w:t>Figure 5: Work Setting</w:t>
        </w:r>
        <w:r w:rsidR="00C97607">
          <w:rPr>
            <w:webHidden/>
          </w:rPr>
          <w:tab/>
        </w:r>
        <w:r w:rsidR="00405BE9">
          <w:rPr>
            <w:webHidden/>
          </w:rPr>
          <w:tab/>
        </w:r>
        <w:r w:rsidR="00C97607">
          <w:rPr>
            <w:webHidden/>
          </w:rPr>
          <w:fldChar w:fldCharType="begin"/>
        </w:r>
        <w:r w:rsidR="00C97607">
          <w:rPr>
            <w:webHidden/>
          </w:rPr>
          <w:instrText xml:space="preserve"> PAGEREF _Toc1724999 \h </w:instrText>
        </w:r>
        <w:r w:rsidR="00C97607">
          <w:rPr>
            <w:webHidden/>
          </w:rPr>
        </w:r>
        <w:r w:rsidR="00C97607">
          <w:rPr>
            <w:webHidden/>
          </w:rPr>
          <w:fldChar w:fldCharType="separate"/>
        </w:r>
        <w:r w:rsidR="00B33232">
          <w:rPr>
            <w:webHidden/>
          </w:rPr>
          <w:t>11</w:t>
        </w:r>
        <w:r w:rsidR="00C97607">
          <w:rPr>
            <w:webHidden/>
          </w:rPr>
          <w:fldChar w:fldCharType="end"/>
        </w:r>
      </w:hyperlink>
    </w:p>
    <w:p w:rsidR="00C97607" w:rsidRDefault="001B1897" w:rsidP="008A7558">
      <w:pPr>
        <w:pStyle w:val="TOC1"/>
        <w:tabs>
          <w:tab w:val="left" w:pos="4678"/>
        </w:tabs>
        <w:rPr>
          <w:rFonts w:asciiTheme="minorHAnsi" w:eastAsiaTheme="minorEastAsia" w:hAnsiTheme="minorHAnsi" w:cstheme="minorBidi"/>
          <w:szCs w:val="22"/>
          <w:lang w:eastAsia="en-AU"/>
        </w:rPr>
      </w:pPr>
      <w:hyperlink w:anchor="_Toc1725000" w:history="1">
        <w:r w:rsidR="00C97607" w:rsidRPr="004B2CDF">
          <w:rPr>
            <w:rStyle w:val="Hyperlink"/>
          </w:rPr>
          <w:t>Figure 6: Midwifery supply (headcount and FTE) per 100,000 females aged 15 - 49 years by MM</w:t>
        </w:r>
        <w:r w:rsidR="00C97607">
          <w:rPr>
            <w:webHidden/>
          </w:rPr>
          <w:tab/>
        </w:r>
        <w:r w:rsidR="00405BE9">
          <w:rPr>
            <w:webHidden/>
          </w:rPr>
          <w:tab/>
        </w:r>
        <w:r w:rsidR="00C97607">
          <w:rPr>
            <w:webHidden/>
          </w:rPr>
          <w:fldChar w:fldCharType="begin"/>
        </w:r>
        <w:r w:rsidR="00C97607">
          <w:rPr>
            <w:webHidden/>
          </w:rPr>
          <w:instrText xml:space="preserve"> PAGEREF _Toc1725000 \h </w:instrText>
        </w:r>
        <w:r w:rsidR="00C97607">
          <w:rPr>
            <w:webHidden/>
          </w:rPr>
        </w:r>
        <w:r w:rsidR="00C97607">
          <w:rPr>
            <w:webHidden/>
          </w:rPr>
          <w:fldChar w:fldCharType="separate"/>
        </w:r>
        <w:r w:rsidR="00B33232">
          <w:rPr>
            <w:webHidden/>
          </w:rPr>
          <w:t>11</w:t>
        </w:r>
        <w:r w:rsidR="00C97607">
          <w:rPr>
            <w:webHidden/>
          </w:rPr>
          <w:fldChar w:fldCharType="end"/>
        </w:r>
      </w:hyperlink>
    </w:p>
    <w:p w:rsidR="00C97607" w:rsidRDefault="001B1897" w:rsidP="008A7558">
      <w:pPr>
        <w:pStyle w:val="TOC1"/>
        <w:tabs>
          <w:tab w:val="left" w:pos="4678"/>
        </w:tabs>
        <w:rPr>
          <w:rFonts w:asciiTheme="minorHAnsi" w:eastAsiaTheme="minorEastAsia" w:hAnsiTheme="minorHAnsi" w:cstheme="minorBidi"/>
          <w:szCs w:val="22"/>
          <w:lang w:eastAsia="en-AU"/>
        </w:rPr>
      </w:pPr>
      <w:hyperlink w:anchor="_Toc1725001" w:history="1">
        <w:r w:rsidR="00C97607" w:rsidRPr="004B2CDF">
          <w:rPr>
            <w:rStyle w:val="Hyperlink"/>
          </w:rPr>
          <w:t>Figure 7: Definitions of the Modified Monash Model Categories</w:t>
        </w:r>
        <w:r w:rsidR="00C97607">
          <w:rPr>
            <w:webHidden/>
          </w:rPr>
          <w:tab/>
        </w:r>
        <w:r w:rsidR="00C97607">
          <w:rPr>
            <w:webHidden/>
          </w:rPr>
          <w:fldChar w:fldCharType="begin"/>
        </w:r>
        <w:r w:rsidR="00C97607">
          <w:rPr>
            <w:webHidden/>
          </w:rPr>
          <w:instrText xml:space="preserve"> PAGEREF _Toc1725001 \h </w:instrText>
        </w:r>
        <w:r w:rsidR="00C97607">
          <w:rPr>
            <w:webHidden/>
          </w:rPr>
        </w:r>
        <w:r w:rsidR="00C97607">
          <w:rPr>
            <w:webHidden/>
          </w:rPr>
          <w:fldChar w:fldCharType="separate"/>
        </w:r>
        <w:r w:rsidR="00B33232">
          <w:rPr>
            <w:webHidden/>
          </w:rPr>
          <w:t>12</w:t>
        </w:r>
        <w:r w:rsidR="00C97607">
          <w:rPr>
            <w:webHidden/>
          </w:rPr>
          <w:fldChar w:fldCharType="end"/>
        </w:r>
      </w:hyperlink>
    </w:p>
    <w:p w:rsidR="00C97607" w:rsidRDefault="001B1897" w:rsidP="008A7558">
      <w:pPr>
        <w:pStyle w:val="TOC1"/>
        <w:tabs>
          <w:tab w:val="left" w:pos="4678"/>
        </w:tabs>
        <w:rPr>
          <w:rFonts w:asciiTheme="minorHAnsi" w:eastAsiaTheme="minorEastAsia" w:hAnsiTheme="minorHAnsi" w:cstheme="minorBidi"/>
          <w:szCs w:val="22"/>
          <w:lang w:eastAsia="en-AU"/>
        </w:rPr>
      </w:pPr>
      <w:hyperlink w:anchor="_Toc1725002" w:history="1">
        <w:r w:rsidR="00C97607" w:rsidRPr="004B2CDF">
          <w:rPr>
            <w:rStyle w:val="Hyperlink"/>
          </w:rPr>
          <w:t>Figure 8: Midwifery (supply) average hours, 2013 - 2017</w:t>
        </w:r>
        <w:r w:rsidR="00C97607">
          <w:rPr>
            <w:webHidden/>
          </w:rPr>
          <w:tab/>
        </w:r>
        <w:r w:rsidR="00C97607">
          <w:rPr>
            <w:webHidden/>
          </w:rPr>
          <w:fldChar w:fldCharType="begin"/>
        </w:r>
        <w:r w:rsidR="00C97607">
          <w:rPr>
            <w:webHidden/>
          </w:rPr>
          <w:instrText xml:space="preserve"> PAGEREF _Toc1725002 \h </w:instrText>
        </w:r>
        <w:r w:rsidR="00C97607">
          <w:rPr>
            <w:webHidden/>
          </w:rPr>
        </w:r>
        <w:r w:rsidR="00C97607">
          <w:rPr>
            <w:webHidden/>
          </w:rPr>
          <w:fldChar w:fldCharType="separate"/>
        </w:r>
        <w:r w:rsidR="00B33232">
          <w:rPr>
            <w:webHidden/>
          </w:rPr>
          <w:t>12</w:t>
        </w:r>
        <w:r w:rsidR="00C97607">
          <w:rPr>
            <w:webHidden/>
          </w:rPr>
          <w:fldChar w:fldCharType="end"/>
        </w:r>
      </w:hyperlink>
    </w:p>
    <w:p w:rsidR="00C97607" w:rsidRDefault="001B1897" w:rsidP="008A7558">
      <w:pPr>
        <w:pStyle w:val="TOC1"/>
        <w:tabs>
          <w:tab w:val="left" w:pos="4678"/>
        </w:tabs>
        <w:rPr>
          <w:rFonts w:asciiTheme="minorHAnsi" w:eastAsiaTheme="minorEastAsia" w:hAnsiTheme="minorHAnsi" w:cstheme="minorBidi"/>
          <w:szCs w:val="22"/>
          <w:lang w:eastAsia="en-AU"/>
        </w:rPr>
      </w:pPr>
      <w:hyperlink w:anchor="_Toc1725003" w:history="1">
        <w:r w:rsidR="00C97607" w:rsidRPr="004B2CDF">
          <w:rPr>
            <w:rStyle w:val="Hyperlink"/>
          </w:rPr>
          <w:t>Figure 9: Midwifery (supply) average hours by state, 2017</w:t>
        </w:r>
        <w:r w:rsidR="00C97607">
          <w:rPr>
            <w:webHidden/>
          </w:rPr>
          <w:tab/>
        </w:r>
        <w:r w:rsidR="00C97607">
          <w:rPr>
            <w:webHidden/>
          </w:rPr>
          <w:fldChar w:fldCharType="begin"/>
        </w:r>
        <w:r w:rsidR="00C97607">
          <w:rPr>
            <w:webHidden/>
          </w:rPr>
          <w:instrText xml:space="preserve"> PAGEREF _Toc1725003 \h </w:instrText>
        </w:r>
        <w:r w:rsidR="00C97607">
          <w:rPr>
            <w:webHidden/>
          </w:rPr>
        </w:r>
        <w:r w:rsidR="00C97607">
          <w:rPr>
            <w:webHidden/>
          </w:rPr>
          <w:fldChar w:fldCharType="separate"/>
        </w:r>
        <w:r w:rsidR="00B33232">
          <w:rPr>
            <w:webHidden/>
          </w:rPr>
          <w:t>13</w:t>
        </w:r>
        <w:r w:rsidR="00C97607">
          <w:rPr>
            <w:webHidden/>
          </w:rPr>
          <w:fldChar w:fldCharType="end"/>
        </w:r>
      </w:hyperlink>
    </w:p>
    <w:p w:rsidR="00C97607" w:rsidRDefault="001B1897" w:rsidP="008A7558">
      <w:pPr>
        <w:pStyle w:val="TOC1"/>
        <w:tabs>
          <w:tab w:val="left" w:pos="4678"/>
        </w:tabs>
        <w:rPr>
          <w:rFonts w:asciiTheme="minorHAnsi" w:eastAsiaTheme="minorEastAsia" w:hAnsiTheme="minorHAnsi" w:cstheme="minorBidi"/>
          <w:szCs w:val="22"/>
          <w:lang w:eastAsia="en-AU"/>
        </w:rPr>
      </w:pPr>
      <w:hyperlink w:anchor="_Toc1725004" w:history="1">
        <w:r w:rsidR="00C97607" w:rsidRPr="004B2CDF">
          <w:rPr>
            <w:rStyle w:val="Hyperlink"/>
          </w:rPr>
          <w:t>Figure 10: Midwifery (supply) average hours by MMM, 2017</w:t>
        </w:r>
        <w:r w:rsidR="00C97607">
          <w:rPr>
            <w:webHidden/>
          </w:rPr>
          <w:tab/>
        </w:r>
        <w:r w:rsidR="00C97607">
          <w:rPr>
            <w:webHidden/>
          </w:rPr>
          <w:fldChar w:fldCharType="begin"/>
        </w:r>
        <w:r w:rsidR="00C97607">
          <w:rPr>
            <w:webHidden/>
          </w:rPr>
          <w:instrText xml:space="preserve"> PAGEREF _Toc1725004 \h </w:instrText>
        </w:r>
        <w:r w:rsidR="00C97607">
          <w:rPr>
            <w:webHidden/>
          </w:rPr>
        </w:r>
        <w:r w:rsidR="00C97607">
          <w:rPr>
            <w:webHidden/>
          </w:rPr>
          <w:fldChar w:fldCharType="separate"/>
        </w:r>
        <w:r w:rsidR="00B33232">
          <w:rPr>
            <w:webHidden/>
          </w:rPr>
          <w:t>13</w:t>
        </w:r>
        <w:r w:rsidR="00C97607">
          <w:rPr>
            <w:webHidden/>
          </w:rPr>
          <w:fldChar w:fldCharType="end"/>
        </w:r>
      </w:hyperlink>
    </w:p>
    <w:p w:rsidR="00C97607" w:rsidRDefault="001B1897" w:rsidP="008A7558">
      <w:pPr>
        <w:pStyle w:val="TOC1"/>
        <w:tabs>
          <w:tab w:val="left" w:pos="4678"/>
        </w:tabs>
        <w:rPr>
          <w:rFonts w:asciiTheme="minorHAnsi" w:eastAsiaTheme="minorEastAsia" w:hAnsiTheme="minorHAnsi" w:cstheme="minorBidi"/>
          <w:szCs w:val="22"/>
          <w:lang w:eastAsia="en-AU"/>
        </w:rPr>
      </w:pPr>
      <w:hyperlink w:anchor="_Toc1725005" w:history="1">
        <w:r w:rsidR="00C97607" w:rsidRPr="004B2CDF">
          <w:rPr>
            <w:rStyle w:val="Hyperlink"/>
          </w:rPr>
          <w:t>Figure 11: Attendance at birth as the primary midwife</w:t>
        </w:r>
        <w:r w:rsidR="00C97607">
          <w:rPr>
            <w:webHidden/>
          </w:rPr>
          <w:tab/>
        </w:r>
        <w:r w:rsidR="00C97607">
          <w:rPr>
            <w:webHidden/>
          </w:rPr>
          <w:fldChar w:fldCharType="begin"/>
        </w:r>
        <w:r w:rsidR="00C97607">
          <w:rPr>
            <w:webHidden/>
          </w:rPr>
          <w:instrText xml:space="preserve"> PAGEREF _Toc1725005 \h </w:instrText>
        </w:r>
        <w:r w:rsidR="00C97607">
          <w:rPr>
            <w:webHidden/>
          </w:rPr>
        </w:r>
        <w:r w:rsidR="00C97607">
          <w:rPr>
            <w:webHidden/>
          </w:rPr>
          <w:fldChar w:fldCharType="separate"/>
        </w:r>
        <w:r w:rsidR="00B33232">
          <w:rPr>
            <w:webHidden/>
          </w:rPr>
          <w:t>14</w:t>
        </w:r>
        <w:r w:rsidR="00C97607">
          <w:rPr>
            <w:webHidden/>
          </w:rPr>
          <w:fldChar w:fldCharType="end"/>
        </w:r>
      </w:hyperlink>
    </w:p>
    <w:p w:rsidR="00C97607" w:rsidRDefault="001B1897" w:rsidP="008A7558">
      <w:pPr>
        <w:pStyle w:val="TOC1"/>
        <w:tabs>
          <w:tab w:val="left" w:pos="4678"/>
        </w:tabs>
        <w:rPr>
          <w:rFonts w:asciiTheme="minorHAnsi" w:eastAsiaTheme="minorEastAsia" w:hAnsiTheme="minorHAnsi" w:cstheme="minorBidi"/>
          <w:szCs w:val="22"/>
          <w:lang w:eastAsia="en-AU"/>
        </w:rPr>
      </w:pPr>
      <w:hyperlink w:anchor="_Toc1725006" w:history="1">
        <w:r w:rsidR="00C97607" w:rsidRPr="004B2CDF">
          <w:rPr>
            <w:rStyle w:val="Hyperlink"/>
          </w:rPr>
          <w:t>Figure 12: Trends in accredited Midwifery Programs</w:t>
        </w:r>
        <w:r w:rsidR="00C97607">
          <w:rPr>
            <w:webHidden/>
          </w:rPr>
          <w:tab/>
        </w:r>
        <w:r w:rsidR="00C97607">
          <w:rPr>
            <w:webHidden/>
          </w:rPr>
          <w:fldChar w:fldCharType="begin"/>
        </w:r>
        <w:r w:rsidR="00C97607">
          <w:rPr>
            <w:webHidden/>
          </w:rPr>
          <w:instrText xml:space="preserve"> PAGEREF _Toc1725006 \h </w:instrText>
        </w:r>
        <w:r w:rsidR="00C97607">
          <w:rPr>
            <w:webHidden/>
          </w:rPr>
        </w:r>
        <w:r w:rsidR="00C97607">
          <w:rPr>
            <w:webHidden/>
          </w:rPr>
          <w:fldChar w:fldCharType="separate"/>
        </w:r>
        <w:r w:rsidR="00B33232">
          <w:rPr>
            <w:webHidden/>
          </w:rPr>
          <w:t>16</w:t>
        </w:r>
        <w:r w:rsidR="00C97607">
          <w:rPr>
            <w:webHidden/>
          </w:rPr>
          <w:fldChar w:fldCharType="end"/>
        </w:r>
      </w:hyperlink>
    </w:p>
    <w:p w:rsidR="00C97607" w:rsidRDefault="001B1897" w:rsidP="008A7558">
      <w:pPr>
        <w:pStyle w:val="TOC1"/>
        <w:tabs>
          <w:tab w:val="left" w:pos="4678"/>
        </w:tabs>
        <w:rPr>
          <w:rFonts w:asciiTheme="minorHAnsi" w:eastAsiaTheme="minorEastAsia" w:hAnsiTheme="minorHAnsi" w:cstheme="minorBidi"/>
          <w:szCs w:val="22"/>
          <w:lang w:eastAsia="en-AU"/>
        </w:rPr>
      </w:pPr>
      <w:hyperlink w:anchor="_Toc1725007" w:history="1">
        <w:r w:rsidR="00C97607" w:rsidRPr="004B2CDF">
          <w:rPr>
            <w:rStyle w:val="Hyperlink"/>
          </w:rPr>
          <w:t>Figure 13: Models of care in the Maternity Care Classification System (MaCCS)</w:t>
        </w:r>
        <w:r w:rsidR="00C97607">
          <w:rPr>
            <w:webHidden/>
          </w:rPr>
          <w:tab/>
        </w:r>
        <w:r w:rsidR="00C97607">
          <w:rPr>
            <w:webHidden/>
          </w:rPr>
          <w:fldChar w:fldCharType="begin"/>
        </w:r>
        <w:r w:rsidR="00C97607">
          <w:rPr>
            <w:webHidden/>
          </w:rPr>
          <w:instrText xml:space="preserve"> PAGEREF _Toc1725007 \h </w:instrText>
        </w:r>
        <w:r w:rsidR="00C97607">
          <w:rPr>
            <w:webHidden/>
          </w:rPr>
        </w:r>
        <w:r w:rsidR="00C97607">
          <w:rPr>
            <w:webHidden/>
          </w:rPr>
          <w:fldChar w:fldCharType="separate"/>
        </w:r>
        <w:r w:rsidR="00B33232">
          <w:rPr>
            <w:webHidden/>
          </w:rPr>
          <w:t>16</w:t>
        </w:r>
        <w:r w:rsidR="00C97607">
          <w:rPr>
            <w:webHidden/>
          </w:rPr>
          <w:fldChar w:fldCharType="end"/>
        </w:r>
      </w:hyperlink>
    </w:p>
    <w:p w:rsidR="00C97607" w:rsidRDefault="001B1897" w:rsidP="008A7558">
      <w:pPr>
        <w:pStyle w:val="TOC1"/>
        <w:tabs>
          <w:tab w:val="left" w:pos="4678"/>
        </w:tabs>
        <w:rPr>
          <w:rFonts w:asciiTheme="minorHAnsi" w:eastAsiaTheme="minorEastAsia" w:hAnsiTheme="minorHAnsi" w:cstheme="minorBidi"/>
          <w:szCs w:val="22"/>
          <w:lang w:eastAsia="en-AU"/>
        </w:rPr>
      </w:pPr>
      <w:hyperlink w:anchor="_Toc1725008" w:history="1">
        <w:r w:rsidR="00C97607" w:rsidRPr="004B2CDF">
          <w:rPr>
            <w:rStyle w:val="Hyperlink"/>
          </w:rPr>
          <w:t>Figure 14: Stock and Flow Process</w:t>
        </w:r>
        <w:r w:rsidR="00C97607">
          <w:rPr>
            <w:webHidden/>
          </w:rPr>
          <w:tab/>
        </w:r>
        <w:r w:rsidR="00405BE9">
          <w:rPr>
            <w:webHidden/>
          </w:rPr>
          <w:tab/>
        </w:r>
        <w:r w:rsidR="00C97607">
          <w:rPr>
            <w:webHidden/>
          </w:rPr>
          <w:fldChar w:fldCharType="begin"/>
        </w:r>
        <w:r w:rsidR="00C97607">
          <w:rPr>
            <w:webHidden/>
          </w:rPr>
          <w:instrText xml:space="preserve"> PAGEREF _Toc1725008 \h </w:instrText>
        </w:r>
        <w:r w:rsidR="00C97607">
          <w:rPr>
            <w:webHidden/>
          </w:rPr>
        </w:r>
        <w:r w:rsidR="00C97607">
          <w:rPr>
            <w:webHidden/>
          </w:rPr>
          <w:fldChar w:fldCharType="separate"/>
        </w:r>
        <w:r w:rsidR="00B33232">
          <w:rPr>
            <w:webHidden/>
          </w:rPr>
          <w:t>18</w:t>
        </w:r>
        <w:r w:rsidR="00C97607">
          <w:rPr>
            <w:webHidden/>
          </w:rPr>
          <w:fldChar w:fldCharType="end"/>
        </w:r>
      </w:hyperlink>
    </w:p>
    <w:p w:rsidR="00C97607" w:rsidRDefault="001B1897" w:rsidP="008A7558">
      <w:pPr>
        <w:pStyle w:val="TOC1"/>
        <w:tabs>
          <w:tab w:val="left" w:pos="4678"/>
        </w:tabs>
        <w:rPr>
          <w:rFonts w:asciiTheme="minorHAnsi" w:eastAsiaTheme="minorEastAsia" w:hAnsiTheme="minorHAnsi" w:cstheme="minorBidi"/>
          <w:szCs w:val="22"/>
          <w:lang w:eastAsia="en-AU"/>
        </w:rPr>
      </w:pPr>
      <w:hyperlink w:anchor="_Toc1725009" w:history="1">
        <w:r w:rsidR="00C97607" w:rsidRPr="004B2CDF">
          <w:rPr>
            <w:rStyle w:val="Hyperlink"/>
          </w:rPr>
          <w:t>Figure 15: Commencing, continuing and completing midwifery students, 2012 - 2030</w:t>
        </w:r>
        <w:r w:rsidR="00C97607">
          <w:rPr>
            <w:webHidden/>
          </w:rPr>
          <w:tab/>
        </w:r>
        <w:r w:rsidR="00C97607">
          <w:rPr>
            <w:webHidden/>
          </w:rPr>
          <w:fldChar w:fldCharType="begin"/>
        </w:r>
        <w:r w:rsidR="00C97607">
          <w:rPr>
            <w:webHidden/>
          </w:rPr>
          <w:instrText xml:space="preserve"> PAGEREF _Toc1725009 \h </w:instrText>
        </w:r>
        <w:r w:rsidR="00C97607">
          <w:rPr>
            <w:webHidden/>
          </w:rPr>
        </w:r>
        <w:r w:rsidR="00C97607">
          <w:rPr>
            <w:webHidden/>
          </w:rPr>
          <w:fldChar w:fldCharType="separate"/>
        </w:r>
        <w:r w:rsidR="00B33232">
          <w:rPr>
            <w:webHidden/>
          </w:rPr>
          <w:t>19</w:t>
        </w:r>
        <w:r w:rsidR="00C97607">
          <w:rPr>
            <w:webHidden/>
          </w:rPr>
          <w:fldChar w:fldCharType="end"/>
        </w:r>
      </w:hyperlink>
    </w:p>
    <w:p w:rsidR="00C97607" w:rsidRDefault="001B1897" w:rsidP="008A7558">
      <w:pPr>
        <w:pStyle w:val="TOC1"/>
        <w:tabs>
          <w:tab w:val="left" w:pos="4678"/>
        </w:tabs>
        <w:rPr>
          <w:rFonts w:asciiTheme="minorHAnsi" w:eastAsiaTheme="minorEastAsia" w:hAnsiTheme="minorHAnsi" w:cstheme="minorBidi"/>
          <w:szCs w:val="22"/>
          <w:lang w:eastAsia="en-AU"/>
        </w:rPr>
      </w:pPr>
      <w:hyperlink w:anchor="_Toc1725010" w:history="1">
        <w:r w:rsidR="00C97607" w:rsidRPr="004B2CDF">
          <w:rPr>
            <w:rStyle w:val="Hyperlink"/>
          </w:rPr>
          <w:t>Figure 16: Permanent migrants, 2012 - 2030</w:t>
        </w:r>
        <w:r w:rsidR="00C97607">
          <w:rPr>
            <w:webHidden/>
          </w:rPr>
          <w:tab/>
        </w:r>
        <w:r w:rsidR="00405BE9">
          <w:rPr>
            <w:webHidden/>
          </w:rPr>
          <w:tab/>
        </w:r>
        <w:r w:rsidR="00C97607">
          <w:rPr>
            <w:webHidden/>
          </w:rPr>
          <w:fldChar w:fldCharType="begin"/>
        </w:r>
        <w:r w:rsidR="00C97607">
          <w:rPr>
            <w:webHidden/>
          </w:rPr>
          <w:instrText xml:space="preserve"> PAGEREF _Toc1725010 \h </w:instrText>
        </w:r>
        <w:r w:rsidR="00C97607">
          <w:rPr>
            <w:webHidden/>
          </w:rPr>
        </w:r>
        <w:r w:rsidR="00C97607">
          <w:rPr>
            <w:webHidden/>
          </w:rPr>
          <w:fldChar w:fldCharType="separate"/>
        </w:r>
        <w:r w:rsidR="00B33232">
          <w:rPr>
            <w:webHidden/>
          </w:rPr>
          <w:t>19</w:t>
        </w:r>
        <w:r w:rsidR="00C97607">
          <w:rPr>
            <w:webHidden/>
          </w:rPr>
          <w:fldChar w:fldCharType="end"/>
        </w:r>
      </w:hyperlink>
    </w:p>
    <w:p w:rsidR="00C97607" w:rsidRDefault="001B1897" w:rsidP="008A7558">
      <w:pPr>
        <w:pStyle w:val="TOC1"/>
        <w:tabs>
          <w:tab w:val="left" w:pos="4678"/>
        </w:tabs>
        <w:rPr>
          <w:rFonts w:asciiTheme="minorHAnsi" w:eastAsiaTheme="minorEastAsia" w:hAnsiTheme="minorHAnsi" w:cstheme="minorBidi"/>
          <w:szCs w:val="22"/>
          <w:lang w:eastAsia="en-AU"/>
        </w:rPr>
      </w:pPr>
      <w:hyperlink w:anchor="_Toc1725011" w:history="1">
        <w:r w:rsidR="00C97607" w:rsidRPr="004B2CDF">
          <w:rPr>
            <w:rStyle w:val="Hyperlink"/>
          </w:rPr>
          <w:t>Figure 17: New entrants to the workforce model, 2012 - 2030</w:t>
        </w:r>
        <w:r w:rsidR="00C97607">
          <w:rPr>
            <w:webHidden/>
          </w:rPr>
          <w:tab/>
        </w:r>
        <w:r w:rsidR="00C97607">
          <w:rPr>
            <w:webHidden/>
          </w:rPr>
          <w:fldChar w:fldCharType="begin"/>
        </w:r>
        <w:r w:rsidR="00C97607">
          <w:rPr>
            <w:webHidden/>
          </w:rPr>
          <w:instrText xml:space="preserve"> PAGEREF _Toc1725011 \h </w:instrText>
        </w:r>
        <w:r w:rsidR="00C97607">
          <w:rPr>
            <w:webHidden/>
          </w:rPr>
        </w:r>
        <w:r w:rsidR="00C97607">
          <w:rPr>
            <w:webHidden/>
          </w:rPr>
          <w:fldChar w:fldCharType="separate"/>
        </w:r>
        <w:r w:rsidR="00B33232">
          <w:rPr>
            <w:webHidden/>
          </w:rPr>
          <w:t>20</w:t>
        </w:r>
        <w:r w:rsidR="00C97607">
          <w:rPr>
            <w:webHidden/>
          </w:rPr>
          <w:fldChar w:fldCharType="end"/>
        </w:r>
      </w:hyperlink>
    </w:p>
    <w:p w:rsidR="00C97607" w:rsidRDefault="001B1897" w:rsidP="008A7558">
      <w:pPr>
        <w:pStyle w:val="TOC1"/>
        <w:tabs>
          <w:tab w:val="left" w:pos="4678"/>
        </w:tabs>
        <w:rPr>
          <w:rFonts w:asciiTheme="minorHAnsi" w:eastAsiaTheme="minorEastAsia" w:hAnsiTheme="minorHAnsi" w:cstheme="minorBidi"/>
          <w:szCs w:val="22"/>
          <w:lang w:eastAsia="en-AU"/>
        </w:rPr>
      </w:pPr>
      <w:hyperlink w:anchor="_Toc1725012" w:history="1">
        <w:r w:rsidR="00C97607" w:rsidRPr="004B2CDF">
          <w:rPr>
            <w:rStyle w:val="Hyperlink"/>
          </w:rPr>
          <w:t>Figure 18: Transition calculations for the training pipeline for graduate midwives</w:t>
        </w:r>
        <w:r w:rsidR="00C97607">
          <w:rPr>
            <w:webHidden/>
          </w:rPr>
          <w:tab/>
        </w:r>
        <w:r w:rsidR="00C97607">
          <w:rPr>
            <w:webHidden/>
          </w:rPr>
          <w:fldChar w:fldCharType="begin"/>
        </w:r>
        <w:r w:rsidR="00C97607">
          <w:rPr>
            <w:webHidden/>
          </w:rPr>
          <w:instrText xml:space="preserve"> PAGEREF _Toc1725012 \h </w:instrText>
        </w:r>
        <w:r w:rsidR="00C97607">
          <w:rPr>
            <w:webHidden/>
          </w:rPr>
        </w:r>
        <w:r w:rsidR="00C97607">
          <w:rPr>
            <w:webHidden/>
          </w:rPr>
          <w:fldChar w:fldCharType="separate"/>
        </w:r>
        <w:r w:rsidR="00B33232">
          <w:rPr>
            <w:webHidden/>
          </w:rPr>
          <w:t>21</w:t>
        </w:r>
        <w:r w:rsidR="00C97607">
          <w:rPr>
            <w:webHidden/>
          </w:rPr>
          <w:fldChar w:fldCharType="end"/>
        </w:r>
      </w:hyperlink>
    </w:p>
    <w:p w:rsidR="00C97607" w:rsidRDefault="001B1897" w:rsidP="008A7558">
      <w:pPr>
        <w:pStyle w:val="TOC1"/>
        <w:tabs>
          <w:tab w:val="left" w:pos="4678"/>
        </w:tabs>
        <w:rPr>
          <w:rFonts w:asciiTheme="minorHAnsi" w:eastAsiaTheme="minorEastAsia" w:hAnsiTheme="minorHAnsi" w:cstheme="minorBidi"/>
          <w:szCs w:val="22"/>
          <w:lang w:eastAsia="en-AU"/>
        </w:rPr>
      </w:pPr>
      <w:hyperlink w:anchor="_Toc1725013" w:history="1">
        <w:r w:rsidR="00C97607" w:rsidRPr="004B2CDF">
          <w:rPr>
            <w:rStyle w:val="Hyperlink"/>
          </w:rPr>
          <w:t>Figure 19: Midwifery TAP, 2012 - 2030</w:t>
        </w:r>
        <w:r w:rsidR="00C97607">
          <w:rPr>
            <w:webHidden/>
          </w:rPr>
          <w:tab/>
        </w:r>
        <w:r w:rsidR="00405BE9">
          <w:rPr>
            <w:webHidden/>
          </w:rPr>
          <w:tab/>
        </w:r>
        <w:r w:rsidR="00C97607">
          <w:rPr>
            <w:webHidden/>
          </w:rPr>
          <w:fldChar w:fldCharType="begin"/>
        </w:r>
        <w:r w:rsidR="00C97607">
          <w:rPr>
            <w:webHidden/>
          </w:rPr>
          <w:instrText xml:space="preserve"> PAGEREF _Toc1725013 \h </w:instrText>
        </w:r>
        <w:r w:rsidR="00C97607">
          <w:rPr>
            <w:webHidden/>
          </w:rPr>
        </w:r>
        <w:r w:rsidR="00C97607">
          <w:rPr>
            <w:webHidden/>
          </w:rPr>
          <w:fldChar w:fldCharType="separate"/>
        </w:r>
        <w:r w:rsidR="00B33232">
          <w:rPr>
            <w:webHidden/>
          </w:rPr>
          <w:t>22</w:t>
        </w:r>
        <w:r w:rsidR="00C97607">
          <w:rPr>
            <w:webHidden/>
          </w:rPr>
          <w:fldChar w:fldCharType="end"/>
        </w:r>
      </w:hyperlink>
    </w:p>
    <w:p w:rsidR="00C97607" w:rsidRDefault="001B1897" w:rsidP="008A7558">
      <w:pPr>
        <w:pStyle w:val="TOC1"/>
        <w:tabs>
          <w:tab w:val="left" w:pos="4678"/>
        </w:tabs>
        <w:rPr>
          <w:rFonts w:asciiTheme="minorHAnsi" w:eastAsiaTheme="minorEastAsia" w:hAnsiTheme="minorHAnsi" w:cstheme="minorBidi"/>
          <w:szCs w:val="22"/>
          <w:lang w:eastAsia="en-AU"/>
        </w:rPr>
      </w:pPr>
      <w:hyperlink w:anchor="_Toc1725014" w:history="1">
        <w:r w:rsidR="00C97607" w:rsidRPr="004B2CDF">
          <w:rPr>
            <w:rStyle w:val="Hyperlink"/>
          </w:rPr>
          <w:t xml:space="preserve">Figure 20: </w:t>
        </w:r>
        <w:r w:rsidR="004D53D1">
          <w:rPr>
            <w:rStyle w:val="Hyperlink"/>
          </w:rPr>
          <w:t>Continuity</w:t>
        </w:r>
        <w:r w:rsidR="00C97607" w:rsidRPr="004B2CDF">
          <w:rPr>
            <w:rStyle w:val="Hyperlink"/>
          </w:rPr>
          <w:t xml:space="preserve"> of Care</w:t>
        </w:r>
        <w:r w:rsidR="00C97607">
          <w:rPr>
            <w:webHidden/>
          </w:rPr>
          <w:tab/>
        </w:r>
        <w:r w:rsidR="00405BE9">
          <w:rPr>
            <w:webHidden/>
          </w:rPr>
          <w:tab/>
        </w:r>
        <w:r w:rsidR="00C97607">
          <w:rPr>
            <w:webHidden/>
          </w:rPr>
          <w:fldChar w:fldCharType="begin"/>
        </w:r>
        <w:r w:rsidR="00C97607">
          <w:rPr>
            <w:webHidden/>
          </w:rPr>
          <w:instrText xml:space="preserve"> PAGEREF _Toc1725014 \h </w:instrText>
        </w:r>
        <w:r w:rsidR="00C97607">
          <w:rPr>
            <w:webHidden/>
          </w:rPr>
        </w:r>
        <w:r w:rsidR="00C97607">
          <w:rPr>
            <w:webHidden/>
          </w:rPr>
          <w:fldChar w:fldCharType="separate"/>
        </w:r>
        <w:r w:rsidR="00B33232">
          <w:rPr>
            <w:webHidden/>
          </w:rPr>
          <w:t>23</w:t>
        </w:r>
        <w:r w:rsidR="00C97607">
          <w:rPr>
            <w:webHidden/>
          </w:rPr>
          <w:fldChar w:fldCharType="end"/>
        </w:r>
      </w:hyperlink>
    </w:p>
    <w:p w:rsidR="00C97607" w:rsidRDefault="001B1897" w:rsidP="008A7558">
      <w:pPr>
        <w:pStyle w:val="TOC1"/>
        <w:tabs>
          <w:tab w:val="left" w:pos="4678"/>
        </w:tabs>
        <w:rPr>
          <w:rFonts w:asciiTheme="minorHAnsi" w:eastAsiaTheme="minorEastAsia" w:hAnsiTheme="minorHAnsi" w:cstheme="minorBidi"/>
          <w:szCs w:val="22"/>
          <w:lang w:eastAsia="en-AU"/>
        </w:rPr>
      </w:pPr>
      <w:hyperlink w:anchor="_Toc1725015" w:history="1">
        <w:r w:rsidR="00C97607" w:rsidRPr="004B2CDF">
          <w:rPr>
            <w:rStyle w:val="Hyperlink"/>
          </w:rPr>
          <w:t>Figure 21: Determination of antenatal visits measure</w:t>
        </w:r>
        <w:r w:rsidR="00C97607">
          <w:rPr>
            <w:webHidden/>
          </w:rPr>
          <w:tab/>
        </w:r>
        <w:r w:rsidR="00C97607">
          <w:rPr>
            <w:webHidden/>
          </w:rPr>
          <w:fldChar w:fldCharType="begin"/>
        </w:r>
        <w:r w:rsidR="00C97607">
          <w:rPr>
            <w:webHidden/>
          </w:rPr>
          <w:instrText xml:space="preserve"> PAGEREF _Toc1725015 \h </w:instrText>
        </w:r>
        <w:r w:rsidR="00C97607">
          <w:rPr>
            <w:webHidden/>
          </w:rPr>
        </w:r>
        <w:r w:rsidR="00C97607">
          <w:rPr>
            <w:webHidden/>
          </w:rPr>
          <w:fldChar w:fldCharType="separate"/>
        </w:r>
        <w:r w:rsidR="00B33232">
          <w:rPr>
            <w:webHidden/>
          </w:rPr>
          <w:t>24</w:t>
        </w:r>
        <w:r w:rsidR="00C97607">
          <w:rPr>
            <w:webHidden/>
          </w:rPr>
          <w:fldChar w:fldCharType="end"/>
        </w:r>
      </w:hyperlink>
    </w:p>
    <w:p w:rsidR="00C97607" w:rsidRDefault="001B1897" w:rsidP="008A7558">
      <w:pPr>
        <w:pStyle w:val="TOC1"/>
        <w:tabs>
          <w:tab w:val="left" w:pos="4678"/>
        </w:tabs>
        <w:rPr>
          <w:rFonts w:asciiTheme="minorHAnsi" w:eastAsiaTheme="minorEastAsia" w:hAnsiTheme="minorHAnsi" w:cstheme="minorBidi"/>
          <w:szCs w:val="22"/>
          <w:lang w:eastAsia="en-AU"/>
        </w:rPr>
      </w:pPr>
      <w:hyperlink w:anchor="_Toc1725016" w:history="1">
        <w:r w:rsidR="00C97607" w:rsidRPr="004B2CDF">
          <w:rPr>
            <w:rStyle w:val="Hyperlink"/>
          </w:rPr>
          <w:t>Figure 22: Postnatal Stay Measure</w:t>
        </w:r>
        <w:r w:rsidR="00C97607">
          <w:rPr>
            <w:webHidden/>
          </w:rPr>
          <w:tab/>
        </w:r>
        <w:r w:rsidR="00405BE9">
          <w:rPr>
            <w:webHidden/>
          </w:rPr>
          <w:tab/>
        </w:r>
        <w:r w:rsidR="00C97607">
          <w:rPr>
            <w:webHidden/>
          </w:rPr>
          <w:fldChar w:fldCharType="begin"/>
        </w:r>
        <w:r w:rsidR="00C97607">
          <w:rPr>
            <w:webHidden/>
          </w:rPr>
          <w:instrText xml:space="preserve"> PAGEREF _Toc1725016 \h </w:instrText>
        </w:r>
        <w:r w:rsidR="00C97607">
          <w:rPr>
            <w:webHidden/>
          </w:rPr>
        </w:r>
        <w:r w:rsidR="00C97607">
          <w:rPr>
            <w:webHidden/>
          </w:rPr>
          <w:fldChar w:fldCharType="separate"/>
        </w:r>
        <w:r w:rsidR="00B33232">
          <w:rPr>
            <w:webHidden/>
          </w:rPr>
          <w:t>24</w:t>
        </w:r>
        <w:r w:rsidR="00C97607">
          <w:rPr>
            <w:webHidden/>
          </w:rPr>
          <w:fldChar w:fldCharType="end"/>
        </w:r>
      </w:hyperlink>
    </w:p>
    <w:p w:rsidR="00C97607" w:rsidRDefault="001B1897" w:rsidP="008A7558">
      <w:pPr>
        <w:pStyle w:val="TOC1"/>
        <w:tabs>
          <w:tab w:val="left" w:pos="4678"/>
        </w:tabs>
        <w:rPr>
          <w:rFonts w:asciiTheme="minorHAnsi" w:eastAsiaTheme="minorEastAsia" w:hAnsiTheme="minorHAnsi" w:cstheme="minorBidi"/>
          <w:szCs w:val="22"/>
          <w:lang w:eastAsia="en-AU"/>
        </w:rPr>
      </w:pPr>
      <w:hyperlink w:anchor="_Toc1725017" w:history="1">
        <w:r w:rsidR="00C97607" w:rsidRPr="004B2CDF">
          <w:rPr>
            <w:rStyle w:val="Hyperlink"/>
          </w:rPr>
          <w:t xml:space="preserve">Figure 23: Variables and assumptions used in the demand calculation of the full </w:t>
        </w:r>
        <w:r w:rsidR="004D53D1">
          <w:rPr>
            <w:rStyle w:val="Hyperlink"/>
          </w:rPr>
          <w:t>continuity</w:t>
        </w:r>
        <w:r w:rsidR="00C97607" w:rsidRPr="004B2CDF">
          <w:rPr>
            <w:rStyle w:val="Hyperlink"/>
          </w:rPr>
          <w:t xml:space="preserve"> of care</w:t>
        </w:r>
        <w:r w:rsidR="00C97607">
          <w:rPr>
            <w:webHidden/>
          </w:rPr>
          <w:tab/>
        </w:r>
        <w:r w:rsidR="00405BE9">
          <w:rPr>
            <w:webHidden/>
          </w:rPr>
          <w:tab/>
        </w:r>
        <w:r w:rsidR="00C97607">
          <w:rPr>
            <w:webHidden/>
          </w:rPr>
          <w:fldChar w:fldCharType="begin"/>
        </w:r>
        <w:r w:rsidR="00C97607">
          <w:rPr>
            <w:webHidden/>
          </w:rPr>
          <w:instrText xml:space="preserve"> PAGEREF _Toc1725017 \h </w:instrText>
        </w:r>
        <w:r w:rsidR="00C97607">
          <w:rPr>
            <w:webHidden/>
          </w:rPr>
        </w:r>
        <w:r w:rsidR="00C97607">
          <w:rPr>
            <w:webHidden/>
          </w:rPr>
          <w:fldChar w:fldCharType="separate"/>
        </w:r>
        <w:r w:rsidR="00B33232">
          <w:rPr>
            <w:webHidden/>
          </w:rPr>
          <w:t>25</w:t>
        </w:r>
        <w:r w:rsidR="00C97607">
          <w:rPr>
            <w:webHidden/>
          </w:rPr>
          <w:fldChar w:fldCharType="end"/>
        </w:r>
      </w:hyperlink>
    </w:p>
    <w:p w:rsidR="00C97607" w:rsidRDefault="001B1897" w:rsidP="008A7558">
      <w:pPr>
        <w:pStyle w:val="TOC1"/>
        <w:tabs>
          <w:tab w:val="left" w:pos="4678"/>
        </w:tabs>
        <w:rPr>
          <w:rFonts w:asciiTheme="minorHAnsi" w:eastAsiaTheme="minorEastAsia" w:hAnsiTheme="minorHAnsi" w:cstheme="minorBidi"/>
          <w:szCs w:val="22"/>
          <w:lang w:eastAsia="en-AU"/>
        </w:rPr>
      </w:pPr>
      <w:hyperlink w:anchor="_Toc1725018" w:history="1">
        <w:r w:rsidR="00C97607" w:rsidRPr="004B2CDF">
          <w:rPr>
            <w:rStyle w:val="Hyperlink"/>
          </w:rPr>
          <w:t>Figure 24: Women who gave birth, live births and ABS births, 2006-2016</w:t>
        </w:r>
        <w:r w:rsidR="00C97607">
          <w:rPr>
            <w:webHidden/>
          </w:rPr>
          <w:tab/>
        </w:r>
        <w:r w:rsidR="00C97607">
          <w:rPr>
            <w:webHidden/>
          </w:rPr>
          <w:fldChar w:fldCharType="begin"/>
        </w:r>
        <w:r w:rsidR="00C97607">
          <w:rPr>
            <w:webHidden/>
          </w:rPr>
          <w:instrText xml:space="preserve"> PAGEREF _Toc1725018 \h </w:instrText>
        </w:r>
        <w:r w:rsidR="00C97607">
          <w:rPr>
            <w:webHidden/>
          </w:rPr>
        </w:r>
        <w:r w:rsidR="00C97607">
          <w:rPr>
            <w:webHidden/>
          </w:rPr>
          <w:fldChar w:fldCharType="separate"/>
        </w:r>
        <w:r w:rsidR="00B33232">
          <w:rPr>
            <w:webHidden/>
          </w:rPr>
          <w:t>26</w:t>
        </w:r>
        <w:r w:rsidR="00C97607">
          <w:rPr>
            <w:webHidden/>
          </w:rPr>
          <w:fldChar w:fldCharType="end"/>
        </w:r>
      </w:hyperlink>
    </w:p>
    <w:p w:rsidR="00C97607" w:rsidRDefault="001B1897" w:rsidP="008A7558">
      <w:pPr>
        <w:pStyle w:val="TOC1"/>
        <w:tabs>
          <w:tab w:val="left" w:pos="4678"/>
        </w:tabs>
        <w:rPr>
          <w:rFonts w:asciiTheme="minorHAnsi" w:eastAsiaTheme="minorEastAsia" w:hAnsiTheme="minorHAnsi" w:cstheme="minorBidi"/>
          <w:szCs w:val="22"/>
          <w:lang w:eastAsia="en-AU"/>
        </w:rPr>
      </w:pPr>
      <w:hyperlink w:anchor="_Toc1725019" w:history="1">
        <w:r w:rsidR="00C97607" w:rsidRPr="004B2CDF">
          <w:rPr>
            <w:rStyle w:val="Hyperlink"/>
          </w:rPr>
          <w:t>Figure 25: Number of Births and Fertility rate, 2006-2017</w:t>
        </w:r>
        <w:r w:rsidR="00C97607">
          <w:rPr>
            <w:webHidden/>
          </w:rPr>
          <w:tab/>
        </w:r>
        <w:r w:rsidR="00C97607">
          <w:rPr>
            <w:webHidden/>
          </w:rPr>
          <w:fldChar w:fldCharType="begin"/>
        </w:r>
        <w:r w:rsidR="00C97607">
          <w:rPr>
            <w:webHidden/>
          </w:rPr>
          <w:instrText xml:space="preserve"> PAGEREF _Toc1725019 \h </w:instrText>
        </w:r>
        <w:r w:rsidR="00C97607">
          <w:rPr>
            <w:webHidden/>
          </w:rPr>
        </w:r>
        <w:r w:rsidR="00C97607">
          <w:rPr>
            <w:webHidden/>
          </w:rPr>
          <w:fldChar w:fldCharType="separate"/>
        </w:r>
        <w:r w:rsidR="00B33232">
          <w:rPr>
            <w:webHidden/>
          </w:rPr>
          <w:t>27</w:t>
        </w:r>
        <w:r w:rsidR="00C97607">
          <w:rPr>
            <w:webHidden/>
          </w:rPr>
          <w:fldChar w:fldCharType="end"/>
        </w:r>
      </w:hyperlink>
    </w:p>
    <w:p w:rsidR="00C97607" w:rsidRDefault="001B1897" w:rsidP="008A7558">
      <w:pPr>
        <w:pStyle w:val="TOC1"/>
        <w:tabs>
          <w:tab w:val="left" w:pos="4678"/>
        </w:tabs>
        <w:rPr>
          <w:rFonts w:asciiTheme="minorHAnsi" w:eastAsiaTheme="minorEastAsia" w:hAnsiTheme="minorHAnsi" w:cstheme="minorBidi"/>
          <w:szCs w:val="22"/>
          <w:lang w:eastAsia="en-AU"/>
        </w:rPr>
      </w:pPr>
      <w:hyperlink w:anchor="_Toc1725020" w:history="1">
        <w:r w:rsidR="00C97607" w:rsidRPr="004B2CDF">
          <w:rPr>
            <w:rStyle w:val="Hyperlink"/>
          </w:rPr>
          <w:t>Figure 26: Births by jurisdiction, 2006-2017</w:t>
        </w:r>
        <w:r w:rsidR="00C97607">
          <w:rPr>
            <w:webHidden/>
          </w:rPr>
          <w:tab/>
        </w:r>
        <w:r w:rsidR="00405BE9">
          <w:rPr>
            <w:webHidden/>
          </w:rPr>
          <w:tab/>
        </w:r>
        <w:r w:rsidR="00C97607">
          <w:rPr>
            <w:webHidden/>
          </w:rPr>
          <w:fldChar w:fldCharType="begin"/>
        </w:r>
        <w:r w:rsidR="00C97607">
          <w:rPr>
            <w:webHidden/>
          </w:rPr>
          <w:instrText xml:space="preserve"> PAGEREF _Toc1725020 \h </w:instrText>
        </w:r>
        <w:r w:rsidR="00C97607">
          <w:rPr>
            <w:webHidden/>
          </w:rPr>
        </w:r>
        <w:r w:rsidR="00C97607">
          <w:rPr>
            <w:webHidden/>
          </w:rPr>
          <w:fldChar w:fldCharType="separate"/>
        </w:r>
        <w:r w:rsidR="00B33232">
          <w:rPr>
            <w:webHidden/>
          </w:rPr>
          <w:t>27</w:t>
        </w:r>
        <w:r w:rsidR="00C97607">
          <w:rPr>
            <w:webHidden/>
          </w:rPr>
          <w:fldChar w:fldCharType="end"/>
        </w:r>
      </w:hyperlink>
    </w:p>
    <w:p w:rsidR="00C97607" w:rsidRDefault="001B1897" w:rsidP="008A7558">
      <w:pPr>
        <w:pStyle w:val="TOC1"/>
        <w:tabs>
          <w:tab w:val="left" w:pos="4678"/>
        </w:tabs>
        <w:rPr>
          <w:rFonts w:asciiTheme="minorHAnsi" w:eastAsiaTheme="minorEastAsia" w:hAnsiTheme="minorHAnsi" w:cstheme="minorBidi"/>
          <w:szCs w:val="22"/>
          <w:lang w:eastAsia="en-AU"/>
        </w:rPr>
      </w:pPr>
      <w:hyperlink w:anchor="_Toc1725021" w:history="1">
        <w:r w:rsidR="00C97607" w:rsidRPr="004B2CDF">
          <w:rPr>
            <w:rStyle w:val="Hyperlink"/>
          </w:rPr>
          <w:t>Figure 27: Fertility rates (births per 1,000 population) by state and territory, 2006-2017</w:t>
        </w:r>
        <w:r w:rsidR="00C97607">
          <w:rPr>
            <w:webHidden/>
          </w:rPr>
          <w:tab/>
        </w:r>
        <w:r w:rsidR="00C97607">
          <w:rPr>
            <w:webHidden/>
          </w:rPr>
          <w:fldChar w:fldCharType="begin"/>
        </w:r>
        <w:r w:rsidR="00C97607">
          <w:rPr>
            <w:webHidden/>
          </w:rPr>
          <w:instrText xml:space="preserve"> PAGEREF _Toc1725021 \h </w:instrText>
        </w:r>
        <w:r w:rsidR="00C97607">
          <w:rPr>
            <w:webHidden/>
          </w:rPr>
        </w:r>
        <w:r w:rsidR="00C97607">
          <w:rPr>
            <w:webHidden/>
          </w:rPr>
          <w:fldChar w:fldCharType="separate"/>
        </w:r>
        <w:r w:rsidR="00B33232">
          <w:rPr>
            <w:webHidden/>
          </w:rPr>
          <w:t>28</w:t>
        </w:r>
        <w:r w:rsidR="00C97607">
          <w:rPr>
            <w:webHidden/>
          </w:rPr>
          <w:fldChar w:fldCharType="end"/>
        </w:r>
      </w:hyperlink>
    </w:p>
    <w:p w:rsidR="00C97607" w:rsidRDefault="001B1897" w:rsidP="008A7558">
      <w:pPr>
        <w:pStyle w:val="TOC1"/>
        <w:tabs>
          <w:tab w:val="left" w:pos="4678"/>
        </w:tabs>
        <w:rPr>
          <w:rFonts w:asciiTheme="minorHAnsi" w:eastAsiaTheme="minorEastAsia" w:hAnsiTheme="minorHAnsi" w:cstheme="minorBidi"/>
          <w:szCs w:val="22"/>
          <w:lang w:eastAsia="en-AU"/>
        </w:rPr>
      </w:pPr>
      <w:hyperlink w:anchor="_Toc1725022" w:history="1">
        <w:r w:rsidR="00C97607" w:rsidRPr="004B2CDF">
          <w:rPr>
            <w:rStyle w:val="Hyperlink"/>
          </w:rPr>
          <w:t>Figure 28: Average age of women, 2006 to 2016</w:t>
        </w:r>
        <w:r w:rsidR="00C97607">
          <w:rPr>
            <w:webHidden/>
          </w:rPr>
          <w:tab/>
        </w:r>
        <w:r w:rsidR="00C97607">
          <w:rPr>
            <w:webHidden/>
          </w:rPr>
          <w:fldChar w:fldCharType="begin"/>
        </w:r>
        <w:r w:rsidR="00C97607">
          <w:rPr>
            <w:webHidden/>
          </w:rPr>
          <w:instrText xml:space="preserve"> PAGEREF _Toc1725022 \h </w:instrText>
        </w:r>
        <w:r w:rsidR="00C97607">
          <w:rPr>
            <w:webHidden/>
          </w:rPr>
        </w:r>
        <w:r w:rsidR="00C97607">
          <w:rPr>
            <w:webHidden/>
          </w:rPr>
          <w:fldChar w:fldCharType="separate"/>
        </w:r>
        <w:r w:rsidR="00B33232">
          <w:rPr>
            <w:webHidden/>
          </w:rPr>
          <w:t>28</w:t>
        </w:r>
        <w:r w:rsidR="00C97607">
          <w:rPr>
            <w:webHidden/>
          </w:rPr>
          <w:fldChar w:fldCharType="end"/>
        </w:r>
      </w:hyperlink>
    </w:p>
    <w:p w:rsidR="00C97607" w:rsidRDefault="001B1897" w:rsidP="008A7558">
      <w:pPr>
        <w:pStyle w:val="TOC1"/>
        <w:tabs>
          <w:tab w:val="left" w:pos="4678"/>
        </w:tabs>
        <w:rPr>
          <w:rFonts w:asciiTheme="minorHAnsi" w:eastAsiaTheme="minorEastAsia" w:hAnsiTheme="minorHAnsi" w:cstheme="minorBidi"/>
          <w:szCs w:val="22"/>
          <w:lang w:eastAsia="en-AU"/>
        </w:rPr>
      </w:pPr>
      <w:hyperlink w:anchor="_Toc1725023" w:history="1">
        <w:r w:rsidR="00C97607" w:rsidRPr="004B2CDF">
          <w:rPr>
            <w:rStyle w:val="Hyperlink"/>
          </w:rPr>
          <w:t>Figure 29: Women who gave birth, by location of birth</w:t>
        </w:r>
        <w:r w:rsidR="00C97607">
          <w:rPr>
            <w:webHidden/>
          </w:rPr>
          <w:tab/>
        </w:r>
        <w:r w:rsidR="00C97607">
          <w:rPr>
            <w:webHidden/>
          </w:rPr>
          <w:fldChar w:fldCharType="begin"/>
        </w:r>
        <w:r w:rsidR="00C97607">
          <w:rPr>
            <w:webHidden/>
          </w:rPr>
          <w:instrText xml:space="preserve"> PAGEREF _Toc1725023 \h </w:instrText>
        </w:r>
        <w:r w:rsidR="00C97607">
          <w:rPr>
            <w:webHidden/>
          </w:rPr>
        </w:r>
        <w:r w:rsidR="00C97607">
          <w:rPr>
            <w:webHidden/>
          </w:rPr>
          <w:fldChar w:fldCharType="separate"/>
        </w:r>
        <w:r w:rsidR="00B33232">
          <w:rPr>
            <w:webHidden/>
          </w:rPr>
          <w:t>28</w:t>
        </w:r>
        <w:r w:rsidR="00C97607">
          <w:rPr>
            <w:webHidden/>
          </w:rPr>
          <w:fldChar w:fldCharType="end"/>
        </w:r>
      </w:hyperlink>
    </w:p>
    <w:p w:rsidR="00C97607" w:rsidRDefault="001B1897" w:rsidP="008A7558">
      <w:pPr>
        <w:pStyle w:val="TOC1"/>
        <w:tabs>
          <w:tab w:val="left" w:pos="4678"/>
        </w:tabs>
        <w:rPr>
          <w:rFonts w:asciiTheme="minorHAnsi" w:eastAsiaTheme="minorEastAsia" w:hAnsiTheme="minorHAnsi" w:cstheme="minorBidi"/>
          <w:szCs w:val="22"/>
          <w:lang w:eastAsia="en-AU"/>
        </w:rPr>
      </w:pPr>
      <w:hyperlink w:anchor="_Toc1725024" w:history="1">
        <w:r w:rsidR="00C97607" w:rsidRPr="004B2CDF">
          <w:rPr>
            <w:rStyle w:val="Hyperlink"/>
          </w:rPr>
          <w:t>Figure 30: Women who gave birth in hospital by method of birth, hospital sector:</w:t>
        </w:r>
        <w:r w:rsidR="00C97607">
          <w:rPr>
            <w:webHidden/>
          </w:rPr>
          <w:tab/>
        </w:r>
        <w:r w:rsidR="00C97607">
          <w:rPr>
            <w:webHidden/>
          </w:rPr>
          <w:fldChar w:fldCharType="begin"/>
        </w:r>
        <w:r w:rsidR="00C97607">
          <w:rPr>
            <w:webHidden/>
          </w:rPr>
          <w:instrText xml:space="preserve"> PAGEREF _Toc1725024 \h </w:instrText>
        </w:r>
        <w:r w:rsidR="00C97607">
          <w:rPr>
            <w:webHidden/>
          </w:rPr>
        </w:r>
        <w:r w:rsidR="00C97607">
          <w:rPr>
            <w:webHidden/>
          </w:rPr>
          <w:fldChar w:fldCharType="separate"/>
        </w:r>
        <w:r w:rsidR="00B33232">
          <w:rPr>
            <w:webHidden/>
          </w:rPr>
          <w:t>29</w:t>
        </w:r>
        <w:r w:rsidR="00C97607">
          <w:rPr>
            <w:webHidden/>
          </w:rPr>
          <w:fldChar w:fldCharType="end"/>
        </w:r>
      </w:hyperlink>
    </w:p>
    <w:p w:rsidR="00C97607" w:rsidRDefault="001B1897" w:rsidP="008A7558">
      <w:pPr>
        <w:pStyle w:val="TOC1"/>
        <w:tabs>
          <w:tab w:val="left" w:pos="4678"/>
        </w:tabs>
        <w:rPr>
          <w:rFonts w:asciiTheme="minorHAnsi" w:eastAsiaTheme="minorEastAsia" w:hAnsiTheme="minorHAnsi" w:cstheme="minorBidi"/>
          <w:szCs w:val="22"/>
          <w:lang w:eastAsia="en-AU"/>
        </w:rPr>
      </w:pPr>
      <w:hyperlink w:anchor="_Toc1725025" w:history="1">
        <w:r w:rsidR="00C97607" w:rsidRPr="004B2CDF">
          <w:rPr>
            <w:rStyle w:val="Hyperlink"/>
          </w:rPr>
          <w:t>Figure 31: Women who gave birth at home by location</w:t>
        </w:r>
        <w:r w:rsidR="00C97607">
          <w:rPr>
            <w:webHidden/>
          </w:rPr>
          <w:tab/>
        </w:r>
        <w:r w:rsidR="00C97607">
          <w:rPr>
            <w:webHidden/>
          </w:rPr>
          <w:fldChar w:fldCharType="begin"/>
        </w:r>
        <w:r w:rsidR="00C97607">
          <w:rPr>
            <w:webHidden/>
          </w:rPr>
          <w:instrText xml:space="preserve"> PAGEREF _Toc1725025 \h </w:instrText>
        </w:r>
        <w:r w:rsidR="00C97607">
          <w:rPr>
            <w:webHidden/>
          </w:rPr>
        </w:r>
        <w:r w:rsidR="00C97607">
          <w:rPr>
            <w:webHidden/>
          </w:rPr>
          <w:fldChar w:fldCharType="separate"/>
        </w:r>
        <w:r w:rsidR="00B33232">
          <w:rPr>
            <w:webHidden/>
          </w:rPr>
          <w:t>29</w:t>
        </w:r>
        <w:r w:rsidR="00C97607">
          <w:rPr>
            <w:webHidden/>
          </w:rPr>
          <w:fldChar w:fldCharType="end"/>
        </w:r>
      </w:hyperlink>
    </w:p>
    <w:p w:rsidR="00C97607" w:rsidRDefault="001B1897" w:rsidP="008A7558">
      <w:pPr>
        <w:pStyle w:val="TOC1"/>
        <w:tabs>
          <w:tab w:val="left" w:pos="4678"/>
        </w:tabs>
        <w:rPr>
          <w:rFonts w:asciiTheme="minorHAnsi" w:eastAsiaTheme="minorEastAsia" w:hAnsiTheme="minorHAnsi" w:cstheme="minorBidi"/>
          <w:szCs w:val="22"/>
          <w:lang w:eastAsia="en-AU"/>
        </w:rPr>
      </w:pPr>
      <w:hyperlink w:anchor="_Toc1725026" w:history="1">
        <w:r w:rsidR="00C97607" w:rsidRPr="004B2CDF">
          <w:rPr>
            <w:rStyle w:val="Hyperlink"/>
          </w:rPr>
          <w:t>Figure 32: Women who gave birth in hospital by lengthy of postnatal stay</w:t>
        </w:r>
        <w:r w:rsidR="00C97607">
          <w:rPr>
            <w:webHidden/>
          </w:rPr>
          <w:tab/>
        </w:r>
        <w:r w:rsidR="00C97607">
          <w:rPr>
            <w:webHidden/>
          </w:rPr>
          <w:fldChar w:fldCharType="begin"/>
        </w:r>
        <w:r w:rsidR="00C97607">
          <w:rPr>
            <w:webHidden/>
          </w:rPr>
          <w:instrText xml:space="preserve"> PAGEREF _Toc1725026 \h </w:instrText>
        </w:r>
        <w:r w:rsidR="00C97607">
          <w:rPr>
            <w:webHidden/>
          </w:rPr>
        </w:r>
        <w:r w:rsidR="00C97607">
          <w:rPr>
            <w:webHidden/>
          </w:rPr>
          <w:fldChar w:fldCharType="separate"/>
        </w:r>
        <w:r w:rsidR="00B33232">
          <w:rPr>
            <w:webHidden/>
          </w:rPr>
          <w:t>30</w:t>
        </w:r>
        <w:r w:rsidR="00C97607">
          <w:rPr>
            <w:webHidden/>
          </w:rPr>
          <w:fldChar w:fldCharType="end"/>
        </w:r>
      </w:hyperlink>
    </w:p>
    <w:p w:rsidR="00C97607" w:rsidRDefault="001B1897" w:rsidP="008A7558">
      <w:pPr>
        <w:pStyle w:val="TOC1"/>
        <w:tabs>
          <w:tab w:val="left" w:pos="4678"/>
        </w:tabs>
        <w:rPr>
          <w:rFonts w:asciiTheme="minorHAnsi" w:eastAsiaTheme="minorEastAsia" w:hAnsiTheme="minorHAnsi" w:cstheme="minorBidi"/>
          <w:szCs w:val="22"/>
          <w:lang w:eastAsia="en-AU"/>
        </w:rPr>
      </w:pPr>
      <w:hyperlink w:anchor="_Toc1725027" w:history="1">
        <w:r w:rsidR="00C97607" w:rsidRPr="004B2CDF">
          <w:rPr>
            <w:rStyle w:val="Hyperlink"/>
          </w:rPr>
          <w:t>Figure 33: Scenario Summary</w:t>
        </w:r>
        <w:r w:rsidR="00C97607">
          <w:rPr>
            <w:webHidden/>
          </w:rPr>
          <w:tab/>
        </w:r>
        <w:r w:rsidR="00405BE9">
          <w:rPr>
            <w:webHidden/>
          </w:rPr>
          <w:tab/>
        </w:r>
        <w:r w:rsidR="00C97607">
          <w:rPr>
            <w:webHidden/>
          </w:rPr>
          <w:fldChar w:fldCharType="begin"/>
        </w:r>
        <w:r w:rsidR="00C97607">
          <w:rPr>
            <w:webHidden/>
          </w:rPr>
          <w:instrText xml:space="preserve"> PAGEREF _Toc1725027 \h </w:instrText>
        </w:r>
        <w:r w:rsidR="00C97607">
          <w:rPr>
            <w:webHidden/>
          </w:rPr>
        </w:r>
        <w:r w:rsidR="00C97607">
          <w:rPr>
            <w:webHidden/>
          </w:rPr>
          <w:fldChar w:fldCharType="separate"/>
        </w:r>
        <w:r w:rsidR="00B33232">
          <w:rPr>
            <w:webHidden/>
          </w:rPr>
          <w:t>32</w:t>
        </w:r>
        <w:r w:rsidR="00C97607">
          <w:rPr>
            <w:webHidden/>
          </w:rPr>
          <w:fldChar w:fldCharType="end"/>
        </w:r>
      </w:hyperlink>
    </w:p>
    <w:p w:rsidR="00C97607" w:rsidRDefault="001B1897" w:rsidP="008A7558">
      <w:pPr>
        <w:pStyle w:val="TOC1"/>
        <w:tabs>
          <w:tab w:val="left" w:pos="4678"/>
        </w:tabs>
        <w:rPr>
          <w:rFonts w:asciiTheme="minorHAnsi" w:eastAsiaTheme="minorEastAsia" w:hAnsiTheme="minorHAnsi" w:cstheme="minorBidi"/>
          <w:szCs w:val="22"/>
          <w:lang w:eastAsia="en-AU"/>
        </w:rPr>
      </w:pPr>
      <w:hyperlink w:anchor="_Toc1725028" w:history="1">
        <w:r w:rsidR="00C97607" w:rsidRPr="004B2CDF">
          <w:rPr>
            <w:rStyle w:val="Hyperlink"/>
          </w:rPr>
          <w:t xml:space="preserve">Figure 34: Scenario 1 – </w:t>
        </w:r>
        <w:r w:rsidR="004D53D1">
          <w:rPr>
            <w:rStyle w:val="Hyperlink"/>
          </w:rPr>
          <w:t>Continuity</w:t>
        </w:r>
        <w:r w:rsidR="00AA3E8B">
          <w:rPr>
            <w:rStyle w:val="Hyperlink"/>
          </w:rPr>
          <w:t xml:space="preserve"> </w:t>
        </w:r>
        <w:r w:rsidR="00C97607" w:rsidRPr="004B2CDF">
          <w:rPr>
            <w:rStyle w:val="Hyperlink"/>
          </w:rPr>
          <w:t>o</w:t>
        </w:r>
        <w:r w:rsidR="00AA3E8B">
          <w:rPr>
            <w:rStyle w:val="Hyperlink"/>
          </w:rPr>
          <w:t xml:space="preserve">f </w:t>
        </w:r>
        <w:r w:rsidR="00C97607" w:rsidRPr="004B2CDF">
          <w:rPr>
            <w:rStyle w:val="Hyperlink"/>
          </w:rPr>
          <w:t>C</w:t>
        </w:r>
        <w:r w:rsidR="00AA3E8B">
          <w:rPr>
            <w:rStyle w:val="Hyperlink"/>
          </w:rPr>
          <w:t>are</w:t>
        </w:r>
        <w:r w:rsidR="00C97607" w:rsidRPr="004B2CDF">
          <w:rPr>
            <w:rStyle w:val="Hyperlink"/>
          </w:rPr>
          <w:t xml:space="preserve"> (Baseline)</w:t>
        </w:r>
        <w:r w:rsidR="00C97607">
          <w:rPr>
            <w:webHidden/>
          </w:rPr>
          <w:tab/>
        </w:r>
        <w:r w:rsidR="00C97607">
          <w:rPr>
            <w:webHidden/>
          </w:rPr>
          <w:fldChar w:fldCharType="begin"/>
        </w:r>
        <w:r w:rsidR="00C97607">
          <w:rPr>
            <w:webHidden/>
          </w:rPr>
          <w:instrText xml:space="preserve"> PAGEREF _Toc1725028 \h </w:instrText>
        </w:r>
        <w:r w:rsidR="00C97607">
          <w:rPr>
            <w:webHidden/>
          </w:rPr>
        </w:r>
        <w:r w:rsidR="00C97607">
          <w:rPr>
            <w:webHidden/>
          </w:rPr>
          <w:fldChar w:fldCharType="separate"/>
        </w:r>
        <w:r w:rsidR="00B33232">
          <w:rPr>
            <w:webHidden/>
          </w:rPr>
          <w:t>33</w:t>
        </w:r>
        <w:r w:rsidR="00C97607">
          <w:rPr>
            <w:webHidden/>
          </w:rPr>
          <w:fldChar w:fldCharType="end"/>
        </w:r>
      </w:hyperlink>
    </w:p>
    <w:p w:rsidR="00C97607" w:rsidRDefault="001B1897" w:rsidP="008A7558">
      <w:pPr>
        <w:pStyle w:val="TOC1"/>
        <w:tabs>
          <w:tab w:val="left" w:pos="4678"/>
        </w:tabs>
        <w:rPr>
          <w:rFonts w:asciiTheme="minorHAnsi" w:eastAsiaTheme="minorEastAsia" w:hAnsiTheme="minorHAnsi" w:cstheme="minorBidi"/>
          <w:szCs w:val="22"/>
          <w:lang w:eastAsia="en-AU"/>
        </w:rPr>
      </w:pPr>
      <w:hyperlink w:anchor="_Toc1725029" w:history="1">
        <w:r w:rsidR="00C97607" w:rsidRPr="004B2CDF">
          <w:rPr>
            <w:rStyle w:val="Hyperlink"/>
          </w:rPr>
          <w:t>Figure 35: Scenario 2 - Population growth</w:t>
        </w:r>
        <w:r w:rsidR="00C97607">
          <w:rPr>
            <w:webHidden/>
          </w:rPr>
          <w:tab/>
        </w:r>
        <w:r w:rsidR="00405BE9">
          <w:rPr>
            <w:webHidden/>
          </w:rPr>
          <w:tab/>
        </w:r>
        <w:r w:rsidR="00C97607">
          <w:rPr>
            <w:webHidden/>
          </w:rPr>
          <w:fldChar w:fldCharType="begin"/>
        </w:r>
        <w:r w:rsidR="00C97607">
          <w:rPr>
            <w:webHidden/>
          </w:rPr>
          <w:instrText xml:space="preserve"> PAGEREF _Toc1725029 \h </w:instrText>
        </w:r>
        <w:r w:rsidR="00C97607">
          <w:rPr>
            <w:webHidden/>
          </w:rPr>
        </w:r>
        <w:r w:rsidR="00C97607">
          <w:rPr>
            <w:webHidden/>
          </w:rPr>
          <w:fldChar w:fldCharType="separate"/>
        </w:r>
        <w:r w:rsidR="00B33232">
          <w:rPr>
            <w:webHidden/>
          </w:rPr>
          <w:t>33</w:t>
        </w:r>
        <w:r w:rsidR="00C97607">
          <w:rPr>
            <w:webHidden/>
          </w:rPr>
          <w:fldChar w:fldCharType="end"/>
        </w:r>
      </w:hyperlink>
    </w:p>
    <w:p w:rsidR="00C97607" w:rsidRDefault="001B1897" w:rsidP="008A7558">
      <w:pPr>
        <w:pStyle w:val="TOC1"/>
        <w:tabs>
          <w:tab w:val="left" w:pos="4678"/>
        </w:tabs>
        <w:rPr>
          <w:rFonts w:asciiTheme="minorHAnsi" w:eastAsiaTheme="minorEastAsia" w:hAnsiTheme="minorHAnsi" w:cstheme="minorBidi"/>
          <w:szCs w:val="22"/>
          <w:lang w:eastAsia="en-AU"/>
        </w:rPr>
      </w:pPr>
      <w:hyperlink w:anchor="_Toc1725030" w:history="1">
        <w:r w:rsidR="00C97607" w:rsidRPr="004B2CDF">
          <w:rPr>
            <w:rStyle w:val="Hyperlink"/>
          </w:rPr>
          <w:t>Figure 36: Scenario 3 - Increased hours worked</w:t>
        </w:r>
        <w:r w:rsidR="00C97607">
          <w:rPr>
            <w:webHidden/>
          </w:rPr>
          <w:tab/>
        </w:r>
        <w:r w:rsidR="00405BE9">
          <w:rPr>
            <w:webHidden/>
          </w:rPr>
          <w:tab/>
        </w:r>
        <w:r w:rsidR="00C97607">
          <w:rPr>
            <w:webHidden/>
          </w:rPr>
          <w:fldChar w:fldCharType="begin"/>
        </w:r>
        <w:r w:rsidR="00C97607">
          <w:rPr>
            <w:webHidden/>
          </w:rPr>
          <w:instrText xml:space="preserve"> PAGEREF _Toc1725030 \h </w:instrText>
        </w:r>
        <w:r w:rsidR="00C97607">
          <w:rPr>
            <w:webHidden/>
          </w:rPr>
        </w:r>
        <w:r w:rsidR="00C97607">
          <w:rPr>
            <w:webHidden/>
          </w:rPr>
          <w:fldChar w:fldCharType="separate"/>
        </w:r>
        <w:r w:rsidR="00B33232">
          <w:rPr>
            <w:webHidden/>
          </w:rPr>
          <w:t>34</w:t>
        </w:r>
        <w:r w:rsidR="00C97607">
          <w:rPr>
            <w:webHidden/>
          </w:rPr>
          <w:fldChar w:fldCharType="end"/>
        </w:r>
      </w:hyperlink>
    </w:p>
    <w:p w:rsidR="0007288C" w:rsidRDefault="00C97607" w:rsidP="008A7558">
      <w:pPr>
        <w:tabs>
          <w:tab w:val="left" w:pos="4678"/>
        </w:tabs>
        <w:spacing w:before="120" w:after="120" w:line="276" w:lineRule="auto"/>
        <w:jc w:val="both"/>
        <w:rPr>
          <w:rFonts w:eastAsia="Calibri" w:cs="Arial"/>
          <w:b/>
          <w:bCs/>
          <w:color w:val="548DD4"/>
          <w:kern w:val="28"/>
          <w:szCs w:val="22"/>
        </w:rPr>
      </w:pPr>
      <w:r>
        <w:rPr>
          <w:rFonts w:eastAsia="Calibri" w:cs="Arial"/>
          <w:b/>
          <w:bCs/>
          <w:color w:val="548DD4"/>
          <w:kern w:val="28"/>
          <w:szCs w:val="22"/>
        </w:rPr>
        <w:fldChar w:fldCharType="end"/>
      </w:r>
    </w:p>
    <w:p w:rsidR="0007288C" w:rsidRPr="00826C99" w:rsidRDefault="0007288C" w:rsidP="0007288C">
      <w:pPr>
        <w:spacing w:after="0" w:line="240" w:lineRule="auto"/>
        <w:rPr>
          <w:rFonts w:eastAsia="Calibri" w:cs="Arial"/>
          <w:b/>
          <w:bCs/>
          <w:color w:val="548DD4"/>
          <w:kern w:val="28"/>
          <w:szCs w:val="22"/>
        </w:rPr>
      </w:pPr>
      <w:r w:rsidRPr="00826C99">
        <w:rPr>
          <w:rFonts w:eastAsia="Calibri" w:cs="Arial"/>
          <w:szCs w:val="22"/>
        </w:rPr>
        <w:br w:type="page"/>
      </w:r>
    </w:p>
    <w:p w:rsidR="00063DA4" w:rsidRDefault="002B0ECA" w:rsidP="00063DA4">
      <w:pPr>
        <w:pStyle w:val="Heading1"/>
      </w:pPr>
      <w:bookmarkStart w:id="5" w:name="_Toc10808368"/>
      <w:bookmarkStart w:id="6" w:name="_Toc521510432"/>
      <w:bookmarkStart w:id="7" w:name="_Toc429581513"/>
      <w:bookmarkStart w:id="8" w:name="_Toc424637708"/>
      <w:bookmarkEnd w:id="1"/>
      <w:r>
        <w:lastRenderedPageBreak/>
        <w:t xml:space="preserve">Report </w:t>
      </w:r>
      <w:r w:rsidR="0074464B">
        <w:t>Overview</w:t>
      </w:r>
      <w:bookmarkEnd w:id="5"/>
    </w:p>
    <w:bookmarkEnd w:id="6"/>
    <w:p w:rsidR="00633BE7" w:rsidRPr="00FC3AD0" w:rsidRDefault="00633BE7" w:rsidP="00633BE7">
      <w:pPr>
        <w:rPr>
          <w:rFonts w:cs="Arial"/>
          <w:szCs w:val="22"/>
        </w:rPr>
      </w:pPr>
      <w:r w:rsidRPr="00FC3AD0">
        <w:rPr>
          <w:rFonts w:cs="Arial"/>
          <w:szCs w:val="22"/>
        </w:rPr>
        <w:t>A</w:t>
      </w:r>
      <w:r w:rsidR="002B0ECA">
        <w:rPr>
          <w:rFonts w:cs="Arial"/>
          <w:szCs w:val="22"/>
        </w:rPr>
        <w:t xml:space="preserve">ustralia’s </w:t>
      </w:r>
      <w:r w:rsidRPr="00FC3AD0">
        <w:rPr>
          <w:rFonts w:cs="Arial"/>
          <w:szCs w:val="22"/>
        </w:rPr>
        <w:t>F</w:t>
      </w:r>
      <w:r w:rsidR="002B0ECA">
        <w:rPr>
          <w:rFonts w:cs="Arial"/>
          <w:szCs w:val="22"/>
        </w:rPr>
        <w:t xml:space="preserve">uture </w:t>
      </w:r>
      <w:r w:rsidRPr="00FC3AD0">
        <w:rPr>
          <w:rFonts w:cs="Arial"/>
          <w:szCs w:val="22"/>
        </w:rPr>
        <w:t>H</w:t>
      </w:r>
      <w:r w:rsidR="002B0ECA">
        <w:rPr>
          <w:rFonts w:cs="Arial"/>
          <w:szCs w:val="22"/>
        </w:rPr>
        <w:t xml:space="preserve">ealth </w:t>
      </w:r>
      <w:r w:rsidRPr="00FC3AD0">
        <w:rPr>
          <w:rFonts w:cs="Arial"/>
          <w:szCs w:val="22"/>
        </w:rPr>
        <w:t>W</w:t>
      </w:r>
      <w:r w:rsidR="002B0ECA">
        <w:rPr>
          <w:rFonts w:cs="Arial"/>
          <w:szCs w:val="22"/>
        </w:rPr>
        <w:t xml:space="preserve">orkforce </w:t>
      </w:r>
      <w:r w:rsidRPr="00FC3AD0">
        <w:rPr>
          <w:rFonts w:cs="Arial"/>
          <w:szCs w:val="22"/>
        </w:rPr>
        <w:t>R</w:t>
      </w:r>
      <w:r w:rsidR="002B0ECA">
        <w:rPr>
          <w:rFonts w:cs="Arial"/>
          <w:szCs w:val="22"/>
        </w:rPr>
        <w:t xml:space="preserve">eport </w:t>
      </w:r>
      <w:r w:rsidRPr="00FC3AD0">
        <w:rPr>
          <w:rFonts w:cs="Arial"/>
          <w:szCs w:val="22"/>
        </w:rPr>
        <w:t>– Mid</w:t>
      </w:r>
      <w:r w:rsidR="002B0ECA">
        <w:rPr>
          <w:rFonts w:cs="Arial"/>
          <w:szCs w:val="22"/>
        </w:rPr>
        <w:t>wives 2019</w:t>
      </w:r>
      <w:r w:rsidRPr="00FC3AD0">
        <w:rPr>
          <w:rFonts w:cs="Arial"/>
          <w:szCs w:val="22"/>
        </w:rPr>
        <w:t xml:space="preserve"> </w:t>
      </w:r>
      <w:r w:rsidR="006278CD">
        <w:rPr>
          <w:rFonts w:cs="Arial"/>
          <w:szCs w:val="22"/>
        </w:rPr>
        <w:t xml:space="preserve">(AFHWR – Midwives 2019) </w:t>
      </w:r>
      <w:r w:rsidRPr="00FC3AD0">
        <w:rPr>
          <w:rFonts w:cs="Arial"/>
          <w:szCs w:val="22"/>
        </w:rPr>
        <w:t xml:space="preserve">updates the </w:t>
      </w:r>
      <w:r w:rsidR="00DB0527">
        <w:rPr>
          <w:rFonts w:cs="Arial"/>
          <w:szCs w:val="22"/>
        </w:rPr>
        <w:t xml:space="preserve">first iteration of </w:t>
      </w:r>
      <w:r w:rsidRPr="00FC3AD0">
        <w:rPr>
          <w:rFonts w:cs="Arial"/>
          <w:szCs w:val="22"/>
        </w:rPr>
        <w:t xml:space="preserve">midwifery supply and demand projections </w:t>
      </w:r>
      <w:r w:rsidR="00DE6033">
        <w:rPr>
          <w:rFonts w:cs="Arial"/>
          <w:szCs w:val="22"/>
        </w:rPr>
        <w:t xml:space="preserve">conducted by Health Workforce Australia in the Health Workforce (HW) 2025 Volume 1 report. It </w:t>
      </w:r>
      <w:r w:rsidR="00857CC0">
        <w:rPr>
          <w:rFonts w:cs="Arial"/>
          <w:szCs w:val="22"/>
        </w:rPr>
        <w:t xml:space="preserve">also </w:t>
      </w:r>
      <w:r w:rsidRPr="00FC3AD0">
        <w:rPr>
          <w:rFonts w:cs="Arial"/>
          <w:szCs w:val="22"/>
        </w:rPr>
        <w:t xml:space="preserve">addresses the concerns around data limitations and methodology of </w:t>
      </w:r>
      <w:r w:rsidR="00A26779">
        <w:rPr>
          <w:rFonts w:cs="Arial"/>
          <w:szCs w:val="22"/>
        </w:rPr>
        <w:t xml:space="preserve">Health </w:t>
      </w:r>
      <w:r w:rsidRPr="00FC3AD0">
        <w:rPr>
          <w:rFonts w:cs="Arial"/>
          <w:szCs w:val="22"/>
        </w:rPr>
        <w:t>HW 2025 Volume</w:t>
      </w:r>
      <w:r w:rsidR="00A26779">
        <w:rPr>
          <w:rFonts w:cs="Arial"/>
          <w:szCs w:val="22"/>
        </w:rPr>
        <w:t> </w:t>
      </w:r>
      <w:r w:rsidRPr="00FC3AD0">
        <w:rPr>
          <w:rFonts w:cs="Arial"/>
          <w:szCs w:val="22"/>
        </w:rPr>
        <w:t>1</w:t>
      </w:r>
      <w:r w:rsidR="00DB0527">
        <w:rPr>
          <w:rFonts w:cs="Arial"/>
          <w:szCs w:val="22"/>
        </w:rPr>
        <w:t xml:space="preserve"> expressed by midwifery professionals</w:t>
      </w:r>
      <w:r w:rsidRPr="00FC3AD0">
        <w:rPr>
          <w:rFonts w:cs="Arial"/>
          <w:szCs w:val="22"/>
        </w:rPr>
        <w:t>. Th</w:t>
      </w:r>
      <w:r w:rsidR="00857CC0">
        <w:rPr>
          <w:rFonts w:cs="Arial"/>
          <w:szCs w:val="22"/>
        </w:rPr>
        <w:t>is</w:t>
      </w:r>
      <w:r w:rsidRPr="00FC3AD0">
        <w:rPr>
          <w:rFonts w:cs="Arial"/>
          <w:szCs w:val="22"/>
        </w:rPr>
        <w:t xml:space="preserve"> process involved consultation with key stakeholders in relation to both the supply and demand methodology previously used and the improved data and methodologies adopted to determine the future midwifery workforce.</w:t>
      </w:r>
    </w:p>
    <w:p w:rsidR="00F029AB" w:rsidRPr="00F029AB" w:rsidRDefault="00DB0527" w:rsidP="00703887">
      <w:pPr>
        <w:rPr>
          <w:rFonts w:cs="Arial"/>
          <w:szCs w:val="22"/>
        </w:rPr>
      </w:pPr>
      <w:r>
        <w:rPr>
          <w:rFonts w:cs="Arial"/>
          <w:szCs w:val="22"/>
        </w:rPr>
        <w:t xml:space="preserve">In this report </w:t>
      </w:r>
      <w:r w:rsidR="00AF71F0">
        <w:rPr>
          <w:rFonts w:cs="Arial"/>
          <w:szCs w:val="22"/>
        </w:rPr>
        <w:t>changes</w:t>
      </w:r>
      <w:r>
        <w:rPr>
          <w:rFonts w:cs="Arial"/>
          <w:szCs w:val="22"/>
        </w:rPr>
        <w:t xml:space="preserve"> to registration data collection and the labour force survey since the commencement of the national registration and accreditation scheme</w:t>
      </w:r>
      <w:r w:rsidR="00857CC0">
        <w:rPr>
          <w:rFonts w:cs="Arial"/>
          <w:szCs w:val="22"/>
        </w:rPr>
        <w:t xml:space="preserve"> have improved the </w:t>
      </w:r>
      <w:r w:rsidR="003D4D3C">
        <w:rPr>
          <w:rFonts w:cs="Arial"/>
          <w:szCs w:val="22"/>
        </w:rPr>
        <w:t>accuracy of the figures</w:t>
      </w:r>
      <w:r w:rsidR="00857CC0">
        <w:rPr>
          <w:rFonts w:cs="Arial"/>
          <w:szCs w:val="22"/>
        </w:rPr>
        <w:t xml:space="preserve"> for midwifery supply</w:t>
      </w:r>
      <w:r w:rsidR="008D6048">
        <w:rPr>
          <w:rFonts w:cs="Arial"/>
          <w:szCs w:val="22"/>
        </w:rPr>
        <w:t xml:space="preserve">. </w:t>
      </w:r>
      <w:r>
        <w:rPr>
          <w:rFonts w:cs="Arial"/>
          <w:szCs w:val="22"/>
        </w:rPr>
        <w:t>Demand</w:t>
      </w:r>
      <w:r w:rsidR="003D4D3C">
        <w:rPr>
          <w:rFonts w:cs="Arial"/>
          <w:szCs w:val="22"/>
        </w:rPr>
        <w:t>, which was previously calculated using birth rate,</w:t>
      </w:r>
      <w:r>
        <w:rPr>
          <w:rFonts w:cs="Arial"/>
          <w:szCs w:val="22"/>
        </w:rPr>
        <w:t xml:space="preserve"> has </w:t>
      </w:r>
      <w:r w:rsidR="00DE6033">
        <w:rPr>
          <w:rFonts w:cs="Arial"/>
          <w:szCs w:val="22"/>
        </w:rPr>
        <w:t xml:space="preserve">been </w:t>
      </w:r>
      <w:r>
        <w:rPr>
          <w:rFonts w:cs="Arial"/>
          <w:szCs w:val="22"/>
        </w:rPr>
        <w:t xml:space="preserve">calculated using a </w:t>
      </w:r>
      <w:r w:rsidR="00FB2D85">
        <w:rPr>
          <w:rFonts w:cs="Arial"/>
          <w:szCs w:val="22"/>
        </w:rPr>
        <w:t xml:space="preserve">midwifery </w:t>
      </w:r>
      <w:r>
        <w:rPr>
          <w:rFonts w:cs="Arial"/>
          <w:szCs w:val="22"/>
        </w:rPr>
        <w:t xml:space="preserve">continuity of care approach </w:t>
      </w:r>
      <w:r w:rsidR="00DE6033">
        <w:rPr>
          <w:rFonts w:cs="Arial"/>
          <w:szCs w:val="22"/>
        </w:rPr>
        <w:t xml:space="preserve">although it is acknowledged that the </w:t>
      </w:r>
      <w:r w:rsidR="00AF71F0">
        <w:rPr>
          <w:rFonts w:cs="Arial"/>
          <w:szCs w:val="22"/>
        </w:rPr>
        <w:t xml:space="preserve">midwifery </w:t>
      </w:r>
      <w:r w:rsidR="00DE6033">
        <w:rPr>
          <w:rFonts w:cs="Arial"/>
          <w:szCs w:val="22"/>
        </w:rPr>
        <w:t xml:space="preserve">hours of care </w:t>
      </w:r>
      <w:r w:rsidR="00AF71F0">
        <w:rPr>
          <w:rFonts w:cs="Arial"/>
          <w:szCs w:val="22"/>
        </w:rPr>
        <w:t xml:space="preserve">required </w:t>
      </w:r>
      <w:r w:rsidR="00DE6033">
        <w:rPr>
          <w:rFonts w:cs="Arial"/>
          <w:szCs w:val="22"/>
        </w:rPr>
        <w:t xml:space="preserve">varies </w:t>
      </w:r>
      <w:r w:rsidR="00330A99">
        <w:rPr>
          <w:rFonts w:cs="Arial"/>
          <w:szCs w:val="22"/>
        </w:rPr>
        <w:t>according to the model of care. It is further acknowledged that supply and demand are subject to local variation.</w:t>
      </w:r>
    </w:p>
    <w:p w:rsidR="00507ED4" w:rsidRPr="0057674E" w:rsidRDefault="00F029AB" w:rsidP="0057674E">
      <w:pPr>
        <w:rPr>
          <w:rFonts w:cs="Arial"/>
          <w:szCs w:val="22"/>
        </w:rPr>
      </w:pPr>
      <w:r w:rsidRPr="00A008FB">
        <w:rPr>
          <w:rFonts w:cs="Arial"/>
          <w:szCs w:val="22"/>
        </w:rPr>
        <w:t>The development of A</w:t>
      </w:r>
      <w:r w:rsidR="006278CD">
        <w:rPr>
          <w:rFonts w:cs="Arial"/>
          <w:szCs w:val="22"/>
        </w:rPr>
        <w:t>FHWR</w:t>
      </w:r>
      <w:r w:rsidRPr="00A008FB">
        <w:rPr>
          <w:rFonts w:cs="Arial"/>
          <w:szCs w:val="22"/>
        </w:rPr>
        <w:t xml:space="preserve"> – Midwives 2019 has been overseen by the National Nursing and Midwifery Education Advisory Network (NNMEAN) with advice from the Midwifery Technical Advisory Group (</w:t>
      </w:r>
      <w:r w:rsidR="006278CD">
        <w:rPr>
          <w:rFonts w:cs="Arial"/>
          <w:szCs w:val="22"/>
        </w:rPr>
        <w:t>M</w:t>
      </w:r>
      <w:r w:rsidRPr="00A008FB">
        <w:rPr>
          <w:rFonts w:cs="Arial"/>
          <w:szCs w:val="22"/>
        </w:rPr>
        <w:t>TAG)</w:t>
      </w:r>
      <w:r w:rsidR="006278CD">
        <w:rPr>
          <w:rFonts w:cs="Arial"/>
          <w:szCs w:val="22"/>
        </w:rPr>
        <w:t>. MTAG</w:t>
      </w:r>
      <w:r w:rsidR="002B0ECA">
        <w:rPr>
          <w:rFonts w:cs="Arial"/>
          <w:szCs w:val="22"/>
        </w:rPr>
        <w:t xml:space="preserve"> </w:t>
      </w:r>
      <w:r w:rsidR="006278CD">
        <w:rPr>
          <w:rFonts w:cs="Arial"/>
          <w:szCs w:val="22"/>
        </w:rPr>
        <w:t xml:space="preserve">was formed to approve the methodology for the supply and demand modelling, and its </w:t>
      </w:r>
      <w:r w:rsidR="002B0ECA">
        <w:rPr>
          <w:rFonts w:cs="Arial"/>
          <w:szCs w:val="22"/>
        </w:rPr>
        <w:t>memb</w:t>
      </w:r>
      <w:r w:rsidR="00633BE7">
        <w:rPr>
          <w:rFonts w:cs="Arial"/>
          <w:szCs w:val="22"/>
        </w:rPr>
        <w:t>ership</w:t>
      </w:r>
      <w:r w:rsidR="006278CD">
        <w:rPr>
          <w:rFonts w:cs="Arial"/>
          <w:szCs w:val="22"/>
        </w:rPr>
        <w:t xml:space="preserve"> comprise</w:t>
      </w:r>
      <w:r w:rsidR="00AF71F0">
        <w:rPr>
          <w:rFonts w:cs="Arial"/>
          <w:szCs w:val="22"/>
        </w:rPr>
        <w:t>d</w:t>
      </w:r>
      <w:r w:rsidR="00633BE7">
        <w:rPr>
          <w:rFonts w:cs="Arial"/>
          <w:szCs w:val="22"/>
        </w:rPr>
        <w:t xml:space="preserve"> public, private</w:t>
      </w:r>
      <w:r w:rsidR="006278CD">
        <w:rPr>
          <w:rFonts w:cs="Arial"/>
          <w:szCs w:val="22"/>
        </w:rPr>
        <w:t xml:space="preserve"> and rural providers with technical industry knowledge. </w:t>
      </w:r>
    </w:p>
    <w:p w:rsidR="00507ED4" w:rsidRPr="00063DA4" w:rsidRDefault="00507ED4" w:rsidP="00063DA4">
      <w:pPr>
        <w:pStyle w:val="Heading1"/>
      </w:pPr>
      <w:bookmarkStart w:id="9" w:name="_Toc10808369"/>
      <w:r w:rsidRPr="00063DA4">
        <w:t>Key Findings</w:t>
      </w:r>
      <w:bookmarkEnd w:id="9"/>
    </w:p>
    <w:p w:rsidR="008C4DD3" w:rsidRPr="00063DA4" w:rsidRDefault="004D53D1" w:rsidP="00E85564">
      <w:pPr>
        <w:pStyle w:val="Heading2"/>
      </w:pPr>
      <w:bookmarkStart w:id="10" w:name="_Toc10808370"/>
      <w:r>
        <w:t>Continuity</w:t>
      </w:r>
      <w:r w:rsidR="00646921">
        <w:t xml:space="preserve"> of care (baseline) scenario</w:t>
      </w:r>
      <w:bookmarkEnd w:id="10"/>
      <w:r w:rsidR="00646921">
        <w:t xml:space="preserve"> </w:t>
      </w:r>
    </w:p>
    <w:p w:rsidR="008C4DD3" w:rsidRPr="008C4DD3" w:rsidRDefault="00C86BBD" w:rsidP="00A26779">
      <w:pPr>
        <w:spacing w:before="120" w:after="120" w:line="240" w:lineRule="auto"/>
        <w:rPr>
          <w:rFonts w:cs="Arial"/>
          <w:szCs w:val="22"/>
          <w:highlight w:val="yellow"/>
        </w:rPr>
      </w:pPr>
      <w:r>
        <w:rPr>
          <w:rFonts w:cs="Arial"/>
          <w:szCs w:val="22"/>
        </w:rPr>
        <w:t xml:space="preserve">Using the </w:t>
      </w:r>
      <w:r w:rsidR="004D53D1">
        <w:rPr>
          <w:rFonts w:cs="Arial"/>
          <w:szCs w:val="22"/>
        </w:rPr>
        <w:t>continuity</w:t>
      </w:r>
      <w:r>
        <w:rPr>
          <w:rFonts w:cs="Arial"/>
          <w:szCs w:val="22"/>
        </w:rPr>
        <w:t xml:space="preserve"> of care demand rate of 2.53% with no adjustments to supply, </w:t>
      </w:r>
      <w:r w:rsidR="00271713" w:rsidRPr="008C4DD3">
        <w:rPr>
          <w:rFonts w:cs="Arial"/>
          <w:szCs w:val="22"/>
        </w:rPr>
        <w:t xml:space="preserve">the midwifery workforce is in balance (±3 per cent) across </w:t>
      </w:r>
      <w:r>
        <w:rPr>
          <w:rFonts w:cs="Arial"/>
          <w:szCs w:val="22"/>
        </w:rPr>
        <w:t>the projection period</w:t>
      </w:r>
      <w:r w:rsidR="00271713" w:rsidRPr="008C4DD3">
        <w:rPr>
          <w:rFonts w:cs="Arial"/>
          <w:szCs w:val="22"/>
        </w:rPr>
        <w:t>.</w:t>
      </w:r>
    </w:p>
    <w:p w:rsidR="00271713" w:rsidRPr="00063DA4" w:rsidRDefault="00271713" w:rsidP="00E85564">
      <w:pPr>
        <w:pStyle w:val="Heading2"/>
      </w:pPr>
      <w:bookmarkStart w:id="11" w:name="_Toc10808371"/>
      <w:r w:rsidRPr="00063DA4">
        <w:t>Population growth</w:t>
      </w:r>
      <w:bookmarkEnd w:id="11"/>
      <w:r w:rsidRPr="00063DA4">
        <w:t xml:space="preserve"> </w:t>
      </w:r>
    </w:p>
    <w:p w:rsidR="008C4DD3" w:rsidRDefault="00C86BBD" w:rsidP="00A26779">
      <w:pPr>
        <w:spacing w:before="120" w:after="120" w:line="240" w:lineRule="auto"/>
        <w:contextualSpacing/>
        <w:rPr>
          <w:rFonts w:eastAsia="Times New Roman" w:cs="Arial"/>
          <w:color w:val="000000"/>
          <w:szCs w:val="22"/>
        </w:rPr>
      </w:pPr>
      <w:r>
        <w:rPr>
          <w:rFonts w:eastAsia="Times New Roman" w:cs="Arial"/>
          <w:color w:val="000000"/>
          <w:szCs w:val="22"/>
        </w:rPr>
        <w:t xml:space="preserve">Using a </w:t>
      </w:r>
      <w:r w:rsidR="00A767C9">
        <w:rPr>
          <w:rFonts w:eastAsia="Times New Roman" w:cs="Arial"/>
          <w:color w:val="000000"/>
          <w:szCs w:val="22"/>
        </w:rPr>
        <w:t xml:space="preserve">population growth </w:t>
      </w:r>
      <w:r>
        <w:rPr>
          <w:rFonts w:eastAsia="Times New Roman" w:cs="Arial"/>
          <w:color w:val="000000"/>
          <w:szCs w:val="22"/>
        </w:rPr>
        <w:t>demand rate of</w:t>
      </w:r>
      <w:r w:rsidR="00A767C9">
        <w:rPr>
          <w:rFonts w:eastAsia="Times New Roman" w:cs="Arial"/>
          <w:color w:val="000000"/>
          <w:szCs w:val="22"/>
        </w:rPr>
        <w:t xml:space="preserve"> 1.6</w:t>
      </w:r>
      <w:r>
        <w:rPr>
          <w:rFonts w:eastAsia="Times New Roman" w:cs="Arial"/>
          <w:color w:val="000000"/>
          <w:szCs w:val="22"/>
        </w:rPr>
        <w:t>% with no adjustments to supply, the midwifery workforce is</w:t>
      </w:r>
      <w:r w:rsidR="00271713" w:rsidRPr="008C4DD3">
        <w:rPr>
          <w:rFonts w:eastAsia="Times New Roman" w:cs="Arial"/>
          <w:color w:val="000000"/>
          <w:szCs w:val="22"/>
        </w:rPr>
        <w:t xml:space="preserve"> in oversupply throughout the projection period of 12 per cent in 2030.</w:t>
      </w:r>
    </w:p>
    <w:p w:rsidR="00554722" w:rsidRDefault="00271713" w:rsidP="00554722">
      <w:pPr>
        <w:pStyle w:val="Heading2"/>
      </w:pPr>
      <w:bookmarkStart w:id="12" w:name="_Toc10808372"/>
      <w:r w:rsidRPr="00063DA4">
        <w:t>Increased hours worked</w:t>
      </w:r>
      <w:bookmarkEnd w:id="12"/>
    </w:p>
    <w:p w:rsidR="00554722" w:rsidRPr="00554722" w:rsidRDefault="00C86BBD" w:rsidP="00C41EFA">
      <w:r w:rsidRPr="00B00976">
        <w:t xml:space="preserve">Using the </w:t>
      </w:r>
      <w:r w:rsidR="004D53D1">
        <w:t>continuity</w:t>
      </w:r>
      <w:r w:rsidRPr="00B00976">
        <w:t xml:space="preserve"> of care demand rate of 2.53%</w:t>
      </w:r>
      <w:r w:rsidR="009B016C" w:rsidRPr="00B00976">
        <w:t>,</w:t>
      </w:r>
      <w:r w:rsidRPr="00B00976">
        <w:t xml:space="preserve"> and adjusting the supply by </w:t>
      </w:r>
      <w:r w:rsidR="00271713" w:rsidRPr="00B00976">
        <w:rPr>
          <w:lang w:val="en-US"/>
        </w:rPr>
        <w:t>increas</w:t>
      </w:r>
      <w:r w:rsidRPr="00B00976">
        <w:rPr>
          <w:lang w:val="en-US"/>
        </w:rPr>
        <w:t>ing</w:t>
      </w:r>
      <w:r w:rsidR="00271713" w:rsidRPr="00B00976">
        <w:rPr>
          <w:lang w:val="en-US"/>
        </w:rPr>
        <w:t xml:space="preserve"> all midwives hours by an additional </w:t>
      </w:r>
      <w:r w:rsidRPr="00B00976">
        <w:rPr>
          <w:lang w:val="en-US"/>
        </w:rPr>
        <w:t>4.</w:t>
      </w:r>
      <w:r w:rsidR="00FB4BE9" w:rsidRPr="00B00976">
        <w:rPr>
          <w:lang w:val="en-US"/>
        </w:rPr>
        <w:t>5</w:t>
      </w:r>
      <w:r w:rsidR="00271713" w:rsidRPr="00B00976">
        <w:rPr>
          <w:lang w:val="en-US"/>
        </w:rPr>
        <w:t xml:space="preserve"> hours</w:t>
      </w:r>
      <w:r w:rsidRPr="00B00976">
        <w:rPr>
          <w:lang w:val="en-US"/>
        </w:rPr>
        <w:t>, the midwifery workforce is in oversupply</w:t>
      </w:r>
      <w:r w:rsidR="00A767C9" w:rsidRPr="00B00976">
        <w:rPr>
          <w:lang w:val="en-US"/>
        </w:rPr>
        <w:t xml:space="preserve"> </w:t>
      </w:r>
      <w:r w:rsidR="00271713" w:rsidRPr="00B00976">
        <w:rPr>
          <w:lang w:val="en-US"/>
        </w:rPr>
        <w:t>by 2030 of 16 per cent.</w:t>
      </w:r>
    </w:p>
    <w:p w:rsidR="00100829" w:rsidRPr="00C41EFA" w:rsidRDefault="00100829" w:rsidP="00C41EFA">
      <w:pPr>
        <w:pStyle w:val="Heading2"/>
      </w:pPr>
      <w:bookmarkStart w:id="13" w:name="_Toc10808373"/>
      <w:r w:rsidRPr="00C41EFA">
        <w:t>Jurisdictional findings</w:t>
      </w:r>
      <w:bookmarkEnd w:id="13"/>
    </w:p>
    <w:p w:rsidR="00F029AB" w:rsidRPr="00F029AB" w:rsidRDefault="00F029AB" w:rsidP="00F029AB">
      <w:pPr>
        <w:spacing w:before="120" w:after="120" w:line="240" w:lineRule="auto"/>
        <w:rPr>
          <w:rFonts w:cs="Arial"/>
          <w:szCs w:val="22"/>
        </w:rPr>
      </w:pPr>
      <w:r w:rsidRPr="00F029AB">
        <w:rPr>
          <w:rFonts w:cs="Arial"/>
          <w:szCs w:val="22"/>
        </w:rPr>
        <w:t xml:space="preserve">Feedback from the jurisdictions (Appendix B) supports the national projections of a profession in balance from a supply perspective. However, the jurisdictions also report maldistribution in rural and regional areas with unfilled vacancies and difficulties recruiting. The Northern Territory also reports seasonal variations in supply and the ACT reports difficulty recruiting experienced midwives. </w:t>
      </w:r>
    </w:p>
    <w:p w:rsidR="00F029AB" w:rsidRPr="00F029AB" w:rsidRDefault="00F029AB" w:rsidP="00F029AB">
      <w:pPr>
        <w:spacing w:before="120" w:after="120" w:line="240" w:lineRule="auto"/>
        <w:rPr>
          <w:rFonts w:cs="Arial"/>
          <w:szCs w:val="22"/>
        </w:rPr>
      </w:pPr>
      <w:r w:rsidRPr="00F029AB">
        <w:rPr>
          <w:rFonts w:cs="Arial"/>
          <w:szCs w:val="22"/>
        </w:rPr>
        <w:t>Jurisdictions have in place national and international recruitment strategies and are offering a range of incentives including rural scholarships and midwifery</w:t>
      </w:r>
      <w:r w:rsidR="0076169A">
        <w:rPr>
          <w:rFonts w:cs="Arial"/>
          <w:szCs w:val="22"/>
        </w:rPr>
        <w:t>-</w:t>
      </w:r>
      <w:r w:rsidRPr="00F029AB">
        <w:rPr>
          <w:rFonts w:cs="Arial"/>
          <w:szCs w:val="22"/>
        </w:rPr>
        <w:t>led units in regional areas to address their distribution issues.</w:t>
      </w:r>
    </w:p>
    <w:p w:rsidR="00F029AB" w:rsidRPr="00F029AB" w:rsidRDefault="00F029AB" w:rsidP="00F029AB">
      <w:pPr>
        <w:spacing w:before="120" w:after="120" w:line="240" w:lineRule="auto"/>
        <w:rPr>
          <w:rFonts w:cs="Arial"/>
          <w:szCs w:val="22"/>
        </w:rPr>
      </w:pPr>
      <w:r w:rsidRPr="00F029AB">
        <w:rPr>
          <w:rFonts w:cs="Arial"/>
          <w:szCs w:val="22"/>
        </w:rPr>
        <w:t xml:space="preserve">Some jurisdictions also report retention issues associated with newly educated midwives who are seeking to work in continuity of care models. The demand from midwives for jobs in caseload midwifery is higher than capacity which suggests a conflict between service delivery models and the current accredited education programs. </w:t>
      </w:r>
    </w:p>
    <w:p w:rsidR="00565E9E" w:rsidRDefault="00F029AB" w:rsidP="00F029AB">
      <w:pPr>
        <w:spacing w:before="120" w:after="120" w:line="240" w:lineRule="auto"/>
        <w:rPr>
          <w:rFonts w:cs="Arial"/>
          <w:szCs w:val="22"/>
        </w:rPr>
      </w:pPr>
      <w:r w:rsidRPr="00F029AB">
        <w:rPr>
          <w:rFonts w:cs="Arial"/>
          <w:szCs w:val="22"/>
        </w:rPr>
        <w:lastRenderedPageBreak/>
        <w:t>Jurisdictions are developing midwifery group practices and career pathways to addr</w:t>
      </w:r>
      <w:r w:rsidR="002B3F61">
        <w:rPr>
          <w:rFonts w:cs="Arial"/>
          <w:szCs w:val="22"/>
        </w:rPr>
        <w:t>ess these issues of retention.</w:t>
      </w:r>
    </w:p>
    <w:p w:rsidR="00F029AB" w:rsidRPr="00F029AB" w:rsidRDefault="00F029AB" w:rsidP="00F029AB">
      <w:pPr>
        <w:spacing w:before="120" w:after="120" w:line="240" w:lineRule="auto"/>
        <w:rPr>
          <w:rFonts w:cs="Arial"/>
          <w:color w:val="7030A0"/>
          <w:sz w:val="28"/>
          <w:szCs w:val="28"/>
        </w:rPr>
      </w:pPr>
      <w:r w:rsidRPr="00F029AB">
        <w:rPr>
          <w:rFonts w:cs="Arial"/>
          <w:color w:val="7030A0"/>
          <w:sz w:val="28"/>
          <w:szCs w:val="28"/>
        </w:rPr>
        <w:t>Recommendations</w:t>
      </w:r>
    </w:p>
    <w:p w:rsidR="00F029AB" w:rsidRPr="00F029AB" w:rsidRDefault="00F029AB" w:rsidP="00F029AB">
      <w:pPr>
        <w:spacing w:before="120" w:after="120" w:line="240" w:lineRule="auto"/>
        <w:rPr>
          <w:rFonts w:cs="Arial"/>
          <w:szCs w:val="22"/>
        </w:rPr>
      </w:pPr>
      <w:r w:rsidRPr="00F029AB">
        <w:rPr>
          <w:rFonts w:cs="Arial"/>
          <w:szCs w:val="22"/>
        </w:rPr>
        <w:t>On the basis of the national and jurisdictional findings</w:t>
      </w:r>
      <w:r w:rsidR="0076169A">
        <w:rPr>
          <w:rFonts w:cs="Arial"/>
          <w:szCs w:val="22"/>
        </w:rPr>
        <w:t>,</w:t>
      </w:r>
      <w:r w:rsidRPr="00F029AB">
        <w:rPr>
          <w:rFonts w:cs="Arial"/>
          <w:szCs w:val="22"/>
        </w:rPr>
        <w:t xml:space="preserve"> the report recommend</w:t>
      </w:r>
      <w:r w:rsidR="0076169A">
        <w:rPr>
          <w:rFonts w:cs="Arial"/>
          <w:szCs w:val="22"/>
        </w:rPr>
        <w:t>s</w:t>
      </w:r>
      <w:r w:rsidRPr="00F029AB">
        <w:rPr>
          <w:rFonts w:cs="Arial"/>
          <w:szCs w:val="22"/>
        </w:rPr>
        <w:t>:</w:t>
      </w:r>
    </w:p>
    <w:p w:rsidR="00F029AB" w:rsidRPr="00F029AB" w:rsidRDefault="00F029AB" w:rsidP="002B7E32">
      <w:pPr>
        <w:numPr>
          <w:ilvl w:val="0"/>
          <w:numId w:val="23"/>
        </w:numPr>
        <w:spacing w:before="120" w:after="120" w:line="240" w:lineRule="auto"/>
        <w:contextualSpacing/>
        <w:rPr>
          <w:rFonts w:cs="Arial"/>
          <w:szCs w:val="22"/>
        </w:rPr>
      </w:pPr>
      <w:r w:rsidRPr="00F029AB">
        <w:rPr>
          <w:rFonts w:cs="Arial"/>
          <w:szCs w:val="22"/>
        </w:rPr>
        <w:t>updat</w:t>
      </w:r>
      <w:r w:rsidR="0076169A">
        <w:rPr>
          <w:rFonts w:cs="Arial"/>
          <w:szCs w:val="22"/>
        </w:rPr>
        <w:t>ing</w:t>
      </w:r>
      <w:r w:rsidR="00565E9E">
        <w:rPr>
          <w:rFonts w:cs="Arial"/>
          <w:szCs w:val="22"/>
        </w:rPr>
        <w:t xml:space="preserve"> </w:t>
      </w:r>
      <w:r w:rsidRPr="00F029AB">
        <w:rPr>
          <w:rFonts w:cs="Arial"/>
          <w:szCs w:val="22"/>
        </w:rPr>
        <w:t xml:space="preserve">the workforce modelling results to determine requirements for future adjustments every two years; </w:t>
      </w:r>
    </w:p>
    <w:p w:rsidR="00F029AB" w:rsidRPr="00F029AB" w:rsidRDefault="00F029AB" w:rsidP="002B7E32">
      <w:pPr>
        <w:numPr>
          <w:ilvl w:val="0"/>
          <w:numId w:val="23"/>
        </w:numPr>
        <w:spacing w:before="120" w:after="120" w:line="240" w:lineRule="auto"/>
        <w:contextualSpacing/>
        <w:rPr>
          <w:rFonts w:cs="Arial"/>
          <w:szCs w:val="22"/>
        </w:rPr>
      </w:pPr>
      <w:r w:rsidRPr="00F029AB">
        <w:rPr>
          <w:rFonts w:cs="Arial"/>
          <w:szCs w:val="22"/>
        </w:rPr>
        <w:t>prioritis</w:t>
      </w:r>
      <w:r w:rsidR="0076169A">
        <w:rPr>
          <w:rFonts w:cs="Arial"/>
          <w:szCs w:val="22"/>
        </w:rPr>
        <w:t>ing</w:t>
      </w:r>
      <w:r w:rsidR="00565E9E">
        <w:rPr>
          <w:rFonts w:cs="Arial"/>
          <w:szCs w:val="22"/>
        </w:rPr>
        <w:t xml:space="preserve"> </w:t>
      </w:r>
      <w:r w:rsidRPr="00F029AB">
        <w:rPr>
          <w:rFonts w:cs="Arial"/>
          <w:szCs w:val="22"/>
        </w:rPr>
        <w:t>future policy work to address issues of mal</w:t>
      </w:r>
      <w:r w:rsidR="00565E9E">
        <w:rPr>
          <w:rFonts w:cs="Arial"/>
          <w:szCs w:val="22"/>
        </w:rPr>
        <w:t>distribution and retention;</w:t>
      </w:r>
    </w:p>
    <w:p w:rsidR="00CF31F3" w:rsidRDefault="0076169A" w:rsidP="00CF31F3">
      <w:pPr>
        <w:numPr>
          <w:ilvl w:val="0"/>
          <w:numId w:val="23"/>
        </w:numPr>
        <w:spacing w:before="120" w:after="120" w:line="240" w:lineRule="auto"/>
        <w:contextualSpacing/>
        <w:rPr>
          <w:rFonts w:cs="Arial"/>
          <w:szCs w:val="22"/>
        </w:rPr>
      </w:pPr>
      <w:r>
        <w:rPr>
          <w:rFonts w:cs="Arial"/>
          <w:szCs w:val="22"/>
        </w:rPr>
        <w:t>s</w:t>
      </w:r>
      <w:r w:rsidR="00F029AB" w:rsidRPr="00F029AB">
        <w:rPr>
          <w:rFonts w:cs="Arial"/>
          <w:szCs w:val="22"/>
        </w:rPr>
        <w:t>ervice</w:t>
      </w:r>
      <w:r w:rsidR="00565E9E">
        <w:rPr>
          <w:rFonts w:cs="Arial"/>
          <w:szCs w:val="22"/>
        </w:rPr>
        <w:t>s</w:t>
      </w:r>
      <w:r w:rsidR="00F029AB" w:rsidRPr="00F029AB">
        <w:rPr>
          <w:rFonts w:cs="Arial"/>
          <w:szCs w:val="22"/>
        </w:rPr>
        <w:t xml:space="preserve"> continu</w:t>
      </w:r>
      <w:r w:rsidR="001943BD">
        <w:rPr>
          <w:rFonts w:cs="Arial"/>
          <w:szCs w:val="22"/>
        </w:rPr>
        <w:t>e</w:t>
      </w:r>
      <w:r w:rsidR="00F029AB" w:rsidRPr="00F029AB">
        <w:rPr>
          <w:rFonts w:cs="Arial"/>
          <w:szCs w:val="22"/>
        </w:rPr>
        <w:t xml:space="preserve"> to increase the availability of midwifery continuity of care models so that</w:t>
      </w:r>
      <w:r w:rsidR="001943BD">
        <w:rPr>
          <w:rFonts w:cs="Arial"/>
          <w:szCs w:val="22"/>
        </w:rPr>
        <w:t xml:space="preserve"> midwives are able to fully utilise their education and training</w:t>
      </w:r>
      <w:r w:rsidR="00565E9E">
        <w:rPr>
          <w:rFonts w:cs="Arial"/>
          <w:szCs w:val="22"/>
        </w:rPr>
        <w:t>; and</w:t>
      </w:r>
    </w:p>
    <w:p w:rsidR="00063DA4" w:rsidRPr="00CF31F3" w:rsidRDefault="0076169A" w:rsidP="00CF31F3">
      <w:pPr>
        <w:numPr>
          <w:ilvl w:val="0"/>
          <w:numId w:val="23"/>
        </w:numPr>
        <w:spacing w:before="120" w:after="120" w:line="240" w:lineRule="auto"/>
        <w:contextualSpacing/>
        <w:rPr>
          <w:rFonts w:cs="Arial"/>
          <w:szCs w:val="22"/>
        </w:rPr>
      </w:pPr>
      <w:r w:rsidRPr="00CF31F3">
        <w:rPr>
          <w:rFonts w:cs="Arial"/>
          <w:szCs w:val="22"/>
        </w:rPr>
        <w:t>s</w:t>
      </w:r>
      <w:r w:rsidR="00F029AB" w:rsidRPr="00CF31F3">
        <w:rPr>
          <w:rFonts w:cs="Arial"/>
          <w:szCs w:val="22"/>
        </w:rPr>
        <w:t>ervice and education providers collaborat</w:t>
      </w:r>
      <w:r w:rsidR="00825339">
        <w:rPr>
          <w:rFonts w:cs="Arial"/>
          <w:szCs w:val="22"/>
        </w:rPr>
        <w:t>e</w:t>
      </w:r>
      <w:r w:rsidR="00F029AB" w:rsidRPr="00CF31F3">
        <w:rPr>
          <w:rFonts w:cs="Arial"/>
          <w:szCs w:val="22"/>
        </w:rPr>
        <w:t xml:space="preserve"> to ensure that education and services are better aligned</w:t>
      </w:r>
      <w:r w:rsidR="00565E9E" w:rsidRPr="00CF31F3">
        <w:rPr>
          <w:rFonts w:cs="Arial"/>
          <w:szCs w:val="22"/>
        </w:rPr>
        <w:t>.</w:t>
      </w:r>
      <w:bookmarkStart w:id="14" w:name="_Toc521510440"/>
      <w:r w:rsidR="00941260">
        <w:t xml:space="preserve"> </w:t>
      </w:r>
      <w:r w:rsidR="00063DA4">
        <w:br w:type="page"/>
      </w:r>
    </w:p>
    <w:p w:rsidR="00507ED4" w:rsidRPr="00063DA4" w:rsidRDefault="00507ED4" w:rsidP="00063DA4">
      <w:pPr>
        <w:pStyle w:val="Heading1"/>
      </w:pPr>
      <w:bookmarkStart w:id="15" w:name="_Toc10808374"/>
      <w:r w:rsidRPr="00063DA4">
        <w:lastRenderedPageBreak/>
        <w:t>Introduction</w:t>
      </w:r>
      <w:bookmarkEnd w:id="14"/>
      <w:bookmarkEnd w:id="15"/>
    </w:p>
    <w:p w:rsidR="00507ED4" w:rsidRDefault="00507ED4" w:rsidP="00F92C41">
      <w:pPr>
        <w:spacing w:before="120" w:after="120" w:line="240" w:lineRule="auto"/>
        <w:contextualSpacing/>
        <w:jc w:val="both"/>
        <w:rPr>
          <w:rFonts w:eastAsia="Times New Roman" w:cs="Arial"/>
          <w:szCs w:val="22"/>
          <w:lang w:val="en"/>
        </w:rPr>
      </w:pPr>
      <w:r w:rsidRPr="00826C99">
        <w:rPr>
          <w:rFonts w:eastAsia="Times New Roman" w:cs="Arial"/>
          <w:szCs w:val="22"/>
          <w:lang w:val="en"/>
        </w:rPr>
        <w:t xml:space="preserve">Midwifery is a profession grounded in woman-centred and evidence-based maternal health care for the woman. Midwifery is provided through professional relationships and respectful partnerships. The midwife, as registered by the Nursing and Midwifery Board of Australia (NMBA) and defined by the International Confederation of Midwives </w:t>
      </w:r>
      <w:r w:rsidR="002570AB">
        <w:rPr>
          <w:rFonts w:eastAsia="Times New Roman" w:cs="Arial"/>
          <w:szCs w:val="22"/>
          <w:lang w:val="en"/>
        </w:rPr>
        <w:t>2017 (ICM)</w:t>
      </w:r>
      <w:r w:rsidRPr="00826C99">
        <w:rPr>
          <w:rFonts w:eastAsia="Times New Roman" w:cs="Arial"/>
          <w:szCs w:val="22"/>
          <w:lang w:val="en"/>
        </w:rPr>
        <w:t>, is educated, competent and authorised to provide safe, effective delivery of quality services that promote health and wellbeing for pregnancy, birth, the postnatal period and transition to parenting.</w:t>
      </w:r>
    </w:p>
    <w:p w:rsidR="0074464B" w:rsidRPr="00826C99" w:rsidRDefault="0074464B" w:rsidP="00F92C41">
      <w:pPr>
        <w:spacing w:before="120" w:after="120" w:line="240" w:lineRule="auto"/>
        <w:contextualSpacing/>
        <w:jc w:val="both"/>
        <w:rPr>
          <w:rFonts w:eastAsia="Times New Roman" w:cs="Arial"/>
          <w:szCs w:val="22"/>
          <w:lang w:val="en"/>
        </w:rPr>
      </w:pPr>
    </w:p>
    <w:p w:rsidR="00507ED4" w:rsidRPr="00826C99" w:rsidRDefault="00507ED4" w:rsidP="00F92C41">
      <w:pPr>
        <w:spacing w:before="120" w:after="120" w:line="240" w:lineRule="auto"/>
        <w:contextualSpacing/>
        <w:jc w:val="both"/>
        <w:rPr>
          <w:rFonts w:eastAsia="Times New Roman" w:cs="Arial"/>
          <w:szCs w:val="22"/>
          <w:lang w:val="en"/>
        </w:rPr>
      </w:pPr>
      <w:r w:rsidRPr="00826C99">
        <w:rPr>
          <w:rFonts w:eastAsia="Times New Roman" w:cs="Arial"/>
          <w:szCs w:val="22"/>
          <w:lang w:val="en"/>
        </w:rPr>
        <w:t>The midwife is responsible and accountable for maintaining their capability for midwifery practi</w:t>
      </w:r>
      <w:r w:rsidR="00D8290E">
        <w:rPr>
          <w:rFonts w:eastAsia="Times New Roman" w:cs="Arial"/>
          <w:szCs w:val="22"/>
          <w:lang w:val="en"/>
        </w:rPr>
        <w:t>c</w:t>
      </w:r>
      <w:r w:rsidRPr="00826C99">
        <w:rPr>
          <w:rFonts w:eastAsia="Times New Roman" w:cs="Arial"/>
          <w:szCs w:val="22"/>
          <w:lang w:val="en"/>
        </w:rPr>
        <w:t xml:space="preserve">e that may include: </w:t>
      </w:r>
    </w:p>
    <w:p w:rsidR="00507ED4" w:rsidRPr="00826C99" w:rsidRDefault="00507ED4" w:rsidP="002B7E32">
      <w:pPr>
        <w:numPr>
          <w:ilvl w:val="0"/>
          <w:numId w:val="1"/>
        </w:numPr>
        <w:spacing w:before="120" w:after="120" w:line="240" w:lineRule="auto"/>
        <w:ind w:left="714" w:hanging="357"/>
        <w:contextualSpacing/>
        <w:jc w:val="both"/>
        <w:rPr>
          <w:rFonts w:eastAsia="Times New Roman" w:cs="Arial"/>
          <w:szCs w:val="22"/>
          <w:lang w:val="en"/>
        </w:rPr>
      </w:pPr>
      <w:r w:rsidRPr="00826C99">
        <w:rPr>
          <w:rFonts w:eastAsia="Times New Roman" w:cs="Arial"/>
          <w:szCs w:val="22"/>
          <w:lang w:val="en"/>
        </w:rPr>
        <w:t>providing women’s health support, care and advice before conception, during pregnancy, labour, birth and the postnatal period</w:t>
      </w:r>
      <w:r w:rsidR="001F2CD3">
        <w:rPr>
          <w:rFonts w:eastAsia="Times New Roman" w:cs="Arial"/>
          <w:szCs w:val="22"/>
          <w:lang w:val="en"/>
        </w:rPr>
        <w:t>;</w:t>
      </w:r>
    </w:p>
    <w:p w:rsidR="00507ED4" w:rsidRPr="00826C99" w:rsidRDefault="00507ED4" w:rsidP="002B7E32">
      <w:pPr>
        <w:numPr>
          <w:ilvl w:val="0"/>
          <w:numId w:val="1"/>
        </w:numPr>
        <w:spacing w:before="120" w:after="120" w:line="240" w:lineRule="auto"/>
        <w:ind w:left="714" w:hanging="357"/>
        <w:contextualSpacing/>
        <w:jc w:val="both"/>
        <w:rPr>
          <w:rFonts w:eastAsia="Times New Roman" w:cs="Arial"/>
          <w:szCs w:val="22"/>
          <w:lang w:val="en"/>
        </w:rPr>
      </w:pPr>
      <w:r w:rsidRPr="00826C99">
        <w:rPr>
          <w:rFonts w:eastAsia="Times New Roman" w:cs="Arial"/>
          <w:szCs w:val="22"/>
          <w:lang w:val="en"/>
        </w:rPr>
        <w:t>promoting normal physiological childbirth and identifying complications for the woman and her baby</w:t>
      </w:r>
      <w:r w:rsidR="001F2CD3">
        <w:rPr>
          <w:rFonts w:eastAsia="Times New Roman" w:cs="Arial"/>
          <w:szCs w:val="22"/>
          <w:lang w:val="en"/>
        </w:rPr>
        <w:t>;</w:t>
      </w:r>
    </w:p>
    <w:p w:rsidR="00507ED4" w:rsidRPr="00826C99" w:rsidRDefault="00507ED4" w:rsidP="002B7E32">
      <w:pPr>
        <w:numPr>
          <w:ilvl w:val="0"/>
          <w:numId w:val="1"/>
        </w:numPr>
        <w:spacing w:before="120" w:after="120" w:line="240" w:lineRule="auto"/>
        <w:ind w:left="714" w:hanging="357"/>
        <w:contextualSpacing/>
        <w:jc w:val="both"/>
        <w:rPr>
          <w:rFonts w:eastAsia="Times New Roman" w:cs="Arial"/>
          <w:szCs w:val="22"/>
          <w:lang w:val="en"/>
        </w:rPr>
      </w:pPr>
      <w:r w:rsidRPr="00826C99">
        <w:rPr>
          <w:rFonts w:eastAsia="Times New Roman" w:cs="Arial"/>
          <w:szCs w:val="22"/>
          <w:lang w:val="en"/>
        </w:rPr>
        <w:t>consultation with and referral to medical care or other appropriate assistance</w:t>
      </w:r>
      <w:r w:rsidR="001F2CD3">
        <w:rPr>
          <w:rFonts w:eastAsia="Times New Roman" w:cs="Arial"/>
          <w:szCs w:val="22"/>
          <w:lang w:val="en"/>
        </w:rPr>
        <w:t>;</w:t>
      </w:r>
      <w:r w:rsidRPr="00826C99">
        <w:rPr>
          <w:rFonts w:eastAsia="Times New Roman" w:cs="Arial"/>
          <w:szCs w:val="22"/>
          <w:lang w:val="en"/>
        </w:rPr>
        <w:t xml:space="preserve"> and </w:t>
      </w:r>
    </w:p>
    <w:p w:rsidR="00507ED4" w:rsidRDefault="00507ED4" w:rsidP="002B7E32">
      <w:pPr>
        <w:numPr>
          <w:ilvl w:val="0"/>
          <w:numId w:val="1"/>
        </w:numPr>
        <w:spacing w:before="120" w:after="120" w:line="240" w:lineRule="auto"/>
        <w:ind w:left="714" w:hanging="357"/>
        <w:contextualSpacing/>
        <w:jc w:val="both"/>
        <w:rPr>
          <w:rFonts w:eastAsia="Times New Roman" w:cs="Arial"/>
          <w:szCs w:val="22"/>
          <w:lang w:val="en"/>
        </w:rPr>
      </w:pPr>
      <w:r w:rsidRPr="00826C99">
        <w:rPr>
          <w:rFonts w:eastAsia="Times New Roman" w:cs="Arial"/>
          <w:szCs w:val="22"/>
          <w:lang w:val="en"/>
        </w:rPr>
        <w:t>implementing emergency measure</w:t>
      </w:r>
      <w:r w:rsidR="002570AB">
        <w:rPr>
          <w:rFonts w:eastAsia="Times New Roman" w:cs="Arial"/>
          <w:szCs w:val="22"/>
          <w:lang w:val="en"/>
        </w:rPr>
        <w:t xml:space="preserve">s (ICM </w:t>
      </w:r>
      <w:r w:rsidRPr="00826C99">
        <w:rPr>
          <w:rFonts w:eastAsia="Times New Roman" w:cs="Arial"/>
          <w:szCs w:val="22"/>
          <w:lang w:val="en"/>
        </w:rPr>
        <w:t xml:space="preserve">). </w:t>
      </w:r>
    </w:p>
    <w:p w:rsidR="008C4DD3" w:rsidRPr="00826C99" w:rsidRDefault="008C4DD3" w:rsidP="00F92C41">
      <w:pPr>
        <w:spacing w:before="120" w:after="120" w:line="240" w:lineRule="auto"/>
        <w:ind w:left="720"/>
        <w:contextualSpacing/>
        <w:jc w:val="both"/>
        <w:rPr>
          <w:rFonts w:eastAsia="Times New Roman" w:cs="Arial"/>
          <w:szCs w:val="22"/>
          <w:lang w:val="en"/>
        </w:rPr>
      </w:pPr>
    </w:p>
    <w:p w:rsidR="00507ED4" w:rsidRDefault="00507ED4" w:rsidP="00F92C41">
      <w:pPr>
        <w:spacing w:before="120" w:after="120" w:line="240" w:lineRule="auto"/>
        <w:contextualSpacing/>
        <w:jc w:val="both"/>
        <w:rPr>
          <w:rFonts w:eastAsia="Times New Roman" w:cs="Arial"/>
          <w:szCs w:val="22"/>
          <w:lang w:val="en"/>
        </w:rPr>
      </w:pPr>
      <w:r w:rsidRPr="00826C99">
        <w:rPr>
          <w:rFonts w:eastAsia="Times New Roman" w:cs="Arial"/>
          <w:szCs w:val="22"/>
          <w:lang w:val="en"/>
        </w:rPr>
        <w:t xml:space="preserve">Using the principles of midwifery </w:t>
      </w:r>
      <w:r w:rsidR="004D53D1">
        <w:rPr>
          <w:rFonts w:eastAsia="Times New Roman" w:cs="Arial"/>
          <w:szCs w:val="22"/>
          <w:lang w:val="en"/>
        </w:rPr>
        <w:t>continuity</w:t>
      </w:r>
      <w:r w:rsidRPr="00826C99">
        <w:rPr>
          <w:rFonts w:eastAsia="Times New Roman" w:cs="Arial"/>
          <w:szCs w:val="22"/>
          <w:lang w:val="en"/>
        </w:rPr>
        <w:t xml:space="preserve"> of care, primary health care and cultural safety, the midwife provides health counselling and education, which may include preparation for childbirth and parenthood. The midwife’s </w:t>
      </w:r>
      <w:r w:rsidR="00D8290E">
        <w:rPr>
          <w:rFonts w:eastAsia="Times New Roman" w:cs="Arial"/>
          <w:szCs w:val="22"/>
          <w:lang w:val="en"/>
        </w:rPr>
        <w:t>practice</w:t>
      </w:r>
      <w:r w:rsidRPr="00826C99">
        <w:rPr>
          <w:rFonts w:eastAsia="Times New Roman" w:cs="Arial"/>
          <w:szCs w:val="22"/>
          <w:lang w:val="en"/>
        </w:rPr>
        <w:t xml:space="preserve"> may extend to women’s health, reproductive and sexual health, and child and family health care</w:t>
      </w:r>
      <w:r w:rsidR="00100829">
        <w:rPr>
          <w:rFonts w:eastAsia="Times New Roman" w:cs="Arial"/>
          <w:szCs w:val="22"/>
          <w:lang w:val="en"/>
        </w:rPr>
        <w:t xml:space="preserve"> (I</w:t>
      </w:r>
      <w:r w:rsidR="00565E9E">
        <w:rPr>
          <w:rFonts w:eastAsia="Times New Roman" w:cs="Arial"/>
          <w:szCs w:val="22"/>
          <w:lang w:val="en"/>
        </w:rPr>
        <w:t xml:space="preserve">nternational </w:t>
      </w:r>
      <w:r w:rsidR="00100829">
        <w:rPr>
          <w:rFonts w:eastAsia="Times New Roman" w:cs="Arial"/>
          <w:szCs w:val="22"/>
          <w:lang w:val="en"/>
        </w:rPr>
        <w:t>C</w:t>
      </w:r>
      <w:r w:rsidR="00565E9E">
        <w:rPr>
          <w:rFonts w:eastAsia="Times New Roman" w:cs="Arial"/>
          <w:szCs w:val="22"/>
          <w:lang w:val="en"/>
        </w:rPr>
        <w:t xml:space="preserve">onfederation of </w:t>
      </w:r>
      <w:r w:rsidR="00100829">
        <w:rPr>
          <w:rFonts w:eastAsia="Times New Roman" w:cs="Arial"/>
          <w:szCs w:val="22"/>
          <w:lang w:val="en"/>
        </w:rPr>
        <w:t>M</w:t>
      </w:r>
      <w:r w:rsidR="00565E9E">
        <w:rPr>
          <w:rFonts w:eastAsia="Times New Roman" w:cs="Arial"/>
          <w:szCs w:val="22"/>
          <w:lang w:val="en"/>
        </w:rPr>
        <w:t>idwives</w:t>
      </w:r>
      <w:r w:rsidR="00100829">
        <w:rPr>
          <w:rFonts w:eastAsia="Times New Roman" w:cs="Arial"/>
          <w:szCs w:val="22"/>
          <w:lang w:val="en"/>
        </w:rPr>
        <w:t xml:space="preserve"> 2017).</w:t>
      </w:r>
      <w:r w:rsidRPr="00826C99">
        <w:rPr>
          <w:rFonts w:eastAsia="Times New Roman" w:cs="Arial"/>
          <w:szCs w:val="22"/>
          <w:lang w:val="en"/>
        </w:rPr>
        <w:t xml:space="preserve"> </w:t>
      </w:r>
    </w:p>
    <w:p w:rsidR="008C4DD3" w:rsidRPr="00826C99" w:rsidRDefault="008C4DD3" w:rsidP="00F92C41">
      <w:pPr>
        <w:spacing w:before="120" w:after="120" w:line="240" w:lineRule="auto"/>
        <w:contextualSpacing/>
        <w:jc w:val="both"/>
        <w:rPr>
          <w:rFonts w:eastAsia="Times New Roman" w:cs="Arial"/>
          <w:szCs w:val="22"/>
          <w:lang w:val="en"/>
        </w:rPr>
      </w:pPr>
    </w:p>
    <w:p w:rsidR="00507ED4" w:rsidRDefault="00507ED4" w:rsidP="00F92C41">
      <w:pPr>
        <w:spacing w:before="120" w:after="120" w:line="240" w:lineRule="auto"/>
        <w:contextualSpacing/>
        <w:jc w:val="both"/>
        <w:rPr>
          <w:rFonts w:eastAsia="Times New Roman" w:cs="Arial"/>
          <w:szCs w:val="22"/>
          <w:lang w:val="en"/>
        </w:rPr>
      </w:pPr>
      <w:r w:rsidRPr="00826C99">
        <w:rPr>
          <w:rFonts w:eastAsia="Times New Roman" w:cs="Arial"/>
          <w:szCs w:val="22"/>
          <w:lang w:val="en"/>
        </w:rPr>
        <w:t xml:space="preserve">The midwife works with the woman and her baby, partner and family as identified and negotiated by the woman herself. The woman may be healthy or have health issues, or other challenges such as social disadvantage. The midwife is also responsible for their </w:t>
      </w:r>
      <w:r w:rsidR="00D8290E">
        <w:rPr>
          <w:rFonts w:eastAsia="Times New Roman" w:cs="Arial"/>
          <w:szCs w:val="22"/>
          <w:lang w:val="en"/>
        </w:rPr>
        <w:t>practice</w:t>
      </w:r>
      <w:r w:rsidRPr="00826C99">
        <w:rPr>
          <w:rFonts w:eastAsia="Times New Roman" w:cs="Arial"/>
          <w:szCs w:val="22"/>
          <w:lang w:val="en"/>
        </w:rPr>
        <w:t xml:space="preserve"> within the broader health system. Where relevant, this involves collaboration, consultation and referral to other services or health practitioners. </w:t>
      </w:r>
    </w:p>
    <w:p w:rsidR="008C4DD3" w:rsidRPr="00826C99" w:rsidRDefault="008C4DD3" w:rsidP="00F92C41">
      <w:pPr>
        <w:spacing w:before="120" w:after="120" w:line="240" w:lineRule="auto"/>
        <w:contextualSpacing/>
        <w:jc w:val="both"/>
        <w:rPr>
          <w:rFonts w:eastAsia="Times New Roman" w:cs="Arial"/>
          <w:szCs w:val="22"/>
          <w:lang w:val="en"/>
        </w:rPr>
      </w:pPr>
    </w:p>
    <w:p w:rsidR="00507ED4" w:rsidRDefault="00507ED4" w:rsidP="00F92C41">
      <w:pPr>
        <w:spacing w:before="120" w:after="120" w:line="240" w:lineRule="auto"/>
        <w:contextualSpacing/>
        <w:jc w:val="both"/>
        <w:rPr>
          <w:rFonts w:eastAsia="Times New Roman" w:cs="Arial"/>
          <w:szCs w:val="22"/>
          <w:lang w:val="en"/>
        </w:rPr>
      </w:pPr>
      <w:r w:rsidRPr="00826C99">
        <w:rPr>
          <w:rFonts w:eastAsia="Times New Roman" w:cs="Arial"/>
          <w:szCs w:val="22"/>
          <w:lang w:val="en"/>
        </w:rPr>
        <w:t>In Australia, the Health Practitioner Regulation National Law, as in fo</w:t>
      </w:r>
      <w:r w:rsidR="00565E9E">
        <w:rPr>
          <w:rFonts w:eastAsia="Times New Roman" w:cs="Arial"/>
          <w:szCs w:val="22"/>
          <w:lang w:val="en"/>
        </w:rPr>
        <w:t xml:space="preserve">rce in each state and territory </w:t>
      </w:r>
      <w:r w:rsidRPr="00826C99">
        <w:rPr>
          <w:rFonts w:eastAsia="Times New Roman" w:cs="Arial"/>
          <w:szCs w:val="22"/>
          <w:lang w:val="en"/>
        </w:rPr>
        <w:t>(the National Law) protects the title ‘midwife’. A midwife is a regulated health practitioner who holds registration as a midwife with the N</w:t>
      </w:r>
      <w:r w:rsidR="001A1EA6">
        <w:rPr>
          <w:rFonts w:eastAsia="Times New Roman" w:cs="Arial"/>
          <w:szCs w:val="22"/>
          <w:lang w:val="en"/>
        </w:rPr>
        <w:t>ursing and Midwifery Board of Australia.</w:t>
      </w:r>
      <w:r w:rsidRPr="00826C99">
        <w:rPr>
          <w:rFonts w:eastAsia="Times New Roman" w:cs="Arial"/>
          <w:szCs w:val="22"/>
          <w:lang w:val="en"/>
        </w:rPr>
        <w:t xml:space="preserve"> </w:t>
      </w:r>
    </w:p>
    <w:p w:rsidR="008C4DD3" w:rsidRPr="00826C99" w:rsidRDefault="008C4DD3" w:rsidP="00F92C41">
      <w:pPr>
        <w:spacing w:before="120" w:after="120" w:line="240" w:lineRule="auto"/>
        <w:contextualSpacing/>
        <w:jc w:val="both"/>
        <w:rPr>
          <w:rFonts w:eastAsia="Times New Roman" w:cs="Arial"/>
          <w:szCs w:val="22"/>
          <w:lang w:val="en"/>
        </w:rPr>
      </w:pPr>
    </w:p>
    <w:p w:rsidR="00507ED4" w:rsidRDefault="00507ED4" w:rsidP="00F92C41">
      <w:pPr>
        <w:spacing w:before="120" w:after="120" w:line="240" w:lineRule="auto"/>
        <w:contextualSpacing/>
        <w:jc w:val="both"/>
        <w:rPr>
          <w:rFonts w:eastAsia="Times New Roman" w:cs="Arial"/>
          <w:szCs w:val="22"/>
          <w:lang w:val="en"/>
        </w:rPr>
      </w:pPr>
      <w:r w:rsidRPr="00826C99">
        <w:rPr>
          <w:rFonts w:eastAsia="Times New Roman" w:cs="Arial"/>
          <w:szCs w:val="22"/>
          <w:lang w:val="en"/>
        </w:rPr>
        <w:t xml:space="preserve">Midwifery is not restricted to the provision of direct clinical care. Midwifery </w:t>
      </w:r>
      <w:r w:rsidR="00D8290E">
        <w:rPr>
          <w:rFonts w:eastAsia="Times New Roman" w:cs="Arial"/>
          <w:szCs w:val="22"/>
          <w:lang w:val="en"/>
        </w:rPr>
        <w:t>practice</w:t>
      </w:r>
      <w:r w:rsidRPr="00826C99">
        <w:rPr>
          <w:rFonts w:eastAsia="Times New Roman" w:cs="Arial"/>
          <w:szCs w:val="22"/>
          <w:lang w:val="en"/>
        </w:rPr>
        <w:t xml:space="preserve"> extends to any role where the midwife uses midwifery skills and knowledge. This </w:t>
      </w:r>
      <w:r w:rsidR="00D8290E">
        <w:rPr>
          <w:rFonts w:eastAsia="Times New Roman" w:cs="Arial"/>
          <w:szCs w:val="22"/>
          <w:lang w:val="en"/>
        </w:rPr>
        <w:t>practice</w:t>
      </w:r>
      <w:r w:rsidRPr="00826C99">
        <w:rPr>
          <w:rFonts w:eastAsia="Times New Roman" w:cs="Arial"/>
          <w:szCs w:val="22"/>
          <w:lang w:val="en"/>
        </w:rPr>
        <w:t xml:space="preserve"> includes working in clinical and non-clinical relationships with the woman and other clients as well as working in management, administration, education, research, advisory, regulatory, and policy development roles.</w:t>
      </w:r>
    </w:p>
    <w:p w:rsidR="008C4DD3" w:rsidRPr="00826C99" w:rsidRDefault="008C4DD3" w:rsidP="00F92C41">
      <w:pPr>
        <w:spacing w:before="120" w:after="120" w:line="240" w:lineRule="auto"/>
        <w:contextualSpacing/>
        <w:jc w:val="both"/>
        <w:rPr>
          <w:rFonts w:eastAsia="Times New Roman" w:cs="Arial"/>
          <w:szCs w:val="22"/>
          <w:lang w:val="en"/>
        </w:rPr>
      </w:pPr>
    </w:p>
    <w:p w:rsidR="00BF08C3" w:rsidRDefault="00507ED4" w:rsidP="00CE00BE">
      <w:pPr>
        <w:spacing w:before="120" w:after="120" w:line="240" w:lineRule="auto"/>
        <w:contextualSpacing/>
        <w:jc w:val="both"/>
        <w:rPr>
          <w:rFonts w:eastAsia="Times New Roman" w:cs="Arial"/>
          <w:szCs w:val="22"/>
          <w:lang w:val="en"/>
        </w:rPr>
      </w:pPr>
      <w:r w:rsidRPr="00826C99">
        <w:rPr>
          <w:rFonts w:eastAsia="Times New Roman" w:cs="Arial"/>
          <w:szCs w:val="22"/>
          <w:lang w:val="en"/>
        </w:rPr>
        <w:t xml:space="preserve">Midwives recognise the importance of history and culture to the health and wellbeing of women and their families. Midwifery </w:t>
      </w:r>
      <w:r w:rsidR="00D8290E">
        <w:rPr>
          <w:rFonts w:eastAsia="Times New Roman" w:cs="Arial"/>
          <w:szCs w:val="22"/>
          <w:lang w:val="en"/>
        </w:rPr>
        <w:t>practice</w:t>
      </w:r>
      <w:r w:rsidRPr="00826C99">
        <w:rPr>
          <w:rFonts w:eastAsia="Times New Roman" w:cs="Arial"/>
          <w:szCs w:val="22"/>
          <w:lang w:val="en"/>
        </w:rPr>
        <w:t xml:space="preserve"> promotes culturally safe care as a fundamental right for all women. Midwives acknowledge the impact of colonisation on the lives of Aboriginal and Torres Strait Islander </w:t>
      </w:r>
      <w:r w:rsidR="001F2CD3">
        <w:rPr>
          <w:rFonts w:eastAsia="Times New Roman" w:cs="Arial"/>
          <w:szCs w:val="22"/>
          <w:lang w:val="en"/>
        </w:rPr>
        <w:t>p</w:t>
      </w:r>
      <w:r w:rsidRPr="00826C99">
        <w:rPr>
          <w:rFonts w:eastAsia="Times New Roman" w:cs="Arial"/>
          <w:szCs w:val="22"/>
          <w:lang w:val="en"/>
        </w:rPr>
        <w:t>eoples, which has contributed to significant health inequity in Australia.</w:t>
      </w:r>
      <w:bookmarkEnd w:id="7"/>
      <w:bookmarkEnd w:id="8"/>
      <w:r w:rsidR="0074464B">
        <w:rPr>
          <w:rStyle w:val="FootnoteReference"/>
          <w:rFonts w:eastAsia="Times New Roman" w:cs="Arial"/>
          <w:szCs w:val="22"/>
          <w:lang w:val="en"/>
        </w:rPr>
        <w:footnoteReference w:id="1"/>
      </w:r>
    </w:p>
    <w:p w:rsidR="00BF08C3" w:rsidRDefault="00BF08C3">
      <w:pPr>
        <w:rPr>
          <w:rFonts w:eastAsia="Times New Roman" w:cs="Arial"/>
          <w:szCs w:val="22"/>
          <w:lang w:val="en"/>
        </w:rPr>
      </w:pPr>
      <w:r>
        <w:rPr>
          <w:rFonts w:eastAsia="Times New Roman" w:cs="Arial"/>
          <w:szCs w:val="22"/>
          <w:lang w:val="en"/>
        </w:rPr>
        <w:br w:type="page"/>
      </w:r>
    </w:p>
    <w:p w:rsidR="0007288C" w:rsidRPr="00063DA4" w:rsidRDefault="0007288C" w:rsidP="00063DA4">
      <w:pPr>
        <w:pStyle w:val="Heading1"/>
      </w:pPr>
      <w:bookmarkStart w:id="16" w:name="_Toc10808375"/>
      <w:r w:rsidRPr="00063DA4">
        <w:lastRenderedPageBreak/>
        <w:t>Current workforce status</w:t>
      </w:r>
      <w:bookmarkEnd w:id="16"/>
    </w:p>
    <w:p w:rsidR="0007288C" w:rsidRPr="00063DA4" w:rsidRDefault="0007288C" w:rsidP="00E85564">
      <w:pPr>
        <w:pStyle w:val="Heading2"/>
      </w:pPr>
      <w:bookmarkStart w:id="17" w:name="_Toc10808376"/>
      <w:r w:rsidRPr="00063DA4">
        <w:t>Registration</w:t>
      </w:r>
      <w:bookmarkEnd w:id="17"/>
    </w:p>
    <w:p w:rsidR="00801608" w:rsidRPr="00801608" w:rsidRDefault="00801608" w:rsidP="00431D1C">
      <w:pPr>
        <w:spacing w:before="120" w:after="120" w:line="240" w:lineRule="auto"/>
        <w:jc w:val="both"/>
        <w:rPr>
          <w:rFonts w:eastAsia="Times New Roman" w:cs="Arial"/>
          <w:szCs w:val="22"/>
        </w:rPr>
      </w:pPr>
      <w:r w:rsidRPr="00801608">
        <w:rPr>
          <w:rFonts w:eastAsia="Times New Roman" w:cs="Arial"/>
          <w:szCs w:val="22"/>
        </w:rPr>
        <w:t xml:space="preserve">All midwives in Australia must be registered through the NMBA and meet the NMBA’s registration standards before they are able to practise. </w:t>
      </w:r>
      <w:r>
        <w:rPr>
          <w:rFonts w:eastAsia="Times New Roman" w:cs="Arial"/>
          <w:szCs w:val="22"/>
        </w:rPr>
        <w:t>These include:</w:t>
      </w:r>
    </w:p>
    <w:p w:rsidR="00801608" w:rsidRPr="00801608" w:rsidRDefault="00801608" w:rsidP="002B7E32">
      <w:pPr>
        <w:numPr>
          <w:ilvl w:val="0"/>
          <w:numId w:val="17"/>
        </w:numPr>
        <w:spacing w:before="120" w:after="0" w:line="240" w:lineRule="auto"/>
        <w:ind w:left="714" w:hanging="357"/>
        <w:jc w:val="both"/>
        <w:rPr>
          <w:rFonts w:eastAsia="Times New Roman" w:cs="Arial"/>
          <w:szCs w:val="22"/>
        </w:rPr>
      </w:pPr>
      <w:r w:rsidRPr="00801608">
        <w:rPr>
          <w:rFonts w:eastAsia="Times New Roman" w:cs="Arial"/>
          <w:szCs w:val="22"/>
        </w:rPr>
        <w:t>a minimum of 20 hours continuing professional development per registration period (plus a further 10 hours for midwives with a notation and/or scheduled medicines endorsement);</w:t>
      </w:r>
    </w:p>
    <w:p w:rsidR="00801608" w:rsidRPr="00801608" w:rsidRDefault="00801608" w:rsidP="002B7E32">
      <w:pPr>
        <w:numPr>
          <w:ilvl w:val="0"/>
          <w:numId w:val="17"/>
        </w:numPr>
        <w:spacing w:before="120" w:after="0" w:line="240" w:lineRule="auto"/>
        <w:ind w:left="714" w:hanging="357"/>
        <w:jc w:val="both"/>
        <w:rPr>
          <w:rFonts w:eastAsia="Times New Roman" w:cs="Arial"/>
          <w:szCs w:val="22"/>
        </w:rPr>
      </w:pPr>
      <w:r w:rsidRPr="00801608">
        <w:rPr>
          <w:rFonts w:eastAsia="Times New Roman" w:cs="Arial"/>
          <w:szCs w:val="22"/>
        </w:rPr>
        <w:t>recency of practice by demonstrating one or more of the following: completion of a minimum of 450 hours of practice within the past five years, successful completion of a program or assessment approved by the NMBA and/or successful completion of a period of supervised practice approved by the NMBA);</w:t>
      </w:r>
    </w:p>
    <w:p w:rsidR="00801608" w:rsidRPr="00801608" w:rsidRDefault="00801608" w:rsidP="002B7E32">
      <w:pPr>
        <w:numPr>
          <w:ilvl w:val="0"/>
          <w:numId w:val="17"/>
        </w:numPr>
        <w:spacing w:before="120" w:after="0" w:line="240" w:lineRule="auto"/>
        <w:ind w:left="714" w:hanging="357"/>
        <w:jc w:val="both"/>
        <w:rPr>
          <w:rFonts w:eastAsia="Times New Roman" w:cs="Arial"/>
          <w:szCs w:val="22"/>
        </w:rPr>
      </w:pPr>
      <w:r w:rsidRPr="00801608">
        <w:rPr>
          <w:rFonts w:eastAsia="Times New Roman" w:cs="Arial"/>
          <w:szCs w:val="22"/>
        </w:rPr>
        <w:t xml:space="preserve">declaration of criminal history (including international criminal history checks, if required); </w:t>
      </w:r>
    </w:p>
    <w:p w:rsidR="00801608" w:rsidRPr="00801608" w:rsidRDefault="00801608" w:rsidP="002B7E32">
      <w:pPr>
        <w:numPr>
          <w:ilvl w:val="0"/>
          <w:numId w:val="17"/>
        </w:numPr>
        <w:spacing w:before="120" w:after="0" w:line="240" w:lineRule="auto"/>
        <w:ind w:left="714" w:hanging="357"/>
        <w:jc w:val="both"/>
        <w:rPr>
          <w:rFonts w:eastAsia="Times New Roman" w:cs="Arial"/>
          <w:szCs w:val="22"/>
        </w:rPr>
      </w:pPr>
      <w:r w:rsidRPr="00801608">
        <w:rPr>
          <w:rFonts w:eastAsia="Times New Roman" w:cs="Arial"/>
          <w:szCs w:val="22"/>
        </w:rPr>
        <w:t>evidence of suitable English language skills; and</w:t>
      </w:r>
    </w:p>
    <w:p w:rsidR="00801608" w:rsidRPr="00801608" w:rsidRDefault="00801608" w:rsidP="002B7E32">
      <w:pPr>
        <w:numPr>
          <w:ilvl w:val="0"/>
          <w:numId w:val="17"/>
        </w:numPr>
        <w:spacing w:before="120" w:after="0" w:line="240" w:lineRule="auto"/>
        <w:ind w:left="714" w:hanging="357"/>
        <w:jc w:val="both"/>
        <w:rPr>
          <w:rFonts w:eastAsia="Times New Roman" w:cs="Arial"/>
          <w:szCs w:val="22"/>
        </w:rPr>
      </w:pPr>
      <w:r w:rsidRPr="00801608">
        <w:rPr>
          <w:rFonts w:eastAsia="Times New Roman" w:cs="Arial"/>
          <w:szCs w:val="22"/>
        </w:rPr>
        <w:t>evidence of current professional indemnity insurance coverage.</w:t>
      </w:r>
    </w:p>
    <w:p w:rsidR="0007288C" w:rsidRPr="00F05DDE" w:rsidRDefault="0007288C" w:rsidP="00F92C41">
      <w:pPr>
        <w:spacing w:before="120" w:after="120" w:line="240" w:lineRule="auto"/>
        <w:jc w:val="both"/>
        <w:rPr>
          <w:rFonts w:eastAsia="Times New Roman" w:cs="Arial"/>
          <w:szCs w:val="22"/>
        </w:rPr>
      </w:pPr>
      <w:r w:rsidRPr="00826C99">
        <w:rPr>
          <w:rFonts w:eastAsia="Times New Roman" w:cs="Arial"/>
          <w:szCs w:val="22"/>
        </w:rPr>
        <w:t>The Australian Health Practitioner Regulation Agency (AHPRA), in conjunction with the national boards, is responsible for the nati</w:t>
      </w:r>
      <w:r w:rsidR="00CD55CF" w:rsidRPr="00826C99">
        <w:rPr>
          <w:rFonts w:eastAsia="Times New Roman" w:cs="Arial"/>
          <w:szCs w:val="22"/>
        </w:rPr>
        <w:t>onal registration process for 16</w:t>
      </w:r>
      <w:r w:rsidRPr="00826C99">
        <w:rPr>
          <w:rFonts w:eastAsia="Times New Roman" w:cs="Arial"/>
          <w:szCs w:val="22"/>
        </w:rPr>
        <w:t xml:space="preserve"> health professions. The data from this annual registration process, together with data from a </w:t>
      </w:r>
      <w:r w:rsidR="008B32F8">
        <w:rPr>
          <w:rFonts w:eastAsia="Times New Roman" w:cs="Arial"/>
          <w:szCs w:val="22"/>
        </w:rPr>
        <w:t xml:space="preserve">voluntary </w:t>
      </w:r>
      <w:r w:rsidRPr="00826C99">
        <w:rPr>
          <w:rFonts w:eastAsia="Times New Roman" w:cs="Arial"/>
          <w:szCs w:val="22"/>
        </w:rPr>
        <w:t xml:space="preserve">workforce survey completed at the time of registration, forms the National Health Workforce Dataset (NHWDS). Data in the NHWDS includes demographic and employment information for registered health </w:t>
      </w:r>
      <w:r w:rsidRPr="00F05DDE">
        <w:rPr>
          <w:rFonts w:eastAsia="Times New Roman" w:cs="Arial"/>
          <w:szCs w:val="22"/>
        </w:rPr>
        <w:t>professionals.</w:t>
      </w:r>
    </w:p>
    <w:p w:rsidR="00110243" w:rsidRPr="00110243" w:rsidRDefault="0007288C" w:rsidP="00110243">
      <w:pPr>
        <w:pStyle w:val="Caption"/>
      </w:pPr>
      <w:bookmarkStart w:id="18" w:name="_Toc532471521"/>
      <w:bookmarkStart w:id="19" w:name="_Toc532472305"/>
      <w:bookmarkStart w:id="20" w:name="_Toc532473559"/>
      <w:bookmarkStart w:id="21" w:name="_Toc1724677"/>
      <w:bookmarkStart w:id="22" w:name="_Toc1724995"/>
      <w:r w:rsidRPr="00C353D1">
        <w:t xml:space="preserve">Figure </w:t>
      </w:r>
      <w:r w:rsidR="002A4D9E" w:rsidRPr="00C353D1">
        <w:rPr>
          <w:noProof/>
        </w:rPr>
        <w:fldChar w:fldCharType="begin"/>
      </w:r>
      <w:r w:rsidR="002A4D9E" w:rsidRPr="00C353D1">
        <w:rPr>
          <w:noProof/>
        </w:rPr>
        <w:instrText xml:space="preserve"> SEQ Figure \* ARABIC </w:instrText>
      </w:r>
      <w:r w:rsidR="002A4D9E" w:rsidRPr="00C353D1">
        <w:rPr>
          <w:noProof/>
        </w:rPr>
        <w:fldChar w:fldCharType="separate"/>
      </w:r>
      <w:r w:rsidR="005E7E94">
        <w:rPr>
          <w:noProof/>
        </w:rPr>
        <w:t>1</w:t>
      </w:r>
      <w:r w:rsidR="002A4D9E" w:rsidRPr="00C353D1">
        <w:rPr>
          <w:noProof/>
        </w:rPr>
        <w:fldChar w:fldCharType="end"/>
      </w:r>
      <w:r w:rsidRPr="00C353D1">
        <w:t>: Midwifery workforce, 201</w:t>
      </w:r>
      <w:bookmarkEnd w:id="18"/>
      <w:bookmarkEnd w:id="19"/>
      <w:bookmarkEnd w:id="20"/>
      <w:r w:rsidR="00263342" w:rsidRPr="00C353D1">
        <w:t>7</w:t>
      </w:r>
      <w:bookmarkEnd w:id="21"/>
      <w:bookmarkEnd w:id="22"/>
    </w:p>
    <w:p w:rsidR="00110243" w:rsidRDefault="00110243" w:rsidP="00F92C41">
      <w:pPr>
        <w:spacing w:before="120" w:after="120" w:line="240" w:lineRule="auto"/>
        <w:jc w:val="both"/>
        <w:rPr>
          <w:rFonts w:eastAsia="Times New Roman" w:cs="Arial"/>
          <w:szCs w:val="22"/>
        </w:rPr>
      </w:pPr>
      <w:r>
        <w:rPr>
          <w:rFonts w:eastAsia="Times New Roman" w:cs="Arial"/>
          <w:noProof/>
          <w:szCs w:val="22"/>
          <w:lang w:eastAsia="en-AU"/>
        </w:rPr>
        <w:drawing>
          <wp:inline distT="0" distB="0" distL="0" distR="0">
            <wp:extent cx="5705183" cy="2604236"/>
            <wp:effectExtent l="0" t="0" r="0" b="5715"/>
            <wp:docPr id="11" name="Picture 11" descr="Total midwifery workforce general and provisional registration is 30,011.&#10;&#10;4,522 midwives with 3,807 employed in various roles.  Roles include clinician (3,624), admin (39), teacher (102), research (33) and other (9).&#10;&#10;25,543 nurse and midwives with 22,568 employed in various roles.  Roles include clinician (20,249), admin (1,111), teacher (834), research (191) and other (183).&#10;&#10;&#10;" title="Figure 1: Midwifery workforce, 2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E04A3BA.tmp"/>
                    <pic:cNvPicPr/>
                  </pic:nvPicPr>
                  <pic:blipFill rotWithShape="1">
                    <a:blip r:embed="rId8">
                      <a:extLst>
                        <a:ext uri="{28A0092B-C50C-407E-A947-70E740481C1C}">
                          <a14:useLocalDpi xmlns:a14="http://schemas.microsoft.com/office/drawing/2010/main" val="0"/>
                        </a:ext>
                      </a:extLst>
                    </a:blip>
                    <a:srcRect l="16641" t="27636" r="12596" b="12363"/>
                    <a:stretch/>
                  </pic:blipFill>
                  <pic:spPr bwMode="auto">
                    <a:xfrm>
                      <a:off x="0" y="0"/>
                      <a:ext cx="5736641" cy="2618596"/>
                    </a:xfrm>
                    <a:prstGeom prst="rect">
                      <a:avLst/>
                    </a:prstGeom>
                    <a:ln>
                      <a:noFill/>
                    </a:ln>
                    <a:extLst>
                      <a:ext uri="{53640926-AAD7-44D8-BBD7-CCE9431645EC}">
                        <a14:shadowObscured xmlns:a14="http://schemas.microsoft.com/office/drawing/2010/main"/>
                      </a:ext>
                    </a:extLst>
                  </pic:spPr>
                </pic:pic>
              </a:graphicData>
            </a:graphic>
          </wp:inline>
        </w:drawing>
      </w:r>
    </w:p>
    <w:p w:rsidR="0007288C" w:rsidRPr="00826C99" w:rsidRDefault="0007288C" w:rsidP="00F92C41">
      <w:pPr>
        <w:spacing w:before="120" w:after="120" w:line="240" w:lineRule="auto"/>
        <w:jc w:val="both"/>
        <w:rPr>
          <w:rFonts w:eastAsia="Times New Roman" w:cs="Arial"/>
          <w:szCs w:val="22"/>
        </w:rPr>
      </w:pPr>
      <w:r w:rsidRPr="00826C99">
        <w:rPr>
          <w:rFonts w:eastAsia="Times New Roman" w:cs="Arial"/>
          <w:szCs w:val="22"/>
        </w:rPr>
        <w:t>Midwives need to be registered to be employed in Australia, however</w:t>
      </w:r>
      <w:r w:rsidR="008B32F8">
        <w:rPr>
          <w:rFonts w:eastAsia="Times New Roman" w:cs="Arial"/>
          <w:szCs w:val="22"/>
        </w:rPr>
        <w:t>,</w:t>
      </w:r>
      <w:r w:rsidRPr="00826C99">
        <w:rPr>
          <w:rFonts w:eastAsia="Times New Roman" w:cs="Arial"/>
          <w:szCs w:val="22"/>
        </w:rPr>
        <w:t xml:space="preserve"> not all those who are registered are employed. </w:t>
      </w:r>
      <w:r w:rsidR="008C7823" w:rsidRPr="00826C99">
        <w:rPr>
          <w:rFonts w:eastAsia="Times New Roman" w:cs="Arial"/>
          <w:szCs w:val="22"/>
        </w:rPr>
        <w:t>T</w:t>
      </w:r>
      <w:r w:rsidRPr="00826C99">
        <w:rPr>
          <w:rFonts w:eastAsia="Times New Roman" w:cs="Arial"/>
          <w:szCs w:val="22"/>
        </w:rPr>
        <w:t xml:space="preserve">he data presented </w:t>
      </w:r>
      <w:r w:rsidR="002617FF">
        <w:rPr>
          <w:rFonts w:eastAsia="Times New Roman" w:cs="Arial"/>
          <w:szCs w:val="22"/>
        </w:rPr>
        <w:t>in this report</w:t>
      </w:r>
      <w:r w:rsidRPr="00826C99">
        <w:rPr>
          <w:rFonts w:eastAsia="Times New Roman" w:cs="Arial"/>
          <w:szCs w:val="22"/>
        </w:rPr>
        <w:t xml:space="preserve"> focuses only on those registered midwives who reported working in midwifery (referred to as ‘employed midwives’).</w:t>
      </w:r>
    </w:p>
    <w:p w:rsidR="0007288C" w:rsidRPr="00826C99" w:rsidRDefault="0007288C" w:rsidP="00F92C41">
      <w:pPr>
        <w:spacing w:before="120" w:after="120" w:line="240" w:lineRule="auto"/>
        <w:jc w:val="both"/>
        <w:rPr>
          <w:rFonts w:eastAsia="Times New Roman" w:cs="Arial"/>
          <w:szCs w:val="22"/>
        </w:rPr>
      </w:pPr>
      <w:r w:rsidRPr="00826C99">
        <w:rPr>
          <w:rFonts w:eastAsia="Times New Roman" w:cs="Arial"/>
          <w:szCs w:val="22"/>
        </w:rPr>
        <w:t xml:space="preserve">The </w:t>
      </w:r>
      <w:r w:rsidRPr="00703887">
        <w:rPr>
          <w:rFonts w:eastAsia="Times New Roman" w:cs="Arial"/>
          <w:i/>
          <w:szCs w:val="22"/>
        </w:rPr>
        <w:t>NHWDS: Nurses and midwives 201</w:t>
      </w:r>
      <w:r w:rsidR="00224595" w:rsidRPr="00703887">
        <w:rPr>
          <w:rFonts w:eastAsia="Times New Roman" w:cs="Arial"/>
          <w:i/>
          <w:szCs w:val="22"/>
        </w:rPr>
        <w:t>7</w:t>
      </w:r>
      <w:r w:rsidR="002617FF">
        <w:rPr>
          <w:rFonts w:eastAsia="Times New Roman" w:cs="Arial"/>
          <w:szCs w:val="22"/>
        </w:rPr>
        <w:t>,</w:t>
      </w:r>
      <w:r w:rsidRPr="00826C99">
        <w:rPr>
          <w:rFonts w:eastAsia="Times New Roman" w:cs="Arial"/>
          <w:szCs w:val="22"/>
        </w:rPr>
        <w:t xml:space="preserve"> </w:t>
      </w:r>
      <w:r w:rsidR="00241DC8">
        <w:rPr>
          <w:rFonts w:eastAsia="Times New Roman" w:cs="Arial"/>
          <w:szCs w:val="22"/>
        </w:rPr>
        <w:t>was</w:t>
      </w:r>
      <w:r w:rsidRPr="00826C99">
        <w:rPr>
          <w:rFonts w:eastAsia="Times New Roman" w:cs="Arial"/>
          <w:szCs w:val="22"/>
        </w:rPr>
        <w:t xml:space="preserve"> used to determine the midwifery supply in Australia. The following describes which individual</w:t>
      </w:r>
      <w:r w:rsidR="002617FF">
        <w:rPr>
          <w:rFonts w:eastAsia="Times New Roman" w:cs="Arial"/>
          <w:szCs w:val="22"/>
        </w:rPr>
        <w:t xml:space="preserve"> responses</w:t>
      </w:r>
      <w:r w:rsidRPr="00826C99">
        <w:rPr>
          <w:rFonts w:eastAsia="Times New Roman" w:cs="Arial"/>
          <w:szCs w:val="22"/>
        </w:rPr>
        <w:t xml:space="preserve"> </w:t>
      </w:r>
      <w:r w:rsidR="00241DC8">
        <w:rPr>
          <w:rFonts w:eastAsia="Times New Roman" w:cs="Arial"/>
          <w:szCs w:val="22"/>
        </w:rPr>
        <w:t xml:space="preserve">were </w:t>
      </w:r>
      <w:r w:rsidRPr="00826C99">
        <w:rPr>
          <w:rFonts w:eastAsia="Times New Roman" w:cs="Arial"/>
          <w:szCs w:val="22"/>
        </w:rPr>
        <w:t xml:space="preserve">selected </w:t>
      </w:r>
      <w:r w:rsidR="002617FF">
        <w:rPr>
          <w:rFonts w:eastAsia="Times New Roman" w:cs="Arial"/>
          <w:szCs w:val="22"/>
        </w:rPr>
        <w:t xml:space="preserve">for inclusion in the data set used for this report </w:t>
      </w:r>
      <w:r w:rsidRPr="00826C99">
        <w:rPr>
          <w:rFonts w:eastAsia="Times New Roman" w:cs="Arial"/>
          <w:szCs w:val="22"/>
        </w:rPr>
        <w:t xml:space="preserve">based on answers </w:t>
      </w:r>
      <w:r w:rsidR="002617FF">
        <w:rPr>
          <w:rFonts w:eastAsia="Times New Roman" w:cs="Arial"/>
          <w:szCs w:val="22"/>
        </w:rPr>
        <w:t>in</w:t>
      </w:r>
      <w:r w:rsidRPr="00826C99">
        <w:rPr>
          <w:rFonts w:eastAsia="Times New Roman" w:cs="Arial"/>
          <w:szCs w:val="22"/>
        </w:rPr>
        <w:t xml:space="preserve"> the workforce survey:</w:t>
      </w:r>
    </w:p>
    <w:p w:rsidR="0007288C" w:rsidRPr="00826C99" w:rsidRDefault="0007288C" w:rsidP="002B7E32">
      <w:pPr>
        <w:numPr>
          <w:ilvl w:val="0"/>
          <w:numId w:val="3"/>
        </w:numPr>
        <w:spacing w:before="120" w:after="0" w:line="240" w:lineRule="auto"/>
        <w:jc w:val="both"/>
        <w:rPr>
          <w:rFonts w:eastAsia="Times New Roman" w:cs="Arial"/>
          <w:szCs w:val="22"/>
        </w:rPr>
      </w:pPr>
      <w:r w:rsidRPr="00826C99">
        <w:rPr>
          <w:rFonts w:eastAsia="Times New Roman" w:cs="Arial"/>
          <w:szCs w:val="22"/>
        </w:rPr>
        <w:t>Only those who are registered are included</w:t>
      </w:r>
      <w:r w:rsidR="008B32F8">
        <w:rPr>
          <w:rFonts w:eastAsia="Times New Roman" w:cs="Arial"/>
          <w:szCs w:val="22"/>
        </w:rPr>
        <w:t>;</w:t>
      </w:r>
    </w:p>
    <w:p w:rsidR="0007288C" w:rsidRPr="00826C99" w:rsidRDefault="0007288C" w:rsidP="002B7E32">
      <w:pPr>
        <w:numPr>
          <w:ilvl w:val="0"/>
          <w:numId w:val="3"/>
        </w:numPr>
        <w:spacing w:before="120" w:after="0" w:line="240" w:lineRule="auto"/>
        <w:jc w:val="both"/>
        <w:rPr>
          <w:rFonts w:eastAsia="Times New Roman" w:cs="Arial"/>
          <w:szCs w:val="22"/>
        </w:rPr>
      </w:pPr>
      <w:r w:rsidRPr="00826C99">
        <w:rPr>
          <w:rFonts w:eastAsia="Times New Roman" w:cs="Arial"/>
          <w:szCs w:val="22"/>
        </w:rPr>
        <w:t xml:space="preserve">Then, those who are registered as an EN only </w:t>
      </w:r>
      <w:r w:rsidR="0026461C">
        <w:rPr>
          <w:rFonts w:eastAsia="Times New Roman" w:cs="Arial"/>
          <w:szCs w:val="22"/>
        </w:rPr>
        <w:t xml:space="preserve">or an RN only </w:t>
      </w:r>
      <w:r w:rsidRPr="00826C99">
        <w:rPr>
          <w:rFonts w:eastAsia="Times New Roman" w:cs="Arial"/>
          <w:szCs w:val="22"/>
        </w:rPr>
        <w:t>are excluded</w:t>
      </w:r>
      <w:r w:rsidR="008B32F8">
        <w:rPr>
          <w:rFonts w:eastAsia="Times New Roman" w:cs="Arial"/>
          <w:szCs w:val="22"/>
        </w:rPr>
        <w:t>;</w:t>
      </w:r>
    </w:p>
    <w:p w:rsidR="0007288C" w:rsidRPr="00826C99" w:rsidRDefault="0007288C" w:rsidP="002B7E32">
      <w:pPr>
        <w:numPr>
          <w:ilvl w:val="0"/>
          <w:numId w:val="3"/>
        </w:numPr>
        <w:spacing w:before="120" w:after="0" w:line="240" w:lineRule="auto"/>
        <w:jc w:val="both"/>
        <w:rPr>
          <w:rFonts w:eastAsia="Times New Roman" w:cs="Arial"/>
          <w:szCs w:val="22"/>
        </w:rPr>
      </w:pPr>
      <w:r w:rsidRPr="00826C99">
        <w:rPr>
          <w:rFonts w:eastAsia="Times New Roman" w:cs="Arial"/>
          <w:szCs w:val="22"/>
        </w:rPr>
        <w:lastRenderedPageBreak/>
        <w:t>Then, only those who are employed (in</w:t>
      </w:r>
      <w:r w:rsidR="00565E9E">
        <w:rPr>
          <w:rFonts w:eastAsia="Times New Roman" w:cs="Arial"/>
          <w:szCs w:val="22"/>
        </w:rPr>
        <w:t>cluding on leave for less than three</w:t>
      </w:r>
      <w:r w:rsidRPr="00826C99">
        <w:rPr>
          <w:rFonts w:eastAsia="Times New Roman" w:cs="Arial"/>
          <w:szCs w:val="22"/>
        </w:rPr>
        <w:t xml:space="preserve"> months) are selected </w:t>
      </w:r>
      <w:r w:rsidRPr="00C353D1">
        <w:rPr>
          <w:rFonts w:eastAsia="Times New Roman" w:cs="Arial"/>
          <w:szCs w:val="22"/>
        </w:rPr>
        <w:t xml:space="preserve">(see </w:t>
      </w:r>
      <w:r w:rsidRPr="00D8290E">
        <w:rPr>
          <w:rFonts w:eastAsia="Times New Roman" w:cs="Arial"/>
          <w:szCs w:val="22"/>
        </w:rPr>
        <w:t xml:space="preserve">question 5 in Appendix </w:t>
      </w:r>
      <w:r w:rsidR="00D8290E" w:rsidRPr="00D8290E">
        <w:rPr>
          <w:rFonts w:eastAsia="Times New Roman" w:cs="Arial"/>
          <w:szCs w:val="22"/>
        </w:rPr>
        <w:t>A</w:t>
      </w:r>
      <w:r w:rsidRPr="00D8290E">
        <w:rPr>
          <w:rFonts w:eastAsia="Times New Roman" w:cs="Arial"/>
          <w:szCs w:val="22"/>
        </w:rPr>
        <w:t>)</w:t>
      </w:r>
      <w:r w:rsidR="008B32F8" w:rsidRPr="00D8290E">
        <w:rPr>
          <w:rFonts w:eastAsia="Times New Roman" w:cs="Arial"/>
          <w:szCs w:val="22"/>
        </w:rPr>
        <w:t>;</w:t>
      </w:r>
    </w:p>
    <w:p w:rsidR="0007288C" w:rsidRPr="00826C99" w:rsidRDefault="0007288C" w:rsidP="002B7E32">
      <w:pPr>
        <w:numPr>
          <w:ilvl w:val="0"/>
          <w:numId w:val="3"/>
        </w:numPr>
        <w:spacing w:before="120" w:after="0" w:line="240" w:lineRule="auto"/>
        <w:jc w:val="both"/>
        <w:rPr>
          <w:rFonts w:eastAsia="Times New Roman" w:cs="Arial"/>
          <w:szCs w:val="22"/>
        </w:rPr>
      </w:pPr>
      <w:r w:rsidRPr="00826C99">
        <w:rPr>
          <w:rFonts w:eastAsia="Times New Roman" w:cs="Arial"/>
          <w:szCs w:val="22"/>
        </w:rPr>
        <w:t xml:space="preserve">Then, </w:t>
      </w:r>
      <w:r w:rsidR="00263342">
        <w:rPr>
          <w:rFonts w:eastAsia="Times New Roman" w:cs="Arial"/>
          <w:szCs w:val="22"/>
        </w:rPr>
        <w:t>those who reported any</w:t>
      </w:r>
      <w:r w:rsidRPr="00826C99">
        <w:rPr>
          <w:rFonts w:eastAsia="Times New Roman" w:cs="Arial"/>
          <w:szCs w:val="22"/>
        </w:rPr>
        <w:t xml:space="preserve"> principal area of their main job in midwifery OR the principal area of their main job in nursing was ‘maternity care</w:t>
      </w:r>
      <w:r w:rsidR="00565E9E">
        <w:rPr>
          <w:rFonts w:eastAsia="Times New Roman" w:cs="Arial"/>
          <w:szCs w:val="22"/>
        </w:rPr>
        <w:t>’ (see question 13 in Appendix A</w:t>
      </w:r>
      <w:r w:rsidRPr="00826C99">
        <w:rPr>
          <w:rFonts w:eastAsia="Times New Roman" w:cs="Arial"/>
          <w:szCs w:val="22"/>
        </w:rPr>
        <w:t>) are included</w:t>
      </w:r>
      <w:r w:rsidR="008B32F8">
        <w:rPr>
          <w:rFonts w:eastAsia="Times New Roman" w:cs="Arial"/>
          <w:szCs w:val="22"/>
        </w:rPr>
        <w:t>;</w:t>
      </w:r>
      <w:r w:rsidRPr="00826C99">
        <w:rPr>
          <w:rFonts w:eastAsia="Times New Roman" w:cs="Arial"/>
          <w:szCs w:val="22"/>
        </w:rPr>
        <w:t xml:space="preserve"> </w:t>
      </w:r>
    </w:p>
    <w:p w:rsidR="0007288C" w:rsidRPr="00826C99" w:rsidRDefault="0007288C" w:rsidP="002B7E32">
      <w:pPr>
        <w:numPr>
          <w:ilvl w:val="0"/>
          <w:numId w:val="3"/>
        </w:numPr>
        <w:spacing w:before="120" w:after="0" w:line="240" w:lineRule="auto"/>
        <w:jc w:val="both"/>
        <w:rPr>
          <w:rFonts w:eastAsia="Times New Roman" w:cs="Arial"/>
          <w:szCs w:val="22"/>
        </w:rPr>
      </w:pPr>
      <w:r w:rsidRPr="00826C99">
        <w:rPr>
          <w:rFonts w:eastAsia="Times New Roman" w:cs="Arial"/>
          <w:szCs w:val="22"/>
        </w:rPr>
        <w:t xml:space="preserve">Then, only those who stated that their principal role of their main job in nursing and/or midwifery was ‘clinician’ are </w:t>
      </w:r>
      <w:r w:rsidRPr="00C353D1">
        <w:rPr>
          <w:rFonts w:eastAsia="Times New Roman" w:cs="Arial"/>
          <w:szCs w:val="22"/>
        </w:rPr>
        <w:t xml:space="preserve">included (see questions </w:t>
      </w:r>
      <w:r w:rsidR="00565E9E">
        <w:rPr>
          <w:rFonts w:eastAsia="Times New Roman" w:cs="Arial"/>
          <w:szCs w:val="22"/>
        </w:rPr>
        <w:t>12 and 15 in Appendix A</w:t>
      </w:r>
      <w:r w:rsidRPr="00C353D1">
        <w:rPr>
          <w:rFonts w:eastAsia="Times New Roman" w:cs="Arial"/>
          <w:szCs w:val="22"/>
        </w:rPr>
        <w:t>)</w:t>
      </w:r>
      <w:r w:rsidR="00C353D1">
        <w:rPr>
          <w:rFonts w:eastAsia="Times New Roman" w:cs="Arial"/>
          <w:szCs w:val="22"/>
        </w:rPr>
        <w:t xml:space="preserve"> (this provides the midwifery supply headcount)</w:t>
      </w:r>
      <w:r w:rsidR="008B32F8">
        <w:rPr>
          <w:rFonts w:eastAsia="Times New Roman" w:cs="Arial"/>
          <w:szCs w:val="22"/>
        </w:rPr>
        <w:t>;</w:t>
      </w:r>
    </w:p>
    <w:p w:rsidR="0007288C" w:rsidRPr="00826C99" w:rsidRDefault="0007288C" w:rsidP="002B7E32">
      <w:pPr>
        <w:numPr>
          <w:ilvl w:val="0"/>
          <w:numId w:val="3"/>
        </w:numPr>
        <w:spacing w:before="120" w:after="0" w:line="240" w:lineRule="auto"/>
        <w:jc w:val="both"/>
        <w:rPr>
          <w:rFonts w:eastAsia="Times New Roman" w:cs="Arial"/>
          <w:szCs w:val="22"/>
        </w:rPr>
      </w:pPr>
      <w:r w:rsidRPr="00826C99">
        <w:rPr>
          <w:rFonts w:eastAsia="Times New Roman" w:cs="Arial"/>
          <w:szCs w:val="22"/>
        </w:rPr>
        <w:t xml:space="preserve">Then, only the </w:t>
      </w:r>
      <w:r w:rsidR="00C353D1">
        <w:rPr>
          <w:rFonts w:eastAsia="Times New Roman" w:cs="Arial"/>
          <w:szCs w:val="22"/>
        </w:rPr>
        <w:t>following are included (this provides the midwifery supply FTE):</w:t>
      </w:r>
    </w:p>
    <w:p w:rsidR="0007288C" w:rsidRPr="00826C99" w:rsidRDefault="0007288C" w:rsidP="002B7E32">
      <w:pPr>
        <w:numPr>
          <w:ilvl w:val="0"/>
          <w:numId w:val="2"/>
        </w:numPr>
        <w:spacing w:before="120" w:after="0" w:line="240" w:lineRule="auto"/>
        <w:ind w:left="714" w:hanging="357"/>
        <w:jc w:val="both"/>
        <w:rPr>
          <w:rFonts w:eastAsia="Times New Roman" w:cs="Arial"/>
          <w:szCs w:val="22"/>
        </w:rPr>
      </w:pPr>
      <w:r w:rsidRPr="00826C99">
        <w:rPr>
          <w:rFonts w:eastAsia="Times New Roman" w:cs="Arial"/>
          <w:szCs w:val="22"/>
        </w:rPr>
        <w:t>all midwifery hours for those identified as working as a midwife</w:t>
      </w:r>
      <w:r w:rsidR="00CC7BA3">
        <w:rPr>
          <w:rFonts w:eastAsia="Times New Roman" w:cs="Arial"/>
          <w:szCs w:val="22"/>
        </w:rPr>
        <w:t>.</w:t>
      </w:r>
    </w:p>
    <w:p w:rsidR="0007288C" w:rsidRDefault="0007288C" w:rsidP="002B7E32">
      <w:pPr>
        <w:numPr>
          <w:ilvl w:val="0"/>
          <w:numId w:val="2"/>
        </w:numPr>
        <w:spacing w:before="120" w:after="0" w:line="240" w:lineRule="auto"/>
        <w:ind w:left="714" w:hanging="357"/>
        <w:jc w:val="both"/>
        <w:rPr>
          <w:rFonts w:eastAsia="Times New Roman" w:cs="Arial"/>
          <w:szCs w:val="22"/>
        </w:rPr>
      </w:pPr>
      <w:r w:rsidRPr="00826C99">
        <w:rPr>
          <w:rFonts w:eastAsia="Times New Roman" w:cs="Arial"/>
          <w:szCs w:val="22"/>
        </w:rPr>
        <w:t xml:space="preserve">nursing hours only for midwives that indicated they </w:t>
      </w:r>
      <w:r w:rsidR="007B50C5">
        <w:rPr>
          <w:rFonts w:eastAsia="Times New Roman" w:cs="Arial"/>
          <w:szCs w:val="22"/>
        </w:rPr>
        <w:t xml:space="preserve">were </w:t>
      </w:r>
      <w:r w:rsidRPr="00826C99">
        <w:rPr>
          <w:rFonts w:eastAsia="Times New Roman" w:cs="Arial"/>
          <w:szCs w:val="22"/>
        </w:rPr>
        <w:t>working in maternity care</w:t>
      </w:r>
      <w:r w:rsidR="00CC7BA3">
        <w:rPr>
          <w:rFonts w:eastAsia="Times New Roman" w:cs="Arial"/>
          <w:szCs w:val="22"/>
        </w:rPr>
        <w:t>.</w:t>
      </w:r>
    </w:p>
    <w:p w:rsidR="00C80664" w:rsidRPr="00826C99" w:rsidRDefault="00263342" w:rsidP="00541D61">
      <w:pPr>
        <w:spacing w:before="120" w:after="0" w:line="240" w:lineRule="auto"/>
        <w:ind w:left="357"/>
        <w:jc w:val="both"/>
        <w:rPr>
          <w:rFonts w:eastAsia="Times New Roman" w:cs="Arial"/>
          <w:szCs w:val="22"/>
        </w:rPr>
      </w:pPr>
      <w:r>
        <w:rPr>
          <w:rFonts w:eastAsia="Times New Roman" w:cs="Arial"/>
          <w:szCs w:val="22"/>
        </w:rPr>
        <w:t xml:space="preserve">(note that </w:t>
      </w:r>
      <w:r w:rsidR="00397E8E">
        <w:rPr>
          <w:rFonts w:eastAsia="Times New Roman" w:cs="Arial"/>
          <w:szCs w:val="22"/>
        </w:rPr>
        <w:t>those who are registered as an RN only and work in maternity care are not included in the midwifery supply)</w:t>
      </w:r>
      <w:r w:rsidR="00565E9E">
        <w:rPr>
          <w:rFonts w:eastAsia="Times New Roman" w:cs="Arial"/>
          <w:szCs w:val="22"/>
        </w:rPr>
        <w:t xml:space="preserve">. </w:t>
      </w:r>
      <w:r w:rsidR="0007288C" w:rsidRPr="00826C99">
        <w:rPr>
          <w:rFonts w:eastAsia="Times New Roman" w:cs="Arial"/>
          <w:szCs w:val="22"/>
        </w:rPr>
        <w:t xml:space="preserve">The result is a total midwifery supply </w:t>
      </w:r>
      <w:r w:rsidR="0007288C" w:rsidRPr="00EC1B28">
        <w:rPr>
          <w:rFonts w:eastAsia="Times New Roman" w:cs="Arial"/>
          <w:szCs w:val="22"/>
        </w:rPr>
        <w:t xml:space="preserve">of </w:t>
      </w:r>
      <w:r w:rsidR="00EC1B28" w:rsidRPr="00EC1B28">
        <w:rPr>
          <w:rFonts w:eastAsia="Times New Roman" w:cs="Arial"/>
          <w:b/>
          <w:szCs w:val="22"/>
        </w:rPr>
        <w:t>2</w:t>
      </w:r>
      <w:r w:rsidR="00EC1B28">
        <w:rPr>
          <w:rFonts w:eastAsia="Times New Roman" w:cs="Arial"/>
          <w:b/>
          <w:szCs w:val="22"/>
        </w:rPr>
        <w:t>1,149</w:t>
      </w:r>
      <w:r w:rsidR="0007288C" w:rsidRPr="00EC1B28">
        <w:rPr>
          <w:rFonts w:eastAsia="Times New Roman" w:cs="Arial"/>
          <w:szCs w:val="22"/>
        </w:rPr>
        <w:t xml:space="preserve"> (headcount) and </w:t>
      </w:r>
      <w:r w:rsidR="00EC1B28">
        <w:rPr>
          <w:rFonts w:eastAsia="Times New Roman" w:cs="Arial"/>
          <w:b/>
          <w:szCs w:val="22"/>
        </w:rPr>
        <w:t>14,280</w:t>
      </w:r>
      <w:r w:rsidR="0007288C" w:rsidRPr="00EC1B28">
        <w:rPr>
          <w:rFonts w:eastAsia="Times New Roman" w:cs="Arial"/>
          <w:szCs w:val="22"/>
        </w:rPr>
        <w:t xml:space="preserve"> FTE.</w:t>
      </w:r>
      <w:r w:rsidR="0007288C" w:rsidRPr="00826C99">
        <w:rPr>
          <w:rFonts w:eastAsia="Times New Roman" w:cs="Arial"/>
          <w:szCs w:val="22"/>
        </w:rPr>
        <w:t xml:space="preserve"> </w:t>
      </w:r>
    </w:p>
    <w:p w:rsidR="00C353D1" w:rsidRDefault="0007288C" w:rsidP="00F92C41">
      <w:pPr>
        <w:spacing w:before="120" w:after="120" w:line="240" w:lineRule="auto"/>
        <w:jc w:val="both"/>
        <w:rPr>
          <w:rFonts w:eastAsia="Times New Roman" w:cs="Arial"/>
          <w:szCs w:val="22"/>
        </w:rPr>
      </w:pPr>
      <w:r w:rsidRPr="00826C99">
        <w:rPr>
          <w:rFonts w:eastAsia="Times New Roman" w:cs="Arial"/>
          <w:szCs w:val="22"/>
        </w:rPr>
        <w:t>The same method can</w:t>
      </w:r>
      <w:r w:rsidR="00241DC8">
        <w:rPr>
          <w:rFonts w:eastAsia="Times New Roman" w:cs="Arial"/>
          <w:szCs w:val="22"/>
        </w:rPr>
        <w:t xml:space="preserve"> </w:t>
      </w:r>
      <w:r w:rsidR="00565E9E">
        <w:rPr>
          <w:rFonts w:eastAsia="Times New Roman" w:cs="Arial"/>
          <w:szCs w:val="22"/>
        </w:rPr>
        <w:t>be applied to historical data; F</w:t>
      </w:r>
      <w:r w:rsidR="00241DC8">
        <w:rPr>
          <w:rFonts w:eastAsia="Times New Roman" w:cs="Arial"/>
          <w:szCs w:val="22"/>
        </w:rPr>
        <w:t xml:space="preserve">igure </w:t>
      </w:r>
      <w:r w:rsidR="008C7823" w:rsidRPr="00826C99">
        <w:rPr>
          <w:rFonts w:eastAsia="Times New Roman" w:cs="Arial"/>
          <w:szCs w:val="22"/>
        </w:rPr>
        <w:t>2</w:t>
      </w:r>
      <w:r w:rsidRPr="00826C99">
        <w:rPr>
          <w:rFonts w:eastAsia="Times New Roman" w:cs="Arial"/>
          <w:szCs w:val="22"/>
        </w:rPr>
        <w:t xml:space="preserve"> shows the trends in </w:t>
      </w:r>
      <w:r w:rsidR="00565E9E">
        <w:rPr>
          <w:rFonts w:eastAsia="Times New Roman" w:cs="Arial"/>
          <w:szCs w:val="22"/>
        </w:rPr>
        <w:t>midwifery supply over the last five</w:t>
      </w:r>
      <w:r w:rsidRPr="00826C99">
        <w:rPr>
          <w:rFonts w:eastAsia="Times New Roman" w:cs="Arial"/>
          <w:szCs w:val="22"/>
        </w:rPr>
        <w:t xml:space="preserve"> years.</w:t>
      </w:r>
    </w:p>
    <w:p w:rsidR="00F008AE" w:rsidRPr="00F008AE" w:rsidRDefault="0007288C" w:rsidP="00F008AE">
      <w:pPr>
        <w:pStyle w:val="Caption"/>
      </w:pPr>
      <w:bookmarkStart w:id="23" w:name="_Toc532471522"/>
      <w:bookmarkStart w:id="24" w:name="_Toc532472306"/>
      <w:bookmarkStart w:id="25" w:name="_Toc532473560"/>
      <w:bookmarkStart w:id="26" w:name="_Toc1724678"/>
      <w:bookmarkStart w:id="27" w:name="_Toc1724996"/>
      <w:r w:rsidRPr="00C353D1">
        <w:t xml:space="preserve">Figure </w:t>
      </w:r>
      <w:r w:rsidR="002A4D9E" w:rsidRPr="00C353D1">
        <w:rPr>
          <w:noProof/>
        </w:rPr>
        <w:fldChar w:fldCharType="begin"/>
      </w:r>
      <w:r w:rsidR="002A4D9E" w:rsidRPr="00C353D1">
        <w:rPr>
          <w:noProof/>
        </w:rPr>
        <w:instrText xml:space="preserve"> SEQ Figure \* ARABIC </w:instrText>
      </w:r>
      <w:r w:rsidR="002A4D9E" w:rsidRPr="00C353D1">
        <w:rPr>
          <w:noProof/>
        </w:rPr>
        <w:fldChar w:fldCharType="separate"/>
      </w:r>
      <w:r w:rsidR="005E7E94">
        <w:rPr>
          <w:noProof/>
        </w:rPr>
        <w:t>2</w:t>
      </w:r>
      <w:r w:rsidR="002A4D9E" w:rsidRPr="00C353D1">
        <w:rPr>
          <w:noProof/>
        </w:rPr>
        <w:fldChar w:fldCharType="end"/>
      </w:r>
      <w:r w:rsidRPr="00C353D1">
        <w:t xml:space="preserve">: Midwifery </w:t>
      </w:r>
      <w:r w:rsidR="00EC1B28" w:rsidRPr="00C353D1">
        <w:t xml:space="preserve">supply </w:t>
      </w:r>
      <w:r w:rsidRPr="00C353D1">
        <w:t>headcount and FTE, 2013 – 201</w:t>
      </w:r>
      <w:bookmarkEnd w:id="23"/>
      <w:bookmarkEnd w:id="24"/>
      <w:bookmarkEnd w:id="25"/>
      <w:r w:rsidR="00EC1B28" w:rsidRPr="00C353D1">
        <w:t>7</w:t>
      </w:r>
      <w:bookmarkEnd w:id="26"/>
      <w:bookmarkEnd w:id="27"/>
    </w:p>
    <w:p w:rsidR="00B00976" w:rsidRPr="00885BE2" w:rsidRDefault="00F008AE" w:rsidP="0007288C">
      <w:pPr>
        <w:spacing w:after="120" w:line="240" w:lineRule="auto"/>
        <w:jc w:val="both"/>
        <w:rPr>
          <w:rFonts w:eastAsia="Calibri" w:cs="Arial"/>
          <w:i/>
          <w:sz w:val="16"/>
          <w:szCs w:val="16"/>
        </w:rPr>
      </w:pPr>
      <w:r>
        <w:rPr>
          <w:rFonts w:eastAsia="Calibri" w:cs="Arial"/>
          <w:i/>
          <w:noProof/>
          <w:sz w:val="18"/>
          <w:szCs w:val="18"/>
          <w:lang w:eastAsia="en-AU"/>
        </w:rPr>
        <w:drawing>
          <wp:inline distT="0" distB="0" distL="0" distR="0">
            <wp:extent cx="5538687" cy="2755900"/>
            <wp:effectExtent l="0" t="0" r="5080" b="6350"/>
            <wp:docPr id="16" name="Picture 16" descr="Shows historical data trends in midwifery supply over the last five years from 2013 to 2017 using the National Health Workforce Data Set, Nursing and Midwifery.&#10;&#10;The midwifery head count has remained relatively constant over this period between 20,000 to 22,000 increasing slightly.&#10;&#10;In comparison the number of full time equivalent employees has decreased from almost 19,000 in 2013 to 14,279 in 2017 and was relatively constant between 2015 and 2017.  " title="Figure 2: Midwifery supply headcount and FTE, 2013 – 2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EECBC91.tmp"/>
                    <pic:cNvPicPr/>
                  </pic:nvPicPr>
                  <pic:blipFill rotWithShape="1">
                    <a:blip r:embed="rId9">
                      <a:extLst>
                        <a:ext uri="{28A0092B-C50C-407E-A947-70E740481C1C}">
                          <a14:useLocalDpi xmlns:a14="http://schemas.microsoft.com/office/drawing/2010/main" val="0"/>
                        </a:ext>
                      </a:extLst>
                    </a:blip>
                    <a:srcRect l="26590" t="35141" r="27764" b="23218"/>
                    <a:stretch/>
                  </pic:blipFill>
                  <pic:spPr bwMode="auto">
                    <a:xfrm>
                      <a:off x="0" y="0"/>
                      <a:ext cx="5545411" cy="2759246"/>
                    </a:xfrm>
                    <a:prstGeom prst="rect">
                      <a:avLst/>
                    </a:prstGeom>
                    <a:ln>
                      <a:noFill/>
                    </a:ln>
                    <a:extLst>
                      <a:ext uri="{53640926-AAD7-44D8-BBD7-CCE9431645EC}">
                        <a14:shadowObscured xmlns:a14="http://schemas.microsoft.com/office/drawing/2010/main"/>
                      </a:ext>
                    </a:extLst>
                  </pic:spPr>
                </pic:pic>
              </a:graphicData>
            </a:graphic>
          </wp:inline>
        </w:drawing>
      </w:r>
      <w:r w:rsidR="0007288C" w:rsidRPr="00885BE2">
        <w:rPr>
          <w:rFonts w:eastAsia="Calibri" w:cs="Arial"/>
          <w:i/>
          <w:sz w:val="16"/>
          <w:szCs w:val="16"/>
        </w:rPr>
        <w:t>Source: NHWDS, Nursing and Midwifery (2013-201</w:t>
      </w:r>
      <w:r w:rsidR="002B2F2B" w:rsidRPr="00885BE2">
        <w:rPr>
          <w:rFonts w:eastAsia="Calibri" w:cs="Arial"/>
          <w:i/>
          <w:sz w:val="16"/>
          <w:szCs w:val="16"/>
        </w:rPr>
        <w:t>7</w:t>
      </w:r>
      <w:r w:rsidR="0007288C" w:rsidRPr="00885BE2">
        <w:rPr>
          <w:rFonts w:eastAsia="Calibri" w:cs="Arial"/>
          <w:i/>
          <w:sz w:val="16"/>
          <w:szCs w:val="16"/>
        </w:rPr>
        <w:t>)</w:t>
      </w:r>
    </w:p>
    <w:p w:rsidR="00B00976" w:rsidRDefault="00B00976">
      <w:pPr>
        <w:rPr>
          <w:rFonts w:eastAsia="Calibri" w:cs="Arial"/>
          <w:i/>
          <w:sz w:val="18"/>
          <w:szCs w:val="18"/>
        </w:rPr>
      </w:pPr>
      <w:r>
        <w:rPr>
          <w:rFonts w:eastAsia="Calibri" w:cs="Arial"/>
          <w:i/>
          <w:sz w:val="18"/>
          <w:szCs w:val="18"/>
        </w:rPr>
        <w:br w:type="page"/>
      </w:r>
    </w:p>
    <w:p w:rsidR="0007288C" w:rsidRPr="006F3785" w:rsidRDefault="0007288C" w:rsidP="006F3785">
      <w:pPr>
        <w:pStyle w:val="Heading1"/>
      </w:pPr>
      <w:bookmarkStart w:id="28" w:name="_Toc10808377"/>
      <w:r w:rsidRPr="006F3785">
        <w:lastRenderedPageBreak/>
        <w:t>Current demographics</w:t>
      </w:r>
      <w:bookmarkEnd w:id="28"/>
    </w:p>
    <w:p w:rsidR="00C80664" w:rsidRPr="002A4D9E" w:rsidRDefault="0007288C" w:rsidP="002A4D9E">
      <w:pPr>
        <w:spacing w:before="120" w:after="120" w:line="240" w:lineRule="auto"/>
        <w:jc w:val="both"/>
        <w:rPr>
          <w:rFonts w:eastAsia="Times New Roman" w:cs="Arial"/>
          <w:szCs w:val="22"/>
        </w:rPr>
      </w:pPr>
      <w:r w:rsidRPr="00826C99">
        <w:rPr>
          <w:rFonts w:eastAsia="Times New Roman" w:cs="Arial"/>
          <w:szCs w:val="22"/>
        </w:rPr>
        <w:t xml:space="preserve">According to the </w:t>
      </w:r>
      <w:r w:rsidR="00224595" w:rsidRPr="00EC1B28">
        <w:rPr>
          <w:rFonts w:eastAsia="Times New Roman" w:cs="Arial"/>
          <w:szCs w:val="22"/>
        </w:rPr>
        <w:t>2017</w:t>
      </w:r>
      <w:r w:rsidRPr="00EC1B28">
        <w:rPr>
          <w:rFonts w:eastAsia="Times New Roman" w:cs="Arial"/>
          <w:szCs w:val="22"/>
        </w:rPr>
        <w:t xml:space="preserve"> NHWDS,</w:t>
      </w:r>
      <w:r w:rsidR="00EC1B28" w:rsidRPr="00EC1B28">
        <w:rPr>
          <w:rFonts w:eastAsia="Times New Roman" w:cs="Arial"/>
          <w:szCs w:val="22"/>
        </w:rPr>
        <w:t xml:space="preserve"> there were 21,149 </w:t>
      </w:r>
      <w:r w:rsidRPr="00EC1B28">
        <w:rPr>
          <w:rFonts w:eastAsia="Times New Roman" w:cs="Arial"/>
          <w:szCs w:val="22"/>
        </w:rPr>
        <w:t>midwives who indicated they were employed and working as a midwife with</w:t>
      </w:r>
      <w:r w:rsidRPr="00826C99">
        <w:rPr>
          <w:rFonts w:eastAsia="Times New Roman" w:cs="Arial"/>
          <w:szCs w:val="22"/>
        </w:rPr>
        <w:t xml:space="preserve"> the following characteristics:</w:t>
      </w:r>
      <w:bookmarkStart w:id="29" w:name="_Toc442268271"/>
    </w:p>
    <w:p w:rsidR="00EC53B1" w:rsidRPr="00EC53B1" w:rsidRDefault="00CA2032" w:rsidP="00EC53B1">
      <w:pPr>
        <w:pStyle w:val="Caption"/>
      </w:pPr>
      <w:bookmarkStart w:id="30" w:name="_Toc532473561"/>
      <w:bookmarkStart w:id="31" w:name="_Toc1724679"/>
      <w:bookmarkStart w:id="32" w:name="_Toc1724997"/>
      <w:bookmarkEnd w:id="29"/>
      <w:r>
        <w:t xml:space="preserve">Figure </w:t>
      </w:r>
      <w:r w:rsidR="002A4D9E">
        <w:rPr>
          <w:noProof/>
        </w:rPr>
        <w:fldChar w:fldCharType="begin"/>
      </w:r>
      <w:r w:rsidR="002A4D9E">
        <w:rPr>
          <w:noProof/>
        </w:rPr>
        <w:instrText xml:space="preserve"> SEQ Figure \* ARABIC </w:instrText>
      </w:r>
      <w:r w:rsidR="002A4D9E">
        <w:rPr>
          <w:noProof/>
        </w:rPr>
        <w:fldChar w:fldCharType="separate"/>
      </w:r>
      <w:r w:rsidR="005E7E94">
        <w:rPr>
          <w:noProof/>
        </w:rPr>
        <w:t>3</w:t>
      </w:r>
      <w:r w:rsidR="002A4D9E">
        <w:rPr>
          <w:noProof/>
        </w:rPr>
        <w:fldChar w:fldCharType="end"/>
      </w:r>
      <w:r>
        <w:t>: Demographics of the midwifery</w:t>
      </w:r>
      <w:r w:rsidR="00EC1B28">
        <w:t xml:space="preserve"> (su</w:t>
      </w:r>
      <w:r w:rsidR="005B0746">
        <w:t>p</w:t>
      </w:r>
      <w:r w:rsidR="00EC1B28">
        <w:t>ply)</w:t>
      </w:r>
      <w:r>
        <w:t xml:space="preserve"> Workforce </w:t>
      </w:r>
      <w:r w:rsidRPr="002B2F2B">
        <w:t>201</w:t>
      </w:r>
      <w:bookmarkEnd w:id="30"/>
      <w:r w:rsidR="00EC1B28" w:rsidRPr="002B2F2B">
        <w:t>7</w:t>
      </w:r>
      <w:bookmarkEnd w:id="31"/>
      <w:bookmarkEnd w:id="32"/>
    </w:p>
    <w:p w:rsidR="0007288C" w:rsidRPr="00826C99" w:rsidRDefault="00EC53B1" w:rsidP="00EC53B1">
      <w:pPr>
        <w:spacing w:before="120" w:after="0" w:line="240" w:lineRule="auto"/>
        <w:jc w:val="center"/>
        <w:rPr>
          <w:rFonts w:eastAsia="Calibri" w:cs="Arial"/>
          <w:i/>
          <w:szCs w:val="22"/>
        </w:rPr>
      </w:pPr>
      <w:r>
        <w:rPr>
          <w:rFonts w:eastAsia="Calibri" w:cs="Arial"/>
          <w:i/>
          <w:noProof/>
          <w:szCs w:val="22"/>
          <w:lang w:eastAsia="en-AU"/>
        </w:rPr>
        <w:drawing>
          <wp:inline distT="0" distB="0" distL="0" distR="0">
            <wp:extent cx="4635500" cy="3440182"/>
            <wp:effectExtent l="0" t="0" r="0" b="8255"/>
            <wp:docPr id="25" name="Picture 25" descr="There were 21,149 midwives who indicated they were employed and working as a midwife with the following characteristics: &#10;Average age of 46.9 Years&#10;98.9% are female&#10;25.66 average weekly hours&#10;33.6% are aged 55 years and over&#10;69.9% are located in major cities&#10;73.8 %  work in public sector and 19.5% work in the private sector." title="Figure 3: Demographics of the midwifery (supply) Workforce 2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EECAD7B.tmp"/>
                    <pic:cNvPicPr/>
                  </pic:nvPicPr>
                  <pic:blipFill rotWithShape="1">
                    <a:blip r:embed="rId10">
                      <a:extLst>
                        <a:ext uri="{28A0092B-C50C-407E-A947-70E740481C1C}">
                          <a14:useLocalDpi xmlns:a14="http://schemas.microsoft.com/office/drawing/2010/main" val="0"/>
                        </a:ext>
                      </a:extLst>
                    </a:blip>
                    <a:srcRect l="30800" t="36563" r="33968" b="15498"/>
                    <a:stretch/>
                  </pic:blipFill>
                  <pic:spPr bwMode="auto">
                    <a:xfrm>
                      <a:off x="0" y="0"/>
                      <a:ext cx="4638125" cy="3442130"/>
                    </a:xfrm>
                    <a:prstGeom prst="rect">
                      <a:avLst/>
                    </a:prstGeom>
                    <a:ln>
                      <a:noFill/>
                    </a:ln>
                    <a:extLst>
                      <a:ext uri="{53640926-AAD7-44D8-BBD7-CCE9431645EC}">
                        <a14:shadowObscured xmlns:a14="http://schemas.microsoft.com/office/drawing/2010/main"/>
                      </a:ext>
                    </a:extLst>
                  </pic:spPr>
                </pic:pic>
              </a:graphicData>
            </a:graphic>
          </wp:inline>
        </w:drawing>
      </w:r>
    </w:p>
    <w:p w:rsidR="00F57799" w:rsidRPr="00885BE2" w:rsidRDefault="0007288C" w:rsidP="00F62F9B">
      <w:pPr>
        <w:spacing w:after="120" w:line="240" w:lineRule="auto"/>
        <w:jc w:val="both"/>
        <w:rPr>
          <w:rStyle w:val="Normalblue"/>
          <w:rFonts w:eastAsia="Calibri" w:cs="Arial"/>
          <w:i/>
          <w:color w:val="auto"/>
          <w:sz w:val="16"/>
          <w:szCs w:val="16"/>
        </w:rPr>
      </w:pPr>
      <w:r w:rsidRPr="00885BE2">
        <w:rPr>
          <w:rFonts w:eastAsia="Calibri" w:cs="Arial"/>
          <w:i/>
          <w:sz w:val="16"/>
          <w:szCs w:val="16"/>
        </w:rPr>
        <w:t>Source: N</w:t>
      </w:r>
      <w:r w:rsidR="002B2F2B" w:rsidRPr="00885BE2">
        <w:rPr>
          <w:rFonts w:eastAsia="Calibri" w:cs="Arial"/>
          <w:i/>
          <w:sz w:val="16"/>
          <w:szCs w:val="16"/>
        </w:rPr>
        <w:t>HWDS, Nursing and Midwifery 2017</w:t>
      </w:r>
    </w:p>
    <w:p w:rsidR="0007288C" w:rsidRPr="006F3785" w:rsidRDefault="0007288C" w:rsidP="00E85564">
      <w:pPr>
        <w:pStyle w:val="Heading2"/>
      </w:pPr>
      <w:bookmarkStart w:id="33" w:name="_Toc10808378"/>
      <w:r w:rsidRPr="006F3785">
        <w:t>Role in midwifery</w:t>
      </w:r>
      <w:bookmarkEnd w:id="33"/>
    </w:p>
    <w:p w:rsidR="00CA2032" w:rsidRDefault="00CA2032" w:rsidP="001F11F0">
      <w:pPr>
        <w:pStyle w:val="Caption"/>
      </w:pPr>
      <w:bookmarkStart w:id="34" w:name="_Toc532473562"/>
      <w:bookmarkStart w:id="35" w:name="_Toc1724680"/>
      <w:bookmarkStart w:id="36" w:name="_Toc1724998"/>
      <w:r>
        <w:t xml:space="preserve">Figure </w:t>
      </w:r>
      <w:r w:rsidR="002A4D9E">
        <w:rPr>
          <w:noProof/>
        </w:rPr>
        <w:fldChar w:fldCharType="begin"/>
      </w:r>
      <w:r w:rsidR="002A4D9E">
        <w:rPr>
          <w:noProof/>
        </w:rPr>
        <w:instrText xml:space="preserve"> SEQ Figure \* ARABIC </w:instrText>
      </w:r>
      <w:r w:rsidR="002A4D9E">
        <w:rPr>
          <w:noProof/>
        </w:rPr>
        <w:fldChar w:fldCharType="separate"/>
      </w:r>
      <w:r w:rsidR="005E7E94">
        <w:rPr>
          <w:noProof/>
        </w:rPr>
        <w:t>4</w:t>
      </w:r>
      <w:r w:rsidR="002A4D9E">
        <w:rPr>
          <w:noProof/>
        </w:rPr>
        <w:fldChar w:fldCharType="end"/>
      </w:r>
      <w:r>
        <w:t>: Role in Midwifery</w:t>
      </w:r>
      <w:bookmarkEnd w:id="34"/>
      <w:bookmarkEnd w:id="35"/>
      <w:bookmarkEnd w:id="36"/>
    </w:p>
    <w:tbl>
      <w:tblPr>
        <w:tblStyle w:val="LightShading1"/>
        <w:tblW w:w="5000" w:type="pct"/>
        <w:tblBorders>
          <w:top w:val="single" w:sz="4" w:space="0" w:color="auto"/>
          <w:left w:val="single" w:sz="4" w:space="0" w:color="auto"/>
          <w:bottom w:val="single" w:sz="4" w:space="0" w:color="auto"/>
          <w:right w:val="single" w:sz="4" w:space="0" w:color="auto"/>
        </w:tblBorders>
        <w:tblLook w:val="0420" w:firstRow="1" w:lastRow="0" w:firstColumn="0" w:lastColumn="0" w:noHBand="0" w:noVBand="1"/>
        <w:tblCaption w:val="Figure 4: Role in Midwifery"/>
        <w:tblDescription w:val="Popular principle areas of main job include 6,196 in antenatal, intra-partum and post-partum care, 5,806 postnatal care and 3,584 care during labour and birth.  Less common areas of main job include midwifery research and policy.&#10;&#10;98.9% of employed midwives are female.&#10;&#10;The average age of midwives is 46.8% with younger midwives working in care during labour and birth and older midwives working in midwifery research.  46.9% of midwives are aged 55 years and over.&#10;&#10;Midwives work 25.66 average weekly hours.  Midwives providing care during labour and birth and working in midwifery management tend to work the most at approximately 30 hours and midwives working policy work the least with almost 15 hours."/>
      </w:tblPr>
      <w:tblGrid>
        <w:gridCol w:w="1242"/>
        <w:gridCol w:w="2690"/>
        <w:gridCol w:w="1048"/>
        <w:gridCol w:w="1024"/>
        <w:gridCol w:w="1086"/>
        <w:gridCol w:w="840"/>
        <w:gridCol w:w="1086"/>
      </w:tblGrid>
      <w:tr w:rsidR="00C8415E" w:rsidRPr="00C80664" w:rsidTr="00C623D4">
        <w:trPr>
          <w:cnfStyle w:val="100000000000" w:firstRow="1" w:lastRow="0" w:firstColumn="0" w:lastColumn="0" w:oddVBand="0" w:evenVBand="0" w:oddHBand="0" w:evenHBand="0" w:firstRowFirstColumn="0" w:firstRowLastColumn="0" w:lastRowFirstColumn="0" w:lastRowLastColumn="0"/>
          <w:trHeight w:val="795"/>
          <w:tblHeader/>
        </w:trPr>
        <w:tc>
          <w:tcPr>
            <w:tcW w:w="689" w:type="pct"/>
            <w:tcBorders>
              <w:top w:val="none" w:sz="0" w:space="0" w:color="auto"/>
              <w:left w:val="none" w:sz="0" w:space="0" w:color="auto"/>
              <w:bottom w:val="none" w:sz="0" w:space="0" w:color="auto"/>
              <w:right w:val="none" w:sz="0" w:space="0" w:color="auto"/>
            </w:tcBorders>
            <w:shd w:val="clear" w:color="auto" w:fill="7030A0"/>
            <w:hideMark/>
          </w:tcPr>
          <w:p w:rsidR="0007288C" w:rsidRPr="00C80664" w:rsidRDefault="0007288C" w:rsidP="0007288C">
            <w:pPr>
              <w:jc w:val="center"/>
              <w:rPr>
                <w:rFonts w:cs="Arial"/>
                <w:color w:val="FFFFFF"/>
                <w:szCs w:val="22"/>
              </w:rPr>
            </w:pPr>
            <w:r w:rsidRPr="00C80664">
              <w:rPr>
                <w:rFonts w:cs="Arial"/>
                <w:color w:val="FFFFFF"/>
                <w:szCs w:val="22"/>
              </w:rPr>
              <w:t>Division</w:t>
            </w:r>
          </w:p>
        </w:tc>
        <w:tc>
          <w:tcPr>
            <w:tcW w:w="1492" w:type="pct"/>
            <w:tcBorders>
              <w:top w:val="none" w:sz="0" w:space="0" w:color="auto"/>
              <w:left w:val="none" w:sz="0" w:space="0" w:color="auto"/>
              <w:bottom w:val="none" w:sz="0" w:space="0" w:color="auto"/>
              <w:right w:val="none" w:sz="0" w:space="0" w:color="auto"/>
            </w:tcBorders>
            <w:shd w:val="clear" w:color="auto" w:fill="7030A0"/>
            <w:hideMark/>
          </w:tcPr>
          <w:p w:rsidR="0007288C" w:rsidRPr="00C80664" w:rsidRDefault="0007288C" w:rsidP="0007288C">
            <w:pPr>
              <w:jc w:val="center"/>
              <w:rPr>
                <w:rFonts w:cs="Arial"/>
                <w:color w:val="FFFFFF"/>
                <w:szCs w:val="22"/>
              </w:rPr>
            </w:pPr>
            <w:r w:rsidRPr="00C80664">
              <w:rPr>
                <w:rFonts w:cs="Arial"/>
                <w:color w:val="FFFFFF"/>
                <w:szCs w:val="22"/>
              </w:rPr>
              <w:t>Principle area of main job</w:t>
            </w:r>
          </w:p>
        </w:tc>
        <w:tc>
          <w:tcPr>
            <w:tcW w:w="581" w:type="pct"/>
            <w:tcBorders>
              <w:top w:val="none" w:sz="0" w:space="0" w:color="auto"/>
              <w:left w:val="none" w:sz="0" w:space="0" w:color="auto"/>
              <w:bottom w:val="none" w:sz="0" w:space="0" w:color="auto"/>
              <w:right w:val="none" w:sz="0" w:space="0" w:color="auto"/>
            </w:tcBorders>
            <w:shd w:val="clear" w:color="auto" w:fill="7030A0"/>
            <w:hideMark/>
          </w:tcPr>
          <w:p w:rsidR="0007288C" w:rsidRPr="00C80664" w:rsidRDefault="0007288C" w:rsidP="00C8415E">
            <w:pPr>
              <w:rPr>
                <w:rFonts w:cs="Arial"/>
                <w:color w:val="FFFFFF"/>
                <w:szCs w:val="22"/>
              </w:rPr>
            </w:pPr>
            <w:r w:rsidRPr="00C80664">
              <w:rPr>
                <w:rFonts w:cs="Arial"/>
                <w:color w:val="FFFFFF"/>
                <w:szCs w:val="22"/>
              </w:rPr>
              <w:t>Number</w:t>
            </w:r>
          </w:p>
        </w:tc>
        <w:tc>
          <w:tcPr>
            <w:tcW w:w="568" w:type="pct"/>
            <w:tcBorders>
              <w:top w:val="none" w:sz="0" w:space="0" w:color="auto"/>
              <w:left w:val="none" w:sz="0" w:space="0" w:color="auto"/>
              <w:bottom w:val="none" w:sz="0" w:space="0" w:color="auto"/>
              <w:right w:val="none" w:sz="0" w:space="0" w:color="auto"/>
            </w:tcBorders>
            <w:shd w:val="clear" w:color="auto" w:fill="7030A0"/>
            <w:hideMark/>
          </w:tcPr>
          <w:p w:rsidR="0007288C" w:rsidRPr="00C80664" w:rsidRDefault="0007288C" w:rsidP="002B2F2B">
            <w:pPr>
              <w:jc w:val="center"/>
              <w:rPr>
                <w:rFonts w:cs="Arial"/>
                <w:color w:val="FFFFFF"/>
                <w:szCs w:val="22"/>
              </w:rPr>
            </w:pPr>
            <w:r w:rsidRPr="00C80664">
              <w:rPr>
                <w:rFonts w:cs="Arial"/>
                <w:color w:val="FFFFFF"/>
                <w:szCs w:val="22"/>
              </w:rPr>
              <w:t>Percent female (%)</w:t>
            </w:r>
          </w:p>
        </w:tc>
        <w:tc>
          <w:tcPr>
            <w:tcW w:w="602" w:type="pct"/>
            <w:tcBorders>
              <w:top w:val="none" w:sz="0" w:space="0" w:color="auto"/>
              <w:left w:val="none" w:sz="0" w:space="0" w:color="auto"/>
              <w:bottom w:val="none" w:sz="0" w:space="0" w:color="auto"/>
              <w:right w:val="none" w:sz="0" w:space="0" w:color="auto"/>
            </w:tcBorders>
            <w:shd w:val="clear" w:color="auto" w:fill="7030A0"/>
            <w:hideMark/>
          </w:tcPr>
          <w:p w:rsidR="0007288C" w:rsidRPr="00C80664" w:rsidRDefault="0007288C" w:rsidP="002B2F2B">
            <w:pPr>
              <w:jc w:val="center"/>
              <w:rPr>
                <w:rFonts w:cs="Arial"/>
                <w:color w:val="FFFFFF"/>
                <w:szCs w:val="22"/>
              </w:rPr>
            </w:pPr>
            <w:r w:rsidRPr="00C80664">
              <w:rPr>
                <w:rFonts w:cs="Arial"/>
                <w:color w:val="FFFFFF"/>
                <w:szCs w:val="22"/>
              </w:rPr>
              <w:t>Average age</w:t>
            </w:r>
          </w:p>
        </w:tc>
        <w:tc>
          <w:tcPr>
            <w:tcW w:w="466" w:type="pct"/>
            <w:tcBorders>
              <w:top w:val="none" w:sz="0" w:space="0" w:color="auto"/>
              <w:left w:val="none" w:sz="0" w:space="0" w:color="auto"/>
              <w:bottom w:val="none" w:sz="0" w:space="0" w:color="auto"/>
              <w:right w:val="none" w:sz="0" w:space="0" w:color="auto"/>
            </w:tcBorders>
            <w:shd w:val="clear" w:color="auto" w:fill="7030A0"/>
            <w:hideMark/>
          </w:tcPr>
          <w:p w:rsidR="0007288C" w:rsidRPr="00C80664" w:rsidRDefault="0007288C" w:rsidP="002B2F2B">
            <w:pPr>
              <w:jc w:val="center"/>
              <w:rPr>
                <w:rFonts w:cs="Arial"/>
                <w:color w:val="FFFFFF"/>
                <w:szCs w:val="22"/>
              </w:rPr>
            </w:pPr>
            <w:r w:rsidRPr="00C80664">
              <w:rPr>
                <w:rFonts w:cs="Arial"/>
                <w:color w:val="FFFFFF"/>
                <w:szCs w:val="22"/>
              </w:rPr>
              <w:t>55 years and over (%)</w:t>
            </w:r>
          </w:p>
        </w:tc>
        <w:tc>
          <w:tcPr>
            <w:tcW w:w="602" w:type="pct"/>
            <w:tcBorders>
              <w:top w:val="none" w:sz="0" w:space="0" w:color="auto"/>
              <w:left w:val="none" w:sz="0" w:space="0" w:color="auto"/>
              <w:bottom w:val="none" w:sz="0" w:space="0" w:color="auto"/>
              <w:right w:val="none" w:sz="0" w:space="0" w:color="auto"/>
            </w:tcBorders>
            <w:shd w:val="clear" w:color="auto" w:fill="7030A0"/>
            <w:hideMark/>
          </w:tcPr>
          <w:p w:rsidR="0007288C" w:rsidRPr="00C80664" w:rsidRDefault="0007288C" w:rsidP="002B2F2B">
            <w:pPr>
              <w:jc w:val="center"/>
              <w:rPr>
                <w:rFonts w:cs="Arial"/>
                <w:color w:val="FFFFFF"/>
                <w:szCs w:val="22"/>
              </w:rPr>
            </w:pPr>
            <w:r w:rsidRPr="00C80664">
              <w:rPr>
                <w:rFonts w:cs="Arial"/>
                <w:color w:val="FFFFFF"/>
                <w:szCs w:val="22"/>
              </w:rPr>
              <w:t>Average weekly hours</w:t>
            </w:r>
          </w:p>
        </w:tc>
      </w:tr>
      <w:tr w:rsidR="002B2F2B" w:rsidRPr="00C80664" w:rsidTr="00C623D4">
        <w:trPr>
          <w:cnfStyle w:val="000000100000" w:firstRow="0" w:lastRow="0" w:firstColumn="0" w:lastColumn="0" w:oddVBand="0" w:evenVBand="0" w:oddHBand="1" w:evenHBand="0" w:firstRowFirstColumn="0" w:firstRowLastColumn="0" w:lastRowFirstColumn="0" w:lastRowLastColumn="0"/>
          <w:trHeight w:val="300"/>
        </w:trPr>
        <w:tc>
          <w:tcPr>
            <w:tcW w:w="689" w:type="pct"/>
            <w:tcBorders>
              <w:left w:val="none" w:sz="0" w:space="0" w:color="auto"/>
              <w:right w:val="none" w:sz="0" w:space="0" w:color="auto"/>
            </w:tcBorders>
            <w:vAlign w:val="center"/>
            <w:hideMark/>
          </w:tcPr>
          <w:p w:rsidR="002B2F2B" w:rsidRPr="00C80664" w:rsidRDefault="002B2F2B" w:rsidP="00C623D4">
            <w:pPr>
              <w:rPr>
                <w:rFonts w:cs="Arial"/>
                <w:szCs w:val="22"/>
              </w:rPr>
            </w:pPr>
          </w:p>
        </w:tc>
        <w:tc>
          <w:tcPr>
            <w:tcW w:w="1492" w:type="pct"/>
            <w:tcBorders>
              <w:left w:val="none" w:sz="0" w:space="0" w:color="auto"/>
              <w:right w:val="none" w:sz="0" w:space="0" w:color="auto"/>
            </w:tcBorders>
            <w:hideMark/>
          </w:tcPr>
          <w:p w:rsidR="002B2F2B" w:rsidRPr="00C80664" w:rsidRDefault="002B2F2B" w:rsidP="002B2F2B">
            <w:pPr>
              <w:rPr>
                <w:rFonts w:cs="Arial"/>
                <w:szCs w:val="22"/>
              </w:rPr>
            </w:pPr>
            <w:r w:rsidRPr="00C80664">
              <w:rPr>
                <w:rFonts w:cs="Arial"/>
                <w:szCs w:val="22"/>
              </w:rPr>
              <w:t>Antenatal care</w:t>
            </w:r>
          </w:p>
        </w:tc>
        <w:tc>
          <w:tcPr>
            <w:tcW w:w="581" w:type="pct"/>
            <w:tcBorders>
              <w:left w:val="none" w:sz="0" w:space="0" w:color="auto"/>
              <w:right w:val="none" w:sz="0" w:space="0" w:color="auto"/>
            </w:tcBorders>
            <w:noWrap/>
            <w:vAlign w:val="center"/>
            <w:hideMark/>
          </w:tcPr>
          <w:p w:rsidR="002B2F2B" w:rsidRPr="00C80664" w:rsidRDefault="002B2F2B" w:rsidP="002B2F2B">
            <w:pPr>
              <w:jc w:val="center"/>
              <w:rPr>
                <w:rFonts w:cs="Arial"/>
                <w:szCs w:val="22"/>
              </w:rPr>
            </w:pPr>
            <w:r w:rsidRPr="00485690">
              <w:t>2,290</w:t>
            </w:r>
          </w:p>
        </w:tc>
        <w:tc>
          <w:tcPr>
            <w:tcW w:w="568" w:type="pct"/>
            <w:tcBorders>
              <w:left w:val="none" w:sz="0" w:space="0" w:color="auto"/>
              <w:right w:val="none" w:sz="0" w:space="0" w:color="auto"/>
            </w:tcBorders>
            <w:noWrap/>
            <w:vAlign w:val="center"/>
            <w:hideMark/>
          </w:tcPr>
          <w:p w:rsidR="002B2F2B" w:rsidRPr="00C80664" w:rsidRDefault="002B2F2B" w:rsidP="002B2F2B">
            <w:pPr>
              <w:jc w:val="center"/>
              <w:rPr>
                <w:rFonts w:cs="Arial"/>
                <w:szCs w:val="22"/>
              </w:rPr>
            </w:pPr>
            <w:r w:rsidRPr="00485690">
              <w:t>98.2%</w:t>
            </w:r>
          </w:p>
        </w:tc>
        <w:tc>
          <w:tcPr>
            <w:tcW w:w="602" w:type="pct"/>
            <w:tcBorders>
              <w:left w:val="none" w:sz="0" w:space="0" w:color="auto"/>
              <w:right w:val="none" w:sz="0" w:space="0" w:color="auto"/>
            </w:tcBorders>
            <w:noWrap/>
            <w:vAlign w:val="center"/>
            <w:hideMark/>
          </w:tcPr>
          <w:p w:rsidR="002B2F2B" w:rsidRPr="00C80664" w:rsidRDefault="002B2F2B" w:rsidP="002B2F2B">
            <w:pPr>
              <w:jc w:val="center"/>
              <w:rPr>
                <w:rFonts w:cs="Arial"/>
                <w:szCs w:val="22"/>
              </w:rPr>
            </w:pPr>
            <w:r w:rsidRPr="00485690">
              <w:t>49.2</w:t>
            </w:r>
          </w:p>
        </w:tc>
        <w:tc>
          <w:tcPr>
            <w:tcW w:w="466" w:type="pct"/>
            <w:tcBorders>
              <w:left w:val="none" w:sz="0" w:space="0" w:color="auto"/>
              <w:right w:val="none" w:sz="0" w:space="0" w:color="auto"/>
            </w:tcBorders>
            <w:noWrap/>
            <w:vAlign w:val="center"/>
            <w:hideMark/>
          </w:tcPr>
          <w:p w:rsidR="002B2F2B" w:rsidRPr="00C80664" w:rsidRDefault="002B2F2B" w:rsidP="002B2F2B">
            <w:pPr>
              <w:jc w:val="center"/>
              <w:rPr>
                <w:rFonts w:cs="Arial"/>
                <w:szCs w:val="22"/>
              </w:rPr>
            </w:pPr>
            <w:r w:rsidRPr="00485690">
              <w:t>39.1%</w:t>
            </w:r>
          </w:p>
        </w:tc>
        <w:tc>
          <w:tcPr>
            <w:tcW w:w="602" w:type="pct"/>
            <w:tcBorders>
              <w:left w:val="none" w:sz="0" w:space="0" w:color="auto"/>
              <w:right w:val="none" w:sz="0" w:space="0" w:color="auto"/>
            </w:tcBorders>
            <w:noWrap/>
            <w:vAlign w:val="center"/>
            <w:hideMark/>
          </w:tcPr>
          <w:p w:rsidR="002B2F2B" w:rsidRPr="00C80664" w:rsidRDefault="002B2F2B" w:rsidP="002B2F2B">
            <w:pPr>
              <w:jc w:val="center"/>
              <w:rPr>
                <w:rFonts w:cs="Arial"/>
                <w:szCs w:val="22"/>
              </w:rPr>
            </w:pPr>
            <w:r w:rsidRPr="00485690">
              <w:t>21.54</w:t>
            </w:r>
          </w:p>
        </w:tc>
      </w:tr>
      <w:tr w:rsidR="002B2F2B" w:rsidRPr="00C80664" w:rsidTr="00C623D4">
        <w:trPr>
          <w:trHeight w:val="300"/>
        </w:trPr>
        <w:tc>
          <w:tcPr>
            <w:tcW w:w="689" w:type="pct"/>
            <w:shd w:val="clear" w:color="auto" w:fill="C0C0C0"/>
            <w:hideMark/>
          </w:tcPr>
          <w:p w:rsidR="002B2F2B" w:rsidRPr="00C80664" w:rsidRDefault="002B2F2B" w:rsidP="002B2F2B">
            <w:pPr>
              <w:rPr>
                <w:rFonts w:cs="Arial"/>
                <w:szCs w:val="22"/>
              </w:rPr>
            </w:pPr>
          </w:p>
        </w:tc>
        <w:tc>
          <w:tcPr>
            <w:tcW w:w="1492" w:type="pct"/>
            <w:hideMark/>
          </w:tcPr>
          <w:p w:rsidR="002B2F2B" w:rsidRPr="00C80664" w:rsidRDefault="002B2F2B" w:rsidP="002B2F2B">
            <w:pPr>
              <w:rPr>
                <w:rFonts w:cs="Arial"/>
                <w:szCs w:val="22"/>
              </w:rPr>
            </w:pPr>
            <w:r w:rsidRPr="00C80664">
              <w:rPr>
                <w:rFonts w:cs="Arial"/>
                <w:szCs w:val="22"/>
              </w:rPr>
              <w:t>Care during labour and birth</w:t>
            </w:r>
          </w:p>
        </w:tc>
        <w:tc>
          <w:tcPr>
            <w:tcW w:w="581" w:type="pct"/>
            <w:noWrap/>
            <w:vAlign w:val="center"/>
            <w:hideMark/>
          </w:tcPr>
          <w:p w:rsidR="002B2F2B" w:rsidRPr="00C80664" w:rsidRDefault="002B2F2B" w:rsidP="002B2F2B">
            <w:pPr>
              <w:jc w:val="center"/>
              <w:rPr>
                <w:rFonts w:cs="Arial"/>
                <w:szCs w:val="22"/>
              </w:rPr>
            </w:pPr>
            <w:r w:rsidRPr="00485690">
              <w:t>3,584</w:t>
            </w:r>
          </w:p>
        </w:tc>
        <w:tc>
          <w:tcPr>
            <w:tcW w:w="568" w:type="pct"/>
            <w:noWrap/>
            <w:vAlign w:val="center"/>
            <w:hideMark/>
          </w:tcPr>
          <w:p w:rsidR="002B2F2B" w:rsidRPr="00C80664" w:rsidRDefault="002B2F2B" w:rsidP="002B2F2B">
            <w:pPr>
              <w:jc w:val="center"/>
              <w:rPr>
                <w:rFonts w:cs="Arial"/>
                <w:szCs w:val="22"/>
              </w:rPr>
            </w:pPr>
            <w:r w:rsidRPr="00485690">
              <w:t>99.1%</w:t>
            </w:r>
          </w:p>
        </w:tc>
        <w:tc>
          <w:tcPr>
            <w:tcW w:w="602" w:type="pct"/>
            <w:noWrap/>
            <w:vAlign w:val="center"/>
            <w:hideMark/>
          </w:tcPr>
          <w:p w:rsidR="002B2F2B" w:rsidRPr="00C80664" w:rsidRDefault="002B2F2B" w:rsidP="002B2F2B">
            <w:pPr>
              <w:jc w:val="center"/>
              <w:rPr>
                <w:rFonts w:cs="Arial"/>
                <w:szCs w:val="22"/>
              </w:rPr>
            </w:pPr>
            <w:r w:rsidRPr="00485690">
              <w:t>42.8</w:t>
            </w:r>
          </w:p>
        </w:tc>
        <w:tc>
          <w:tcPr>
            <w:tcW w:w="466" w:type="pct"/>
            <w:noWrap/>
            <w:vAlign w:val="center"/>
            <w:hideMark/>
          </w:tcPr>
          <w:p w:rsidR="002B2F2B" w:rsidRPr="00C80664" w:rsidRDefault="002B2F2B" w:rsidP="002B2F2B">
            <w:pPr>
              <w:jc w:val="center"/>
              <w:rPr>
                <w:rFonts w:cs="Arial"/>
                <w:szCs w:val="22"/>
              </w:rPr>
            </w:pPr>
            <w:r w:rsidRPr="00485690">
              <w:t>22.6%</w:t>
            </w:r>
          </w:p>
        </w:tc>
        <w:tc>
          <w:tcPr>
            <w:tcW w:w="602" w:type="pct"/>
            <w:noWrap/>
            <w:vAlign w:val="center"/>
            <w:hideMark/>
          </w:tcPr>
          <w:p w:rsidR="002B2F2B" w:rsidRPr="00C80664" w:rsidRDefault="002B2F2B" w:rsidP="002B2F2B">
            <w:pPr>
              <w:jc w:val="center"/>
              <w:rPr>
                <w:rFonts w:cs="Arial"/>
                <w:szCs w:val="22"/>
              </w:rPr>
            </w:pPr>
            <w:r w:rsidRPr="00485690">
              <w:t>30.51</w:t>
            </w:r>
          </w:p>
        </w:tc>
      </w:tr>
      <w:tr w:rsidR="002B2F2B" w:rsidRPr="00C80664" w:rsidTr="00C623D4">
        <w:trPr>
          <w:cnfStyle w:val="000000100000" w:firstRow="0" w:lastRow="0" w:firstColumn="0" w:lastColumn="0" w:oddVBand="0" w:evenVBand="0" w:oddHBand="1" w:evenHBand="0" w:firstRowFirstColumn="0" w:firstRowLastColumn="0" w:lastRowFirstColumn="0" w:lastRowLastColumn="0"/>
          <w:trHeight w:val="600"/>
        </w:trPr>
        <w:tc>
          <w:tcPr>
            <w:tcW w:w="689" w:type="pct"/>
            <w:tcBorders>
              <w:left w:val="none" w:sz="0" w:space="0" w:color="auto"/>
              <w:right w:val="none" w:sz="0" w:space="0" w:color="auto"/>
            </w:tcBorders>
            <w:hideMark/>
          </w:tcPr>
          <w:p w:rsidR="002B2F2B" w:rsidRPr="00C80664" w:rsidRDefault="002B2F2B" w:rsidP="002B2F2B">
            <w:pPr>
              <w:rPr>
                <w:rFonts w:cs="Arial"/>
                <w:szCs w:val="22"/>
              </w:rPr>
            </w:pPr>
          </w:p>
        </w:tc>
        <w:tc>
          <w:tcPr>
            <w:tcW w:w="1492" w:type="pct"/>
            <w:tcBorders>
              <w:left w:val="none" w:sz="0" w:space="0" w:color="auto"/>
              <w:right w:val="none" w:sz="0" w:space="0" w:color="auto"/>
            </w:tcBorders>
            <w:hideMark/>
          </w:tcPr>
          <w:p w:rsidR="002B2F2B" w:rsidRPr="00C80664" w:rsidRDefault="002B2F2B" w:rsidP="002B2F2B">
            <w:pPr>
              <w:rPr>
                <w:rFonts w:cs="Arial"/>
                <w:szCs w:val="22"/>
              </w:rPr>
            </w:pPr>
            <w:r w:rsidRPr="00C80664">
              <w:rPr>
                <w:rFonts w:cs="Arial"/>
                <w:szCs w:val="22"/>
              </w:rPr>
              <w:t>Antenatal, Intra-partum and Post-partum care</w:t>
            </w:r>
          </w:p>
        </w:tc>
        <w:tc>
          <w:tcPr>
            <w:tcW w:w="581" w:type="pct"/>
            <w:tcBorders>
              <w:left w:val="none" w:sz="0" w:space="0" w:color="auto"/>
              <w:right w:val="none" w:sz="0" w:space="0" w:color="auto"/>
            </w:tcBorders>
            <w:noWrap/>
            <w:vAlign w:val="center"/>
            <w:hideMark/>
          </w:tcPr>
          <w:p w:rsidR="002B2F2B" w:rsidRPr="00C80664" w:rsidRDefault="002B2F2B" w:rsidP="002B2F2B">
            <w:pPr>
              <w:jc w:val="center"/>
              <w:rPr>
                <w:rFonts w:cs="Arial"/>
                <w:szCs w:val="22"/>
              </w:rPr>
            </w:pPr>
            <w:r w:rsidRPr="00485690">
              <w:t>6,196</w:t>
            </w:r>
          </w:p>
        </w:tc>
        <w:tc>
          <w:tcPr>
            <w:tcW w:w="568" w:type="pct"/>
            <w:tcBorders>
              <w:left w:val="none" w:sz="0" w:space="0" w:color="auto"/>
              <w:right w:val="none" w:sz="0" w:space="0" w:color="auto"/>
            </w:tcBorders>
            <w:noWrap/>
            <w:vAlign w:val="center"/>
            <w:hideMark/>
          </w:tcPr>
          <w:p w:rsidR="002B2F2B" w:rsidRPr="00C80664" w:rsidRDefault="002B2F2B" w:rsidP="002B2F2B">
            <w:pPr>
              <w:jc w:val="center"/>
              <w:rPr>
                <w:rFonts w:cs="Arial"/>
                <w:szCs w:val="22"/>
              </w:rPr>
            </w:pPr>
            <w:r w:rsidRPr="00485690">
              <w:t>98.9%</w:t>
            </w:r>
          </w:p>
        </w:tc>
        <w:tc>
          <w:tcPr>
            <w:tcW w:w="602" w:type="pct"/>
            <w:tcBorders>
              <w:left w:val="none" w:sz="0" w:space="0" w:color="auto"/>
              <w:right w:val="none" w:sz="0" w:space="0" w:color="auto"/>
            </w:tcBorders>
            <w:noWrap/>
            <w:vAlign w:val="center"/>
            <w:hideMark/>
          </w:tcPr>
          <w:p w:rsidR="002B2F2B" w:rsidRPr="00C80664" w:rsidRDefault="002B2F2B" w:rsidP="002B2F2B">
            <w:pPr>
              <w:jc w:val="center"/>
              <w:rPr>
                <w:rFonts w:cs="Arial"/>
                <w:szCs w:val="22"/>
              </w:rPr>
            </w:pPr>
            <w:r w:rsidRPr="00485690">
              <w:t>44.7</w:t>
            </w:r>
          </w:p>
        </w:tc>
        <w:tc>
          <w:tcPr>
            <w:tcW w:w="466" w:type="pct"/>
            <w:tcBorders>
              <w:left w:val="none" w:sz="0" w:space="0" w:color="auto"/>
              <w:right w:val="none" w:sz="0" w:space="0" w:color="auto"/>
            </w:tcBorders>
            <w:noWrap/>
            <w:vAlign w:val="center"/>
            <w:hideMark/>
          </w:tcPr>
          <w:p w:rsidR="002B2F2B" w:rsidRPr="00C80664" w:rsidRDefault="002B2F2B" w:rsidP="002B2F2B">
            <w:pPr>
              <w:jc w:val="center"/>
              <w:rPr>
                <w:rFonts w:cs="Arial"/>
                <w:szCs w:val="22"/>
              </w:rPr>
            </w:pPr>
            <w:r w:rsidRPr="00485690">
              <w:t>27.0%</w:t>
            </w:r>
          </w:p>
        </w:tc>
        <w:tc>
          <w:tcPr>
            <w:tcW w:w="602" w:type="pct"/>
            <w:tcBorders>
              <w:left w:val="none" w:sz="0" w:space="0" w:color="auto"/>
              <w:right w:val="none" w:sz="0" w:space="0" w:color="auto"/>
            </w:tcBorders>
            <w:noWrap/>
            <w:vAlign w:val="center"/>
            <w:hideMark/>
          </w:tcPr>
          <w:p w:rsidR="002B2F2B" w:rsidRPr="00C80664" w:rsidRDefault="002B2F2B" w:rsidP="002B2F2B">
            <w:pPr>
              <w:jc w:val="center"/>
              <w:rPr>
                <w:rFonts w:cs="Arial"/>
                <w:szCs w:val="22"/>
              </w:rPr>
            </w:pPr>
            <w:r w:rsidRPr="00485690">
              <w:t>29.59</w:t>
            </w:r>
          </w:p>
        </w:tc>
      </w:tr>
      <w:tr w:rsidR="00C623D4" w:rsidRPr="00C80664" w:rsidTr="00C623D4">
        <w:trPr>
          <w:trHeight w:val="300"/>
        </w:trPr>
        <w:tc>
          <w:tcPr>
            <w:tcW w:w="689" w:type="pct"/>
            <w:shd w:val="clear" w:color="auto" w:fill="C0C0C0"/>
            <w:vAlign w:val="center"/>
            <w:hideMark/>
          </w:tcPr>
          <w:p w:rsidR="00C623D4" w:rsidRPr="00C80664" w:rsidRDefault="00C623D4" w:rsidP="00C87913">
            <w:pPr>
              <w:jc w:val="center"/>
              <w:rPr>
                <w:rFonts w:cs="Arial"/>
                <w:szCs w:val="22"/>
              </w:rPr>
            </w:pPr>
            <w:r w:rsidRPr="00C80664">
              <w:rPr>
                <w:rFonts w:cs="Arial"/>
                <w:szCs w:val="22"/>
              </w:rPr>
              <w:t>Employed</w:t>
            </w:r>
          </w:p>
        </w:tc>
        <w:tc>
          <w:tcPr>
            <w:tcW w:w="1492" w:type="pct"/>
            <w:hideMark/>
          </w:tcPr>
          <w:p w:rsidR="00C623D4" w:rsidRPr="00C80664" w:rsidRDefault="00C623D4" w:rsidP="00C623D4">
            <w:pPr>
              <w:rPr>
                <w:rFonts w:cs="Arial"/>
                <w:szCs w:val="22"/>
              </w:rPr>
            </w:pPr>
            <w:r w:rsidRPr="00C80664">
              <w:rPr>
                <w:rFonts w:cs="Arial"/>
                <w:szCs w:val="22"/>
              </w:rPr>
              <w:t>Midwifery education</w:t>
            </w:r>
          </w:p>
        </w:tc>
        <w:tc>
          <w:tcPr>
            <w:tcW w:w="581" w:type="pct"/>
            <w:noWrap/>
            <w:vAlign w:val="center"/>
            <w:hideMark/>
          </w:tcPr>
          <w:p w:rsidR="00C623D4" w:rsidRPr="00C80664" w:rsidRDefault="00C623D4" w:rsidP="00C623D4">
            <w:pPr>
              <w:jc w:val="center"/>
              <w:rPr>
                <w:rFonts w:cs="Arial"/>
                <w:szCs w:val="22"/>
              </w:rPr>
            </w:pPr>
            <w:r w:rsidRPr="00485690">
              <w:t>245</w:t>
            </w:r>
          </w:p>
        </w:tc>
        <w:tc>
          <w:tcPr>
            <w:tcW w:w="568" w:type="pct"/>
            <w:noWrap/>
            <w:vAlign w:val="center"/>
            <w:hideMark/>
          </w:tcPr>
          <w:p w:rsidR="00C623D4" w:rsidRPr="00C80664" w:rsidRDefault="00C623D4" w:rsidP="00C623D4">
            <w:pPr>
              <w:jc w:val="center"/>
              <w:rPr>
                <w:rFonts w:cs="Arial"/>
                <w:szCs w:val="22"/>
              </w:rPr>
            </w:pPr>
            <w:r w:rsidRPr="00485690">
              <w:t>97.6%</w:t>
            </w:r>
          </w:p>
        </w:tc>
        <w:tc>
          <w:tcPr>
            <w:tcW w:w="602" w:type="pct"/>
            <w:noWrap/>
            <w:vAlign w:val="center"/>
            <w:hideMark/>
          </w:tcPr>
          <w:p w:rsidR="00C623D4" w:rsidRPr="00C80664" w:rsidRDefault="00C623D4" w:rsidP="00C623D4">
            <w:pPr>
              <w:jc w:val="center"/>
              <w:rPr>
                <w:rFonts w:cs="Arial"/>
                <w:szCs w:val="22"/>
              </w:rPr>
            </w:pPr>
            <w:r w:rsidRPr="00485690">
              <w:t>48.4</w:t>
            </w:r>
          </w:p>
        </w:tc>
        <w:tc>
          <w:tcPr>
            <w:tcW w:w="466" w:type="pct"/>
            <w:noWrap/>
            <w:vAlign w:val="center"/>
            <w:hideMark/>
          </w:tcPr>
          <w:p w:rsidR="00C623D4" w:rsidRPr="00C80664" w:rsidRDefault="00C623D4" w:rsidP="00C623D4">
            <w:pPr>
              <w:jc w:val="center"/>
              <w:rPr>
                <w:rFonts w:cs="Arial"/>
                <w:szCs w:val="22"/>
              </w:rPr>
            </w:pPr>
            <w:r w:rsidRPr="00485690">
              <w:t>31.0%</w:t>
            </w:r>
          </w:p>
        </w:tc>
        <w:tc>
          <w:tcPr>
            <w:tcW w:w="602" w:type="pct"/>
            <w:noWrap/>
            <w:vAlign w:val="center"/>
            <w:hideMark/>
          </w:tcPr>
          <w:p w:rsidR="00C623D4" w:rsidRPr="00C80664" w:rsidRDefault="00C623D4" w:rsidP="00C623D4">
            <w:pPr>
              <w:jc w:val="center"/>
              <w:rPr>
                <w:rFonts w:cs="Arial"/>
                <w:szCs w:val="22"/>
              </w:rPr>
            </w:pPr>
            <w:r w:rsidRPr="00485690">
              <w:t>23.70</w:t>
            </w:r>
          </w:p>
        </w:tc>
      </w:tr>
      <w:tr w:rsidR="00C623D4" w:rsidRPr="00C80664" w:rsidTr="00C623D4">
        <w:trPr>
          <w:cnfStyle w:val="000000100000" w:firstRow="0" w:lastRow="0" w:firstColumn="0" w:lastColumn="0" w:oddVBand="0" w:evenVBand="0" w:oddHBand="1" w:evenHBand="0" w:firstRowFirstColumn="0" w:firstRowLastColumn="0" w:lastRowFirstColumn="0" w:lastRowLastColumn="0"/>
          <w:trHeight w:val="300"/>
        </w:trPr>
        <w:tc>
          <w:tcPr>
            <w:tcW w:w="689" w:type="pct"/>
            <w:tcBorders>
              <w:left w:val="none" w:sz="0" w:space="0" w:color="auto"/>
              <w:right w:val="none" w:sz="0" w:space="0" w:color="auto"/>
            </w:tcBorders>
            <w:hideMark/>
          </w:tcPr>
          <w:p w:rsidR="00C623D4" w:rsidRPr="00C80664" w:rsidRDefault="00C623D4" w:rsidP="00C87913">
            <w:pPr>
              <w:jc w:val="center"/>
              <w:rPr>
                <w:rFonts w:cs="Arial"/>
                <w:szCs w:val="22"/>
              </w:rPr>
            </w:pPr>
            <w:r w:rsidRPr="00C80664">
              <w:rPr>
                <w:rFonts w:cs="Arial"/>
                <w:szCs w:val="22"/>
              </w:rPr>
              <w:t>Midwife</w:t>
            </w:r>
          </w:p>
        </w:tc>
        <w:tc>
          <w:tcPr>
            <w:tcW w:w="1492" w:type="pct"/>
            <w:tcBorders>
              <w:left w:val="none" w:sz="0" w:space="0" w:color="auto"/>
              <w:right w:val="none" w:sz="0" w:space="0" w:color="auto"/>
            </w:tcBorders>
            <w:hideMark/>
          </w:tcPr>
          <w:p w:rsidR="00C623D4" w:rsidRPr="00C80664" w:rsidRDefault="00C623D4" w:rsidP="00C623D4">
            <w:pPr>
              <w:rPr>
                <w:rFonts w:cs="Arial"/>
                <w:szCs w:val="22"/>
              </w:rPr>
            </w:pPr>
            <w:r w:rsidRPr="00C80664">
              <w:rPr>
                <w:rFonts w:cs="Arial"/>
                <w:szCs w:val="22"/>
              </w:rPr>
              <w:t>Midwifery management</w:t>
            </w:r>
          </w:p>
        </w:tc>
        <w:tc>
          <w:tcPr>
            <w:tcW w:w="581" w:type="pct"/>
            <w:tcBorders>
              <w:left w:val="none" w:sz="0" w:space="0" w:color="auto"/>
              <w:right w:val="none" w:sz="0" w:space="0" w:color="auto"/>
            </w:tcBorders>
            <w:noWrap/>
            <w:vAlign w:val="center"/>
            <w:hideMark/>
          </w:tcPr>
          <w:p w:rsidR="00C623D4" w:rsidRPr="00C80664" w:rsidRDefault="00C623D4" w:rsidP="00C623D4">
            <w:pPr>
              <w:jc w:val="center"/>
              <w:rPr>
                <w:rFonts w:cs="Arial"/>
                <w:szCs w:val="22"/>
              </w:rPr>
            </w:pPr>
            <w:r w:rsidRPr="00485690">
              <w:t>563</w:t>
            </w:r>
          </w:p>
        </w:tc>
        <w:tc>
          <w:tcPr>
            <w:tcW w:w="568" w:type="pct"/>
            <w:tcBorders>
              <w:left w:val="none" w:sz="0" w:space="0" w:color="auto"/>
              <w:right w:val="none" w:sz="0" w:space="0" w:color="auto"/>
            </w:tcBorders>
            <w:noWrap/>
            <w:vAlign w:val="center"/>
            <w:hideMark/>
          </w:tcPr>
          <w:p w:rsidR="00C623D4" w:rsidRPr="00C80664" w:rsidRDefault="00C623D4" w:rsidP="00C623D4">
            <w:pPr>
              <w:jc w:val="center"/>
              <w:rPr>
                <w:rFonts w:cs="Arial"/>
                <w:szCs w:val="22"/>
              </w:rPr>
            </w:pPr>
            <w:r w:rsidRPr="00485690">
              <w:t>98.6%</w:t>
            </w:r>
          </w:p>
        </w:tc>
        <w:tc>
          <w:tcPr>
            <w:tcW w:w="602" w:type="pct"/>
            <w:tcBorders>
              <w:left w:val="none" w:sz="0" w:space="0" w:color="auto"/>
              <w:right w:val="none" w:sz="0" w:space="0" w:color="auto"/>
            </w:tcBorders>
            <w:noWrap/>
            <w:vAlign w:val="center"/>
            <w:hideMark/>
          </w:tcPr>
          <w:p w:rsidR="00C623D4" w:rsidRPr="00C80664" w:rsidRDefault="00C623D4" w:rsidP="00C623D4">
            <w:pPr>
              <w:jc w:val="center"/>
              <w:rPr>
                <w:rFonts w:cs="Arial"/>
                <w:szCs w:val="22"/>
              </w:rPr>
            </w:pPr>
            <w:r w:rsidRPr="00485690">
              <w:t>51.0</w:t>
            </w:r>
          </w:p>
        </w:tc>
        <w:tc>
          <w:tcPr>
            <w:tcW w:w="466" w:type="pct"/>
            <w:tcBorders>
              <w:left w:val="none" w:sz="0" w:space="0" w:color="auto"/>
              <w:right w:val="none" w:sz="0" w:space="0" w:color="auto"/>
            </w:tcBorders>
            <w:noWrap/>
            <w:vAlign w:val="center"/>
            <w:hideMark/>
          </w:tcPr>
          <w:p w:rsidR="00C623D4" w:rsidRPr="00C80664" w:rsidRDefault="00C623D4" w:rsidP="00C623D4">
            <w:pPr>
              <w:jc w:val="center"/>
              <w:rPr>
                <w:rFonts w:cs="Arial"/>
                <w:szCs w:val="22"/>
              </w:rPr>
            </w:pPr>
            <w:r w:rsidRPr="00485690">
              <w:t>40.3%</w:t>
            </w:r>
          </w:p>
        </w:tc>
        <w:tc>
          <w:tcPr>
            <w:tcW w:w="602" w:type="pct"/>
            <w:tcBorders>
              <w:left w:val="none" w:sz="0" w:space="0" w:color="auto"/>
              <w:right w:val="none" w:sz="0" w:space="0" w:color="auto"/>
            </w:tcBorders>
            <w:noWrap/>
            <w:vAlign w:val="center"/>
            <w:hideMark/>
          </w:tcPr>
          <w:p w:rsidR="00C623D4" w:rsidRPr="00C80664" w:rsidRDefault="00C623D4" w:rsidP="00C623D4">
            <w:pPr>
              <w:jc w:val="center"/>
              <w:rPr>
                <w:rFonts w:cs="Arial"/>
                <w:szCs w:val="22"/>
              </w:rPr>
            </w:pPr>
            <w:r w:rsidRPr="00485690">
              <w:t>30.04</w:t>
            </w:r>
          </w:p>
        </w:tc>
      </w:tr>
      <w:tr w:rsidR="00C623D4" w:rsidRPr="00C80664" w:rsidTr="00C623D4">
        <w:trPr>
          <w:trHeight w:val="300"/>
        </w:trPr>
        <w:tc>
          <w:tcPr>
            <w:tcW w:w="689" w:type="pct"/>
            <w:shd w:val="clear" w:color="auto" w:fill="C0C0C0"/>
            <w:hideMark/>
          </w:tcPr>
          <w:p w:rsidR="00C623D4" w:rsidRPr="00C80664" w:rsidRDefault="00C623D4" w:rsidP="00C623D4">
            <w:pPr>
              <w:rPr>
                <w:rFonts w:cs="Arial"/>
                <w:szCs w:val="22"/>
              </w:rPr>
            </w:pPr>
          </w:p>
        </w:tc>
        <w:tc>
          <w:tcPr>
            <w:tcW w:w="1492" w:type="pct"/>
            <w:hideMark/>
          </w:tcPr>
          <w:p w:rsidR="00C623D4" w:rsidRPr="00C80664" w:rsidRDefault="00C623D4" w:rsidP="00C623D4">
            <w:pPr>
              <w:rPr>
                <w:rFonts w:cs="Arial"/>
                <w:szCs w:val="22"/>
              </w:rPr>
            </w:pPr>
            <w:r w:rsidRPr="00C80664">
              <w:rPr>
                <w:rFonts w:cs="Arial"/>
                <w:szCs w:val="22"/>
              </w:rPr>
              <w:t>Neonatal care</w:t>
            </w:r>
          </w:p>
        </w:tc>
        <w:tc>
          <w:tcPr>
            <w:tcW w:w="581" w:type="pct"/>
            <w:noWrap/>
            <w:vAlign w:val="center"/>
            <w:hideMark/>
          </w:tcPr>
          <w:p w:rsidR="00C623D4" w:rsidRPr="00C80664" w:rsidRDefault="00C623D4" w:rsidP="00C623D4">
            <w:pPr>
              <w:jc w:val="center"/>
              <w:rPr>
                <w:rFonts w:cs="Arial"/>
                <w:szCs w:val="22"/>
              </w:rPr>
            </w:pPr>
            <w:r w:rsidRPr="00485690">
              <w:t>1,347</w:t>
            </w:r>
          </w:p>
        </w:tc>
        <w:tc>
          <w:tcPr>
            <w:tcW w:w="568" w:type="pct"/>
            <w:noWrap/>
            <w:vAlign w:val="center"/>
            <w:hideMark/>
          </w:tcPr>
          <w:p w:rsidR="00C623D4" w:rsidRPr="00C80664" w:rsidRDefault="00C623D4" w:rsidP="00C623D4">
            <w:pPr>
              <w:jc w:val="center"/>
              <w:rPr>
                <w:rFonts w:cs="Arial"/>
                <w:szCs w:val="22"/>
              </w:rPr>
            </w:pPr>
            <w:r w:rsidRPr="00485690">
              <w:t>98.5%</w:t>
            </w:r>
          </w:p>
        </w:tc>
        <w:tc>
          <w:tcPr>
            <w:tcW w:w="602" w:type="pct"/>
            <w:noWrap/>
            <w:vAlign w:val="center"/>
            <w:hideMark/>
          </w:tcPr>
          <w:p w:rsidR="00C623D4" w:rsidRPr="00C80664" w:rsidRDefault="00C623D4" w:rsidP="00C623D4">
            <w:pPr>
              <w:jc w:val="center"/>
              <w:rPr>
                <w:rFonts w:cs="Arial"/>
                <w:szCs w:val="22"/>
              </w:rPr>
            </w:pPr>
            <w:r w:rsidRPr="00485690">
              <w:t>50.5</w:t>
            </w:r>
          </w:p>
        </w:tc>
        <w:tc>
          <w:tcPr>
            <w:tcW w:w="466" w:type="pct"/>
            <w:noWrap/>
            <w:vAlign w:val="center"/>
            <w:hideMark/>
          </w:tcPr>
          <w:p w:rsidR="00C623D4" w:rsidRPr="00C80664" w:rsidRDefault="00C623D4" w:rsidP="00C623D4">
            <w:pPr>
              <w:jc w:val="center"/>
              <w:rPr>
                <w:rFonts w:cs="Arial"/>
                <w:szCs w:val="22"/>
              </w:rPr>
            </w:pPr>
            <w:r w:rsidRPr="00485690">
              <w:t>43.7%</w:t>
            </w:r>
          </w:p>
        </w:tc>
        <w:tc>
          <w:tcPr>
            <w:tcW w:w="602" w:type="pct"/>
            <w:noWrap/>
            <w:vAlign w:val="center"/>
            <w:hideMark/>
          </w:tcPr>
          <w:p w:rsidR="00C623D4" w:rsidRPr="00C80664" w:rsidRDefault="00C623D4" w:rsidP="00C623D4">
            <w:pPr>
              <w:jc w:val="center"/>
              <w:rPr>
                <w:rFonts w:cs="Arial"/>
                <w:szCs w:val="22"/>
              </w:rPr>
            </w:pPr>
            <w:r w:rsidRPr="00485690">
              <w:t>19.88</w:t>
            </w:r>
          </w:p>
        </w:tc>
      </w:tr>
      <w:tr w:rsidR="00C623D4" w:rsidRPr="00C80664" w:rsidTr="00C623D4">
        <w:trPr>
          <w:cnfStyle w:val="000000100000" w:firstRow="0" w:lastRow="0" w:firstColumn="0" w:lastColumn="0" w:oddVBand="0" w:evenVBand="0" w:oddHBand="1" w:evenHBand="0" w:firstRowFirstColumn="0" w:firstRowLastColumn="0" w:lastRowFirstColumn="0" w:lastRowLastColumn="0"/>
          <w:trHeight w:val="300"/>
        </w:trPr>
        <w:tc>
          <w:tcPr>
            <w:tcW w:w="689" w:type="pct"/>
            <w:tcBorders>
              <w:left w:val="none" w:sz="0" w:space="0" w:color="auto"/>
              <w:right w:val="none" w:sz="0" w:space="0" w:color="auto"/>
            </w:tcBorders>
            <w:hideMark/>
          </w:tcPr>
          <w:p w:rsidR="00C623D4" w:rsidRPr="00C80664" w:rsidRDefault="00C623D4" w:rsidP="00C623D4">
            <w:pPr>
              <w:rPr>
                <w:rFonts w:cs="Arial"/>
                <w:szCs w:val="22"/>
              </w:rPr>
            </w:pPr>
          </w:p>
        </w:tc>
        <w:tc>
          <w:tcPr>
            <w:tcW w:w="1492" w:type="pct"/>
            <w:tcBorders>
              <w:left w:val="none" w:sz="0" w:space="0" w:color="auto"/>
              <w:right w:val="none" w:sz="0" w:space="0" w:color="auto"/>
            </w:tcBorders>
            <w:hideMark/>
          </w:tcPr>
          <w:p w:rsidR="00C623D4" w:rsidRPr="00C80664" w:rsidRDefault="00C623D4" w:rsidP="00C623D4">
            <w:pPr>
              <w:rPr>
                <w:rFonts w:cs="Arial"/>
                <w:szCs w:val="22"/>
              </w:rPr>
            </w:pPr>
            <w:r w:rsidRPr="00C80664">
              <w:rPr>
                <w:rFonts w:cs="Arial"/>
                <w:szCs w:val="22"/>
              </w:rPr>
              <w:t>Postnatal care</w:t>
            </w:r>
          </w:p>
        </w:tc>
        <w:tc>
          <w:tcPr>
            <w:tcW w:w="581" w:type="pct"/>
            <w:tcBorders>
              <w:left w:val="none" w:sz="0" w:space="0" w:color="auto"/>
              <w:right w:val="none" w:sz="0" w:space="0" w:color="auto"/>
            </w:tcBorders>
            <w:noWrap/>
            <w:vAlign w:val="center"/>
            <w:hideMark/>
          </w:tcPr>
          <w:p w:rsidR="00C623D4" w:rsidRPr="00C80664" w:rsidRDefault="00C623D4" w:rsidP="00C623D4">
            <w:pPr>
              <w:jc w:val="center"/>
              <w:rPr>
                <w:rFonts w:cs="Arial"/>
                <w:szCs w:val="22"/>
              </w:rPr>
            </w:pPr>
            <w:r w:rsidRPr="00485690">
              <w:t>5,806</w:t>
            </w:r>
          </w:p>
        </w:tc>
        <w:tc>
          <w:tcPr>
            <w:tcW w:w="568" w:type="pct"/>
            <w:tcBorders>
              <w:left w:val="none" w:sz="0" w:space="0" w:color="auto"/>
              <w:right w:val="none" w:sz="0" w:space="0" w:color="auto"/>
            </w:tcBorders>
            <w:noWrap/>
            <w:vAlign w:val="center"/>
            <w:hideMark/>
          </w:tcPr>
          <w:p w:rsidR="00C623D4" w:rsidRPr="00C80664" w:rsidRDefault="00C623D4" w:rsidP="00C623D4">
            <w:pPr>
              <w:jc w:val="center"/>
              <w:rPr>
                <w:rFonts w:cs="Arial"/>
                <w:szCs w:val="22"/>
              </w:rPr>
            </w:pPr>
            <w:r w:rsidRPr="00485690">
              <w:t>99.4%</w:t>
            </w:r>
          </w:p>
        </w:tc>
        <w:tc>
          <w:tcPr>
            <w:tcW w:w="602" w:type="pct"/>
            <w:tcBorders>
              <w:left w:val="none" w:sz="0" w:space="0" w:color="auto"/>
              <w:right w:val="none" w:sz="0" w:space="0" w:color="auto"/>
            </w:tcBorders>
            <w:noWrap/>
            <w:vAlign w:val="center"/>
            <w:hideMark/>
          </w:tcPr>
          <w:p w:rsidR="00C623D4" w:rsidRPr="00C80664" w:rsidRDefault="00C623D4" w:rsidP="00C623D4">
            <w:pPr>
              <w:jc w:val="center"/>
              <w:rPr>
                <w:rFonts w:cs="Arial"/>
                <w:szCs w:val="22"/>
              </w:rPr>
            </w:pPr>
            <w:r w:rsidRPr="00485690">
              <w:t>48.3</w:t>
            </w:r>
          </w:p>
        </w:tc>
        <w:tc>
          <w:tcPr>
            <w:tcW w:w="466" w:type="pct"/>
            <w:tcBorders>
              <w:left w:val="none" w:sz="0" w:space="0" w:color="auto"/>
              <w:right w:val="none" w:sz="0" w:space="0" w:color="auto"/>
            </w:tcBorders>
            <w:noWrap/>
            <w:vAlign w:val="center"/>
            <w:hideMark/>
          </w:tcPr>
          <w:p w:rsidR="00C623D4" w:rsidRPr="00C80664" w:rsidRDefault="00C623D4" w:rsidP="00C623D4">
            <w:pPr>
              <w:jc w:val="center"/>
              <w:rPr>
                <w:rFonts w:cs="Arial"/>
                <w:szCs w:val="22"/>
              </w:rPr>
            </w:pPr>
            <w:r w:rsidRPr="00485690">
              <w:t>38.9%</w:t>
            </w:r>
          </w:p>
        </w:tc>
        <w:tc>
          <w:tcPr>
            <w:tcW w:w="602" w:type="pct"/>
            <w:tcBorders>
              <w:left w:val="none" w:sz="0" w:space="0" w:color="auto"/>
              <w:right w:val="none" w:sz="0" w:space="0" w:color="auto"/>
            </w:tcBorders>
            <w:noWrap/>
            <w:vAlign w:val="center"/>
            <w:hideMark/>
          </w:tcPr>
          <w:p w:rsidR="00C623D4" w:rsidRPr="00C80664" w:rsidRDefault="00C623D4" w:rsidP="00C623D4">
            <w:pPr>
              <w:jc w:val="center"/>
              <w:rPr>
                <w:rFonts w:cs="Arial"/>
                <w:szCs w:val="22"/>
              </w:rPr>
            </w:pPr>
            <w:r w:rsidRPr="00485690">
              <w:t>22.66</w:t>
            </w:r>
          </w:p>
        </w:tc>
      </w:tr>
      <w:tr w:rsidR="00C623D4" w:rsidRPr="00C80664" w:rsidTr="00C623D4">
        <w:trPr>
          <w:trHeight w:val="300"/>
        </w:trPr>
        <w:tc>
          <w:tcPr>
            <w:tcW w:w="689" w:type="pct"/>
            <w:shd w:val="clear" w:color="auto" w:fill="C0C0C0"/>
            <w:hideMark/>
          </w:tcPr>
          <w:p w:rsidR="00C623D4" w:rsidRPr="00C80664" w:rsidRDefault="00C623D4" w:rsidP="00C623D4">
            <w:pPr>
              <w:rPr>
                <w:rFonts w:cs="Arial"/>
                <w:szCs w:val="22"/>
              </w:rPr>
            </w:pPr>
          </w:p>
        </w:tc>
        <w:tc>
          <w:tcPr>
            <w:tcW w:w="1492" w:type="pct"/>
            <w:hideMark/>
          </w:tcPr>
          <w:p w:rsidR="00C623D4" w:rsidRPr="00C80664" w:rsidRDefault="00C623D4" w:rsidP="00C623D4">
            <w:pPr>
              <w:rPr>
                <w:rFonts w:cs="Arial"/>
                <w:szCs w:val="22"/>
              </w:rPr>
            </w:pPr>
            <w:r w:rsidRPr="00C80664">
              <w:rPr>
                <w:rFonts w:cs="Arial"/>
                <w:szCs w:val="22"/>
              </w:rPr>
              <w:t>Midwifery research</w:t>
            </w:r>
          </w:p>
        </w:tc>
        <w:tc>
          <w:tcPr>
            <w:tcW w:w="581" w:type="pct"/>
            <w:noWrap/>
            <w:vAlign w:val="center"/>
            <w:hideMark/>
          </w:tcPr>
          <w:p w:rsidR="00C623D4" w:rsidRPr="00C80664" w:rsidRDefault="00C623D4" w:rsidP="00C623D4">
            <w:pPr>
              <w:jc w:val="center"/>
              <w:rPr>
                <w:rFonts w:cs="Arial"/>
                <w:szCs w:val="22"/>
              </w:rPr>
            </w:pPr>
            <w:r w:rsidRPr="00485690">
              <w:t>14</w:t>
            </w:r>
          </w:p>
        </w:tc>
        <w:tc>
          <w:tcPr>
            <w:tcW w:w="568" w:type="pct"/>
            <w:noWrap/>
            <w:vAlign w:val="center"/>
            <w:hideMark/>
          </w:tcPr>
          <w:p w:rsidR="00C623D4" w:rsidRPr="00C80664" w:rsidRDefault="00C623D4" w:rsidP="00C623D4">
            <w:pPr>
              <w:jc w:val="center"/>
              <w:rPr>
                <w:rFonts w:cs="Arial"/>
                <w:szCs w:val="22"/>
              </w:rPr>
            </w:pPr>
            <w:r w:rsidRPr="00485690">
              <w:t>92.9%</w:t>
            </w:r>
          </w:p>
        </w:tc>
        <w:tc>
          <w:tcPr>
            <w:tcW w:w="602" w:type="pct"/>
            <w:noWrap/>
            <w:vAlign w:val="center"/>
            <w:hideMark/>
          </w:tcPr>
          <w:p w:rsidR="00C623D4" w:rsidRPr="00C80664" w:rsidRDefault="00C623D4" w:rsidP="00C623D4">
            <w:pPr>
              <w:jc w:val="center"/>
              <w:rPr>
                <w:rFonts w:cs="Arial"/>
                <w:szCs w:val="22"/>
              </w:rPr>
            </w:pPr>
            <w:r w:rsidRPr="00485690">
              <w:t>53.1</w:t>
            </w:r>
          </w:p>
        </w:tc>
        <w:tc>
          <w:tcPr>
            <w:tcW w:w="466" w:type="pct"/>
            <w:noWrap/>
            <w:vAlign w:val="center"/>
            <w:hideMark/>
          </w:tcPr>
          <w:p w:rsidR="00C623D4" w:rsidRPr="00C80664" w:rsidRDefault="00C623D4" w:rsidP="00C623D4">
            <w:pPr>
              <w:jc w:val="center"/>
              <w:rPr>
                <w:rFonts w:cs="Arial"/>
                <w:szCs w:val="22"/>
              </w:rPr>
            </w:pPr>
            <w:r w:rsidRPr="00485690">
              <w:t>71.4%</w:t>
            </w:r>
          </w:p>
        </w:tc>
        <w:tc>
          <w:tcPr>
            <w:tcW w:w="602" w:type="pct"/>
            <w:noWrap/>
            <w:vAlign w:val="center"/>
            <w:hideMark/>
          </w:tcPr>
          <w:p w:rsidR="00C623D4" w:rsidRPr="00C80664" w:rsidRDefault="00C623D4" w:rsidP="00C623D4">
            <w:pPr>
              <w:jc w:val="center"/>
              <w:rPr>
                <w:rFonts w:cs="Arial"/>
                <w:szCs w:val="22"/>
              </w:rPr>
            </w:pPr>
            <w:r w:rsidRPr="00485690">
              <w:t>29.21</w:t>
            </w:r>
          </w:p>
        </w:tc>
      </w:tr>
      <w:tr w:rsidR="00C623D4" w:rsidRPr="00C80664" w:rsidTr="00C623D4">
        <w:trPr>
          <w:cnfStyle w:val="000000100000" w:firstRow="0" w:lastRow="0" w:firstColumn="0" w:lastColumn="0" w:oddVBand="0" w:evenVBand="0" w:oddHBand="1" w:evenHBand="0" w:firstRowFirstColumn="0" w:firstRowLastColumn="0" w:lastRowFirstColumn="0" w:lastRowLastColumn="0"/>
          <w:trHeight w:val="300"/>
        </w:trPr>
        <w:tc>
          <w:tcPr>
            <w:tcW w:w="689" w:type="pct"/>
            <w:tcBorders>
              <w:left w:val="none" w:sz="0" w:space="0" w:color="auto"/>
              <w:right w:val="none" w:sz="0" w:space="0" w:color="auto"/>
            </w:tcBorders>
            <w:hideMark/>
          </w:tcPr>
          <w:p w:rsidR="00C623D4" w:rsidRPr="00C80664" w:rsidRDefault="00C623D4" w:rsidP="00C623D4">
            <w:pPr>
              <w:rPr>
                <w:rFonts w:cs="Arial"/>
                <w:szCs w:val="22"/>
              </w:rPr>
            </w:pPr>
          </w:p>
        </w:tc>
        <w:tc>
          <w:tcPr>
            <w:tcW w:w="1492" w:type="pct"/>
            <w:tcBorders>
              <w:left w:val="none" w:sz="0" w:space="0" w:color="auto"/>
              <w:right w:val="none" w:sz="0" w:space="0" w:color="auto"/>
            </w:tcBorders>
            <w:hideMark/>
          </w:tcPr>
          <w:p w:rsidR="00C623D4" w:rsidRPr="00C80664" w:rsidRDefault="00C623D4" w:rsidP="00C623D4">
            <w:pPr>
              <w:rPr>
                <w:rFonts w:cs="Arial"/>
                <w:szCs w:val="22"/>
              </w:rPr>
            </w:pPr>
            <w:r w:rsidRPr="00C80664">
              <w:rPr>
                <w:rFonts w:cs="Arial"/>
                <w:szCs w:val="22"/>
              </w:rPr>
              <w:t>Policy</w:t>
            </w:r>
          </w:p>
        </w:tc>
        <w:tc>
          <w:tcPr>
            <w:tcW w:w="581" w:type="pct"/>
            <w:tcBorders>
              <w:left w:val="none" w:sz="0" w:space="0" w:color="auto"/>
              <w:right w:val="none" w:sz="0" w:space="0" w:color="auto"/>
            </w:tcBorders>
            <w:noWrap/>
            <w:vAlign w:val="center"/>
            <w:hideMark/>
          </w:tcPr>
          <w:p w:rsidR="00C623D4" w:rsidRPr="00C80664" w:rsidRDefault="00C623D4" w:rsidP="00C623D4">
            <w:pPr>
              <w:jc w:val="center"/>
              <w:rPr>
                <w:rFonts w:cs="Arial"/>
                <w:szCs w:val="22"/>
              </w:rPr>
            </w:pPr>
            <w:r w:rsidRPr="00485690">
              <w:t>16</w:t>
            </w:r>
          </w:p>
        </w:tc>
        <w:tc>
          <w:tcPr>
            <w:tcW w:w="568" w:type="pct"/>
            <w:tcBorders>
              <w:left w:val="none" w:sz="0" w:space="0" w:color="auto"/>
              <w:right w:val="none" w:sz="0" w:space="0" w:color="auto"/>
            </w:tcBorders>
            <w:noWrap/>
            <w:vAlign w:val="center"/>
            <w:hideMark/>
          </w:tcPr>
          <w:p w:rsidR="00C623D4" w:rsidRPr="00C80664" w:rsidRDefault="00C623D4" w:rsidP="00C623D4">
            <w:pPr>
              <w:jc w:val="center"/>
              <w:rPr>
                <w:rFonts w:cs="Arial"/>
                <w:szCs w:val="22"/>
              </w:rPr>
            </w:pPr>
            <w:r w:rsidRPr="00485690">
              <w:t>100.0%</w:t>
            </w:r>
          </w:p>
        </w:tc>
        <w:tc>
          <w:tcPr>
            <w:tcW w:w="602" w:type="pct"/>
            <w:tcBorders>
              <w:left w:val="none" w:sz="0" w:space="0" w:color="auto"/>
              <w:right w:val="none" w:sz="0" w:space="0" w:color="auto"/>
            </w:tcBorders>
            <w:noWrap/>
            <w:vAlign w:val="center"/>
            <w:hideMark/>
          </w:tcPr>
          <w:p w:rsidR="00C623D4" w:rsidRPr="00C80664" w:rsidRDefault="00C623D4" w:rsidP="00C623D4">
            <w:pPr>
              <w:jc w:val="center"/>
              <w:rPr>
                <w:rFonts w:cs="Arial"/>
                <w:szCs w:val="22"/>
              </w:rPr>
            </w:pPr>
            <w:r w:rsidRPr="00485690">
              <w:t>51.6</w:t>
            </w:r>
          </w:p>
        </w:tc>
        <w:tc>
          <w:tcPr>
            <w:tcW w:w="466" w:type="pct"/>
            <w:tcBorders>
              <w:left w:val="none" w:sz="0" w:space="0" w:color="auto"/>
              <w:right w:val="none" w:sz="0" w:space="0" w:color="auto"/>
            </w:tcBorders>
            <w:noWrap/>
            <w:vAlign w:val="center"/>
            <w:hideMark/>
          </w:tcPr>
          <w:p w:rsidR="00C623D4" w:rsidRPr="00C80664" w:rsidRDefault="00C623D4" w:rsidP="00C623D4">
            <w:pPr>
              <w:jc w:val="center"/>
              <w:rPr>
                <w:rFonts w:cs="Arial"/>
                <w:szCs w:val="22"/>
              </w:rPr>
            </w:pPr>
            <w:r w:rsidRPr="00485690">
              <w:t>43.8%</w:t>
            </w:r>
          </w:p>
        </w:tc>
        <w:tc>
          <w:tcPr>
            <w:tcW w:w="602" w:type="pct"/>
            <w:tcBorders>
              <w:left w:val="none" w:sz="0" w:space="0" w:color="auto"/>
              <w:right w:val="none" w:sz="0" w:space="0" w:color="auto"/>
            </w:tcBorders>
            <w:noWrap/>
            <w:vAlign w:val="center"/>
            <w:hideMark/>
          </w:tcPr>
          <w:p w:rsidR="00C623D4" w:rsidRPr="00C80664" w:rsidRDefault="00C623D4" w:rsidP="00C623D4">
            <w:pPr>
              <w:jc w:val="center"/>
              <w:rPr>
                <w:rFonts w:cs="Arial"/>
                <w:szCs w:val="22"/>
              </w:rPr>
            </w:pPr>
            <w:r w:rsidRPr="00485690">
              <w:t>14.94</w:t>
            </w:r>
          </w:p>
        </w:tc>
      </w:tr>
      <w:tr w:rsidR="00C623D4" w:rsidRPr="00C80664" w:rsidTr="00C623D4">
        <w:trPr>
          <w:trHeight w:val="300"/>
        </w:trPr>
        <w:tc>
          <w:tcPr>
            <w:tcW w:w="689" w:type="pct"/>
            <w:shd w:val="clear" w:color="auto" w:fill="C0C0C0"/>
            <w:hideMark/>
          </w:tcPr>
          <w:p w:rsidR="00C623D4" w:rsidRPr="00C80664" w:rsidRDefault="00C623D4" w:rsidP="00C623D4">
            <w:pPr>
              <w:rPr>
                <w:rFonts w:cs="Arial"/>
                <w:szCs w:val="22"/>
              </w:rPr>
            </w:pPr>
          </w:p>
        </w:tc>
        <w:tc>
          <w:tcPr>
            <w:tcW w:w="1492" w:type="pct"/>
            <w:hideMark/>
          </w:tcPr>
          <w:p w:rsidR="00C623D4" w:rsidRPr="00C80664" w:rsidRDefault="00C623D4" w:rsidP="00C623D4">
            <w:pPr>
              <w:rPr>
                <w:rFonts w:cs="Arial"/>
                <w:szCs w:val="22"/>
              </w:rPr>
            </w:pPr>
            <w:r w:rsidRPr="00C80664">
              <w:rPr>
                <w:rFonts w:cs="Arial"/>
                <w:szCs w:val="22"/>
              </w:rPr>
              <w:t>Other</w:t>
            </w:r>
          </w:p>
        </w:tc>
        <w:tc>
          <w:tcPr>
            <w:tcW w:w="581" w:type="pct"/>
            <w:noWrap/>
            <w:vAlign w:val="center"/>
            <w:hideMark/>
          </w:tcPr>
          <w:p w:rsidR="00C623D4" w:rsidRPr="00C80664" w:rsidRDefault="00C623D4" w:rsidP="00C623D4">
            <w:pPr>
              <w:jc w:val="center"/>
              <w:rPr>
                <w:rFonts w:cs="Arial"/>
                <w:szCs w:val="22"/>
              </w:rPr>
            </w:pPr>
            <w:r w:rsidRPr="00485690">
              <w:t>1,088</w:t>
            </w:r>
          </w:p>
        </w:tc>
        <w:tc>
          <w:tcPr>
            <w:tcW w:w="568" w:type="pct"/>
            <w:noWrap/>
            <w:vAlign w:val="center"/>
            <w:hideMark/>
          </w:tcPr>
          <w:p w:rsidR="00C623D4" w:rsidRPr="00C80664" w:rsidRDefault="00C623D4" w:rsidP="00C623D4">
            <w:pPr>
              <w:jc w:val="center"/>
              <w:rPr>
                <w:rFonts w:cs="Arial"/>
                <w:szCs w:val="22"/>
              </w:rPr>
            </w:pPr>
            <w:r w:rsidRPr="00485690">
              <w:t>97.6%</w:t>
            </w:r>
          </w:p>
        </w:tc>
        <w:tc>
          <w:tcPr>
            <w:tcW w:w="602" w:type="pct"/>
            <w:noWrap/>
            <w:vAlign w:val="center"/>
            <w:hideMark/>
          </w:tcPr>
          <w:p w:rsidR="00C623D4" w:rsidRPr="00C80664" w:rsidRDefault="00C623D4" w:rsidP="00C623D4">
            <w:pPr>
              <w:jc w:val="center"/>
              <w:rPr>
                <w:rFonts w:cs="Arial"/>
                <w:szCs w:val="22"/>
              </w:rPr>
            </w:pPr>
            <w:r w:rsidRPr="00485690">
              <w:t>53.1</w:t>
            </w:r>
          </w:p>
        </w:tc>
        <w:tc>
          <w:tcPr>
            <w:tcW w:w="466" w:type="pct"/>
            <w:noWrap/>
            <w:vAlign w:val="center"/>
            <w:hideMark/>
          </w:tcPr>
          <w:p w:rsidR="00C623D4" w:rsidRPr="00C80664" w:rsidRDefault="00C623D4" w:rsidP="00C623D4">
            <w:pPr>
              <w:jc w:val="center"/>
              <w:rPr>
                <w:rFonts w:cs="Arial"/>
                <w:szCs w:val="22"/>
              </w:rPr>
            </w:pPr>
            <w:r w:rsidRPr="00485690">
              <w:t>51.8%</w:t>
            </w:r>
          </w:p>
        </w:tc>
        <w:tc>
          <w:tcPr>
            <w:tcW w:w="602" w:type="pct"/>
            <w:noWrap/>
            <w:vAlign w:val="center"/>
            <w:hideMark/>
          </w:tcPr>
          <w:p w:rsidR="00C623D4" w:rsidRPr="00C80664" w:rsidRDefault="00C623D4" w:rsidP="00C623D4">
            <w:pPr>
              <w:jc w:val="center"/>
              <w:rPr>
                <w:rFonts w:cs="Arial"/>
                <w:szCs w:val="22"/>
              </w:rPr>
            </w:pPr>
            <w:r w:rsidRPr="00485690">
              <w:t>17.39</w:t>
            </w:r>
          </w:p>
        </w:tc>
      </w:tr>
      <w:tr w:rsidR="00C623D4" w:rsidRPr="00C80664" w:rsidTr="00C623D4">
        <w:trPr>
          <w:cnfStyle w:val="000000100000" w:firstRow="0" w:lastRow="0" w:firstColumn="0" w:lastColumn="0" w:oddVBand="0" w:evenVBand="0" w:oddHBand="1" w:evenHBand="0" w:firstRowFirstColumn="0" w:firstRowLastColumn="0" w:lastRowFirstColumn="0" w:lastRowLastColumn="0"/>
          <w:trHeight w:val="300"/>
        </w:trPr>
        <w:tc>
          <w:tcPr>
            <w:tcW w:w="689" w:type="pct"/>
            <w:tcBorders>
              <w:left w:val="none" w:sz="0" w:space="0" w:color="auto"/>
              <w:right w:val="none" w:sz="0" w:space="0" w:color="auto"/>
            </w:tcBorders>
            <w:hideMark/>
          </w:tcPr>
          <w:p w:rsidR="00C623D4" w:rsidRPr="00C80664" w:rsidRDefault="00C623D4" w:rsidP="00C623D4">
            <w:pPr>
              <w:rPr>
                <w:rFonts w:cs="Arial"/>
                <w:b/>
                <w:szCs w:val="22"/>
              </w:rPr>
            </w:pPr>
            <w:r w:rsidRPr="00C80664">
              <w:rPr>
                <w:rFonts w:cs="Arial"/>
                <w:b/>
                <w:szCs w:val="22"/>
              </w:rPr>
              <w:t>Total</w:t>
            </w:r>
          </w:p>
        </w:tc>
        <w:tc>
          <w:tcPr>
            <w:tcW w:w="1492" w:type="pct"/>
            <w:tcBorders>
              <w:left w:val="none" w:sz="0" w:space="0" w:color="auto"/>
              <w:right w:val="none" w:sz="0" w:space="0" w:color="auto"/>
            </w:tcBorders>
          </w:tcPr>
          <w:p w:rsidR="00C623D4" w:rsidRPr="00C80664" w:rsidRDefault="00C623D4" w:rsidP="00C623D4">
            <w:pPr>
              <w:rPr>
                <w:rFonts w:cs="Arial"/>
                <w:b/>
                <w:szCs w:val="22"/>
              </w:rPr>
            </w:pPr>
          </w:p>
        </w:tc>
        <w:tc>
          <w:tcPr>
            <w:tcW w:w="581" w:type="pct"/>
            <w:tcBorders>
              <w:left w:val="none" w:sz="0" w:space="0" w:color="auto"/>
              <w:right w:val="none" w:sz="0" w:space="0" w:color="auto"/>
            </w:tcBorders>
            <w:noWrap/>
            <w:vAlign w:val="center"/>
          </w:tcPr>
          <w:p w:rsidR="00C623D4" w:rsidRPr="002B2F2B" w:rsidRDefault="00C623D4" w:rsidP="00C623D4">
            <w:pPr>
              <w:jc w:val="center"/>
              <w:rPr>
                <w:rFonts w:cs="Arial"/>
                <w:b/>
                <w:szCs w:val="22"/>
              </w:rPr>
            </w:pPr>
            <w:r w:rsidRPr="002B2F2B">
              <w:rPr>
                <w:b/>
              </w:rPr>
              <w:t>21,149</w:t>
            </w:r>
          </w:p>
        </w:tc>
        <w:tc>
          <w:tcPr>
            <w:tcW w:w="568" w:type="pct"/>
            <w:tcBorders>
              <w:left w:val="none" w:sz="0" w:space="0" w:color="auto"/>
              <w:right w:val="none" w:sz="0" w:space="0" w:color="auto"/>
            </w:tcBorders>
            <w:noWrap/>
            <w:vAlign w:val="center"/>
          </w:tcPr>
          <w:p w:rsidR="00C623D4" w:rsidRPr="002B2F2B" w:rsidRDefault="00C623D4" w:rsidP="00C623D4">
            <w:pPr>
              <w:jc w:val="center"/>
              <w:rPr>
                <w:rFonts w:cs="Arial"/>
                <w:b/>
                <w:szCs w:val="22"/>
              </w:rPr>
            </w:pPr>
            <w:r>
              <w:rPr>
                <w:b/>
              </w:rPr>
              <w:t>98.9%</w:t>
            </w:r>
          </w:p>
        </w:tc>
        <w:tc>
          <w:tcPr>
            <w:tcW w:w="602" w:type="pct"/>
            <w:tcBorders>
              <w:left w:val="none" w:sz="0" w:space="0" w:color="auto"/>
              <w:right w:val="none" w:sz="0" w:space="0" w:color="auto"/>
            </w:tcBorders>
            <w:noWrap/>
            <w:vAlign w:val="center"/>
          </w:tcPr>
          <w:p w:rsidR="00C623D4" w:rsidRPr="002B2F2B" w:rsidRDefault="00D67934" w:rsidP="00C623D4">
            <w:pPr>
              <w:jc w:val="center"/>
              <w:rPr>
                <w:rFonts w:cs="Arial"/>
                <w:b/>
                <w:szCs w:val="22"/>
              </w:rPr>
            </w:pPr>
            <w:r>
              <w:rPr>
                <w:b/>
              </w:rPr>
              <w:t>46.9</w:t>
            </w:r>
          </w:p>
        </w:tc>
        <w:tc>
          <w:tcPr>
            <w:tcW w:w="466" w:type="pct"/>
            <w:tcBorders>
              <w:left w:val="none" w:sz="0" w:space="0" w:color="auto"/>
              <w:right w:val="none" w:sz="0" w:space="0" w:color="auto"/>
            </w:tcBorders>
            <w:noWrap/>
            <w:vAlign w:val="center"/>
          </w:tcPr>
          <w:p w:rsidR="00C623D4" w:rsidRPr="002B2F2B" w:rsidRDefault="00D67934" w:rsidP="00C623D4">
            <w:pPr>
              <w:jc w:val="center"/>
              <w:rPr>
                <w:rFonts w:cs="Arial"/>
                <w:b/>
                <w:szCs w:val="22"/>
              </w:rPr>
            </w:pPr>
            <w:r>
              <w:rPr>
                <w:b/>
              </w:rPr>
              <w:t>33.6</w:t>
            </w:r>
            <w:r w:rsidR="005E56AB">
              <w:rPr>
                <w:b/>
              </w:rPr>
              <w:t>%</w:t>
            </w:r>
          </w:p>
        </w:tc>
        <w:tc>
          <w:tcPr>
            <w:tcW w:w="602" w:type="pct"/>
            <w:tcBorders>
              <w:left w:val="none" w:sz="0" w:space="0" w:color="auto"/>
              <w:right w:val="none" w:sz="0" w:space="0" w:color="auto"/>
            </w:tcBorders>
            <w:noWrap/>
            <w:vAlign w:val="center"/>
          </w:tcPr>
          <w:p w:rsidR="00C623D4" w:rsidRPr="002B2F2B" w:rsidRDefault="00C623D4" w:rsidP="00C623D4">
            <w:pPr>
              <w:jc w:val="center"/>
              <w:rPr>
                <w:rFonts w:cs="Arial"/>
                <w:b/>
                <w:szCs w:val="22"/>
              </w:rPr>
            </w:pPr>
            <w:r w:rsidRPr="002B2F2B">
              <w:rPr>
                <w:b/>
              </w:rPr>
              <w:t>25.66</w:t>
            </w:r>
          </w:p>
        </w:tc>
      </w:tr>
    </w:tbl>
    <w:p w:rsidR="0007288C" w:rsidRPr="00E87126" w:rsidRDefault="00695EDA" w:rsidP="00E87126">
      <w:pPr>
        <w:spacing w:after="120" w:line="240" w:lineRule="auto"/>
        <w:jc w:val="both"/>
        <w:rPr>
          <w:rFonts w:eastAsia="Calibri" w:cs="Arial"/>
          <w:i/>
          <w:sz w:val="16"/>
          <w:szCs w:val="16"/>
        </w:rPr>
      </w:pPr>
      <w:r w:rsidRPr="00885BE2">
        <w:rPr>
          <w:rFonts w:eastAsia="Calibri" w:cs="Arial"/>
          <w:i/>
          <w:sz w:val="16"/>
          <w:szCs w:val="16"/>
        </w:rPr>
        <w:t>Source: NHWDS, N</w:t>
      </w:r>
      <w:r w:rsidR="00E87126">
        <w:rPr>
          <w:rFonts w:eastAsia="Calibri" w:cs="Arial"/>
          <w:i/>
          <w:sz w:val="16"/>
          <w:szCs w:val="16"/>
        </w:rPr>
        <w:t>ursing and Midwifery 2017</w:t>
      </w:r>
    </w:p>
    <w:p w:rsidR="004B1F4F" w:rsidRPr="00E85564" w:rsidRDefault="00C30FEC" w:rsidP="00E85564">
      <w:pPr>
        <w:pStyle w:val="Heading2"/>
      </w:pPr>
      <w:bookmarkStart w:id="37" w:name="_Toc10808379"/>
      <w:r w:rsidRPr="00E85564">
        <w:lastRenderedPageBreak/>
        <w:t>Work setting</w:t>
      </w:r>
      <w:bookmarkEnd w:id="37"/>
    </w:p>
    <w:p w:rsidR="00677D7C" w:rsidRPr="00677D7C" w:rsidRDefault="00CA2032" w:rsidP="00677D7C">
      <w:pPr>
        <w:pStyle w:val="Caption"/>
        <w:jc w:val="both"/>
      </w:pPr>
      <w:bookmarkStart w:id="38" w:name="_Toc532473563"/>
      <w:bookmarkStart w:id="39" w:name="_Toc1722557"/>
      <w:bookmarkStart w:id="40" w:name="_Toc1724681"/>
      <w:bookmarkStart w:id="41" w:name="_Toc1724999"/>
      <w:r w:rsidRPr="009844A4">
        <w:t xml:space="preserve">Figure </w:t>
      </w:r>
      <w:r w:rsidR="002A4D9E" w:rsidRPr="009844A4">
        <w:rPr>
          <w:noProof/>
        </w:rPr>
        <w:fldChar w:fldCharType="begin"/>
      </w:r>
      <w:r w:rsidR="002A4D9E" w:rsidRPr="009844A4">
        <w:rPr>
          <w:noProof/>
        </w:rPr>
        <w:instrText xml:space="preserve"> SEQ Figure \* ARABIC </w:instrText>
      </w:r>
      <w:r w:rsidR="002A4D9E" w:rsidRPr="009844A4">
        <w:rPr>
          <w:noProof/>
        </w:rPr>
        <w:fldChar w:fldCharType="separate"/>
      </w:r>
      <w:r w:rsidR="005E7E94">
        <w:rPr>
          <w:noProof/>
        </w:rPr>
        <w:t>5</w:t>
      </w:r>
      <w:r w:rsidR="002A4D9E" w:rsidRPr="009844A4">
        <w:rPr>
          <w:noProof/>
        </w:rPr>
        <w:fldChar w:fldCharType="end"/>
      </w:r>
      <w:r w:rsidRPr="009844A4">
        <w:t>: Work Setting</w:t>
      </w:r>
      <w:bookmarkEnd w:id="38"/>
      <w:bookmarkEnd w:id="39"/>
      <w:bookmarkEnd w:id="40"/>
      <w:bookmarkEnd w:id="41"/>
    </w:p>
    <w:p w:rsidR="00332CFC" w:rsidRDefault="00677D7C" w:rsidP="00332CFC">
      <w:pPr>
        <w:spacing w:after="120" w:line="240" w:lineRule="auto"/>
        <w:jc w:val="center"/>
        <w:rPr>
          <w:rFonts w:eastAsia="Calibri" w:cs="Arial"/>
          <w:i/>
          <w:sz w:val="18"/>
          <w:szCs w:val="18"/>
        </w:rPr>
      </w:pPr>
      <w:r>
        <w:rPr>
          <w:rFonts w:eastAsia="Calibri" w:cs="Arial"/>
          <w:i/>
          <w:noProof/>
          <w:sz w:val="18"/>
          <w:szCs w:val="18"/>
          <w:lang w:eastAsia="en-AU"/>
        </w:rPr>
        <w:drawing>
          <wp:inline distT="0" distB="0" distL="0" distR="0">
            <wp:extent cx="3974465" cy="3263900"/>
            <wp:effectExtent l="0" t="0" r="6985" b="0"/>
            <wp:docPr id="17" name="Picture 17" descr="Work setting by percentage of midwives who work in Public,  Private or Both sectors&#10;&#10;Sectors include:&#10;Hospital&#10;Community health care service&#10;Outpatient service&#10;Group midwifery practice / caseload&#10;Other&#10;General practitioner (GP) practice&#10;Aboriginal health service&#10;Other government department or agency&#10;Specialist (O&amp;G) practice&#10;Independent private practice&#10;Tertiary educational facility&#10;Other educational facility&#10;Commercial/business service&#10;Correctional service&#10;Defence forces&#10;&#10;Midwives who work in community health care service, outpatient service and group midwifery practice/caseload tend to work in the public sector.&#10;&#10;Midwives who work in specialist (O&amp;G) practice, independent private practice and general practitioner practice tend to work in the private sector." title="Figure 5: Work Setting by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87CB10B.tmp"/>
                    <pic:cNvPicPr/>
                  </pic:nvPicPr>
                  <pic:blipFill rotWithShape="1">
                    <a:blip r:embed="rId11">
                      <a:extLst>
                        <a:ext uri="{28A0092B-C50C-407E-A947-70E740481C1C}">
                          <a14:useLocalDpi xmlns:a14="http://schemas.microsoft.com/office/drawing/2010/main" val="0"/>
                        </a:ext>
                      </a:extLst>
                    </a:blip>
                    <a:srcRect l="24971" t="36394" r="41917" b="13093"/>
                    <a:stretch/>
                  </pic:blipFill>
                  <pic:spPr bwMode="auto">
                    <a:xfrm>
                      <a:off x="0" y="0"/>
                      <a:ext cx="3975490" cy="3264742"/>
                    </a:xfrm>
                    <a:prstGeom prst="rect">
                      <a:avLst/>
                    </a:prstGeom>
                    <a:ln>
                      <a:noFill/>
                    </a:ln>
                    <a:extLst>
                      <a:ext uri="{53640926-AAD7-44D8-BBD7-CCE9431645EC}">
                        <a14:shadowObscured xmlns:a14="http://schemas.microsoft.com/office/drawing/2010/main"/>
                      </a:ext>
                    </a:extLst>
                  </pic:spPr>
                </pic:pic>
              </a:graphicData>
            </a:graphic>
          </wp:inline>
        </w:drawing>
      </w:r>
    </w:p>
    <w:p w:rsidR="00695EDA" w:rsidRPr="00885BE2" w:rsidRDefault="00695EDA" w:rsidP="00695EDA">
      <w:pPr>
        <w:spacing w:after="120" w:line="240" w:lineRule="auto"/>
        <w:jc w:val="both"/>
        <w:rPr>
          <w:rFonts w:eastAsia="Calibri" w:cs="Arial"/>
          <w:i/>
          <w:sz w:val="16"/>
          <w:szCs w:val="16"/>
        </w:rPr>
      </w:pPr>
      <w:r w:rsidRPr="00885BE2">
        <w:rPr>
          <w:rFonts w:eastAsia="Calibri" w:cs="Arial"/>
          <w:i/>
          <w:sz w:val="16"/>
          <w:szCs w:val="16"/>
        </w:rPr>
        <w:t>Source: NHWDS, Nursing and Midwifery 2017</w:t>
      </w:r>
    </w:p>
    <w:p w:rsidR="0007288C" w:rsidRPr="006F3785" w:rsidRDefault="0007288C" w:rsidP="00E85564">
      <w:pPr>
        <w:pStyle w:val="Heading2"/>
      </w:pPr>
      <w:bookmarkStart w:id="42" w:name="_Toc10808380"/>
      <w:r w:rsidRPr="006F3785">
        <w:t>Distribution</w:t>
      </w:r>
      <w:bookmarkEnd w:id="42"/>
    </w:p>
    <w:p w:rsidR="00AD4FE0" w:rsidRPr="00826C99" w:rsidRDefault="00AD4FE0" w:rsidP="00F57799">
      <w:pPr>
        <w:spacing w:before="120" w:after="120" w:line="240" w:lineRule="auto"/>
        <w:jc w:val="both"/>
        <w:rPr>
          <w:rFonts w:eastAsia="Times New Roman" w:cs="Arial"/>
          <w:szCs w:val="22"/>
        </w:rPr>
      </w:pPr>
      <w:r w:rsidRPr="00826C99">
        <w:rPr>
          <w:rFonts w:eastAsia="Times New Roman" w:cs="Arial"/>
          <w:szCs w:val="22"/>
        </w:rPr>
        <w:t>F</w:t>
      </w:r>
      <w:r w:rsidR="0034663C" w:rsidRPr="00826C99">
        <w:rPr>
          <w:rFonts w:eastAsia="Times New Roman" w:cs="Arial"/>
          <w:szCs w:val="22"/>
        </w:rPr>
        <w:t>igure 6</w:t>
      </w:r>
      <w:r w:rsidR="001A1EA6">
        <w:rPr>
          <w:rFonts w:eastAsia="Times New Roman" w:cs="Arial"/>
          <w:szCs w:val="22"/>
        </w:rPr>
        <w:t xml:space="preserve"> indicates that midwives</w:t>
      </w:r>
      <w:r w:rsidRPr="00826C99">
        <w:rPr>
          <w:rFonts w:eastAsia="Times New Roman" w:cs="Arial"/>
          <w:szCs w:val="22"/>
        </w:rPr>
        <w:t xml:space="preserve"> are relatively well distributed across Australia. Albeit lower in more remote areas, it shows that the midwifery headcount supply per 100,000 population increase in more remote areas.</w:t>
      </w:r>
    </w:p>
    <w:p w:rsidR="00AD4FE0" w:rsidRPr="00826C99" w:rsidRDefault="00AD4FE0" w:rsidP="00541D61">
      <w:pPr>
        <w:spacing w:before="120" w:after="120" w:line="240" w:lineRule="auto"/>
        <w:jc w:val="both"/>
        <w:rPr>
          <w:rFonts w:eastAsia="Times New Roman" w:cs="Arial"/>
          <w:szCs w:val="22"/>
        </w:rPr>
      </w:pPr>
      <w:r w:rsidRPr="00826C99">
        <w:rPr>
          <w:rFonts w:eastAsia="Times New Roman" w:cs="Arial"/>
          <w:szCs w:val="22"/>
        </w:rPr>
        <w:t>Based on the midwives per 100,000 population it shows reasonable distribution (ranging from 11 to 18 percent); with the exception of M</w:t>
      </w:r>
      <w:r w:rsidR="002617FF">
        <w:rPr>
          <w:rFonts w:eastAsia="Times New Roman" w:cs="Arial"/>
          <w:szCs w:val="22"/>
        </w:rPr>
        <w:t>odified Monash (</w:t>
      </w:r>
      <w:r w:rsidRPr="00826C99">
        <w:rPr>
          <w:rFonts w:eastAsia="Times New Roman" w:cs="Arial"/>
          <w:szCs w:val="22"/>
        </w:rPr>
        <w:t>M</w:t>
      </w:r>
      <w:r w:rsidR="002617FF">
        <w:rPr>
          <w:rFonts w:eastAsia="Times New Roman" w:cs="Arial"/>
          <w:szCs w:val="22"/>
        </w:rPr>
        <w:t xml:space="preserve">M) </w:t>
      </w:r>
      <w:r w:rsidR="00565E9E">
        <w:rPr>
          <w:rFonts w:eastAsia="Times New Roman" w:cs="Arial"/>
          <w:szCs w:val="22"/>
        </w:rPr>
        <w:t>5 (seven</w:t>
      </w:r>
      <w:r w:rsidRPr="00826C99">
        <w:rPr>
          <w:rFonts w:eastAsia="Times New Roman" w:cs="Arial"/>
          <w:szCs w:val="22"/>
        </w:rPr>
        <w:t xml:space="preserve"> per</w:t>
      </w:r>
      <w:r w:rsidR="002617FF">
        <w:rPr>
          <w:rFonts w:eastAsia="Times New Roman" w:cs="Arial"/>
          <w:szCs w:val="22"/>
        </w:rPr>
        <w:t xml:space="preserve"> </w:t>
      </w:r>
      <w:r w:rsidRPr="00826C99">
        <w:rPr>
          <w:rFonts w:eastAsia="Times New Roman" w:cs="Arial"/>
          <w:szCs w:val="22"/>
        </w:rPr>
        <w:t>cent). This is largely to do with the population within MM5 rather than the distribution of midwives</w:t>
      </w:r>
      <w:r w:rsidR="0093348E">
        <w:rPr>
          <w:rFonts w:eastAsia="Times New Roman" w:cs="Arial"/>
          <w:szCs w:val="22"/>
        </w:rPr>
        <w:t>, that is, there are no population centres in these locations large enough to support a public or private hospital.</w:t>
      </w:r>
      <w:r w:rsidRPr="00826C99">
        <w:rPr>
          <w:rFonts w:eastAsia="Times New Roman" w:cs="Arial"/>
          <w:szCs w:val="22"/>
        </w:rPr>
        <w:t xml:space="preserve"> The vast majority of midwives are located within MM1 (70 percent) followed by 10 percent in MM2 and 8 percent in MM3 and all othe</w:t>
      </w:r>
      <w:r w:rsidR="00F57799">
        <w:rPr>
          <w:rFonts w:eastAsia="Times New Roman" w:cs="Arial"/>
          <w:szCs w:val="22"/>
        </w:rPr>
        <w:t>r MM</w:t>
      </w:r>
      <w:r w:rsidR="00565E9E">
        <w:rPr>
          <w:rFonts w:eastAsia="Times New Roman" w:cs="Arial"/>
          <w:szCs w:val="22"/>
        </w:rPr>
        <w:t xml:space="preserve"> areas</w:t>
      </w:r>
      <w:r w:rsidR="00F57799">
        <w:rPr>
          <w:rFonts w:eastAsia="Times New Roman" w:cs="Arial"/>
          <w:szCs w:val="22"/>
        </w:rPr>
        <w:t xml:space="preserve"> are 5 percent or less. </w:t>
      </w:r>
    </w:p>
    <w:p w:rsidR="007B4C6E" w:rsidRPr="00405BE9" w:rsidRDefault="00EB1AC2" w:rsidP="00405BE9">
      <w:pPr>
        <w:pStyle w:val="Caption"/>
      </w:pPr>
      <w:bookmarkStart w:id="43" w:name="_Toc532473564"/>
      <w:bookmarkStart w:id="44" w:name="_Toc1722558"/>
      <w:bookmarkStart w:id="45" w:name="_Toc1724682"/>
      <w:bookmarkStart w:id="46" w:name="_Toc1725000"/>
      <w:r w:rsidRPr="001F11F0">
        <w:t xml:space="preserve">Figure </w:t>
      </w:r>
      <w:r w:rsidR="001D7AC5">
        <w:rPr>
          <w:noProof/>
        </w:rPr>
        <w:fldChar w:fldCharType="begin"/>
      </w:r>
      <w:r w:rsidR="001D7AC5">
        <w:rPr>
          <w:noProof/>
        </w:rPr>
        <w:instrText xml:space="preserve"> SEQ Figure \* ARABIC </w:instrText>
      </w:r>
      <w:r w:rsidR="001D7AC5">
        <w:rPr>
          <w:noProof/>
        </w:rPr>
        <w:fldChar w:fldCharType="separate"/>
      </w:r>
      <w:r w:rsidR="005E7E94">
        <w:rPr>
          <w:noProof/>
        </w:rPr>
        <w:t>6</w:t>
      </w:r>
      <w:r w:rsidR="001D7AC5">
        <w:rPr>
          <w:noProof/>
        </w:rPr>
        <w:fldChar w:fldCharType="end"/>
      </w:r>
      <w:r w:rsidRPr="001F11F0">
        <w:t>: Midwifery supply (headcount</w:t>
      </w:r>
      <w:r w:rsidR="00B70443" w:rsidRPr="001F11F0">
        <w:t xml:space="preserve"> and FTE</w:t>
      </w:r>
      <w:r w:rsidRPr="001F11F0">
        <w:t>) per 100,000 females aged 15 - 4</w:t>
      </w:r>
      <w:r w:rsidR="009C6D99" w:rsidRPr="001F11F0">
        <w:t>9</w:t>
      </w:r>
      <w:r w:rsidRPr="001F11F0">
        <w:t xml:space="preserve"> years by MM</w:t>
      </w:r>
      <w:bookmarkEnd w:id="43"/>
      <w:bookmarkEnd w:id="44"/>
      <w:bookmarkEnd w:id="45"/>
      <w:bookmarkEnd w:id="46"/>
    </w:p>
    <w:p w:rsidR="00542DE0" w:rsidRDefault="00542DE0" w:rsidP="00541D61">
      <w:pPr>
        <w:spacing w:after="120" w:line="240" w:lineRule="auto"/>
        <w:jc w:val="center"/>
        <w:rPr>
          <w:rFonts w:eastAsia="Calibri" w:cs="Arial"/>
          <w:i/>
          <w:sz w:val="18"/>
          <w:szCs w:val="18"/>
        </w:rPr>
      </w:pPr>
      <w:r>
        <w:rPr>
          <w:rFonts w:eastAsia="Calibri" w:cs="Arial"/>
          <w:i/>
          <w:noProof/>
          <w:sz w:val="18"/>
          <w:szCs w:val="18"/>
          <w:lang w:eastAsia="en-AU"/>
        </w:rPr>
        <w:drawing>
          <wp:inline distT="0" distB="0" distL="0" distR="0">
            <wp:extent cx="5225143" cy="2504439"/>
            <wp:effectExtent l="0" t="0" r="0" b="0"/>
            <wp:docPr id="2" name="Picture 2" descr="Outlines the number of midwives per 100,000 females aged 15 - 49 years in Modified Monash Model (MMM) areas which is a classification system that categorises metropolitan, regional, rural and remote areas according to both geographical remoteness and town size. &#10;&#10;The headcount includes:&#10;MMM1 - 335.1 per 100,000&#10;MMM2 - 420.3 per 100,000&#10;MMM3 - 527.6 per 100,000&#10;MMM4 - 589.4 per 100,000&#10;MMM5 - 205.8 per 100,000&#10;MMM6 - 582.5 per 100,000&#10;MMM7 - 588.8 per 100,000&#10;&#10;The number of full time equivalent workers tends to increase with rurality peaking in MMM6 but decreases in MMM5 and MMM7." title="Figure 6: Midwifery supply (headcount and FTE) per 100,000 females aged 15 - 49 years by 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87CB08E.tmp"/>
                    <pic:cNvPicPr/>
                  </pic:nvPicPr>
                  <pic:blipFill rotWithShape="1">
                    <a:blip r:embed="rId12">
                      <a:extLst>
                        <a:ext uri="{28A0092B-C50C-407E-A947-70E740481C1C}">
                          <a14:useLocalDpi xmlns:a14="http://schemas.microsoft.com/office/drawing/2010/main" val="0"/>
                        </a:ext>
                      </a:extLst>
                    </a:blip>
                    <a:srcRect l="3213" t="25520" r="30313" b="15295"/>
                    <a:stretch/>
                  </pic:blipFill>
                  <pic:spPr bwMode="auto">
                    <a:xfrm>
                      <a:off x="0" y="0"/>
                      <a:ext cx="5250641" cy="2516660"/>
                    </a:xfrm>
                    <a:prstGeom prst="rect">
                      <a:avLst/>
                    </a:prstGeom>
                    <a:ln>
                      <a:noFill/>
                    </a:ln>
                    <a:extLst>
                      <a:ext uri="{53640926-AAD7-44D8-BBD7-CCE9431645EC}">
                        <a14:shadowObscured xmlns:a14="http://schemas.microsoft.com/office/drawing/2010/main"/>
                      </a:ext>
                    </a:extLst>
                  </pic:spPr>
                </pic:pic>
              </a:graphicData>
            </a:graphic>
          </wp:inline>
        </w:drawing>
      </w:r>
    </w:p>
    <w:p w:rsidR="0007288C" w:rsidRPr="00541D61" w:rsidRDefault="00AD4FE0" w:rsidP="00541D61">
      <w:pPr>
        <w:spacing w:after="120" w:line="240" w:lineRule="auto"/>
        <w:jc w:val="both"/>
        <w:rPr>
          <w:rFonts w:eastAsia="Calibri" w:cs="Arial"/>
          <w:i/>
          <w:sz w:val="16"/>
          <w:szCs w:val="16"/>
        </w:rPr>
      </w:pPr>
      <w:r w:rsidRPr="00885BE2">
        <w:rPr>
          <w:rFonts w:eastAsia="Calibri" w:cs="Arial"/>
          <w:i/>
          <w:sz w:val="16"/>
          <w:szCs w:val="16"/>
        </w:rPr>
        <w:t>Source: N</w:t>
      </w:r>
      <w:r w:rsidR="002B2F2B" w:rsidRPr="00885BE2">
        <w:rPr>
          <w:rFonts w:eastAsia="Calibri" w:cs="Arial"/>
          <w:i/>
          <w:sz w:val="16"/>
          <w:szCs w:val="16"/>
        </w:rPr>
        <w:t>HWDS, Nursing and Midwifery 2017</w:t>
      </w:r>
    </w:p>
    <w:p w:rsidR="0093348E" w:rsidRPr="00885BE2" w:rsidRDefault="00C30FEC" w:rsidP="00885BE2">
      <w:pPr>
        <w:spacing w:after="120" w:line="240" w:lineRule="auto"/>
        <w:jc w:val="both"/>
        <w:rPr>
          <w:rFonts w:eastAsia="Times New Roman" w:cs="Arial"/>
          <w:szCs w:val="22"/>
        </w:rPr>
      </w:pPr>
      <w:r w:rsidRPr="00826C99">
        <w:rPr>
          <w:rFonts w:eastAsia="Times New Roman" w:cs="Arial"/>
          <w:szCs w:val="22"/>
        </w:rPr>
        <w:lastRenderedPageBreak/>
        <w:t xml:space="preserve">The Modified Monash </w:t>
      </w:r>
      <w:r w:rsidR="00D01AAC">
        <w:rPr>
          <w:rFonts w:eastAsia="Times New Roman" w:cs="Arial"/>
          <w:szCs w:val="22"/>
        </w:rPr>
        <w:t xml:space="preserve">Model (MMM) </w:t>
      </w:r>
      <w:r w:rsidRPr="00826C99">
        <w:rPr>
          <w:rFonts w:eastAsia="Times New Roman" w:cs="Arial"/>
          <w:szCs w:val="22"/>
        </w:rPr>
        <w:t>is a classification system that categorises metropolitan, regional, rural and remote areas according to both geograph</w:t>
      </w:r>
      <w:bookmarkStart w:id="47" w:name="_Toc532473565"/>
      <w:bookmarkStart w:id="48" w:name="_Toc1722559"/>
      <w:bookmarkStart w:id="49" w:name="_Toc1724683"/>
      <w:bookmarkStart w:id="50" w:name="_Toc1725001"/>
      <w:r w:rsidR="00885BE2">
        <w:rPr>
          <w:rFonts w:eastAsia="Times New Roman" w:cs="Arial"/>
          <w:szCs w:val="22"/>
        </w:rPr>
        <w:t xml:space="preserve">ical remoteness and town size. </w:t>
      </w:r>
    </w:p>
    <w:p w:rsidR="00EB1AC2" w:rsidRDefault="00EB1AC2" w:rsidP="00EB1AC2">
      <w:pPr>
        <w:pStyle w:val="Caption"/>
      </w:pPr>
      <w:r>
        <w:t xml:space="preserve">Figure </w:t>
      </w:r>
      <w:r w:rsidR="002A4D9E">
        <w:rPr>
          <w:noProof/>
        </w:rPr>
        <w:fldChar w:fldCharType="begin"/>
      </w:r>
      <w:r w:rsidR="002A4D9E">
        <w:rPr>
          <w:noProof/>
        </w:rPr>
        <w:instrText xml:space="preserve"> SEQ Figure \* ARABIC </w:instrText>
      </w:r>
      <w:r w:rsidR="002A4D9E">
        <w:rPr>
          <w:noProof/>
        </w:rPr>
        <w:fldChar w:fldCharType="separate"/>
      </w:r>
      <w:r w:rsidR="005E7E94">
        <w:rPr>
          <w:noProof/>
        </w:rPr>
        <w:t>7</w:t>
      </w:r>
      <w:r w:rsidR="002A4D9E">
        <w:rPr>
          <w:noProof/>
        </w:rPr>
        <w:fldChar w:fldCharType="end"/>
      </w:r>
      <w:r>
        <w:t>: Definitions of the Modified Monash Model Categories</w:t>
      </w:r>
      <w:bookmarkEnd w:id="47"/>
      <w:bookmarkEnd w:id="48"/>
      <w:bookmarkEnd w:id="49"/>
      <w:bookmarkEnd w:id="50"/>
    </w:p>
    <w:tbl>
      <w:tblPr>
        <w:tblStyle w:val="LightShading2"/>
        <w:tblW w:w="5000" w:type="pct"/>
        <w:jc w:val="center"/>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Caption w:val="Figure 7: Definitions of the Modified Monash Model Categories"/>
        <w:tblDescription w:val="The Modified Monash Model (MMM) categories include:&#10;MMM1 - All areas categorised ASGS-RA1.&#10;MMM2 - Areas categorised ASGS-RA 2 and ASGS-RA 3 that are in, or within 20km road distance, of a town with population &gt;50,000.&#10;MMM3 - Areas categorised ASGS-RA 2 and ASGS-RA 3 that are not in MM 2 and are in, or within 15km road distance, of a town with population between 15,000 and 50,000.&#10;MMM4 - Areas categorised ASGS-RA 2 and ASGS-RA 3 that are not in MM 2 or MM 3, and are in, or within 10km road distance, of a town with population between 5,000 and 15,000.&#10;MMM5 - All other areas in ASGS-RA 2 and 3.&#10;MMM6 - All areas categorised ASGS-RA 4 that are not on a populated island that is separated from the mainland in the ABS geography and is more than 5km offshore.&#10;MMM7 - All other areas – that being ASGS-RA 5 and areas on a populated island that is separated from the mainland in the ABS geography and is more than 5km offshore.&#10;"/>
      </w:tblPr>
      <w:tblGrid>
        <w:gridCol w:w="1170"/>
        <w:gridCol w:w="7846"/>
      </w:tblGrid>
      <w:tr w:rsidR="00C30FEC" w:rsidRPr="00826C99" w:rsidTr="0032043A">
        <w:trPr>
          <w:cnfStyle w:val="100000000000" w:firstRow="1" w:lastRow="0" w:firstColumn="0" w:lastColumn="0" w:oddVBand="0" w:evenVBand="0" w:oddHBand="0" w:evenHBand="0" w:firstRowFirstColumn="0" w:firstRowLastColumn="0" w:lastRowFirstColumn="0" w:lastRowLastColumn="0"/>
          <w:trHeight w:val="227"/>
          <w:tblHeader/>
          <w:jc w:val="center"/>
        </w:trPr>
        <w:tc>
          <w:tcPr>
            <w:cnfStyle w:val="001000000000" w:firstRow="0" w:lastRow="0" w:firstColumn="1" w:lastColumn="0" w:oddVBand="0" w:evenVBand="0" w:oddHBand="0" w:evenHBand="0" w:firstRowFirstColumn="0" w:firstRowLastColumn="0" w:lastRowFirstColumn="0" w:lastRowLastColumn="0"/>
            <w:tcW w:w="649" w:type="pct"/>
            <w:tcBorders>
              <w:top w:val="none" w:sz="0" w:space="0" w:color="auto"/>
              <w:left w:val="none" w:sz="0" w:space="0" w:color="auto"/>
              <w:bottom w:val="none" w:sz="0" w:space="0" w:color="auto"/>
              <w:right w:val="none" w:sz="0" w:space="0" w:color="auto"/>
            </w:tcBorders>
            <w:shd w:val="clear" w:color="auto" w:fill="7030A0"/>
          </w:tcPr>
          <w:p w:rsidR="00C30FEC" w:rsidRPr="00826C99" w:rsidRDefault="00C30FEC" w:rsidP="00C30FEC">
            <w:pPr>
              <w:jc w:val="center"/>
              <w:rPr>
                <w:rFonts w:cs="Arial"/>
                <w:color w:val="FFFFFF"/>
                <w:szCs w:val="22"/>
              </w:rPr>
            </w:pPr>
            <w:r w:rsidRPr="00826C99">
              <w:rPr>
                <w:rFonts w:cs="Arial"/>
                <w:color w:val="FFFFFF"/>
                <w:szCs w:val="22"/>
              </w:rPr>
              <w:t>MMM Category</w:t>
            </w:r>
          </w:p>
        </w:tc>
        <w:tc>
          <w:tcPr>
            <w:tcW w:w="4351" w:type="pct"/>
            <w:tcBorders>
              <w:top w:val="none" w:sz="0" w:space="0" w:color="auto"/>
              <w:left w:val="none" w:sz="0" w:space="0" w:color="auto"/>
              <w:bottom w:val="none" w:sz="0" w:space="0" w:color="auto"/>
              <w:right w:val="none" w:sz="0" w:space="0" w:color="auto"/>
            </w:tcBorders>
            <w:shd w:val="clear" w:color="auto" w:fill="7030A0"/>
          </w:tcPr>
          <w:p w:rsidR="00C30FEC" w:rsidRPr="00826C99" w:rsidRDefault="00C30FEC" w:rsidP="00C30FEC">
            <w:pPr>
              <w:jc w:val="both"/>
              <w:cnfStyle w:val="100000000000" w:firstRow="1" w:lastRow="0" w:firstColumn="0" w:lastColumn="0" w:oddVBand="0" w:evenVBand="0" w:oddHBand="0" w:evenHBand="0" w:firstRowFirstColumn="0" w:firstRowLastColumn="0" w:lastRowFirstColumn="0" w:lastRowLastColumn="0"/>
              <w:rPr>
                <w:rFonts w:cs="Arial"/>
                <w:color w:val="FFFFFF"/>
                <w:szCs w:val="22"/>
              </w:rPr>
            </w:pPr>
            <w:r w:rsidRPr="00826C99">
              <w:rPr>
                <w:rFonts w:cs="Arial"/>
                <w:noProof/>
                <w:color w:val="FFFFFF"/>
                <w:szCs w:val="22"/>
              </w:rPr>
              <w:t>Definition</w:t>
            </w:r>
          </w:p>
        </w:tc>
      </w:tr>
      <w:tr w:rsidR="00C30FEC" w:rsidRPr="00826C99" w:rsidTr="0032043A">
        <w:trPr>
          <w:cnfStyle w:val="000000100000" w:firstRow="0" w:lastRow="0" w:firstColumn="0" w:lastColumn="0" w:oddVBand="0" w:evenVBand="0" w:oddHBand="1" w:evenHBand="0" w:firstRowFirstColumn="0" w:firstRowLastColumn="0" w:lastRowFirstColumn="0" w:lastRowLastColumn="0"/>
          <w:trHeight w:val="227"/>
          <w:jc w:val="center"/>
        </w:trPr>
        <w:tc>
          <w:tcPr>
            <w:cnfStyle w:val="001000000000" w:firstRow="0" w:lastRow="0" w:firstColumn="1" w:lastColumn="0" w:oddVBand="0" w:evenVBand="0" w:oddHBand="0" w:evenHBand="0" w:firstRowFirstColumn="0" w:firstRowLastColumn="0" w:lastRowFirstColumn="0" w:lastRowLastColumn="0"/>
            <w:tcW w:w="649" w:type="pct"/>
            <w:tcBorders>
              <w:left w:val="none" w:sz="0" w:space="0" w:color="auto"/>
              <w:right w:val="none" w:sz="0" w:space="0" w:color="auto"/>
            </w:tcBorders>
          </w:tcPr>
          <w:p w:rsidR="00C30FEC" w:rsidRPr="00826C99" w:rsidRDefault="00C30FEC" w:rsidP="00C30FEC">
            <w:pPr>
              <w:jc w:val="center"/>
              <w:rPr>
                <w:rFonts w:cs="Arial"/>
                <w:szCs w:val="22"/>
              </w:rPr>
            </w:pPr>
            <w:r w:rsidRPr="00826C99">
              <w:rPr>
                <w:rFonts w:cs="Arial"/>
                <w:szCs w:val="22"/>
              </w:rPr>
              <w:t>1</w:t>
            </w:r>
          </w:p>
        </w:tc>
        <w:tc>
          <w:tcPr>
            <w:tcW w:w="4351" w:type="pct"/>
            <w:tcBorders>
              <w:left w:val="none" w:sz="0" w:space="0" w:color="auto"/>
              <w:right w:val="none" w:sz="0" w:space="0" w:color="auto"/>
            </w:tcBorders>
          </w:tcPr>
          <w:p w:rsidR="00C30FEC" w:rsidRPr="00826C99" w:rsidRDefault="00C30FEC" w:rsidP="00C30FEC">
            <w:pPr>
              <w:jc w:val="both"/>
              <w:cnfStyle w:val="000000100000" w:firstRow="0" w:lastRow="0" w:firstColumn="0" w:lastColumn="0" w:oddVBand="0" w:evenVBand="0" w:oddHBand="1" w:evenHBand="0" w:firstRowFirstColumn="0" w:firstRowLastColumn="0" w:lastRowFirstColumn="0" w:lastRowLastColumn="0"/>
              <w:rPr>
                <w:rFonts w:cs="Arial"/>
                <w:szCs w:val="22"/>
              </w:rPr>
            </w:pPr>
            <w:r w:rsidRPr="00826C99">
              <w:rPr>
                <w:rFonts w:cs="Arial"/>
                <w:szCs w:val="22"/>
              </w:rPr>
              <w:t>All areas categorised ASGS-RA1.</w:t>
            </w:r>
          </w:p>
        </w:tc>
      </w:tr>
      <w:tr w:rsidR="00C30FEC" w:rsidRPr="00826C99" w:rsidTr="0032043A">
        <w:trPr>
          <w:trHeight w:val="227"/>
          <w:jc w:val="center"/>
        </w:trPr>
        <w:tc>
          <w:tcPr>
            <w:cnfStyle w:val="001000000000" w:firstRow="0" w:lastRow="0" w:firstColumn="1" w:lastColumn="0" w:oddVBand="0" w:evenVBand="0" w:oddHBand="0" w:evenHBand="0" w:firstRowFirstColumn="0" w:firstRowLastColumn="0" w:lastRowFirstColumn="0" w:lastRowLastColumn="0"/>
            <w:tcW w:w="649" w:type="pct"/>
          </w:tcPr>
          <w:p w:rsidR="00C30FEC" w:rsidRPr="00826C99" w:rsidRDefault="00C30FEC" w:rsidP="00C30FEC">
            <w:pPr>
              <w:jc w:val="center"/>
              <w:rPr>
                <w:rFonts w:cs="Arial"/>
                <w:szCs w:val="22"/>
              </w:rPr>
            </w:pPr>
            <w:r w:rsidRPr="00826C99">
              <w:rPr>
                <w:rFonts w:cs="Arial"/>
                <w:szCs w:val="22"/>
              </w:rPr>
              <w:t>2</w:t>
            </w:r>
          </w:p>
        </w:tc>
        <w:tc>
          <w:tcPr>
            <w:tcW w:w="4351" w:type="pct"/>
          </w:tcPr>
          <w:p w:rsidR="00C30FEC" w:rsidRPr="00826C99" w:rsidRDefault="00C30FEC" w:rsidP="00C30FEC">
            <w:pPr>
              <w:jc w:val="both"/>
              <w:cnfStyle w:val="000000000000" w:firstRow="0" w:lastRow="0" w:firstColumn="0" w:lastColumn="0" w:oddVBand="0" w:evenVBand="0" w:oddHBand="0" w:evenHBand="0" w:firstRowFirstColumn="0" w:firstRowLastColumn="0" w:lastRowFirstColumn="0" w:lastRowLastColumn="0"/>
              <w:rPr>
                <w:rFonts w:cs="Arial"/>
                <w:szCs w:val="22"/>
              </w:rPr>
            </w:pPr>
            <w:r w:rsidRPr="00826C99">
              <w:rPr>
                <w:rFonts w:cs="Arial"/>
                <w:szCs w:val="22"/>
              </w:rPr>
              <w:t>Areas categorised ASGS-RA 2 and ASGS-RA 3 that are in, or within 20km road distance, of a town with population &gt;50,000.</w:t>
            </w:r>
          </w:p>
        </w:tc>
      </w:tr>
      <w:tr w:rsidR="00C30FEC" w:rsidRPr="00826C99" w:rsidTr="0032043A">
        <w:trPr>
          <w:cnfStyle w:val="000000100000" w:firstRow="0" w:lastRow="0" w:firstColumn="0" w:lastColumn="0" w:oddVBand="0" w:evenVBand="0" w:oddHBand="1" w:evenHBand="0" w:firstRowFirstColumn="0" w:firstRowLastColumn="0" w:lastRowFirstColumn="0" w:lastRowLastColumn="0"/>
          <w:trHeight w:val="227"/>
          <w:jc w:val="center"/>
        </w:trPr>
        <w:tc>
          <w:tcPr>
            <w:cnfStyle w:val="001000000000" w:firstRow="0" w:lastRow="0" w:firstColumn="1" w:lastColumn="0" w:oddVBand="0" w:evenVBand="0" w:oddHBand="0" w:evenHBand="0" w:firstRowFirstColumn="0" w:firstRowLastColumn="0" w:lastRowFirstColumn="0" w:lastRowLastColumn="0"/>
            <w:tcW w:w="649" w:type="pct"/>
            <w:tcBorders>
              <w:left w:val="none" w:sz="0" w:space="0" w:color="auto"/>
              <w:right w:val="none" w:sz="0" w:space="0" w:color="auto"/>
            </w:tcBorders>
          </w:tcPr>
          <w:p w:rsidR="00C30FEC" w:rsidRPr="00826C99" w:rsidRDefault="00C30FEC" w:rsidP="00C30FEC">
            <w:pPr>
              <w:jc w:val="center"/>
              <w:rPr>
                <w:rFonts w:cs="Arial"/>
                <w:szCs w:val="22"/>
              </w:rPr>
            </w:pPr>
            <w:r w:rsidRPr="00826C99">
              <w:rPr>
                <w:rFonts w:cs="Arial"/>
                <w:szCs w:val="22"/>
              </w:rPr>
              <w:t>3</w:t>
            </w:r>
          </w:p>
        </w:tc>
        <w:tc>
          <w:tcPr>
            <w:tcW w:w="4351" w:type="pct"/>
            <w:tcBorders>
              <w:left w:val="none" w:sz="0" w:space="0" w:color="auto"/>
              <w:right w:val="none" w:sz="0" w:space="0" w:color="auto"/>
            </w:tcBorders>
          </w:tcPr>
          <w:p w:rsidR="00C30FEC" w:rsidRPr="00826C99" w:rsidRDefault="00C30FEC" w:rsidP="00C30FEC">
            <w:pPr>
              <w:jc w:val="both"/>
              <w:cnfStyle w:val="000000100000" w:firstRow="0" w:lastRow="0" w:firstColumn="0" w:lastColumn="0" w:oddVBand="0" w:evenVBand="0" w:oddHBand="1" w:evenHBand="0" w:firstRowFirstColumn="0" w:firstRowLastColumn="0" w:lastRowFirstColumn="0" w:lastRowLastColumn="0"/>
              <w:rPr>
                <w:rFonts w:cs="Arial"/>
                <w:szCs w:val="22"/>
              </w:rPr>
            </w:pPr>
            <w:r w:rsidRPr="00826C99">
              <w:rPr>
                <w:rFonts w:cs="Arial"/>
                <w:szCs w:val="22"/>
              </w:rPr>
              <w:t>Areas categorised ASGS-RA 2 and ASGS-RA 3 that are not in MM 2 and are in, or within 15km road distance, of a town with population between 15,000 and 50,000.</w:t>
            </w:r>
          </w:p>
        </w:tc>
      </w:tr>
      <w:tr w:rsidR="00C30FEC" w:rsidRPr="00826C99" w:rsidTr="0032043A">
        <w:trPr>
          <w:trHeight w:val="227"/>
          <w:jc w:val="center"/>
        </w:trPr>
        <w:tc>
          <w:tcPr>
            <w:cnfStyle w:val="001000000000" w:firstRow="0" w:lastRow="0" w:firstColumn="1" w:lastColumn="0" w:oddVBand="0" w:evenVBand="0" w:oddHBand="0" w:evenHBand="0" w:firstRowFirstColumn="0" w:firstRowLastColumn="0" w:lastRowFirstColumn="0" w:lastRowLastColumn="0"/>
            <w:tcW w:w="649" w:type="pct"/>
          </w:tcPr>
          <w:p w:rsidR="00C30FEC" w:rsidRPr="00826C99" w:rsidRDefault="00C30FEC" w:rsidP="00C30FEC">
            <w:pPr>
              <w:jc w:val="center"/>
              <w:rPr>
                <w:rFonts w:cs="Arial"/>
                <w:szCs w:val="22"/>
              </w:rPr>
            </w:pPr>
            <w:r w:rsidRPr="00826C99">
              <w:rPr>
                <w:rFonts w:cs="Arial"/>
                <w:szCs w:val="22"/>
              </w:rPr>
              <w:t>4</w:t>
            </w:r>
          </w:p>
        </w:tc>
        <w:tc>
          <w:tcPr>
            <w:tcW w:w="4351" w:type="pct"/>
          </w:tcPr>
          <w:p w:rsidR="00C30FEC" w:rsidRPr="00826C99" w:rsidRDefault="00C30FEC" w:rsidP="00C30FEC">
            <w:pPr>
              <w:jc w:val="both"/>
              <w:cnfStyle w:val="000000000000" w:firstRow="0" w:lastRow="0" w:firstColumn="0" w:lastColumn="0" w:oddVBand="0" w:evenVBand="0" w:oddHBand="0" w:evenHBand="0" w:firstRowFirstColumn="0" w:firstRowLastColumn="0" w:lastRowFirstColumn="0" w:lastRowLastColumn="0"/>
              <w:rPr>
                <w:rFonts w:cs="Arial"/>
                <w:szCs w:val="22"/>
              </w:rPr>
            </w:pPr>
            <w:r w:rsidRPr="00826C99">
              <w:rPr>
                <w:rFonts w:cs="Arial"/>
                <w:szCs w:val="22"/>
              </w:rPr>
              <w:t>Areas categorised ASGS-RA 2 and ASGS-RA 3 that are not in MM 2 or MM 3, and are in, or within 10km road distance, of a town with population between 5,000 and 15,000.</w:t>
            </w:r>
          </w:p>
        </w:tc>
      </w:tr>
      <w:tr w:rsidR="00C30FEC" w:rsidRPr="00826C99" w:rsidTr="0032043A">
        <w:trPr>
          <w:cnfStyle w:val="000000100000" w:firstRow="0" w:lastRow="0" w:firstColumn="0" w:lastColumn="0" w:oddVBand="0" w:evenVBand="0" w:oddHBand="1" w:evenHBand="0" w:firstRowFirstColumn="0" w:firstRowLastColumn="0" w:lastRowFirstColumn="0" w:lastRowLastColumn="0"/>
          <w:trHeight w:val="227"/>
          <w:jc w:val="center"/>
        </w:trPr>
        <w:tc>
          <w:tcPr>
            <w:cnfStyle w:val="001000000000" w:firstRow="0" w:lastRow="0" w:firstColumn="1" w:lastColumn="0" w:oddVBand="0" w:evenVBand="0" w:oddHBand="0" w:evenHBand="0" w:firstRowFirstColumn="0" w:firstRowLastColumn="0" w:lastRowFirstColumn="0" w:lastRowLastColumn="0"/>
            <w:tcW w:w="649" w:type="pct"/>
            <w:tcBorders>
              <w:left w:val="none" w:sz="0" w:space="0" w:color="auto"/>
              <w:right w:val="none" w:sz="0" w:space="0" w:color="auto"/>
            </w:tcBorders>
          </w:tcPr>
          <w:p w:rsidR="00C30FEC" w:rsidRPr="00826C99" w:rsidRDefault="00C30FEC" w:rsidP="00C30FEC">
            <w:pPr>
              <w:jc w:val="center"/>
              <w:rPr>
                <w:rFonts w:cs="Arial"/>
                <w:szCs w:val="22"/>
              </w:rPr>
            </w:pPr>
            <w:r w:rsidRPr="00826C99">
              <w:rPr>
                <w:rFonts w:cs="Arial"/>
                <w:szCs w:val="22"/>
              </w:rPr>
              <w:t>5</w:t>
            </w:r>
          </w:p>
        </w:tc>
        <w:tc>
          <w:tcPr>
            <w:tcW w:w="4351" w:type="pct"/>
            <w:tcBorders>
              <w:left w:val="none" w:sz="0" w:space="0" w:color="auto"/>
              <w:right w:val="none" w:sz="0" w:space="0" w:color="auto"/>
            </w:tcBorders>
          </w:tcPr>
          <w:p w:rsidR="00C30FEC" w:rsidRPr="00826C99" w:rsidRDefault="00C30FEC" w:rsidP="00C30FEC">
            <w:pPr>
              <w:jc w:val="both"/>
              <w:cnfStyle w:val="000000100000" w:firstRow="0" w:lastRow="0" w:firstColumn="0" w:lastColumn="0" w:oddVBand="0" w:evenVBand="0" w:oddHBand="1" w:evenHBand="0" w:firstRowFirstColumn="0" w:firstRowLastColumn="0" w:lastRowFirstColumn="0" w:lastRowLastColumn="0"/>
              <w:rPr>
                <w:rFonts w:cs="Arial"/>
                <w:szCs w:val="22"/>
              </w:rPr>
            </w:pPr>
            <w:r w:rsidRPr="00826C99">
              <w:rPr>
                <w:rFonts w:cs="Arial"/>
                <w:szCs w:val="22"/>
              </w:rPr>
              <w:t>All other areas in ASGS-RA 2 and 3.</w:t>
            </w:r>
          </w:p>
        </w:tc>
      </w:tr>
      <w:tr w:rsidR="00C30FEC" w:rsidRPr="00826C99" w:rsidTr="0032043A">
        <w:trPr>
          <w:trHeight w:val="227"/>
          <w:jc w:val="center"/>
        </w:trPr>
        <w:tc>
          <w:tcPr>
            <w:cnfStyle w:val="001000000000" w:firstRow="0" w:lastRow="0" w:firstColumn="1" w:lastColumn="0" w:oddVBand="0" w:evenVBand="0" w:oddHBand="0" w:evenHBand="0" w:firstRowFirstColumn="0" w:firstRowLastColumn="0" w:lastRowFirstColumn="0" w:lastRowLastColumn="0"/>
            <w:tcW w:w="649" w:type="pct"/>
          </w:tcPr>
          <w:p w:rsidR="00C30FEC" w:rsidRPr="00826C99" w:rsidRDefault="00C30FEC" w:rsidP="00C30FEC">
            <w:pPr>
              <w:jc w:val="center"/>
              <w:rPr>
                <w:rFonts w:cs="Arial"/>
                <w:szCs w:val="22"/>
              </w:rPr>
            </w:pPr>
            <w:r w:rsidRPr="00826C99">
              <w:rPr>
                <w:rFonts w:cs="Arial"/>
                <w:szCs w:val="22"/>
              </w:rPr>
              <w:t>6</w:t>
            </w:r>
          </w:p>
        </w:tc>
        <w:tc>
          <w:tcPr>
            <w:tcW w:w="4351" w:type="pct"/>
          </w:tcPr>
          <w:p w:rsidR="00C30FEC" w:rsidRPr="00826C99" w:rsidRDefault="00C30FEC" w:rsidP="00C30FEC">
            <w:pPr>
              <w:jc w:val="both"/>
              <w:cnfStyle w:val="000000000000" w:firstRow="0" w:lastRow="0" w:firstColumn="0" w:lastColumn="0" w:oddVBand="0" w:evenVBand="0" w:oddHBand="0" w:evenHBand="0" w:firstRowFirstColumn="0" w:firstRowLastColumn="0" w:lastRowFirstColumn="0" w:lastRowLastColumn="0"/>
              <w:rPr>
                <w:rFonts w:cs="Arial"/>
                <w:szCs w:val="22"/>
              </w:rPr>
            </w:pPr>
            <w:r w:rsidRPr="00826C99">
              <w:rPr>
                <w:rFonts w:cs="Arial"/>
                <w:szCs w:val="22"/>
              </w:rPr>
              <w:t>All areas categorised ASGS-RA 4 that are not on a populated island that is separated from the mainland in the ABS geography and is more than 5km offshore.</w:t>
            </w:r>
          </w:p>
        </w:tc>
      </w:tr>
      <w:tr w:rsidR="00C30FEC" w:rsidRPr="00826C99" w:rsidTr="0032043A">
        <w:trPr>
          <w:cnfStyle w:val="000000100000" w:firstRow="0" w:lastRow="0" w:firstColumn="0" w:lastColumn="0" w:oddVBand="0" w:evenVBand="0" w:oddHBand="1" w:evenHBand="0" w:firstRowFirstColumn="0" w:firstRowLastColumn="0" w:lastRowFirstColumn="0" w:lastRowLastColumn="0"/>
          <w:trHeight w:val="227"/>
          <w:jc w:val="center"/>
        </w:trPr>
        <w:tc>
          <w:tcPr>
            <w:cnfStyle w:val="001000000000" w:firstRow="0" w:lastRow="0" w:firstColumn="1" w:lastColumn="0" w:oddVBand="0" w:evenVBand="0" w:oddHBand="0" w:evenHBand="0" w:firstRowFirstColumn="0" w:firstRowLastColumn="0" w:lastRowFirstColumn="0" w:lastRowLastColumn="0"/>
            <w:tcW w:w="649" w:type="pct"/>
            <w:tcBorders>
              <w:left w:val="none" w:sz="0" w:space="0" w:color="auto"/>
              <w:right w:val="none" w:sz="0" w:space="0" w:color="auto"/>
            </w:tcBorders>
          </w:tcPr>
          <w:p w:rsidR="00C30FEC" w:rsidRPr="00826C99" w:rsidRDefault="00C30FEC" w:rsidP="00C30FEC">
            <w:pPr>
              <w:jc w:val="center"/>
              <w:rPr>
                <w:rFonts w:cs="Arial"/>
                <w:szCs w:val="22"/>
              </w:rPr>
            </w:pPr>
            <w:r w:rsidRPr="00826C99">
              <w:rPr>
                <w:rFonts w:cs="Arial"/>
                <w:szCs w:val="22"/>
              </w:rPr>
              <w:t>7</w:t>
            </w:r>
          </w:p>
        </w:tc>
        <w:tc>
          <w:tcPr>
            <w:tcW w:w="4351" w:type="pct"/>
            <w:tcBorders>
              <w:left w:val="none" w:sz="0" w:space="0" w:color="auto"/>
              <w:right w:val="none" w:sz="0" w:space="0" w:color="auto"/>
            </w:tcBorders>
          </w:tcPr>
          <w:p w:rsidR="00C30FEC" w:rsidRPr="00826C99" w:rsidRDefault="00C30FEC" w:rsidP="00C30FEC">
            <w:pPr>
              <w:jc w:val="both"/>
              <w:cnfStyle w:val="000000100000" w:firstRow="0" w:lastRow="0" w:firstColumn="0" w:lastColumn="0" w:oddVBand="0" w:evenVBand="0" w:oddHBand="1" w:evenHBand="0" w:firstRowFirstColumn="0" w:firstRowLastColumn="0" w:lastRowFirstColumn="0" w:lastRowLastColumn="0"/>
              <w:rPr>
                <w:rFonts w:cs="Arial"/>
                <w:szCs w:val="22"/>
              </w:rPr>
            </w:pPr>
            <w:r w:rsidRPr="00826C99">
              <w:rPr>
                <w:rFonts w:cs="Arial"/>
                <w:szCs w:val="22"/>
              </w:rPr>
              <w:t>All other areas – that being ASGS-RA 5 and areas on a populated island that is separated from the mainland in the ABS geography and is more than 5km offshore.</w:t>
            </w:r>
          </w:p>
        </w:tc>
      </w:tr>
    </w:tbl>
    <w:p w:rsidR="00C30FEC" w:rsidRPr="00885BE2" w:rsidRDefault="00C30FEC" w:rsidP="00C30FEC">
      <w:pPr>
        <w:spacing w:before="120" w:after="120" w:line="240" w:lineRule="auto"/>
        <w:jc w:val="both"/>
        <w:rPr>
          <w:rFonts w:eastAsia="Times New Roman" w:cs="Arial"/>
          <w:bCs/>
          <w:i/>
          <w:color w:val="000000"/>
          <w:sz w:val="16"/>
          <w:szCs w:val="16"/>
        </w:rPr>
      </w:pPr>
      <w:r w:rsidRPr="00885BE2">
        <w:rPr>
          <w:rFonts w:eastAsia="Times New Roman" w:cs="Arial"/>
          <w:bCs/>
          <w:i/>
          <w:color w:val="000000"/>
          <w:sz w:val="16"/>
          <w:szCs w:val="16"/>
        </w:rPr>
        <w:t xml:space="preserve">Source: </w:t>
      </w:r>
      <w:hyperlink r:id="rId13" w:history="1">
        <w:r w:rsidR="00192F9A" w:rsidRPr="00885BE2">
          <w:rPr>
            <w:rFonts w:eastAsia="Times New Roman" w:cs="Arial"/>
            <w:bCs/>
            <w:i/>
            <w:color w:val="0000FF"/>
            <w:sz w:val="16"/>
            <w:szCs w:val="16"/>
            <w:u w:val="single"/>
          </w:rPr>
          <w:t>Doctor Connect</w:t>
        </w:r>
      </w:hyperlink>
      <w:r w:rsidRPr="00885BE2">
        <w:rPr>
          <w:rFonts w:eastAsia="Times New Roman" w:cs="Arial"/>
          <w:bCs/>
          <w:i/>
          <w:color w:val="000000"/>
          <w:sz w:val="16"/>
          <w:szCs w:val="16"/>
        </w:rPr>
        <w:t xml:space="preserve"> </w:t>
      </w:r>
    </w:p>
    <w:p w:rsidR="003D0C48" w:rsidRPr="00202BC1" w:rsidRDefault="0007288C" w:rsidP="00E85564">
      <w:pPr>
        <w:pStyle w:val="Heading2"/>
      </w:pPr>
      <w:bookmarkStart w:id="51" w:name="_Toc10808381"/>
      <w:r w:rsidRPr="00202BC1">
        <w:t>Hours worked</w:t>
      </w:r>
      <w:bookmarkEnd w:id="51"/>
    </w:p>
    <w:p w:rsidR="00F7136B" w:rsidRDefault="00BF27C5" w:rsidP="00F7136B">
      <w:pPr>
        <w:pStyle w:val="Caption"/>
      </w:pPr>
      <w:bookmarkStart w:id="52" w:name="_Toc1722560"/>
      <w:bookmarkStart w:id="53" w:name="_Toc1724684"/>
      <w:bookmarkStart w:id="54" w:name="_Toc1725002"/>
      <w:r>
        <w:t xml:space="preserve">Figure </w:t>
      </w:r>
      <w:r>
        <w:rPr>
          <w:noProof/>
        </w:rPr>
        <w:fldChar w:fldCharType="begin"/>
      </w:r>
      <w:r>
        <w:rPr>
          <w:noProof/>
        </w:rPr>
        <w:instrText xml:space="preserve"> SEQ Figure \* ARABIC </w:instrText>
      </w:r>
      <w:r>
        <w:rPr>
          <w:noProof/>
        </w:rPr>
        <w:fldChar w:fldCharType="separate"/>
      </w:r>
      <w:r w:rsidR="005E7E94">
        <w:rPr>
          <w:noProof/>
        </w:rPr>
        <w:t>8</w:t>
      </w:r>
      <w:r>
        <w:rPr>
          <w:noProof/>
        </w:rPr>
        <w:fldChar w:fldCharType="end"/>
      </w:r>
      <w:r>
        <w:t>: Midwifery (supply) average hours, 2013 - 2017</w:t>
      </w:r>
      <w:bookmarkEnd w:id="52"/>
      <w:bookmarkEnd w:id="53"/>
      <w:bookmarkEnd w:id="54"/>
    </w:p>
    <w:p w:rsidR="00541D61" w:rsidRDefault="00F7136B" w:rsidP="00F7136B">
      <w:pPr>
        <w:jc w:val="center"/>
      </w:pPr>
      <w:r w:rsidRPr="00F7136B">
        <w:rPr>
          <w:b/>
          <w:noProof/>
          <w:lang w:eastAsia="en-AU"/>
        </w:rPr>
        <w:drawing>
          <wp:inline distT="0" distB="0" distL="0" distR="0">
            <wp:extent cx="4708800" cy="2858400"/>
            <wp:effectExtent l="0" t="0" r="0" b="0"/>
            <wp:docPr id="3" name="Picture 3" descr="Provides the average hours worked by midwives between the period 2013 and 2017.&#10;&#10;2013 - 34.96 &#10;2014 - 28.1&#10;2015 - 26.08&#10;2016 - 25.72&#10;2017 - 25.66&#10;&#10;Over the period the average hours worked by midwives has decreased 26.6% for the period." title="Figure 8: Midwifery (supply) average hours, 2013 - 2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87CE3B0.tmp"/>
                    <pic:cNvPicPr/>
                  </pic:nvPicPr>
                  <pic:blipFill rotWithShape="1">
                    <a:blip r:embed="rId14">
                      <a:extLst>
                        <a:ext uri="{28A0092B-C50C-407E-A947-70E740481C1C}">
                          <a14:useLocalDpi xmlns:a14="http://schemas.microsoft.com/office/drawing/2010/main" val="0"/>
                        </a:ext>
                      </a:extLst>
                    </a:blip>
                    <a:srcRect l="3324" t="27578" r="43164" b="12122"/>
                    <a:stretch/>
                  </pic:blipFill>
                  <pic:spPr bwMode="auto">
                    <a:xfrm>
                      <a:off x="0" y="0"/>
                      <a:ext cx="4708800" cy="2858400"/>
                    </a:xfrm>
                    <a:prstGeom prst="rect">
                      <a:avLst/>
                    </a:prstGeom>
                    <a:ln>
                      <a:noFill/>
                    </a:ln>
                    <a:extLst>
                      <a:ext uri="{53640926-AAD7-44D8-BBD7-CCE9431645EC}">
                        <a14:shadowObscured xmlns:a14="http://schemas.microsoft.com/office/drawing/2010/main"/>
                      </a:ext>
                    </a:extLst>
                  </pic:spPr>
                </pic:pic>
              </a:graphicData>
            </a:graphic>
          </wp:inline>
        </w:drawing>
      </w:r>
    </w:p>
    <w:p w:rsidR="00BF27C5" w:rsidRDefault="00541D61" w:rsidP="00541D61">
      <w:r>
        <w:br w:type="page"/>
      </w:r>
    </w:p>
    <w:p w:rsidR="0032043A" w:rsidRDefault="00BF27C5" w:rsidP="0032043A">
      <w:pPr>
        <w:pStyle w:val="Caption"/>
      </w:pPr>
      <w:bookmarkStart w:id="55" w:name="_Toc1722561"/>
      <w:bookmarkStart w:id="56" w:name="_Toc1724685"/>
      <w:bookmarkStart w:id="57" w:name="_Toc1725003"/>
      <w:r>
        <w:lastRenderedPageBreak/>
        <w:t xml:space="preserve">Figure </w:t>
      </w:r>
      <w:r>
        <w:rPr>
          <w:noProof/>
        </w:rPr>
        <w:fldChar w:fldCharType="begin"/>
      </w:r>
      <w:r>
        <w:rPr>
          <w:noProof/>
        </w:rPr>
        <w:instrText xml:space="preserve"> SEQ Figure \* ARABIC </w:instrText>
      </w:r>
      <w:r>
        <w:rPr>
          <w:noProof/>
        </w:rPr>
        <w:fldChar w:fldCharType="separate"/>
      </w:r>
      <w:r w:rsidR="005E7E94">
        <w:rPr>
          <w:noProof/>
        </w:rPr>
        <w:t>9</w:t>
      </w:r>
      <w:r>
        <w:rPr>
          <w:noProof/>
        </w:rPr>
        <w:fldChar w:fldCharType="end"/>
      </w:r>
      <w:r>
        <w:t>: Midwifery (supply) average hours by state</w:t>
      </w:r>
      <w:r w:rsidR="005F4AF5">
        <w:t xml:space="preserve"> and territory</w:t>
      </w:r>
      <w:r>
        <w:t>, 2017</w:t>
      </w:r>
      <w:bookmarkEnd w:id="55"/>
      <w:bookmarkEnd w:id="56"/>
      <w:bookmarkEnd w:id="57"/>
    </w:p>
    <w:p w:rsidR="00BF27C5" w:rsidRDefault="0032043A" w:rsidP="0032043A">
      <w:pPr>
        <w:jc w:val="center"/>
      </w:pPr>
      <w:r>
        <w:rPr>
          <w:noProof/>
          <w:lang w:eastAsia="en-AU"/>
        </w:rPr>
        <w:drawing>
          <wp:inline distT="0" distB="0" distL="0" distR="0">
            <wp:extent cx="4968000" cy="3027600"/>
            <wp:effectExtent l="0" t="0" r="4445" b="1905"/>
            <wp:docPr id="8" name="Picture 8" descr="Shows the midwifery average hours by State and Territory and include:&#10;&#10;NSW - 27.2&#10;VIC - 24.9&#10;QLD - 25.1&#10;SA - 23.1&#10;WA - 26.5&#10;TAS - 26.6&#10;NT - 26.1&#10;ACT - 27.3&#10;National average - 25.7&#10;&#10;Midwives in New South Wales and the Australian Capital Territory worked the most hours and worked the least in South Australia." title="Figure 9: Midwifery (supply) average hours by state, 2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87C14D1.tmp"/>
                    <pic:cNvPicPr/>
                  </pic:nvPicPr>
                  <pic:blipFill rotWithShape="1">
                    <a:blip r:embed="rId15">
                      <a:extLst>
                        <a:ext uri="{28A0092B-C50C-407E-A947-70E740481C1C}">
                          <a14:useLocalDpi xmlns:a14="http://schemas.microsoft.com/office/drawing/2010/main" val="0"/>
                        </a:ext>
                      </a:extLst>
                    </a:blip>
                    <a:srcRect l="3324" t="26960" r="43386" b="12739"/>
                    <a:stretch/>
                  </pic:blipFill>
                  <pic:spPr bwMode="auto">
                    <a:xfrm>
                      <a:off x="0" y="0"/>
                      <a:ext cx="4968000" cy="3027600"/>
                    </a:xfrm>
                    <a:prstGeom prst="rect">
                      <a:avLst/>
                    </a:prstGeom>
                    <a:ln>
                      <a:noFill/>
                    </a:ln>
                    <a:extLst>
                      <a:ext uri="{53640926-AAD7-44D8-BBD7-CCE9431645EC}">
                        <a14:shadowObscured xmlns:a14="http://schemas.microsoft.com/office/drawing/2010/main"/>
                      </a:ext>
                    </a:extLst>
                  </pic:spPr>
                </pic:pic>
              </a:graphicData>
            </a:graphic>
          </wp:inline>
        </w:drawing>
      </w:r>
    </w:p>
    <w:p w:rsidR="00565FD0" w:rsidRDefault="00BF27C5" w:rsidP="00565FD0">
      <w:pPr>
        <w:pStyle w:val="Caption"/>
      </w:pPr>
      <w:bookmarkStart w:id="58" w:name="_Toc1722562"/>
      <w:bookmarkStart w:id="59" w:name="_Toc1724686"/>
      <w:bookmarkStart w:id="60" w:name="_Toc1725004"/>
      <w:r>
        <w:t xml:space="preserve">Figure </w:t>
      </w:r>
      <w:r>
        <w:rPr>
          <w:noProof/>
        </w:rPr>
        <w:fldChar w:fldCharType="begin"/>
      </w:r>
      <w:r>
        <w:rPr>
          <w:noProof/>
        </w:rPr>
        <w:instrText xml:space="preserve"> SEQ Figure \* ARABIC </w:instrText>
      </w:r>
      <w:r>
        <w:rPr>
          <w:noProof/>
        </w:rPr>
        <w:fldChar w:fldCharType="separate"/>
      </w:r>
      <w:r w:rsidR="005E7E94">
        <w:rPr>
          <w:noProof/>
        </w:rPr>
        <w:t>10</w:t>
      </w:r>
      <w:r>
        <w:rPr>
          <w:noProof/>
        </w:rPr>
        <w:fldChar w:fldCharType="end"/>
      </w:r>
      <w:r>
        <w:t>: Midwifery (supply) average hours by MMM, 2017</w:t>
      </w:r>
      <w:bookmarkStart w:id="61" w:name="_Toc509563875"/>
      <w:bookmarkEnd w:id="58"/>
      <w:bookmarkEnd w:id="59"/>
      <w:bookmarkEnd w:id="60"/>
    </w:p>
    <w:p w:rsidR="00367351" w:rsidRDefault="00565FD0" w:rsidP="005E7E94">
      <w:pPr>
        <w:pStyle w:val="Heading2"/>
        <w:spacing w:before="0" w:after="160"/>
        <w:jc w:val="center"/>
      </w:pPr>
      <w:r>
        <w:rPr>
          <w:noProof/>
          <w:lang w:eastAsia="en-AU"/>
        </w:rPr>
        <w:drawing>
          <wp:inline distT="0" distB="0" distL="0" distR="0">
            <wp:extent cx="5222443" cy="3205424"/>
            <wp:effectExtent l="0" t="0" r="0" b="0"/>
            <wp:docPr id="9" name="Picture 9" descr="Figure 10: Midwifery (supply) average hours by Modified Monash Model, 2017&#10;MMM1 - 26.6&#10;MMM2 - 25.4&#10;MMM3 - 25.1&#10;MMM4 - 22.5&#10;MMM5 - 16.2&#10;MMM6 - 25.4&#10;MMM7 - 18.1&#10;National Average - 25.7&#10;&#10;Midwives tend to work hours near the national average for most Modified Monash Model areas.  Midwives located in MMM4, MMM5 and MMM7 areas tend to work less hours." title="Figure 10: Midwifery (supply) average hours by Modified Monash Model, 2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87C146B.tmp"/>
                    <pic:cNvPicPr/>
                  </pic:nvPicPr>
                  <pic:blipFill rotWithShape="1">
                    <a:blip r:embed="rId16">
                      <a:extLst>
                        <a:ext uri="{28A0092B-C50C-407E-A947-70E740481C1C}">
                          <a14:useLocalDpi xmlns:a14="http://schemas.microsoft.com/office/drawing/2010/main" val="0"/>
                        </a:ext>
                      </a:extLst>
                    </a:blip>
                    <a:srcRect l="3656" t="29225" r="43275" b="10269"/>
                    <a:stretch/>
                  </pic:blipFill>
                  <pic:spPr bwMode="auto">
                    <a:xfrm>
                      <a:off x="0" y="0"/>
                      <a:ext cx="5234767" cy="3212988"/>
                    </a:xfrm>
                    <a:prstGeom prst="rect">
                      <a:avLst/>
                    </a:prstGeom>
                    <a:ln>
                      <a:noFill/>
                    </a:ln>
                    <a:extLst>
                      <a:ext uri="{53640926-AAD7-44D8-BBD7-CCE9431645EC}">
                        <a14:shadowObscured xmlns:a14="http://schemas.microsoft.com/office/drawing/2010/main"/>
                      </a:ext>
                    </a:extLst>
                  </pic:spPr>
                </pic:pic>
              </a:graphicData>
            </a:graphic>
          </wp:inline>
        </w:drawing>
      </w:r>
    </w:p>
    <w:p w:rsidR="00941C2E" w:rsidRPr="0011685D" w:rsidRDefault="00E60AE3" w:rsidP="00E85564">
      <w:pPr>
        <w:pStyle w:val="Heading2"/>
      </w:pPr>
      <w:bookmarkStart w:id="62" w:name="_Toc10808382"/>
      <w:r>
        <w:t>Midwives</w:t>
      </w:r>
      <w:r w:rsidR="00941C2E" w:rsidRPr="0011685D">
        <w:t xml:space="preserve"> who attended a </w:t>
      </w:r>
      <w:r>
        <w:t xml:space="preserve">home </w:t>
      </w:r>
      <w:r w:rsidR="00941C2E" w:rsidRPr="0011685D">
        <w:t>birth as the primary midwife</w:t>
      </w:r>
      <w:bookmarkEnd w:id="61"/>
      <w:bookmarkEnd w:id="62"/>
    </w:p>
    <w:p w:rsidR="00E87126" w:rsidRDefault="00431D1C" w:rsidP="00541D61">
      <w:r w:rsidRPr="00DA7172">
        <w:rPr>
          <w:rFonts w:cs="Arial"/>
          <w:szCs w:val="22"/>
        </w:rPr>
        <w:t>The vast majority (97 per cent) of women birth in a hospital setting, 2 per cent in a birthing c</w:t>
      </w:r>
      <w:r w:rsidR="00763D93" w:rsidRPr="00DA7172">
        <w:rPr>
          <w:rFonts w:cs="Arial"/>
          <w:szCs w:val="22"/>
        </w:rPr>
        <w:t xml:space="preserve">entre and 0.4 per cent at home. </w:t>
      </w:r>
      <w:r w:rsidRPr="00431D1C">
        <w:t xml:space="preserve">The NMBA Safety and </w:t>
      </w:r>
      <w:r w:rsidR="00D01AAC">
        <w:t>Q</w:t>
      </w:r>
      <w:r w:rsidRPr="00431D1C">
        <w:t xml:space="preserve">uality guidelines for privately practising midwives require </w:t>
      </w:r>
      <w:r w:rsidR="00F9587D">
        <w:t>t</w:t>
      </w:r>
      <w:r w:rsidRPr="00431D1C">
        <w:t>here should be two registered health professionals, educated to provide maternal and newborn care</w:t>
      </w:r>
      <w:r w:rsidR="00673352">
        <w:t xml:space="preserve"> and </w:t>
      </w:r>
      <w:r w:rsidR="00DA7172">
        <w:t>s</w:t>
      </w:r>
      <w:r w:rsidRPr="00431D1C">
        <w:t xml:space="preserve">killed and current in maternity emergency management </w:t>
      </w:r>
      <w:r w:rsidR="00D8290E" w:rsidRPr="00431D1C">
        <w:t>and maternal</w:t>
      </w:r>
      <w:r w:rsidRPr="00431D1C">
        <w:t>/neonatal resuscitation</w:t>
      </w:r>
      <w:r w:rsidR="001B3D79">
        <w:t>.</w:t>
      </w:r>
      <w:r>
        <w:t xml:space="preserve"> </w:t>
      </w:r>
      <w:r>
        <w:rPr>
          <w:rStyle w:val="FootnoteReference"/>
          <w:rFonts w:cs="Arial"/>
          <w:bCs/>
          <w:szCs w:val="22"/>
        </w:rPr>
        <w:footnoteReference w:id="2"/>
      </w:r>
    </w:p>
    <w:p w:rsidR="00431D1C" w:rsidRPr="00541D61" w:rsidRDefault="00E87126" w:rsidP="00541D61">
      <w:r>
        <w:br w:type="page"/>
      </w:r>
    </w:p>
    <w:p w:rsidR="002569A9" w:rsidRPr="002569A9" w:rsidRDefault="00EB1AC2" w:rsidP="002569A9">
      <w:pPr>
        <w:pStyle w:val="Caption"/>
      </w:pPr>
      <w:bookmarkStart w:id="63" w:name="_Toc532473567"/>
      <w:bookmarkStart w:id="64" w:name="_Toc1722563"/>
      <w:bookmarkStart w:id="65" w:name="_Toc1724687"/>
      <w:bookmarkStart w:id="66" w:name="_Toc1725005"/>
      <w:r>
        <w:lastRenderedPageBreak/>
        <w:t xml:space="preserve">Figure </w:t>
      </w:r>
      <w:r w:rsidR="00954D39">
        <w:t>11</w:t>
      </w:r>
      <w:r>
        <w:t>:</w:t>
      </w:r>
      <w:bookmarkEnd w:id="63"/>
      <w:r w:rsidR="00073506">
        <w:t xml:space="preserve"> Attendance at birth as the primary midwife</w:t>
      </w:r>
      <w:bookmarkStart w:id="67" w:name="_Toc505851310"/>
      <w:bookmarkEnd w:id="64"/>
      <w:bookmarkEnd w:id="65"/>
      <w:bookmarkEnd w:id="66"/>
    </w:p>
    <w:p w:rsidR="004A4B6F" w:rsidRDefault="004A4B6F" w:rsidP="002569A9">
      <w:pPr>
        <w:spacing w:after="120" w:line="240" w:lineRule="auto"/>
        <w:rPr>
          <w:rFonts w:eastAsia="Calibri" w:cs="Arial"/>
          <w:i/>
          <w:sz w:val="18"/>
          <w:szCs w:val="18"/>
        </w:rPr>
      </w:pPr>
      <w:r>
        <w:rPr>
          <w:rFonts w:eastAsia="Calibri" w:cs="Arial"/>
          <w:i/>
          <w:noProof/>
          <w:sz w:val="18"/>
          <w:szCs w:val="18"/>
          <w:lang w:eastAsia="en-AU"/>
        </w:rPr>
        <w:drawing>
          <wp:inline distT="0" distB="0" distL="0" distR="0">
            <wp:extent cx="6033010" cy="3435350"/>
            <wp:effectExtent l="0" t="0" r="6350" b="0"/>
            <wp:docPr id="12" name="Picture 12" descr="1. Midwife supply total - 21,149&#10;2. Attended at least one birth as primary midwife - 11,165; 53%.&#10;3. Did not attend any births as primary midwife - 9,984; 47%.&#10;4. Attended at least one home birth as primary midwife - 212; 2%&#10;5. Did not attend at least one home birth as primary midwife - 10,953; 98%.&#10;Number of  those who attended at least one home birth by primary midwife sector:&#10;6. General Practice - 0&#10;7. Specialist O&amp;G Practice - 0&#10;8. Group midwifery practice/caseload - 82&#10;9. Independent private practice - 65&#10;10. Other job settings - 65&#10;&#10;" title="Figure 11: Attendance at birth as the primary midwi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87CB8BB.tmp"/>
                    <pic:cNvPicPr/>
                  </pic:nvPicPr>
                  <pic:blipFill rotWithShape="1">
                    <a:blip r:embed="rId17">
                      <a:extLst>
                        <a:ext uri="{28A0092B-C50C-407E-A947-70E740481C1C}">
                          <a14:useLocalDpi xmlns:a14="http://schemas.microsoft.com/office/drawing/2010/main" val="0"/>
                        </a:ext>
                      </a:extLst>
                    </a:blip>
                    <a:srcRect l="3877" t="25931" r="32307" b="6565"/>
                    <a:stretch/>
                  </pic:blipFill>
                  <pic:spPr bwMode="auto">
                    <a:xfrm>
                      <a:off x="0" y="0"/>
                      <a:ext cx="6033600" cy="3435686"/>
                    </a:xfrm>
                    <a:prstGeom prst="rect">
                      <a:avLst/>
                    </a:prstGeom>
                    <a:ln>
                      <a:noFill/>
                    </a:ln>
                    <a:extLst>
                      <a:ext uri="{53640926-AAD7-44D8-BBD7-CCE9431645EC}">
                        <a14:shadowObscured xmlns:a14="http://schemas.microsoft.com/office/drawing/2010/main"/>
                      </a:ext>
                    </a:extLst>
                  </pic:spPr>
                </pic:pic>
              </a:graphicData>
            </a:graphic>
          </wp:inline>
        </w:drawing>
      </w:r>
    </w:p>
    <w:p w:rsidR="009C6D99" w:rsidRPr="00885BE2" w:rsidRDefault="009C6D99" w:rsidP="009C6D99">
      <w:pPr>
        <w:spacing w:after="120" w:line="240" w:lineRule="auto"/>
        <w:jc w:val="both"/>
        <w:rPr>
          <w:rFonts w:eastAsia="Calibri" w:cs="Arial"/>
          <w:i/>
          <w:sz w:val="16"/>
          <w:szCs w:val="16"/>
        </w:rPr>
      </w:pPr>
      <w:r w:rsidRPr="00885BE2">
        <w:rPr>
          <w:rFonts w:eastAsia="Calibri" w:cs="Arial"/>
          <w:i/>
          <w:sz w:val="16"/>
          <w:szCs w:val="16"/>
        </w:rPr>
        <w:t>Source: NHWDS, Nursing and Midwifery 2017</w:t>
      </w:r>
    </w:p>
    <w:p w:rsidR="00E16340" w:rsidRPr="00C5057B" w:rsidRDefault="00E16340" w:rsidP="00121283">
      <w:pPr>
        <w:pStyle w:val="Heading1"/>
        <w:rPr>
          <w:rFonts w:eastAsia="Times New Roman"/>
        </w:rPr>
      </w:pPr>
      <w:bookmarkStart w:id="68" w:name="_Toc10808383"/>
      <w:r w:rsidRPr="00C5057B">
        <w:rPr>
          <w:rFonts w:eastAsia="Times New Roman"/>
        </w:rPr>
        <w:t>Education</w:t>
      </w:r>
      <w:bookmarkEnd w:id="67"/>
      <w:bookmarkEnd w:id="68"/>
    </w:p>
    <w:p w:rsidR="00E16340" w:rsidRPr="00431D1C" w:rsidRDefault="00E16340" w:rsidP="00E16340">
      <w:pPr>
        <w:spacing w:before="120" w:after="120" w:line="240" w:lineRule="auto"/>
        <w:jc w:val="both"/>
        <w:rPr>
          <w:rFonts w:eastAsia="Times New Roman" w:cs="Arial"/>
          <w:szCs w:val="22"/>
        </w:rPr>
      </w:pPr>
      <w:r w:rsidRPr="00431D1C">
        <w:rPr>
          <w:rFonts w:eastAsia="Times New Roman" w:cs="Arial"/>
          <w:szCs w:val="22"/>
        </w:rPr>
        <w:t>In Australia, midwifery education is delivered via various programs. A brief summary of each is as follows:</w:t>
      </w:r>
    </w:p>
    <w:p w:rsidR="00E16340" w:rsidRPr="0011685D" w:rsidRDefault="00E16340" w:rsidP="00E85564">
      <w:pPr>
        <w:pStyle w:val="Heading2"/>
      </w:pPr>
      <w:bookmarkStart w:id="69" w:name="_Toc10808384"/>
      <w:r w:rsidRPr="0011685D">
        <w:t>Bachelor of Midwifery</w:t>
      </w:r>
      <w:bookmarkEnd w:id="69"/>
    </w:p>
    <w:p w:rsidR="00E16340" w:rsidRPr="00431D1C" w:rsidRDefault="00E16340" w:rsidP="00E16340">
      <w:pPr>
        <w:spacing w:after="60" w:line="240" w:lineRule="auto"/>
        <w:rPr>
          <w:rFonts w:eastAsia="Times New Roman" w:cs="Arial"/>
          <w:szCs w:val="22"/>
        </w:rPr>
      </w:pPr>
      <w:r w:rsidRPr="00431D1C">
        <w:rPr>
          <w:rFonts w:eastAsia="Times New Roman" w:cs="Arial"/>
          <w:szCs w:val="22"/>
        </w:rPr>
        <w:t xml:space="preserve">The Bachelor of Midwifery is a three year undergraduate degree. Once a student has completed their degree, they are eligible for registration with the </w:t>
      </w:r>
      <w:r w:rsidR="00550B20">
        <w:rPr>
          <w:rFonts w:eastAsia="Times New Roman" w:cs="Arial"/>
          <w:szCs w:val="22"/>
        </w:rPr>
        <w:t>NMBA</w:t>
      </w:r>
      <w:r w:rsidRPr="00431D1C">
        <w:rPr>
          <w:rFonts w:eastAsia="Times New Roman" w:cs="Arial"/>
          <w:szCs w:val="22"/>
        </w:rPr>
        <w:t xml:space="preserve"> as a Registered Midwife and are able to work in a range of settings.</w:t>
      </w:r>
    </w:p>
    <w:p w:rsidR="00E16340" w:rsidRPr="0011685D" w:rsidRDefault="00E16340" w:rsidP="00E85564">
      <w:pPr>
        <w:pStyle w:val="Heading2"/>
      </w:pPr>
      <w:bookmarkStart w:id="70" w:name="_Toc10808385"/>
      <w:r w:rsidRPr="0011685D">
        <w:t>Bachelors of Nursing and Midwifery</w:t>
      </w:r>
      <w:bookmarkEnd w:id="70"/>
    </w:p>
    <w:p w:rsidR="00E16340" w:rsidRPr="00431D1C" w:rsidRDefault="00E16340" w:rsidP="00E16340">
      <w:pPr>
        <w:spacing w:before="120" w:after="120" w:line="240" w:lineRule="auto"/>
        <w:jc w:val="both"/>
        <w:rPr>
          <w:rFonts w:eastAsia="Times New Roman" w:cs="Arial"/>
          <w:szCs w:val="22"/>
        </w:rPr>
      </w:pPr>
      <w:r w:rsidRPr="00431D1C">
        <w:rPr>
          <w:rFonts w:eastAsia="Times New Roman" w:cs="Arial"/>
          <w:szCs w:val="22"/>
        </w:rPr>
        <w:t xml:space="preserve">Also known as a dual degree, the combined Bachelor of Nursing/Bachelor of Midwifery course takes approximately </w:t>
      </w:r>
      <w:r w:rsidR="00D01AAC">
        <w:rPr>
          <w:rFonts w:eastAsia="Times New Roman" w:cs="Arial"/>
          <w:szCs w:val="22"/>
        </w:rPr>
        <w:t xml:space="preserve">four </w:t>
      </w:r>
      <w:r w:rsidRPr="00431D1C">
        <w:rPr>
          <w:rFonts w:eastAsia="Times New Roman" w:cs="Arial"/>
          <w:szCs w:val="22"/>
        </w:rPr>
        <w:t>years full-time study and provides graduates with qualifications that allow them to apply for registration with the NMBA as a Registered Nurse and a Registered Midwife.</w:t>
      </w:r>
    </w:p>
    <w:p w:rsidR="00E16340" w:rsidRPr="0011685D" w:rsidRDefault="00E16340" w:rsidP="00E85564">
      <w:pPr>
        <w:pStyle w:val="Heading2"/>
      </w:pPr>
      <w:bookmarkStart w:id="71" w:name="_Toc10808386"/>
      <w:r w:rsidRPr="0011685D">
        <w:t>Graduate Diploma of Midwifery</w:t>
      </w:r>
      <w:bookmarkEnd w:id="71"/>
    </w:p>
    <w:p w:rsidR="00E16340" w:rsidRPr="00431D1C" w:rsidRDefault="00E16340" w:rsidP="00E16340">
      <w:pPr>
        <w:spacing w:after="60" w:line="240" w:lineRule="auto"/>
        <w:rPr>
          <w:rFonts w:eastAsia="Times New Roman" w:cs="Arial"/>
          <w:szCs w:val="22"/>
        </w:rPr>
      </w:pPr>
      <w:r w:rsidRPr="00431D1C">
        <w:rPr>
          <w:rFonts w:eastAsia="Times New Roman" w:cs="Arial"/>
          <w:szCs w:val="22"/>
        </w:rPr>
        <w:t xml:space="preserve">Eligibility for registration as a Midwife is also possible through completion of a Bachelor of Nursing and then completion of a Graduate Diploma of Midwifery. A Bachelor of Nursing generally takes </w:t>
      </w:r>
      <w:r w:rsidR="00D01AAC">
        <w:rPr>
          <w:rFonts w:eastAsia="Times New Roman" w:cs="Arial"/>
          <w:szCs w:val="22"/>
        </w:rPr>
        <w:t>three</w:t>
      </w:r>
      <w:r w:rsidRPr="00431D1C">
        <w:rPr>
          <w:rFonts w:eastAsia="Times New Roman" w:cs="Arial"/>
          <w:szCs w:val="22"/>
        </w:rPr>
        <w:t xml:space="preserve"> years and a Graduate Diploma of Midwifery is about 12-18 months in length, depending on whether it is </w:t>
      </w:r>
      <w:r w:rsidR="00D01AAC">
        <w:rPr>
          <w:rFonts w:eastAsia="Times New Roman" w:cs="Arial"/>
          <w:szCs w:val="22"/>
        </w:rPr>
        <w:t>under</w:t>
      </w:r>
      <w:r w:rsidRPr="00431D1C">
        <w:rPr>
          <w:rFonts w:eastAsia="Times New Roman" w:cs="Arial"/>
          <w:szCs w:val="22"/>
        </w:rPr>
        <w:t xml:space="preserve">taken full-time or part-time. </w:t>
      </w:r>
    </w:p>
    <w:p w:rsidR="00E16340" w:rsidRPr="0011685D" w:rsidRDefault="00E16340" w:rsidP="00E85564">
      <w:pPr>
        <w:pStyle w:val="Heading2"/>
      </w:pPr>
      <w:bookmarkStart w:id="72" w:name="_Toc10808387"/>
      <w:r w:rsidRPr="0011685D">
        <w:t>Master of Midwifery</w:t>
      </w:r>
      <w:bookmarkEnd w:id="72"/>
    </w:p>
    <w:p w:rsidR="00E16340" w:rsidRPr="00431D1C" w:rsidRDefault="00E16340" w:rsidP="00E16340">
      <w:pPr>
        <w:spacing w:before="120" w:after="120" w:line="240" w:lineRule="auto"/>
        <w:jc w:val="both"/>
        <w:rPr>
          <w:rFonts w:eastAsia="Times New Roman" w:cs="Arial"/>
          <w:szCs w:val="22"/>
        </w:rPr>
      </w:pPr>
      <w:r w:rsidRPr="00431D1C">
        <w:rPr>
          <w:rFonts w:eastAsia="Times New Roman" w:cs="Arial"/>
          <w:szCs w:val="22"/>
        </w:rPr>
        <w:t xml:space="preserve">Some </w:t>
      </w:r>
      <w:r w:rsidR="00550B20">
        <w:rPr>
          <w:rFonts w:eastAsia="Times New Roman" w:cs="Arial"/>
          <w:szCs w:val="22"/>
        </w:rPr>
        <w:t xml:space="preserve">but not all </w:t>
      </w:r>
      <w:r w:rsidRPr="00431D1C">
        <w:rPr>
          <w:rFonts w:eastAsia="Times New Roman" w:cs="Arial"/>
          <w:szCs w:val="22"/>
        </w:rPr>
        <w:t xml:space="preserve">Master of Midwifery courses also lead to eligibility for registration. </w:t>
      </w:r>
    </w:p>
    <w:p w:rsidR="00E16340" w:rsidRPr="0011685D" w:rsidRDefault="00E16340" w:rsidP="00E85564">
      <w:pPr>
        <w:pStyle w:val="Heading2"/>
      </w:pPr>
      <w:bookmarkStart w:id="73" w:name="_Toc10808388"/>
      <w:r w:rsidRPr="0011685D">
        <w:t>Endorsed Midwife</w:t>
      </w:r>
      <w:bookmarkEnd w:id="73"/>
    </w:p>
    <w:p w:rsidR="00E16340" w:rsidRPr="00431D1C" w:rsidRDefault="00E16340" w:rsidP="00E16340">
      <w:pPr>
        <w:spacing w:before="120" w:after="120" w:line="240" w:lineRule="auto"/>
        <w:jc w:val="both"/>
        <w:rPr>
          <w:rFonts w:eastAsia="Times New Roman" w:cs="Arial"/>
          <w:szCs w:val="22"/>
        </w:rPr>
      </w:pPr>
      <w:r w:rsidRPr="00431D1C">
        <w:rPr>
          <w:rFonts w:eastAsia="Times New Roman" w:cs="Arial"/>
          <w:szCs w:val="22"/>
        </w:rPr>
        <w:t xml:space="preserve">Midwives </w:t>
      </w:r>
      <w:r w:rsidR="00A379ED">
        <w:rPr>
          <w:rFonts w:eastAsia="Times New Roman" w:cs="Arial"/>
          <w:szCs w:val="22"/>
        </w:rPr>
        <w:t>can seek</w:t>
      </w:r>
      <w:r w:rsidRPr="00431D1C">
        <w:rPr>
          <w:rFonts w:eastAsia="Times New Roman" w:cs="Arial"/>
          <w:szCs w:val="22"/>
        </w:rPr>
        <w:t xml:space="preserve"> to obtain an additional endorsement on their registration which allows them to prescribe certain medications. The NMBA has developed the </w:t>
      </w:r>
      <w:r w:rsidRPr="00431D1C">
        <w:rPr>
          <w:rFonts w:eastAsia="Times New Roman" w:cs="Arial"/>
          <w:i/>
          <w:szCs w:val="22"/>
        </w:rPr>
        <w:t xml:space="preserve">Registration standard: </w:t>
      </w:r>
      <w:r w:rsidRPr="00431D1C">
        <w:rPr>
          <w:rFonts w:eastAsia="Times New Roman" w:cs="Arial"/>
          <w:i/>
          <w:szCs w:val="22"/>
        </w:rPr>
        <w:lastRenderedPageBreak/>
        <w:t>Endorsement for scheduled medicines for midwives</w:t>
      </w:r>
      <w:r w:rsidRPr="00431D1C">
        <w:rPr>
          <w:rFonts w:eastAsia="Times New Roman" w:cs="Arial"/>
          <w:szCs w:val="22"/>
        </w:rPr>
        <w:t>.</w:t>
      </w:r>
      <w:r w:rsidR="00550B20">
        <w:rPr>
          <w:rStyle w:val="FootnoteReference"/>
          <w:rFonts w:eastAsia="Times New Roman" w:cs="Arial"/>
          <w:szCs w:val="22"/>
        </w:rPr>
        <w:footnoteReference w:id="3"/>
      </w:r>
      <w:r w:rsidRPr="00431D1C">
        <w:rPr>
          <w:rFonts w:eastAsia="Times New Roman" w:cs="Arial"/>
          <w:szCs w:val="22"/>
        </w:rPr>
        <w:t xml:space="preserve"> This standard governs the endorsement of midwives for scheduled medicines. Endorsed Midwives are able to apply to Medicare for a Medicare provider number and/or a Pharmaceutical Benefits Scheme (PBS) provider number. This allows the Endorsed Midwife to provide services that are eligible for a Medicare rebate and enables them to become authorised PBS prescribers.</w:t>
      </w:r>
    </w:p>
    <w:p w:rsidR="00E16340" w:rsidRPr="00431D1C" w:rsidRDefault="00E16340" w:rsidP="00E16340">
      <w:pPr>
        <w:spacing w:before="120" w:after="120" w:line="240" w:lineRule="auto"/>
        <w:jc w:val="both"/>
        <w:rPr>
          <w:rFonts w:eastAsia="Times New Roman" w:cs="Arial"/>
          <w:szCs w:val="22"/>
        </w:rPr>
      </w:pPr>
      <w:r w:rsidRPr="00431D1C">
        <w:rPr>
          <w:rFonts w:eastAsia="Times New Roman" w:cs="Arial"/>
          <w:szCs w:val="22"/>
        </w:rPr>
        <w:t>To obtain the endorsement, eligible midwives must successfully complete an NMBA approved program of study that leads to an endorsement for scheduled medicines or a substantially equivalent program as determined by the NMBA. Further requirements include:</w:t>
      </w:r>
    </w:p>
    <w:p w:rsidR="00E16340" w:rsidRPr="00431D1C" w:rsidRDefault="00E16340" w:rsidP="002B7E32">
      <w:pPr>
        <w:numPr>
          <w:ilvl w:val="0"/>
          <w:numId w:val="20"/>
        </w:numPr>
        <w:spacing w:before="120" w:after="120" w:line="240" w:lineRule="auto"/>
        <w:jc w:val="both"/>
        <w:rPr>
          <w:rFonts w:eastAsia="Times New Roman" w:cs="Arial"/>
          <w:szCs w:val="22"/>
        </w:rPr>
      </w:pPr>
      <w:r w:rsidRPr="00431D1C">
        <w:rPr>
          <w:rFonts w:eastAsia="Times New Roman" w:cs="Arial"/>
          <w:szCs w:val="22"/>
        </w:rPr>
        <w:t>Current general registration as a midwi</w:t>
      </w:r>
      <w:r w:rsidR="00A379ED">
        <w:rPr>
          <w:rFonts w:eastAsia="Times New Roman" w:cs="Arial"/>
          <w:szCs w:val="22"/>
        </w:rPr>
        <w:t>fe</w:t>
      </w:r>
      <w:r w:rsidRPr="00431D1C">
        <w:rPr>
          <w:rFonts w:eastAsia="Times New Roman" w:cs="Arial"/>
          <w:szCs w:val="22"/>
        </w:rPr>
        <w:t xml:space="preserve"> in Australia without conditions or unsatisfactory performance; and</w:t>
      </w:r>
    </w:p>
    <w:p w:rsidR="00E16340" w:rsidRPr="00431D1C" w:rsidRDefault="00E16340" w:rsidP="002B7E32">
      <w:pPr>
        <w:numPr>
          <w:ilvl w:val="0"/>
          <w:numId w:val="20"/>
        </w:numPr>
        <w:spacing w:before="120" w:after="120" w:line="240" w:lineRule="auto"/>
        <w:jc w:val="both"/>
        <w:rPr>
          <w:rFonts w:eastAsia="Times New Roman" w:cs="Arial"/>
          <w:szCs w:val="22"/>
        </w:rPr>
      </w:pPr>
      <w:r w:rsidRPr="00431D1C">
        <w:rPr>
          <w:rFonts w:eastAsia="Times New Roman" w:cs="Arial"/>
          <w:szCs w:val="22"/>
        </w:rPr>
        <w:t xml:space="preserve">Completion of the equivalent of </w:t>
      </w:r>
      <w:r w:rsidR="00D01AAC">
        <w:rPr>
          <w:rFonts w:eastAsia="Times New Roman" w:cs="Arial"/>
          <w:szCs w:val="22"/>
        </w:rPr>
        <w:t>three</w:t>
      </w:r>
      <w:r w:rsidRPr="00431D1C">
        <w:rPr>
          <w:rFonts w:eastAsia="Times New Roman" w:cs="Arial"/>
          <w:szCs w:val="22"/>
        </w:rPr>
        <w:t xml:space="preserve"> years full time clinical practice (i.e. 5000 hours) within the past </w:t>
      </w:r>
      <w:r w:rsidR="00D01AAC">
        <w:rPr>
          <w:rFonts w:eastAsia="Times New Roman" w:cs="Arial"/>
          <w:szCs w:val="22"/>
        </w:rPr>
        <w:t>six</w:t>
      </w:r>
      <w:r w:rsidRPr="00431D1C">
        <w:rPr>
          <w:rFonts w:eastAsia="Times New Roman" w:cs="Arial"/>
          <w:szCs w:val="22"/>
        </w:rPr>
        <w:t xml:space="preserve"> years across the full </w:t>
      </w:r>
      <w:r w:rsidR="004D53D1">
        <w:rPr>
          <w:rFonts w:eastAsia="Times New Roman" w:cs="Arial"/>
          <w:szCs w:val="22"/>
        </w:rPr>
        <w:t>continuity</w:t>
      </w:r>
      <w:r w:rsidRPr="00431D1C">
        <w:rPr>
          <w:rFonts w:eastAsia="Times New Roman" w:cs="Arial"/>
          <w:szCs w:val="22"/>
        </w:rPr>
        <w:t xml:space="preserve"> of midwifery care or within a specified context of</w:t>
      </w:r>
      <w:r w:rsidR="00167ABC">
        <w:rPr>
          <w:rFonts w:eastAsia="Times New Roman" w:cs="Arial"/>
          <w:szCs w:val="22"/>
        </w:rPr>
        <w:t xml:space="preserve"> </w:t>
      </w:r>
      <w:r w:rsidR="00D8290E">
        <w:rPr>
          <w:rFonts w:eastAsia="Times New Roman" w:cs="Arial"/>
          <w:szCs w:val="22"/>
        </w:rPr>
        <w:t>practice</w:t>
      </w:r>
      <w:r w:rsidRPr="00431D1C">
        <w:rPr>
          <w:rFonts w:eastAsia="Times New Roman" w:cs="Arial"/>
          <w:szCs w:val="22"/>
        </w:rPr>
        <w:t>. Recognised contexts of practice include antenatal, postnatal and ante and postnatal combined.</w:t>
      </w:r>
    </w:p>
    <w:p w:rsidR="00E16340" w:rsidRPr="0011685D" w:rsidRDefault="00E16340" w:rsidP="00E85564">
      <w:pPr>
        <w:pStyle w:val="Heading2"/>
      </w:pPr>
      <w:bookmarkStart w:id="74" w:name="_Toc10808389"/>
      <w:r w:rsidRPr="00121283">
        <w:rPr>
          <w:rStyle w:val="Heading4Char"/>
        </w:rPr>
        <w:t xml:space="preserve">Entry Programs for Internationally Qualified </w:t>
      </w:r>
      <w:r w:rsidR="00EB706D">
        <w:rPr>
          <w:rStyle w:val="Heading4Char"/>
        </w:rPr>
        <w:t xml:space="preserve">(EPIQ) </w:t>
      </w:r>
      <w:r w:rsidRPr="00121283">
        <w:rPr>
          <w:rStyle w:val="Heading4Char"/>
        </w:rPr>
        <w:t>Midwives</w:t>
      </w:r>
      <w:bookmarkEnd w:id="74"/>
      <w:r w:rsidRPr="00121283">
        <w:rPr>
          <w:rStyle w:val="Heading4Char"/>
        </w:rPr>
        <w:t xml:space="preserve"> </w:t>
      </w:r>
    </w:p>
    <w:p w:rsidR="00E16340" w:rsidRPr="00431D1C" w:rsidRDefault="00E16340" w:rsidP="00E16340">
      <w:pPr>
        <w:spacing w:before="120" w:after="120" w:line="240" w:lineRule="auto"/>
        <w:jc w:val="both"/>
        <w:rPr>
          <w:rFonts w:eastAsia="Times New Roman" w:cs="Arial"/>
          <w:szCs w:val="22"/>
        </w:rPr>
      </w:pPr>
      <w:r w:rsidRPr="00431D1C">
        <w:rPr>
          <w:rFonts w:eastAsia="Times New Roman" w:cs="Arial"/>
          <w:szCs w:val="22"/>
        </w:rPr>
        <w:t>EPIQ</w:t>
      </w:r>
      <w:r w:rsidR="00D01AAC">
        <w:rPr>
          <w:rFonts w:eastAsia="Times New Roman" w:cs="Arial"/>
          <w:szCs w:val="22"/>
        </w:rPr>
        <w:t xml:space="preserve"> (midwifery)</w:t>
      </w:r>
      <w:r w:rsidRPr="00431D1C">
        <w:rPr>
          <w:rFonts w:eastAsia="Times New Roman" w:cs="Arial"/>
          <w:szCs w:val="22"/>
        </w:rPr>
        <w:t xml:space="preserve"> programs of study are bridging courses for internationally qualified midwives who are required by the NMBA to undertake a bridging program</w:t>
      </w:r>
      <w:r w:rsidR="00D8290E">
        <w:rPr>
          <w:rFonts w:eastAsia="Times New Roman" w:cs="Arial"/>
          <w:szCs w:val="22"/>
        </w:rPr>
        <w:t xml:space="preserve"> and</w:t>
      </w:r>
      <w:r w:rsidR="00FF26E3">
        <w:rPr>
          <w:rFonts w:eastAsia="Times New Roman" w:cs="Arial"/>
          <w:szCs w:val="22"/>
        </w:rPr>
        <w:t xml:space="preserve"> </w:t>
      </w:r>
      <w:r w:rsidRPr="00431D1C">
        <w:rPr>
          <w:rFonts w:eastAsia="Times New Roman" w:cs="Arial"/>
          <w:szCs w:val="22"/>
        </w:rPr>
        <w:t xml:space="preserve">assessment in accordance with section 53(c) of the </w:t>
      </w:r>
      <w:r w:rsidRPr="00431D1C">
        <w:rPr>
          <w:rFonts w:eastAsia="Times New Roman" w:cs="Arial"/>
          <w:i/>
          <w:szCs w:val="22"/>
        </w:rPr>
        <w:t>Health Practitioner Regulation National Law Act 2009</w:t>
      </w:r>
      <w:r w:rsidRPr="00431D1C">
        <w:rPr>
          <w:rFonts w:eastAsia="Times New Roman" w:cs="Arial"/>
          <w:szCs w:val="22"/>
        </w:rPr>
        <w:t>. NMBA approved EPIQ programs are a pathway for internationally qualified midwives to obtain a sufficient level of practice according to the Australian standards for practice. There have been no Australian Nursing and Midwifery Accreditation Council (ANMAC) accredited EPIQ</w:t>
      </w:r>
      <w:r w:rsidR="00367351">
        <w:rPr>
          <w:rFonts w:eastAsia="Times New Roman" w:cs="Arial"/>
          <w:szCs w:val="22"/>
        </w:rPr>
        <w:t xml:space="preserve"> (Midwifery)</w:t>
      </w:r>
      <w:r w:rsidRPr="00431D1C">
        <w:rPr>
          <w:rFonts w:eastAsia="Times New Roman" w:cs="Arial"/>
          <w:szCs w:val="22"/>
        </w:rPr>
        <w:t xml:space="preserve"> programs for midwives since 2015.</w:t>
      </w:r>
    </w:p>
    <w:p w:rsidR="00E16340" w:rsidRPr="0011685D" w:rsidRDefault="00E16340" w:rsidP="00E85564">
      <w:pPr>
        <w:pStyle w:val="Heading2"/>
      </w:pPr>
      <w:bookmarkStart w:id="75" w:name="_Toc10808390"/>
      <w:r w:rsidRPr="0011685D">
        <w:t>Return to Practice</w:t>
      </w:r>
      <w:bookmarkEnd w:id="75"/>
    </w:p>
    <w:p w:rsidR="00E16340" w:rsidRPr="00431D1C" w:rsidRDefault="00E16340" w:rsidP="00E16340">
      <w:pPr>
        <w:spacing w:before="120" w:after="120" w:line="240" w:lineRule="auto"/>
        <w:jc w:val="both"/>
        <w:rPr>
          <w:rFonts w:eastAsia="Times New Roman" w:cs="Arial"/>
          <w:szCs w:val="22"/>
        </w:rPr>
      </w:pPr>
      <w:r w:rsidRPr="00431D1C">
        <w:rPr>
          <w:rFonts w:eastAsia="Times New Roman" w:cs="Arial"/>
          <w:szCs w:val="22"/>
        </w:rPr>
        <w:t>Return to practice programs are for Australian trained or qualified midwives who are currently not registered and wish to regain their registration with NMBA. There have been no ANMAC accredited return to practice programs for midwives since 2015.</w:t>
      </w:r>
    </w:p>
    <w:p w:rsidR="00E16340" w:rsidRPr="00C5057B" w:rsidRDefault="00E16340" w:rsidP="00C35325">
      <w:pPr>
        <w:pStyle w:val="Heading2"/>
      </w:pPr>
      <w:bookmarkStart w:id="76" w:name="_Toc505851311"/>
      <w:bookmarkStart w:id="77" w:name="_Toc10808391"/>
      <w:r w:rsidRPr="00C5057B">
        <w:t>Midwifery Programs and Recent Trends</w:t>
      </w:r>
      <w:bookmarkEnd w:id="76"/>
      <w:bookmarkEnd w:id="77"/>
    </w:p>
    <w:p w:rsidR="00E16340" w:rsidRPr="00E16340" w:rsidRDefault="001A1EA6" w:rsidP="009C6D99">
      <w:pPr>
        <w:spacing w:line="240" w:lineRule="auto"/>
        <w:jc w:val="both"/>
      </w:pPr>
      <w:r>
        <w:t>ANMAC is</w:t>
      </w:r>
      <w:r w:rsidR="00E16340" w:rsidRPr="00E16340">
        <w:t xml:space="preserve"> the independent education accrediting authority for nursing and midwifery under the National Registration an</w:t>
      </w:r>
      <w:r>
        <w:t>d Accreditation Scheme. It is</w:t>
      </w:r>
      <w:r w:rsidR="00E16340" w:rsidRPr="00E16340">
        <w:t xml:space="preserve"> primarily responsible for maintaining the quality standards of nursing and midwifery education and assessment</w:t>
      </w:r>
      <w:r w:rsidR="00EF48AD">
        <w:t>. ANMAC</w:t>
      </w:r>
      <w:r>
        <w:t xml:space="preserve"> is</w:t>
      </w:r>
      <w:r w:rsidR="00E16340" w:rsidRPr="00E16340">
        <w:t xml:space="preserve"> also the authority responsible for the accr</w:t>
      </w:r>
      <w:r>
        <w:t>edited education of midwives who</w:t>
      </w:r>
      <w:r w:rsidR="00E16340" w:rsidRPr="00E16340">
        <w:t xml:space="preserve"> migrate to Australia under the Commonwealth’s General Skilled Migration program. Since 2010, ANMAC has monitored and/or accredited 123 midwifery programs.</w:t>
      </w:r>
    </w:p>
    <w:p w:rsidR="00E87126" w:rsidRDefault="00E16340" w:rsidP="009C6D99">
      <w:pPr>
        <w:spacing w:line="240" w:lineRule="auto"/>
        <w:jc w:val="both"/>
      </w:pPr>
      <w:r w:rsidRPr="00E16340">
        <w:t>Figure 1</w:t>
      </w:r>
      <w:r w:rsidR="00954D39">
        <w:t>2</w:t>
      </w:r>
      <w:r w:rsidRPr="00E16340">
        <w:t xml:space="preserve"> shows recent trends in the number of midwifery programs that were accredited by ANMAC from 2010 to 2018. Since 2010, Bachelor of Midwifery course accreditations have grown slightly from 13 to 16. The Graduate Diploma of Midwifery has seen a steady decline in accreditations from 19 in 2014 to 11 in 2018. Since the Endorsed Midwife programs were introduced in 2013, there has been gradual growth in accreditation to the c</w:t>
      </w:r>
      <w:r w:rsidR="00167ABC">
        <w:t>urrent number of five</w:t>
      </w:r>
      <w:r w:rsidRPr="00E16340">
        <w:t xml:space="preserve"> NMBA approved programs. As of 2018, the NMBA reports that 310 student places for Endorsed Midwives were approved. </w:t>
      </w:r>
    </w:p>
    <w:p w:rsidR="00E87126" w:rsidRDefault="00E87126" w:rsidP="00E87126">
      <w:r>
        <w:br w:type="page"/>
      </w:r>
    </w:p>
    <w:p w:rsidR="00A92440" w:rsidRPr="00A92440" w:rsidRDefault="00EB1AC2" w:rsidP="00A92440">
      <w:pPr>
        <w:pStyle w:val="Caption"/>
        <w:rPr>
          <w:rFonts w:ascii="Helvetica" w:hAnsi="Helvetica"/>
        </w:rPr>
      </w:pPr>
      <w:bookmarkStart w:id="78" w:name="_Toc532473568"/>
      <w:bookmarkStart w:id="79" w:name="_Toc1722564"/>
      <w:bookmarkStart w:id="80" w:name="_Toc1724688"/>
      <w:bookmarkStart w:id="81" w:name="_Toc1725006"/>
      <w:r w:rsidRPr="001F11F0">
        <w:lastRenderedPageBreak/>
        <w:t xml:space="preserve">Figure </w:t>
      </w:r>
      <w:r w:rsidR="001F11F0">
        <w:rPr>
          <w:noProof/>
        </w:rPr>
        <w:t>12</w:t>
      </w:r>
      <w:r w:rsidRPr="001F11F0">
        <w:t>: Trends in accredited Midwifery Programs</w:t>
      </w:r>
      <w:bookmarkEnd w:id="78"/>
      <w:bookmarkEnd w:id="79"/>
      <w:bookmarkEnd w:id="80"/>
      <w:bookmarkEnd w:id="81"/>
    </w:p>
    <w:p w:rsidR="00A92440" w:rsidRDefault="00A92440" w:rsidP="00A92440">
      <w:pPr>
        <w:spacing w:before="120" w:after="120" w:line="240" w:lineRule="auto"/>
        <w:jc w:val="center"/>
        <w:rPr>
          <w:rFonts w:ascii="Helvetica" w:eastAsia="Times New Roman" w:hAnsi="Helvetica"/>
          <w:i/>
          <w:sz w:val="16"/>
          <w:szCs w:val="16"/>
        </w:rPr>
      </w:pPr>
      <w:r>
        <w:rPr>
          <w:rFonts w:ascii="Helvetica" w:eastAsia="Times New Roman" w:hAnsi="Helvetica"/>
          <w:i/>
          <w:noProof/>
          <w:sz w:val="16"/>
          <w:szCs w:val="16"/>
          <w:lang w:eastAsia="en-AU"/>
        </w:rPr>
        <w:drawing>
          <wp:inline distT="0" distB="0" distL="0" distR="0">
            <wp:extent cx="5506872" cy="3457494"/>
            <wp:effectExtent l="0" t="0" r="0" b="0"/>
            <wp:docPr id="29" name="Picture 29" descr="Shows the trend of accredited midwifery programs for the period 2010 to 2018." title="Figure 12: Trends in accredited Midwifery Progra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87CA182.tmp"/>
                    <pic:cNvPicPr/>
                  </pic:nvPicPr>
                  <pic:blipFill rotWithShape="1">
                    <a:blip r:embed="rId18">
                      <a:extLst>
                        <a:ext uri="{28A0092B-C50C-407E-A947-70E740481C1C}">
                          <a14:useLocalDpi xmlns:a14="http://schemas.microsoft.com/office/drawing/2010/main" val="0"/>
                        </a:ext>
                      </a:extLst>
                    </a:blip>
                    <a:srcRect l="12859" t="26540" r="33090" b="10421"/>
                    <a:stretch/>
                  </pic:blipFill>
                  <pic:spPr bwMode="auto">
                    <a:xfrm>
                      <a:off x="0" y="0"/>
                      <a:ext cx="5520330" cy="3465943"/>
                    </a:xfrm>
                    <a:prstGeom prst="rect">
                      <a:avLst/>
                    </a:prstGeom>
                    <a:ln>
                      <a:noFill/>
                    </a:ln>
                    <a:extLst>
                      <a:ext uri="{53640926-AAD7-44D8-BBD7-CCE9431645EC}">
                        <a14:shadowObscured xmlns:a14="http://schemas.microsoft.com/office/drawing/2010/main"/>
                      </a:ext>
                    </a:extLst>
                  </pic:spPr>
                </pic:pic>
              </a:graphicData>
            </a:graphic>
          </wp:inline>
        </w:drawing>
      </w:r>
    </w:p>
    <w:p w:rsidR="00E16340" w:rsidRPr="00E16340" w:rsidRDefault="00E16340" w:rsidP="00E16340">
      <w:pPr>
        <w:spacing w:before="120" w:after="120" w:line="240" w:lineRule="auto"/>
        <w:jc w:val="both"/>
        <w:rPr>
          <w:rFonts w:ascii="Helvetica" w:eastAsia="Times New Roman" w:hAnsi="Helvetica"/>
          <w:i/>
          <w:sz w:val="16"/>
          <w:szCs w:val="16"/>
        </w:rPr>
      </w:pPr>
      <w:r w:rsidRPr="00E16340">
        <w:rPr>
          <w:rFonts w:ascii="Helvetica" w:eastAsia="Times New Roman" w:hAnsi="Helvetica"/>
          <w:i/>
          <w:sz w:val="16"/>
          <w:szCs w:val="16"/>
        </w:rPr>
        <w:t>Key – BM (Bachelor of Midwifery), Dual (Bachelors of Nursing and Midwifery), EM (Endorsed Midwife), EPIQ (Entry Programs for Internationally Qualified Midwives), GDM (Graduate Diploma of Midwifery), MMid (Master of Midwifery), RTP (Return to Practice)</w:t>
      </w:r>
    </w:p>
    <w:p w:rsidR="00E16340" w:rsidRPr="00885BE2" w:rsidRDefault="00E16340" w:rsidP="00E16340">
      <w:pPr>
        <w:spacing w:before="120" w:after="120" w:line="240" w:lineRule="auto"/>
        <w:jc w:val="both"/>
        <w:rPr>
          <w:rFonts w:ascii="Helvetica" w:eastAsia="Times New Roman" w:hAnsi="Helvetica"/>
          <w:i/>
          <w:sz w:val="16"/>
          <w:szCs w:val="16"/>
        </w:rPr>
      </w:pPr>
      <w:r w:rsidRPr="00E16340">
        <w:rPr>
          <w:rFonts w:ascii="Helvetica" w:eastAsia="Times New Roman" w:hAnsi="Helvetica"/>
          <w:i/>
          <w:sz w:val="16"/>
          <w:szCs w:val="16"/>
        </w:rPr>
        <w:t xml:space="preserve">Source: Australian Nursing and Midwifery Accreditation </w:t>
      </w:r>
      <w:r w:rsidR="00885BE2">
        <w:rPr>
          <w:rFonts w:ascii="Helvetica" w:eastAsia="Times New Roman" w:hAnsi="Helvetica"/>
          <w:i/>
          <w:sz w:val="16"/>
          <w:szCs w:val="16"/>
        </w:rPr>
        <w:t>Council</w:t>
      </w:r>
    </w:p>
    <w:p w:rsidR="0056203A" w:rsidRPr="00121283" w:rsidRDefault="0056203A" w:rsidP="00121283">
      <w:pPr>
        <w:pStyle w:val="Heading1"/>
      </w:pPr>
      <w:bookmarkStart w:id="82" w:name="_Toc505851327"/>
      <w:bookmarkStart w:id="83" w:name="_Toc10808392"/>
      <w:r w:rsidRPr="00121283">
        <w:t>Models of Care</w:t>
      </w:r>
      <w:bookmarkEnd w:id="82"/>
      <w:bookmarkEnd w:id="83"/>
    </w:p>
    <w:p w:rsidR="0056203A" w:rsidRPr="00A92440" w:rsidRDefault="0056203A" w:rsidP="00A92440">
      <w:pPr>
        <w:spacing w:before="120" w:after="120" w:line="240" w:lineRule="auto"/>
        <w:jc w:val="both"/>
        <w:rPr>
          <w:rFonts w:cs="Arial"/>
          <w:szCs w:val="22"/>
        </w:rPr>
      </w:pPr>
      <w:r w:rsidRPr="0011685D">
        <w:rPr>
          <w:rFonts w:cs="Arial"/>
          <w:szCs w:val="22"/>
        </w:rPr>
        <w:t xml:space="preserve">The Australian Institute of Health and Welfare </w:t>
      </w:r>
      <w:r w:rsidR="00995263">
        <w:rPr>
          <w:rFonts w:cs="Arial"/>
          <w:szCs w:val="22"/>
        </w:rPr>
        <w:t xml:space="preserve">(AIHW) </w:t>
      </w:r>
      <w:r w:rsidRPr="0011685D">
        <w:rPr>
          <w:rFonts w:cs="Arial"/>
          <w:szCs w:val="22"/>
        </w:rPr>
        <w:t>and the National Perinatal Epidemiology and Statistics Unit, have developed standardised definitions for models of maternity care, which are recognised as the Maternity Care Clas</w:t>
      </w:r>
      <w:r w:rsidR="00A92440">
        <w:rPr>
          <w:rFonts w:cs="Arial"/>
          <w:szCs w:val="22"/>
        </w:rPr>
        <w:t>sification System (MaCCS):</w:t>
      </w:r>
    </w:p>
    <w:p w:rsidR="00EB1AC2" w:rsidRPr="001F11F0" w:rsidRDefault="00EB1AC2" w:rsidP="001F11F0">
      <w:pPr>
        <w:pStyle w:val="Caption"/>
      </w:pPr>
      <w:bookmarkStart w:id="84" w:name="_Toc532473569"/>
      <w:bookmarkStart w:id="85" w:name="_Toc1722565"/>
      <w:bookmarkStart w:id="86" w:name="_Toc1724689"/>
      <w:bookmarkStart w:id="87" w:name="_Toc1725007"/>
      <w:r w:rsidRPr="001F11F0">
        <w:t xml:space="preserve">Figure </w:t>
      </w:r>
      <w:r w:rsidR="001F11F0">
        <w:t>13</w:t>
      </w:r>
      <w:r w:rsidRPr="001F11F0">
        <w:t>: Models of care in the Maternity Care Classification System (MaCCS)</w:t>
      </w:r>
      <w:bookmarkEnd w:id="84"/>
      <w:bookmarkEnd w:id="85"/>
      <w:bookmarkEnd w:id="86"/>
      <w:bookmarkEnd w:id="87"/>
    </w:p>
    <w:tbl>
      <w:tblPr>
        <w:tblStyle w:val="TableGrid"/>
        <w:tblW w:w="9039" w:type="dxa"/>
        <w:jc w:val="center"/>
        <w:tblLayout w:type="fixed"/>
        <w:tblLook w:val="04A0" w:firstRow="1" w:lastRow="0" w:firstColumn="1" w:lastColumn="0" w:noHBand="0" w:noVBand="1"/>
        <w:tblCaption w:val="Figure 13: Models of care in the Maternity Care Classification System (MaCCS)"/>
        <w:tblDescription w:val="This figure provides models of care, their description, and types of care (Antenatal, Intrapartum and Postnatal)."/>
      </w:tblPr>
      <w:tblGrid>
        <w:gridCol w:w="1526"/>
        <w:gridCol w:w="3685"/>
        <w:gridCol w:w="1134"/>
        <w:gridCol w:w="1418"/>
        <w:gridCol w:w="1276"/>
      </w:tblGrid>
      <w:tr w:rsidR="0056203A" w:rsidRPr="00C5057B" w:rsidTr="00A92440">
        <w:trPr>
          <w:tblHeader/>
          <w:jc w:val="center"/>
        </w:trPr>
        <w:tc>
          <w:tcPr>
            <w:tcW w:w="1526" w:type="dxa"/>
            <w:shd w:val="clear" w:color="auto" w:fill="FFE599" w:themeFill="accent4" w:themeFillTint="66"/>
          </w:tcPr>
          <w:p w:rsidR="0056203A" w:rsidRPr="00C5057B" w:rsidRDefault="0056203A" w:rsidP="00E1143A">
            <w:pPr>
              <w:rPr>
                <w:rFonts w:cs="Arial"/>
                <w:b/>
                <w:sz w:val="20"/>
                <w:szCs w:val="20"/>
              </w:rPr>
            </w:pPr>
            <w:r w:rsidRPr="00C5057B">
              <w:rPr>
                <w:rFonts w:cs="Arial"/>
                <w:b/>
                <w:sz w:val="20"/>
                <w:szCs w:val="20"/>
              </w:rPr>
              <w:t>Model of Care</w:t>
            </w:r>
          </w:p>
        </w:tc>
        <w:tc>
          <w:tcPr>
            <w:tcW w:w="3685" w:type="dxa"/>
            <w:shd w:val="clear" w:color="auto" w:fill="FFE599" w:themeFill="accent4" w:themeFillTint="66"/>
          </w:tcPr>
          <w:p w:rsidR="0056203A" w:rsidRPr="00C5057B" w:rsidRDefault="0056203A" w:rsidP="00E1143A">
            <w:pPr>
              <w:rPr>
                <w:rFonts w:cs="Arial"/>
                <w:b/>
                <w:sz w:val="20"/>
                <w:szCs w:val="20"/>
              </w:rPr>
            </w:pPr>
            <w:r w:rsidRPr="00C5057B">
              <w:rPr>
                <w:rFonts w:cs="Arial"/>
                <w:b/>
                <w:sz w:val="20"/>
                <w:szCs w:val="20"/>
              </w:rPr>
              <w:t>Description</w:t>
            </w:r>
          </w:p>
        </w:tc>
        <w:tc>
          <w:tcPr>
            <w:tcW w:w="1134" w:type="dxa"/>
            <w:shd w:val="clear" w:color="auto" w:fill="FFE599" w:themeFill="accent4" w:themeFillTint="66"/>
          </w:tcPr>
          <w:p w:rsidR="0056203A" w:rsidRPr="00C5057B" w:rsidRDefault="0056203A" w:rsidP="00E1143A">
            <w:pPr>
              <w:rPr>
                <w:rFonts w:cs="Arial"/>
                <w:b/>
                <w:sz w:val="20"/>
                <w:szCs w:val="20"/>
              </w:rPr>
            </w:pPr>
            <w:r w:rsidRPr="00C5057B">
              <w:rPr>
                <w:rFonts w:cs="Arial"/>
                <w:b/>
                <w:sz w:val="20"/>
                <w:szCs w:val="20"/>
              </w:rPr>
              <w:t>Antenatal Care</w:t>
            </w:r>
          </w:p>
        </w:tc>
        <w:tc>
          <w:tcPr>
            <w:tcW w:w="1418" w:type="dxa"/>
            <w:shd w:val="clear" w:color="auto" w:fill="FFE599" w:themeFill="accent4" w:themeFillTint="66"/>
          </w:tcPr>
          <w:p w:rsidR="0056203A" w:rsidRPr="00C5057B" w:rsidRDefault="0056203A" w:rsidP="00E1143A">
            <w:pPr>
              <w:rPr>
                <w:rFonts w:cs="Arial"/>
                <w:b/>
                <w:sz w:val="20"/>
                <w:szCs w:val="20"/>
              </w:rPr>
            </w:pPr>
            <w:r w:rsidRPr="00C5057B">
              <w:rPr>
                <w:rFonts w:cs="Arial"/>
                <w:b/>
                <w:sz w:val="20"/>
                <w:szCs w:val="20"/>
              </w:rPr>
              <w:t>Intrapartum Care</w:t>
            </w:r>
          </w:p>
        </w:tc>
        <w:tc>
          <w:tcPr>
            <w:tcW w:w="1276" w:type="dxa"/>
            <w:shd w:val="clear" w:color="auto" w:fill="FFE599" w:themeFill="accent4" w:themeFillTint="66"/>
          </w:tcPr>
          <w:p w:rsidR="0056203A" w:rsidRPr="00C5057B" w:rsidRDefault="0056203A" w:rsidP="00E1143A">
            <w:pPr>
              <w:rPr>
                <w:rFonts w:cs="Arial"/>
                <w:b/>
                <w:sz w:val="20"/>
                <w:szCs w:val="20"/>
              </w:rPr>
            </w:pPr>
            <w:r w:rsidRPr="00C5057B">
              <w:rPr>
                <w:rFonts w:cs="Arial"/>
                <w:b/>
                <w:sz w:val="20"/>
                <w:szCs w:val="20"/>
              </w:rPr>
              <w:t>Postnatal Care</w:t>
            </w:r>
          </w:p>
        </w:tc>
      </w:tr>
      <w:tr w:rsidR="0056203A" w:rsidRPr="00C5057B" w:rsidTr="00A92440">
        <w:trPr>
          <w:jc w:val="center"/>
        </w:trPr>
        <w:tc>
          <w:tcPr>
            <w:tcW w:w="1526" w:type="dxa"/>
          </w:tcPr>
          <w:p w:rsidR="0056203A" w:rsidRPr="00C5057B" w:rsidRDefault="0056203A" w:rsidP="00E1143A">
            <w:pPr>
              <w:rPr>
                <w:rFonts w:cs="Arial"/>
                <w:sz w:val="18"/>
                <w:szCs w:val="18"/>
              </w:rPr>
            </w:pPr>
            <w:r w:rsidRPr="00C5057B">
              <w:rPr>
                <w:rFonts w:cs="Arial"/>
                <w:sz w:val="18"/>
                <w:szCs w:val="18"/>
              </w:rPr>
              <w:t xml:space="preserve">Midwifery group </w:t>
            </w:r>
            <w:r w:rsidR="0076169A">
              <w:rPr>
                <w:rFonts w:cs="Arial"/>
                <w:sz w:val="18"/>
                <w:szCs w:val="18"/>
              </w:rPr>
              <w:t>practise</w:t>
            </w:r>
            <w:r w:rsidRPr="00C5057B">
              <w:rPr>
                <w:rFonts w:cs="Arial"/>
                <w:sz w:val="18"/>
                <w:szCs w:val="18"/>
              </w:rPr>
              <w:t xml:space="preserve"> caseload care</w:t>
            </w:r>
          </w:p>
        </w:tc>
        <w:tc>
          <w:tcPr>
            <w:tcW w:w="3685" w:type="dxa"/>
          </w:tcPr>
          <w:p w:rsidR="0056203A" w:rsidRPr="00C5057B" w:rsidRDefault="0056203A" w:rsidP="00E1143A">
            <w:pPr>
              <w:rPr>
                <w:rFonts w:cs="Arial"/>
                <w:sz w:val="18"/>
                <w:szCs w:val="18"/>
              </w:rPr>
            </w:pPr>
            <w:r w:rsidRPr="00C5057B">
              <w:rPr>
                <w:rFonts w:cs="Arial"/>
                <w:sz w:val="18"/>
                <w:szCs w:val="18"/>
              </w:rPr>
              <w:t>Care at all stages is given by a primary midwife with a secondary midwife in support. Assistance from doctors as required.</w:t>
            </w:r>
          </w:p>
        </w:tc>
        <w:tc>
          <w:tcPr>
            <w:tcW w:w="1134" w:type="dxa"/>
          </w:tcPr>
          <w:p w:rsidR="0056203A" w:rsidRPr="00C5057B" w:rsidRDefault="0056203A" w:rsidP="00E1143A">
            <w:pPr>
              <w:rPr>
                <w:rFonts w:cs="Arial"/>
                <w:sz w:val="18"/>
                <w:szCs w:val="18"/>
              </w:rPr>
            </w:pPr>
            <w:r w:rsidRPr="00C5057B">
              <w:rPr>
                <w:rFonts w:cs="Arial"/>
                <w:sz w:val="18"/>
                <w:szCs w:val="18"/>
              </w:rPr>
              <w:t>Hospital, community or home</w:t>
            </w:r>
          </w:p>
        </w:tc>
        <w:tc>
          <w:tcPr>
            <w:tcW w:w="1418" w:type="dxa"/>
          </w:tcPr>
          <w:p w:rsidR="0056203A" w:rsidRPr="00C5057B" w:rsidRDefault="0056203A" w:rsidP="00E1143A">
            <w:pPr>
              <w:rPr>
                <w:rFonts w:cs="Arial"/>
                <w:sz w:val="18"/>
                <w:szCs w:val="18"/>
              </w:rPr>
            </w:pPr>
            <w:r w:rsidRPr="00C5057B">
              <w:rPr>
                <w:rFonts w:cs="Arial"/>
                <w:sz w:val="18"/>
                <w:szCs w:val="18"/>
              </w:rPr>
              <w:t>Hospital, birth centre or home</w:t>
            </w:r>
          </w:p>
        </w:tc>
        <w:tc>
          <w:tcPr>
            <w:tcW w:w="1276" w:type="dxa"/>
          </w:tcPr>
          <w:p w:rsidR="0056203A" w:rsidRPr="00C5057B" w:rsidRDefault="0056203A" w:rsidP="00E1143A">
            <w:pPr>
              <w:rPr>
                <w:rFonts w:cs="Arial"/>
                <w:sz w:val="18"/>
                <w:szCs w:val="18"/>
              </w:rPr>
            </w:pPr>
            <w:r w:rsidRPr="00C5057B">
              <w:rPr>
                <w:rFonts w:cs="Arial"/>
                <w:sz w:val="18"/>
                <w:szCs w:val="18"/>
              </w:rPr>
              <w:t>Hospital, community or home</w:t>
            </w:r>
          </w:p>
        </w:tc>
      </w:tr>
      <w:tr w:rsidR="0056203A" w:rsidRPr="00C5057B" w:rsidTr="00A92440">
        <w:trPr>
          <w:jc w:val="center"/>
        </w:trPr>
        <w:tc>
          <w:tcPr>
            <w:tcW w:w="1526" w:type="dxa"/>
          </w:tcPr>
          <w:p w:rsidR="0056203A" w:rsidRPr="00C5057B" w:rsidRDefault="0056203A" w:rsidP="00E1143A">
            <w:pPr>
              <w:rPr>
                <w:rFonts w:cs="Arial"/>
                <w:sz w:val="18"/>
                <w:szCs w:val="18"/>
              </w:rPr>
            </w:pPr>
            <w:r w:rsidRPr="00C5057B">
              <w:rPr>
                <w:rFonts w:cs="Arial"/>
                <w:sz w:val="18"/>
                <w:szCs w:val="18"/>
              </w:rPr>
              <w:t>Team midwifery care</w:t>
            </w:r>
          </w:p>
        </w:tc>
        <w:tc>
          <w:tcPr>
            <w:tcW w:w="3685" w:type="dxa"/>
          </w:tcPr>
          <w:p w:rsidR="0056203A" w:rsidRPr="00C5057B" w:rsidRDefault="0056203A" w:rsidP="00E1143A">
            <w:pPr>
              <w:rPr>
                <w:rFonts w:cs="Arial"/>
                <w:sz w:val="18"/>
                <w:szCs w:val="18"/>
              </w:rPr>
            </w:pPr>
            <w:r w:rsidRPr="00C5057B">
              <w:rPr>
                <w:rFonts w:cs="Arial"/>
                <w:sz w:val="18"/>
                <w:szCs w:val="18"/>
              </w:rPr>
              <w:t>Care at all stages is provided by a team of rostered midwives with the assistance of doctors as needed.</w:t>
            </w:r>
          </w:p>
        </w:tc>
        <w:tc>
          <w:tcPr>
            <w:tcW w:w="1134" w:type="dxa"/>
          </w:tcPr>
          <w:p w:rsidR="0056203A" w:rsidRPr="00C5057B" w:rsidRDefault="0056203A" w:rsidP="00E1143A">
            <w:pPr>
              <w:rPr>
                <w:rFonts w:cs="Arial"/>
                <w:sz w:val="18"/>
                <w:szCs w:val="18"/>
              </w:rPr>
            </w:pPr>
            <w:r w:rsidRPr="00C5057B">
              <w:rPr>
                <w:rFonts w:cs="Arial"/>
                <w:sz w:val="18"/>
                <w:szCs w:val="18"/>
              </w:rPr>
              <w:t>Usually home or community</w:t>
            </w:r>
          </w:p>
        </w:tc>
        <w:tc>
          <w:tcPr>
            <w:tcW w:w="1418" w:type="dxa"/>
          </w:tcPr>
          <w:p w:rsidR="0056203A" w:rsidRPr="00C5057B" w:rsidRDefault="0056203A" w:rsidP="00E1143A">
            <w:pPr>
              <w:rPr>
                <w:rFonts w:cs="Arial"/>
                <w:sz w:val="18"/>
                <w:szCs w:val="18"/>
              </w:rPr>
            </w:pPr>
            <w:r w:rsidRPr="00C5057B">
              <w:rPr>
                <w:rFonts w:cs="Arial"/>
                <w:sz w:val="18"/>
                <w:szCs w:val="18"/>
              </w:rPr>
              <w:t>Usually a hospital or birth centre</w:t>
            </w:r>
          </w:p>
        </w:tc>
        <w:tc>
          <w:tcPr>
            <w:tcW w:w="1276" w:type="dxa"/>
          </w:tcPr>
          <w:p w:rsidR="0056203A" w:rsidRPr="00C5057B" w:rsidRDefault="0056203A" w:rsidP="00E1143A">
            <w:pPr>
              <w:rPr>
                <w:rFonts w:cs="Arial"/>
                <w:sz w:val="18"/>
                <w:szCs w:val="18"/>
              </w:rPr>
            </w:pPr>
            <w:r w:rsidRPr="00C5057B">
              <w:rPr>
                <w:rFonts w:cs="Arial"/>
                <w:sz w:val="18"/>
                <w:szCs w:val="18"/>
              </w:rPr>
              <w:t>Home or community</w:t>
            </w:r>
          </w:p>
        </w:tc>
      </w:tr>
      <w:tr w:rsidR="0056203A" w:rsidRPr="00C5057B" w:rsidTr="00A92440">
        <w:trPr>
          <w:jc w:val="center"/>
        </w:trPr>
        <w:tc>
          <w:tcPr>
            <w:tcW w:w="1526" w:type="dxa"/>
          </w:tcPr>
          <w:p w:rsidR="0056203A" w:rsidRPr="00C5057B" w:rsidRDefault="0056203A" w:rsidP="00E1143A">
            <w:pPr>
              <w:rPr>
                <w:rFonts w:cs="Arial"/>
                <w:sz w:val="18"/>
                <w:szCs w:val="18"/>
              </w:rPr>
            </w:pPr>
            <w:r w:rsidRPr="00C5057B">
              <w:rPr>
                <w:rFonts w:cs="Arial"/>
                <w:sz w:val="18"/>
                <w:szCs w:val="18"/>
              </w:rPr>
              <w:t>Private midwifery care</w:t>
            </w:r>
          </w:p>
        </w:tc>
        <w:tc>
          <w:tcPr>
            <w:tcW w:w="3685" w:type="dxa"/>
          </w:tcPr>
          <w:p w:rsidR="0056203A" w:rsidRPr="00C5057B" w:rsidRDefault="0056203A" w:rsidP="008E2713">
            <w:pPr>
              <w:rPr>
                <w:rFonts w:cs="Arial"/>
                <w:sz w:val="18"/>
                <w:szCs w:val="18"/>
              </w:rPr>
            </w:pPr>
            <w:r w:rsidRPr="00C5057B">
              <w:rPr>
                <w:rFonts w:cs="Arial"/>
                <w:sz w:val="18"/>
                <w:szCs w:val="18"/>
              </w:rPr>
              <w:t>Care provided by a private midwife or midwife team with the assistance of doctors as needed</w:t>
            </w:r>
            <w:r w:rsidR="008E2713">
              <w:rPr>
                <w:rFonts w:cs="Arial"/>
                <w:sz w:val="18"/>
                <w:szCs w:val="18"/>
              </w:rPr>
              <w:t>.</w:t>
            </w:r>
          </w:p>
        </w:tc>
        <w:tc>
          <w:tcPr>
            <w:tcW w:w="1134" w:type="dxa"/>
          </w:tcPr>
          <w:p w:rsidR="0056203A" w:rsidRPr="00C5057B" w:rsidRDefault="0056203A" w:rsidP="00E1143A">
            <w:pPr>
              <w:rPr>
                <w:rFonts w:cs="Arial"/>
                <w:sz w:val="18"/>
                <w:szCs w:val="18"/>
              </w:rPr>
            </w:pPr>
            <w:r w:rsidRPr="00C5057B">
              <w:rPr>
                <w:rFonts w:cs="Arial"/>
                <w:sz w:val="18"/>
                <w:szCs w:val="18"/>
              </w:rPr>
              <w:t>Home or community</w:t>
            </w:r>
          </w:p>
        </w:tc>
        <w:tc>
          <w:tcPr>
            <w:tcW w:w="1418" w:type="dxa"/>
          </w:tcPr>
          <w:p w:rsidR="0056203A" w:rsidRPr="00C5057B" w:rsidRDefault="0056203A" w:rsidP="00E1143A">
            <w:pPr>
              <w:rPr>
                <w:rFonts w:cs="Arial"/>
                <w:sz w:val="18"/>
                <w:szCs w:val="18"/>
              </w:rPr>
            </w:pPr>
            <w:r w:rsidRPr="00C5057B">
              <w:rPr>
                <w:rFonts w:cs="Arial"/>
                <w:sz w:val="18"/>
                <w:szCs w:val="18"/>
              </w:rPr>
              <w:t>Hospital, home or birth centre</w:t>
            </w:r>
          </w:p>
        </w:tc>
        <w:tc>
          <w:tcPr>
            <w:tcW w:w="1276" w:type="dxa"/>
          </w:tcPr>
          <w:p w:rsidR="0056203A" w:rsidRPr="00C5057B" w:rsidRDefault="0056203A" w:rsidP="00E1143A">
            <w:pPr>
              <w:rPr>
                <w:rFonts w:cs="Arial"/>
                <w:sz w:val="18"/>
                <w:szCs w:val="18"/>
              </w:rPr>
            </w:pPr>
            <w:r w:rsidRPr="00C5057B">
              <w:rPr>
                <w:rFonts w:cs="Arial"/>
                <w:sz w:val="18"/>
                <w:szCs w:val="18"/>
              </w:rPr>
              <w:t>Home or community</w:t>
            </w:r>
          </w:p>
        </w:tc>
      </w:tr>
      <w:tr w:rsidR="0056203A" w:rsidRPr="00C5057B" w:rsidTr="00A92440">
        <w:trPr>
          <w:jc w:val="center"/>
        </w:trPr>
        <w:tc>
          <w:tcPr>
            <w:tcW w:w="1526" w:type="dxa"/>
          </w:tcPr>
          <w:p w:rsidR="0056203A" w:rsidRPr="00C5057B" w:rsidRDefault="0056203A" w:rsidP="00E1143A">
            <w:pPr>
              <w:rPr>
                <w:rFonts w:cs="Arial"/>
                <w:sz w:val="18"/>
                <w:szCs w:val="18"/>
              </w:rPr>
            </w:pPr>
            <w:r w:rsidRPr="00C5057B">
              <w:rPr>
                <w:rFonts w:cs="Arial"/>
                <w:sz w:val="18"/>
                <w:szCs w:val="18"/>
              </w:rPr>
              <w:t>Shared care</w:t>
            </w:r>
          </w:p>
        </w:tc>
        <w:tc>
          <w:tcPr>
            <w:tcW w:w="3685" w:type="dxa"/>
          </w:tcPr>
          <w:p w:rsidR="0056203A" w:rsidRPr="00C5057B" w:rsidRDefault="0056203A" w:rsidP="00E1143A">
            <w:pPr>
              <w:rPr>
                <w:rFonts w:cs="Arial"/>
                <w:sz w:val="18"/>
                <w:szCs w:val="18"/>
              </w:rPr>
            </w:pPr>
            <w:r w:rsidRPr="00C5057B">
              <w:rPr>
                <w:rFonts w:cs="Arial"/>
                <w:sz w:val="18"/>
                <w:szCs w:val="18"/>
              </w:rPr>
              <w:t>A community provider such as a doctor or midwife works with hospital staff under an agreement.</w:t>
            </w:r>
          </w:p>
        </w:tc>
        <w:tc>
          <w:tcPr>
            <w:tcW w:w="1134" w:type="dxa"/>
          </w:tcPr>
          <w:p w:rsidR="0056203A" w:rsidRPr="00C5057B" w:rsidRDefault="0056203A" w:rsidP="00E1143A">
            <w:pPr>
              <w:rPr>
                <w:rFonts w:cs="Arial"/>
                <w:sz w:val="18"/>
                <w:szCs w:val="18"/>
              </w:rPr>
            </w:pPr>
            <w:r w:rsidRPr="00C5057B">
              <w:rPr>
                <w:rFonts w:cs="Arial"/>
                <w:sz w:val="18"/>
                <w:szCs w:val="18"/>
              </w:rPr>
              <w:t>Community</w:t>
            </w:r>
          </w:p>
        </w:tc>
        <w:tc>
          <w:tcPr>
            <w:tcW w:w="1418" w:type="dxa"/>
          </w:tcPr>
          <w:p w:rsidR="0056203A" w:rsidRPr="00C5057B" w:rsidRDefault="0056203A" w:rsidP="00E1143A">
            <w:pPr>
              <w:rPr>
                <w:rFonts w:cs="Arial"/>
                <w:sz w:val="18"/>
                <w:szCs w:val="18"/>
              </w:rPr>
            </w:pPr>
            <w:r w:rsidRPr="00C5057B">
              <w:rPr>
                <w:rFonts w:cs="Arial"/>
                <w:sz w:val="18"/>
                <w:szCs w:val="18"/>
              </w:rPr>
              <w:t>Hospital</w:t>
            </w:r>
          </w:p>
        </w:tc>
        <w:tc>
          <w:tcPr>
            <w:tcW w:w="1276" w:type="dxa"/>
          </w:tcPr>
          <w:p w:rsidR="0056203A" w:rsidRPr="00C5057B" w:rsidRDefault="0056203A" w:rsidP="00E1143A">
            <w:pPr>
              <w:rPr>
                <w:rFonts w:cs="Arial"/>
                <w:sz w:val="18"/>
                <w:szCs w:val="18"/>
              </w:rPr>
            </w:pPr>
            <w:r w:rsidRPr="00C5057B">
              <w:rPr>
                <w:rFonts w:cs="Arial"/>
                <w:sz w:val="18"/>
                <w:szCs w:val="18"/>
              </w:rPr>
              <w:t>Hospital and/or community</w:t>
            </w:r>
          </w:p>
        </w:tc>
      </w:tr>
      <w:tr w:rsidR="0056203A" w:rsidRPr="00C5057B" w:rsidTr="00A92440">
        <w:trPr>
          <w:jc w:val="center"/>
        </w:trPr>
        <w:tc>
          <w:tcPr>
            <w:tcW w:w="1526" w:type="dxa"/>
          </w:tcPr>
          <w:p w:rsidR="0056203A" w:rsidRPr="00C5057B" w:rsidRDefault="0056203A" w:rsidP="00E1143A">
            <w:pPr>
              <w:rPr>
                <w:rFonts w:cs="Arial"/>
                <w:sz w:val="18"/>
                <w:szCs w:val="18"/>
              </w:rPr>
            </w:pPr>
            <w:r w:rsidRPr="00C5057B">
              <w:rPr>
                <w:rFonts w:cs="Arial"/>
                <w:sz w:val="18"/>
                <w:szCs w:val="18"/>
              </w:rPr>
              <w:t>Combined care</w:t>
            </w:r>
          </w:p>
        </w:tc>
        <w:tc>
          <w:tcPr>
            <w:tcW w:w="3685" w:type="dxa"/>
          </w:tcPr>
          <w:p w:rsidR="0056203A" w:rsidRPr="00C5057B" w:rsidRDefault="0056203A" w:rsidP="00E1143A">
            <w:pPr>
              <w:rPr>
                <w:rFonts w:cs="Arial"/>
                <w:sz w:val="18"/>
                <w:szCs w:val="18"/>
              </w:rPr>
            </w:pPr>
            <w:r w:rsidRPr="00C5057B">
              <w:rPr>
                <w:rFonts w:cs="Arial"/>
                <w:sz w:val="18"/>
                <w:szCs w:val="18"/>
              </w:rPr>
              <w:t>Antenatal care is handled by a private doctor or midwife while intrapartum and postnatal care is handled in the public hospital system by public hospital staff.</w:t>
            </w:r>
          </w:p>
        </w:tc>
        <w:tc>
          <w:tcPr>
            <w:tcW w:w="1134" w:type="dxa"/>
          </w:tcPr>
          <w:p w:rsidR="0056203A" w:rsidRPr="00C5057B" w:rsidRDefault="0056203A" w:rsidP="00E1143A">
            <w:pPr>
              <w:rPr>
                <w:rFonts w:cs="Arial"/>
                <w:sz w:val="18"/>
                <w:szCs w:val="18"/>
              </w:rPr>
            </w:pPr>
            <w:r w:rsidRPr="00C5057B">
              <w:rPr>
                <w:rFonts w:cs="Arial"/>
                <w:sz w:val="18"/>
                <w:szCs w:val="18"/>
              </w:rPr>
              <w:t>Community</w:t>
            </w:r>
          </w:p>
        </w:tc>
        <w:tc>
          <w:tcPr>
            <w:tcW w:w="1418" w:type="dxa"/>
          </w:tcPr>
          <w:p w:rsidR="0056203A" w:rsidRPr="00C5057B" w:rsidRDefault="0056203A" w:rsidP="00E1143A">
            <w:pPr>
              <w:rPr>
                <w:rFonts w:cs="Arial"/>
                <w:sz w:val="18"/>
                <w:szCs w:val="18"/>
              </w:rPr>
            </w:pPr>
            <w:r w:rsidRPr="00C5057B">
              <w:rPr>
                <w:rFonts w:cs="Arial"/>
                <w:sz w:val="18"/>
                <w:szCs w:val="18"/>
              </w:rPr>
              <w:t>Hospital</w:t>
            </w:r>
          </w:p>
        </w:tc>
        <w:tc>
          <w:tcPr>
            <w:tcW w:w="1276" w:type="dxa"/>
          </w:tcPr>
          <w:p w:rsidR="0056203A" w:rsidRPr="00C5057B" w:rsidRDefault="0056203A" w:rsidP="00E1143A">
            <w:pPr>
              <w:rPr>
                <w:rFonts w:cs="Arial"/>
                <w:sz w:val="18"/>
                <w:szCs w:val="18"/>
              </w:rPr>
            </w:pPr>
            <w:r w:rsidRPr="00C5057B">
              <w:rPr>
                <w:rFonts w:cs="Arial"/>
                <w:sz w:val="18"/>
                <w:szCs w:val="18"/>
              </w:rPr>
              <w:t>Home or community</w:t>
            </w:r>
          </w:p>
        </w:tc>
      </w:tr>
      <w:tr w:rsidR="0056203A" w:rsidRPr="00C5057B" w:rsidTr="00A92440">
        <w:trPr>
          <w:jc w:val="center"/>
        </w:trPr>
        <w:tc>
          <w:tcPr>
            <w:tcW w:w="1526" w:type="dxa"/>
          </w:tcPr>
          <w:p w:rsidR="0056203A" w:rsidRPr="00C5057B" w:rsidRDefault="0056203A" w:rsidP="00E1143A">
            <w:pPr>
              <w:rPr>
                <w:rFonts w:cs="Arial"/>
                <w:sz w:val="18"/>
                <w:szCs w:val="18"/>
              </w:rPr>
            </w:pPr>
            <w:r w:rsidRPr="00C5057B">
              <w:rPr>
                <w:rFonts w:cs="Arial"/>
                <w:sz w:val="18"/>
                <w:szCs w:val="18"/>
              </w:rPr>
              <w:t>Specialist care (obstetrician)</w:t>
            </w:r>
          </w:p>
        </w:tc>
        <w:tc>
          <w:tcPr>
            <w:tcW w:w="3685" w:type="dxa"/>
          </w:tcPr>
          <w:p w:rsidR="0056203A" w:rsidRPr="00C5057B" w:rsidRDefault="0056203A" w:rsidP="00E1143A">
            <w:pPr>
              <w:rPr>
                <w:rFonts w:cs="Arial"/>
                <w:sz w:val="18"/>
                <w:szCs w:val="18"/>
              </w:rPr>
            </w:pPr>
            <w:r w:rsidRPr="00C5057B">
              <w:rPr>
                <w:rFonts w:cs="Arial"/>
                <w:sz w:val="18"/>
                <w:szCs w:val="18"/>
              </w:rPr>
              <w:t>Antenatal care provided by a private obstetrician. Intrapartum care is managed in a private or public hospital by the obstetrician and midwives and postnatal care continues with the midwife.</w:t>
            </w:r>
          </w:p>
        </w:tc>
        <w:tc>
          <w:tcPr>
            <w:tcW w:w="1134" w:type="dxa"/>
          </w:tcPr>
          <w:p w:rsidR="0056203A" w:rsidRPr="00C5057B" w:rsidRDefault="0056203A" w:rsidP="00E1143A">
            <w:pPr>
              <w:rPr>
                <w:rFonts w:cs="Arial"/>
                <w:sz w:val="18"/>
                <w:szCs w:val="18"/>
              </w:rPr>
            </w:pPr>
            <w:r w:rsidRPr="00C5057B">
              <w:rPr>
                <w:rFonts w:cs="Arial"/>
                <w:sz w:val="18"/>
                <w:szCs w:val="18"/>
              </w:rPr>
              <w:t>Community</w:t>
            </w:r>
          </w:p>
        </w:tc>
        <w:tc>
          <w:tcPr>
            <w:tcW w:w="1418" w:type="dxa"/>
          </w:tcPr>
          <w:p w:rsidR="0056203A" w:rsidRPr="00C5057B" w:rsidRDefault="0056203A" w:rsidP="00E1143A">
            <w:pPr>
              <w:rPr>
                <w:rFonts w:cs="Arial"/>
                <w:sz w:val="18"/>
                <w:szCs w:val="18"/>
              </w:rPr>
            </w:pPr>
            <w:r w:rsidRPr="00C5057B">
              <w:rPr>
                <w:rFonts w:cs="Arial"/>
                <w:sz w:val="18"/>
                <w:szCs w:val="18"/>
              </w:rPr>
              <w:t>Hospital</w:t>
            </w:r>
          </w:p>
        </w:tc>
        <w:tc>
          <w:tcPr>
            <w:tcW w:w="1276" w:type="dxa"/>
          </w:tcPr>
          <w:p w:rsidR="0056203A" w:rsidRPr="00C5057B" w:rsidRDefault="0056203A" w:rsidP="00E1143A">
            <w:pPr>
              <w:rPr>
                <w:rFonts w:cs="Arial"/>
                <w:sz w:val="18"/>
                <w:szCs w:val="18"/>
              </w:rPr>
            </w:pPr>
            <w:r w:rsidRPr="00C5057B">
              <w:rPr>
                <w:rFonts w:cs="Arial"/>
                <w:sz w:val="18"/>
                <w:szCs w:val="18"/>
              </w:rPr>
              <w:t>Hospital, home or hotel</w:t>
            </w:r>
          </w:p>
        </w:tc>
      </w:tr>
      <w:tr w:rsidR="0056203A" w:rsidRPr="00C5057B" w:rsidTr="00A92440">
        <w:trPr>
          <w:jc w:val="center"/>
        </w:trPr>
        <w:tc>
          <w:tcPr>
            <w:tcW w:w="1526" w:type="dxa"/>
          </w:tcPr>
          <w:p w:rsidR="0056203A" w:rsidRPr="00C5057B" w:rsidRDefault="0056203A" w:rsidP="00E1143A">
            <w:pPr>
              <w:rPr>
                <w:rFonts w:cs="Arial"/>
                <w:sz w:val="18"/>
                <w:szCs w:val="18"/>
              </w:rPr>
            </w:pPr>
            <w:r w:rsidRPr="00C5057B">
              <w:rPr>
                <w:rFonts w:cs="Arial"/>
                <w:sz w:val="18"/>
                <w:szCs w:val="18"/>
              </w:rPr>
              <w:lastRenderedPageBreak/>
              <w:t>Private obstetrician and midwife joint care</w:t>
            </w:r>
          </w:p>
        </w:tc>
        <w:tc>
          <w:tcPr>
            <w:tcW w:w="3685" w:type="dxa"/>
          </w:tcPr>
          <w:p w:rsidR="0056203A" w:rsidRPr="00C5057B" w:rsidRDefault="0056203A" w:rsidP="00E1143A">
            <w:pPr>
              <w:rPr>
                <w:rFonts w:cs="Arial"/>
                <w:sz w:val="18"/>
                <w:szCs w:val="18"/>
              </w:rPr>
            </w:pPr>
            <w:r w:rsidRPr="00C5057B">
              <w:rPr>
                <w:rFonts w:cs="Arial"/>
                <w:sz w:val="18"/>
                <w:szCs w:val="18"/>
              </w:rPr>
              <w:t>Care at all stages is provided by a private obstetrician and midwife in partnership. The midwife leads the postnatal care.</w:t>
            </w:r>
          </w:p>
        </w:tc>
        <w:tc>
          <w:tcPr>
            <w:tcW w:w="1134" w:type="dxa"/>
          </w:tcPr>
          <w:p w:rsidR="0056203A" w:rsidRPr="00C5057B" w:rsidRDefault="0056203A" w:rsidP="00E1143A">
            <w:pPr>
              <w:rPr>
                <w:rFonts w:cs="Arial"/>
                <w:sz w:val="18"/>
                <w:szCs w:val="18"/>
              </w:rPr>
            </w:pPr>
            <w:r w:rsidRPr="00C5057B">
              <w:rPr>
                <w:rFonts w:cs="Arial"/>
                <w:sz w:val="18"/>
                <w:szCs w:val="18"/>
              </w:rPr>
              <w:t>Community</w:t>
            </w:r>
          </w:p>
        </w:tc>
        <w:tc>
          <w:tcPr>
            <w:tcW w:w="1418" w:type="dxa"/>
          </w:tcPr>
          <w:p w:rsidR="0056203A" w:rsidRPr="00C5057B" w:rsidRDefault="0056203A" w:rsidP="00E1143A">
            <w:pPr>
              <w:rPr>
                <w:rFonts w:cs="Arial"/>
                <w:sz w:val="18"/>
                <w:szCs w:val="18"/>
              </w:rPr>
            </w:pPr>
            <w:r w:rsidRPr="00C5057B">
              <w:rPr>
                <w:rFonts w:cs="Arial"/>
                <w:sz w:val="18"/>
                <w:szCs w:val="18"/>
              </w:rPr>
              <w:t>Hospital (public or private)</w:t>
            </w:r>
          </w:p>
        </w:tc>
        <w:tc>
          <w:tcPr>
            <w:tcW w:w="1276" w:type="dxa"/>
          </w:tcPr>
          <w:p w:rsidR="0056203A" w:rsidRPr="00C5057B" w:rsidRDefault="0056203A" w:rsidP="00E1143A">
            <w:pPr>
              <w:rPr>
                <w:rFonts w:cs="Arial"/>
                <w:sz w:val="18"/>
                <w:szCs w:val="18"/>
              </w:rPr>
            </w:pPr>
            <w:r w:rsidRPr="00C5057B">
              <w:rPr>
                <w:rFonts w:cs="Arial"/>
                <w:sz w:val="18"/>
                <w:szCs w:val="18"/>
              </w:rPr>
              <w:t>Hospital, home, hostel or hotel</w:t>
            </w:r>
          </w:p>
        </w:tc>
      </w:tr>
      <w:tr w:rsidR="0056203A" w:rsidRPr="00C5057B" w:rsidTr="00A92440">
        <w:trPr>
          <w:jc w:val="center"/>
        </w:trPr>
        <w:tc>
          <w:tcPr>
            <w:tcW w:w="1526" w:type="dxa"/>
          </w:tcPr>
          <w:p w:rsidR="0056203A" w:rsidRPr="00C5057B" w:rsidRDefault="0056203A" w:rsidP="00E1143A">
            <w:pPr>
              <w:rPr>
                <w:rFonts w:cs="Arial"/>
                <w:sz w:val="18"/>
                <w:szCs w:val="18"/>
              </w:rPr>
            </w:pPr>
            <w:r w:rsidRPr="00C5057B">
              <w:rPr>
                <w:rFonts w:cs="Arial"/>
                <w:sz w:val="18"/>
                <w:szCs w:val="18"/>
              </w:rPr>
              <w:t>General practitioner obstetrician care</w:t>
            </w:r>
          </w:p>
        </w:tc>
        <w:tc>
          <w:tcPr>
            <w:tcW w:w="3685" w:type="dxa"/>
          </w:tcPr>
          <w:p w:rsidR="0056203A" w:rsidRPr="00C5057B" w:rsidRDefault="0056203A" w:rsidP="00E1143A">
            <w:pPr>
              <w:rPr>
                <w:rFonts w:cs="Arial"/>
                <w:sz w:val="18"/>
                <w:szCs w:val="18"/>
              </w:rPr>
            </w:pPr>
            <w:r w:rsidRPr="00C5057B">
              <w:rPr>
                <w:rFonts w:cs="Arial"/>
                <w:sz w:val="18"/>
                <w:szCs w:val="18"/>
              </w:rPr>
              <w:t>Antenatal and intrapartum care provided by a GP obstetrician while postnatal care is provided by the GP obstetrician and hospital midwives.</w:t>
            </w:r>
          </w:p>
        </w:tc>
        <w:tc>
          <w:tcPr>
            <w:tcW w:w="1134" w:type="dxa"/>
          </w:tcPr>
          <w:p w:rsidR="0056203A" w:rsidRPr="00C5057B" w:rsidRDefault="0056203A" w:rsidP="00E1143A">
            <w:pPr>
              <w:rPr>
                <w:rFonts w:cs="Arial"/>
                <w:sz w:val="18"/>
                <w:szCs w:val="18"/>
              </w:rPr>
            </w:pPr>
            <w:r w:rsidRPr="00C5057B">
              <w:rPr>
                <w:rFonts w:cs="Arial"/>
                <w:sz w:val="18"/>
                <w:szCs w:val="18"/>
              </w:rPr>
              <w:t>Community</w:t>
            </w:r>
          </w:p>
        </w:tc>
        <w:tc>
          <w:tcPr>
            <w:tcW w:w="1418" w:type="dxa"/>
          </w:tcPr>
          <w:p w:rsidR="0056203A" w:rsidRPr="00C5057B" w:rsidRDefault="0056203A" w:rsidP="00E1143A">
            <w:pPr>
              <w:rPr>
                <w:rFonts w:cs="Arial"/>
                <w:sz w:val="18"/>
                <w:szCs w:val="18"/>
              </w:rPr>
            </w:pPr>
            <w:r w:rsidRPr="00C5057B">
              <w:rPr>
                <w:rFonts w:cs="Arial"/>
                <w:sz w:val="18"/>
                <w:szCs w:val="18"/>
              </w:rPr>
              <w:t>Hospital (public or private)</w:t>
            </w:r>
          </w:p>
        </w:tc>
        <w:tc>
          <w:tcPr>
            <w:tcW w:w="1276" w:type="dxa"/>
          </w:tcPr>
          <w:p w:rsidR="0056203A" w:rsidRPr="00C5057B" w:rsidRDefault="0056203A" w:rsidP="00E1143A">
            <w:pPr>
              <w:rPr>
                <w:rFonts w:cs="Arial"/>
                <w:sz w:val="18"/>
                <w:szCs w:val="18"/>
              </w:rPr>
            </w:pPr>
            <w:r w:rsidRPr="00C5057B">
              <w:rPr>
                <w:rFonts w:cs="Arial"/>
                <w:sz w:val="18"/>
                <w:szCs w:val="18"/>
              </w:rPr>
              <w:t>Hospital, home or community</w:t>
            </w:r>
          </w:p>
        </w:tc>
      </w:tr>
      <w:tr w:rsidR="0056203A" w:rsidRPr="00C5057B" w:rsidTr="00A92440">
        <w:trPr>
          <w:jc w:val="center"/>
        </w:trPr>
        <w:tc>
          <w:tcPr>
            <w:tcW w:w="1526" w:type="dxa"/>
          </w:tcPr>
          <w:p w:rsidR="0056203A" w:rsidRPr="00C5057B" w:rsidRDefault="0056203A" w:rsidP="00E1143A">
            <w:pPr>
              <w:rPr>
                <w:rFonts w:cs="Arial"/>
                <w:sz w:val="18"/>
                <w:szCs w:val="18"/>
              </w:rPr>
            </w:pPr>
            <w:r w:rsidRPr="00C5057B">
              <w:rPr>
                <w:rFonts w:cs="Arial"/>
                <w:sz w:val="18"/>
                <w:szCs w:val="18"/>
              </w:rPr>
              <w:t>Public hospital maternity care</w:t>
            </w:r>
          </w:p>
        </w:tc>
        <w:tc>
          <w:tcPr>
            <w:tcW w:w="3685" w:type="dxa"/>
          </w:tcPr>
          <w:p w:rsidR="0056203A" w:rsidRPr="00C5057B" w:rsidRDefault="0056203A" w:rsidP="00E1143A">
            <w:pPr>
              <w:rPr>
                <w:rFonts w:cs="Arial"/>
                <w:sz w:val="18"/>
                <w:szCs w:val="18"/>
              </w:rPr>
            </w:pPr>
            <w:r w:rsidRPr="00C5057B">
              <w:rPr>
                <w:rFonts w:cs="Arial"/>
                <w:sz w:val="18"/>
                <w:szCs w:val="18"/>
              </w:rPr>
              <w:t>All stages of care provided by public hospital midwives and/or doctors.</w:t>
            </w:r>
          </w:p>
        </w:tc>
        <w:tc>
          <w:tcPr>
            <w:tcW w:w="1134" w:type="dxa"/>
          </w:tcPr>
          <w:p w:rsidR="0056203A" w:rsidRPr="00C5057B" w:rsidRDefault="0056203A" w:rsidP="00E1143A">
            <w:pPr>
              <w:rPr>
                <w:rFonts w:cs="Arial"/>
                <w:sz w:val="18"/>
                <w:szCs w:val="18"/>
              </w:rPr>
            </w:pPr>
            <w:r w:rsidRPr="00C5057B">
              <w:rPr>
                <w:rFonts w:cs="Arial"/>
                <w:sz w:val="18"/>
                <w:szCs w:val="18"/>
              </w:rPr>
              <w:t>Outpatient clinics (onsite or outreach)</w:t>
            </w:r>
          </w:p>
        </w:tc>
        <w:tc>
          <w:tcPr>
            <w:tcW w:w="1418" w:type="dxa"/>
          </w:tcPr>
          <w:p w:rsidR="0056203A" w:rsidRPr="00C5057B" w:rsidRDefault="0056203A" w:rsidP="00E1143A">
            <w:pPr>
              <w:rPr>
                <w:rFonts w:cs="Arial"/>
                <w:sz w:val="18"/>
                <w:szCs w:val="18"/>
              </w:rPr>
            </w:pPr>
            <w:r w:rsidRPr="00C5057B">
              <w:rPr>
                <w:rFonts w:cs="Arial"/>
                <w:sz w:val="18"/>
                <w:szCs w:val="18"/>
              </w:rPr>
              <w:t>Hospital</w:t>
            </w:r>
          </w:p>
        </w:tc>
        <w:tc>
          <w:tcPr>
            <w:tcW w:w="1276" w:type="dxa"/>
          </w:tcPr>
          <w:p w:rsidR="0056203A" w:rsidRPr="00C5057B" w:rsidRDefault="0056203A" w:rsidP="00E1143A">
            <w:pPr>
              <w:rPr>
                <w:rFonts w:cs="Arial"/>
                <w:sz w:val="18"/>
                <w:szCs w:val="18"/>
              </w:rPr>
            </w:pPr>
            <w:r w:rsidRPr="00C5057B">
              <w:rPr>
                <w:rFonts w:cs="Arial"/>
                <w:sz w:val="18"/>
                <w:szCs w:val="18"/>
              </w:rPr>
              <w:t>Hospital, home or community</w:t>
            </w:r>
          </w:p>
        </w:tc>
      </w:tr>
      <w:tr w:rsidR="0056203A" w:rsidRPr="00C5057B" w:rsidTr="00A92440">
        <w:trPr>
          <w:jc w:val="center"/>
        </w:trPr>
        <w:tc>
          <w:tcPr>
            <w:tcW w:w="1526" w:type="dxa"/>
          </w:tcPr>
          <w:p w:rsidR="0056203A" w:rsidRPr="00C5057B" w:rsidRDefault="0056203A" w:rsidP="00E1143A">
            <w:pPr>
              <w:rPr>
                <w:rFonts w:cs="Arial"/>
                <w:sz w:val="18"/>
                <w:szCs w:val="18"/>
              </w:rPr>
            </w:pPr>
            <w:r w:rsidRPr="00C5057B">
              <w:rPr>
                <w:rFonts w:cs="Arial"/>
                <w:sz w:val="18"/>
                <w:szCs w:val="18"/>
              </w:rPr>
              <w:t>Public hospital high risk maternity care</w:t>
            </w:r>
          </w:p>
        </w:tc>
        <w:tc>
          <w:tcPr>
            <w:tcW w:w="3685" w:type="dxa"/>
          </w:tcPr>
          <w:p w:rsidR="0056203A" w:rsidRPr="00C5057B" w:rsidRDefault="0056203A" w:rsidP="00E1143A">
            <w:pPr>
              <w:rPr>
                <w:rFonts w:cs="Arial"/>
                <w:sz w:val="18"/>
                <w:szCs w:val="18"/>
              </w:rPr>
            </w:pPr>
            <w:r w:rsidRPr="00C5057B">
              <w:rPr>
                <w:rFonts w:cs="Arial"/>
                <w:sz w:val="18"/>
                <w:szCs w:val="18"/>
              </w:rPr>
              <w:t>Antenatal care provided by specialists with assistance from midwives. Intrapartum and postnatal care is provided by hospital doctors and midwives.</w:t>
            </w:r>
          </w:p>
        </w:tc>
        <w:tc>
          <w:tcPr>
            <w:tcW w:w="1134" w:type="dxa"/>
          </w:tcPr>
          <w:p w:rsidR="0056203A" w:rsidRPr="00C5057B" w:rsidRDefault="0056203A" w:rsidP="00E1143A">
            <w:pPr>
              <w:rPr>
                <w:rFonts w:cs="Arial"/>
                <w:sz w:val="18"/>
                <w:szCs w:val="18"/>
              </w:rPr>
            </w:pPr>
            <w:r w:rsidRPr="00C5057B">
              <w:rPr>
                <w:rFonts w:cs="Arial"/>
                <w:sz w:val="18"/>
                <w:szCs w:val="18"/>
              </w:rPr>
              <w:t>Hospital</w:t>
            </w:r>
          </w:p>
        </w:tc>
        <w:tc>
          <w:tcPr>
            <w:tcW w:w="1418" w:type="dxa"/>
          </w:tcPr>
          <w:p w:rsidR="0056203A" w:rsidRPr="00C5057B" w:rsidRDefault="0056203A" w:rsidP="00E1143A">
            <w:pPr>
              <w:rPr>
                <w:rFonts w:cs="Arial"/>
                <w:sz w:val="18"/>
                <w:szCs w:val="18"/>
              </w:rPr>
            </w:pPr>
            <w:r w:rsidRPr="00C5057B">
              <w:rPr>
                <w:rFonts w:cs="Arial"/>
                <w:sz w:val="18"/>
                <w:szCs w:val="18"/>
              </w:rPr>
              <w:t>Hospital</w:t>
            </w:r>
          </w:p>
        </w:tc>
        <w:tc>
          <w:tcPr>
            <w:tcW w:w="1276" w:type="dxa"/>
          </w:tcPr>
          <w:p w:rsidR="0056203A" w:rsidRPr="00C5057B" w:rsidRDefault="0056203A" w:rsidP="00E1143A">
            <w:pPr>
              <w:rPr>
                <w:rFonts w:cs="Arial"/>
                <w:sz w:val="18"/>
                <w:szCs w:val="18"/>
              </w:rPr>
            </w:pPr>
            <w:r w:rsidRPr="00C5057B">
              <w:rPr>
                <w:rFonts w:cs="Arial"/>
                <w:sz w:val="18"/>
                <w:szCs w:val="18"/>
              </w:rPr>
              <w:t>Hospital, home or community</w:t>
            </w:r>
          </w:p>
        </w:tc>
      </w:tr>
      <w:tr w:rsidR="0056203A" w:rsidRPr="00C5057B" w:rsidTr="00A92440">
        <w:trPr>
          <w:jc w:val="center"/>
        </w:trPr>
        <w:tc>
          <w:tcPr>
            <w:tcW w:w="1526" w:type="dxa"/>
          </w:tcPr>
          <w:p w:rsidR="0056203A" w:rsidRPr="00C5057B" w:rsidRDefault="0056203A" w:rsidP="00E1143A">
            <w:pPr>
              <w:rPr>
                <w:rFonts w:cs="Arial"/>
                <w:sz w:val="18"/>
                <w:szCs w:val="18"/>
              </w:rPr>
            </w:pPr>
            <w:r w:rsidRPr="00C5057B">
              <w:rPr>
                <w:rFonts w:cs="Arial"/>
                <w:sz w:val="18"/>
                <w:szCs w:val="18"/>
              </w:rPr>
              <w:t>Remote area maternity care</w:t>
            </w:r>
          </w:p>
        </w:tc>
        <w:tc>
          <w:tcPr>
            <w:tcW w:w="3685" w:type="dxa"/>
          </w:tcPr>
          <w:p w:rsidR="0056203A" w:rsidRPr="00C5057B" w:rsidRDefault="0056203A" w:rsidP="00E1143A">
            <w:pPr>
              <w:rPr>
                <w:rFonts w:cs="Arial"/>
                <w:sz w:val="18"/>
                <w:szCs w:val="18"/>
              </w:rPr>
            </w:pPr>
            <w:r w:rsidRPr="00C5057B">
              <w:rPr>
                <w:rFonts w:cs="Arial"/>
                <w:sz w:val="18"/>
                <w:szCs w:val="18"/>
              </w:rPr>
              <w:t>Antenatal and postnatal care is provided by a remote area midwife or nurse. Can be managed by a group of midwives working with nurses or doctors.</w:t>
            </w:r>
          </w:p>
          <w:p w:rsidR="0056203A" w:rsidRPr="00C5057B" w:rsidRDefault="0056203A" w:rsidP="00E1143A">
            <w:pPr>
              <w:rPr>
                <w:rFonts w:cs="Arial"/>
                <w:sz w:val="18"/>
                <w:szCs w:val="18"/>
              </w:rPr>
            </w:pPr>
            <w:r w:rsidRPr="00C5057B">
              <w:rPr>
                <w:rFonts w:cs="Arial"/>
                <w:sz w:val="18"/>
                <w:szCs w:val="18"/>
              </w:rPr>
              <w:t>Intrapartum and postnatal care requires temporary relocation to a regional or metropolitan hospital where care is managed by hospital midwives and doctors.</w:t>
            </w:r>
          </w:p>
        </w:tc>
        <w:tc>
          <w:tcPr>
            <w:tcW w:w="1134" w:type="dxa"/>
          </w:tcPr>
          <w:p w:rsidR="0056203A" w:rsidRPr="00C5057B" w:rsidRDefault="0056203A" w:rsidP="00E1143A">
            <w:pPr>
              <w:rPr>
                <w:rFonts w:cs="Arial"/>
                <w:sz w:val="18"/>
                <w:szCs w:val="18"/>
              </w:rPr>
            </w:pPr>
            <w:r w:rsidRPr="00C5057B">
              <w:rPr>
                <w:rFonts w:cs="Arial"/>
                <w:sz w:val="18"/>
                <w:szCs w:val="18"/>
              </w:rPr>
              <w:t>Telehealth or community (fly-in-fly-out clinicians)</w:t>
            </w:r>
          </w:p>
        </w:tc>
        <w:tc>
          <w:tcPr>
            <w:tcW w:w="1418" w:type="dxa"/>
          </w:tcPr>
          <w:p w:rsidR="0056203A" w:rsidRPr="00C5057B" w:rsidRDefault="0056203A" w:rsidP="00E1143A">
            <w:pPr>
              <w:rPr>
                <w:rFonts w:cs="Arial"/>
                <w:sz w:val="18"/>
                <w:szCs w:val="18"/>
              </w:rPr>
            </w:pPr>
            <w:r w:rsidRPr="00C5057B">
              <w:rPr>
                <w:rFonts w:cs="Arial"/>
                <w:sz w:val="18"/>
                <w:szCs w:val="18"/>
              </w:rPr>
              <w:t>Hospital</w:t>
            </w:r>
          </w:p>
        </w:tc>
        <w:tc>
          <w:tcPr>
            <w:tcW w:w="1276" w:type="dxa"/>
          </w:tcPr>
          <w:p w:rsidR="0056203A" w:rsidRPr="00C5057B" w:rsidRDefault="0056203A" w:rsidP="00E1143A">
            <w:pPr>
              <w:rPr>
                <w:rFonts w:cs="Arial"/>
                <w:sz w:val="18"/>
                <w:szCs w:val="18"/>
              </w:rPr>
            </w:pPr>
            <w:r w:rsidRPr="00C5057B">
              <w:rPr>
                <w:rFonts w:cs="Arial"/>
                <w:sz w:val="18"/>
                <w:szCs w:val="18"/>
              </w:rPr>
              <w:t>Hospital</w:t>
            </w:r>
          </w:p>
        </w:tc>
      </w:tr>
    </w:tbl>
    <w:p w:rsidR="00B740AD" w:rsidRPr="00E85564" w:rsidRDefault="0007288C" w:rsidP="00E85564">
      <w:pPr>
        <w:pStyle w:val="Heading1"/>
      </w:pPr>
      <w:bookmarkStart w:id="88" w:name="_Toc10808393"/>
      <w:r w:rsidRPr="00E85564">
        <w:t>Workforce projections</w:t>
      </w:r>
      <w:bookmarkEnd w:id="88"/>
    </w:p>
    <w:p w:rsidR="00B740AD" w:rsidRPr="0011685D" w:rsidRDefault="00B740AD" w:rsidP="00E85564">
      <w:pPr>
        <w:pStyle w:val="Heading2"/>
      </w:pPr>
      <w:bookmarkStart w:id="89" w:name="_Toc377045986"/>
      <w:bookmarkStart w:id="90" w:name="_Toc10808394"/>
      <w:bookmarkStart w:id="91" w:name="_Toc377370490"/>
      <w:r w:rsidRPr="0011685D">
        <w:t>Supply methodology</w:t>
      </w:r>
      <w:bookmarkEnd w:id="89"/>
      <w:bookmarkEnd w:id="90"/>
    </w:p>
    <w:p w:rsidR="00B740AD" w:rsidRPr="00826C99" w:rsidRDefault="00B740AD" w:rsidP="0011685D">
      <w:pPr>
        <w:spacing w:before="120" w:after="120" w:line="240" w:lineRule="auto"/>
        <w:jc w:val="both"/>
        <w:rPr>
          <w:rFonts w:eastAsia="Calibri" w:cs="Arial"/>
          <w:szCs w:val="22"/>
          <w:lang w:eastAsia="x-none"/>
        </w:rPr>
      </w:pPr>
      <w:r w:rsidRPr="00826C99">
        <w:rPr>
          <w:rFonts w:eastAsia="Calibri" w:cs="Arial"/>
          <w:szCs w:val="22"/>
          <w:lang w:eastAsia="x-none"/>
        </w:rPr>
        <w:t xml:space="preserve">The principal method used to develop the midwifery workforce projections is mathematical simulation modelling, using the National Health Workforce Planning Tool (NHWPT), often referred to as ‘the Tool’. The simulation model employed to generate the workforce supply projections is a dynamic stock and flow model. </w:t>
      </w:r>
    </w:p>
    <w:p w:rsidR="00B740AD" w:rsidRPr="00826C99" w:rsidRDefault="00B740AD" w:rsidP="0011685D">
      <w:pPr>
        <w:spacing w:before="120" w:after="120" w:line="240" w:lineRule="auto"/>
        <w:jc w:val="both"/>
        <w:rPr>
          <w:rFonts w:eastAsia="Calibri" w:cs="Arial"/>
          <w:szCs w:val="22"/>
          <w:lang w:eastAsia="x-none"/>
        </w:rPr>
      </w:pPr>
      <w:r w:rsidRPr="00826C99">
        <w:rPr>
          <w:rFonts w:eastAsia="Calibri" w:cs="Arial"/>
          <w:szCs w:val="22"/>
          <w:lang w:eastAsia="x-none"/>
        </w:rPr>
        <w:t>A stock and flow model involves identifying the size and activity of the current workforce (stock) and sources of inflows and outflows from the stock (people entering and exiting the workforce), as well as looking at trends or influences on the stock and flows. To project future supply,</w:t>
      </w:r>
      <w:r w:rsidR="001A1EA6">
        <w:rPr>
          <w:rFonts w:eastAsia="Calibri" w:cs="Arial"/>
          <w:szCs w:val="22"/>
          <w:lang w:eastAsia="x-none"/>
        </w:rPr>
        <w:t xml:space="preserve"> the initial stock is forecast</w:t>
      </w:r>
      <w:r w:rsidRPr="00826C99">
        <w:rPr>
          <w:rFonts w:eastAsia="Calibri" w:cs="Arial"/>
          <w:szCs w:val="22"/>
          <w:lang w:eastAsia="x-none"/>
        </w:rPr>
        <w:t xml:space="preserve"> based on expected inflows and outflows, allowing for the impact of trends and influences in the stock. The workforce is broken down into age and gender cohorts, and different flow rates are calculated by cohort and year for each of the inflow and outflow factors.</w:t>
      </w:r>
    </w:p>
    <w:p w:rsidR="00596724" w:rsidRPr="00596724" w:rsidRDefault="00B740AD" w:rsidP="00941260">
      <w:pPr>
        <w:autoSpaceDE w:val="0"/>
        <w:autoSpaceDN w:val="0"/>
        <w:adjustRightInd w:val="0"/>
        <w:spacing w:before="120" w:after="120" w:line="240" w:lineRule="auto"/>
        <w:jc w:val="both"/>
      </w:pPr>
      <w:r w:rsidRPr="00826C99">
        <w:rPr>
          <w:rFonts w:eastAsia="Calibri" w:cs="Arial"/>
          <w:szCs w:val="22"/>
          <w:lang w:eastAsia="x-none"/>
        </w:rPr>
        <w:t>The midwifery workforce projections used a dynamic version of the stock and flow approach. This means the stock of the workforce is affected by inflows and outflows to adjacent age cohorts within the stock, as well as external inflows and outflows. That is, each age and gender cohort receives inflows not just from graduates and migration (external flows), but also from people ageing within the model that move from one age cohort into the next. For example, someone moves from the 30 to 34 cohort into the 35 to 39 cohort. Similarly, each age and gender cohort has exits applied – exits as people leave the workforce altogether, and exits as a person moves into the next age cohort. This is an iterative calculation in each year over the projection peri</w:t>
      </w:r>
      <w:r w:rsidR="00C66949">
        <w:rPr>
          <w:rFonts w:eastAsia="Calibri" w:cs="Arial"/>
          <w:szCs w:val="22"/>
          <w:lang w:eastAsia="x-none"/>
        </w:rPr>
        <w:t>od, and is a</w:t>
      </w:r>
      <w:r w:rsidRPr="00826C99">
        <w:rPr>
          <w:rFonts w:eastAsia="Calibri" w:cs="Arial"/>
          <w:szCs w:val="22"/>
          <w:lang w:eastAsia="x-none"/>
        </w:rPr>
        <w:t xml:space="preserve"> representation of labour </w:t>
      </w:r>
      <w:r w:rsidR="00167ABC">
        <w:rPr>
          <w:rFonts w:eastAsia="Calibri" w:cs="Arial"/>
          <w:szCs w:val="22"/>
          <w:lang w:eastAsia="x-none"/>
        </w:rPr>
        <w:t>force dynamics</w:t>
      </w:r>
      <w:r w:rsidRPr="00826C99">
        <w:rPr>
          <w:rFonts w:eastAsia="Calibri" w:cs="Arial"/>
          <w:szCs w:val="22"/>
          <w:lang w:eastAsia="x-none"/>
        </w:rPr>
        <w:t xml:space="preserve">. This process is represented in </w:t>
      </w:r>
      <w:r w:rsidR="00A402D5">
        <w:rPr>
          <w:rFonts w:eastAsia="Calibri" w:cs="Arial"/>
          <w:szCs w:val="22"/>
          <w:lang w:eastAsia="x-none"/>
        </w:rPr>
        <w:t>Figure 1</w:t>
      </w:r>
      <w:r w:rsidR="00954D39">
        <w:rPr>
          <w:rFonts w:eastAsia="Calibri" w:cs="Arial"/>
          <w:szCs w:val="22"/>
          <w:lang w:eastAsia="x-none"/>
        </w:rPr>
        <w:t>4</w:t>
      </w:r>
      <w:r w:rsidRPr="00826C99">
        <w:rPr>
          <w:rFonts w:eastAsia="Calibri" w:cs="Arial"/>
          <w:szCs w:val="22"/>
          <w:lang w:eastAsia="x-none"/>
        </w:rPr>
        <w:t>.</w:t>
      </w:r>
      <w:r w:rsidR="00941260" w:rsidRPr="00596724">
        <w:t xml:space="preserve"> </w:t>
      </w:r>
    </w:p>
    <w:p w:rsidR="00941260" w:rsidRDefault="00941260">
      <w:pPr>
        <w:rPr>
          <w:rFonts w:eastAsia="Times New Roman"/>
          <w:bCs/>
          <w:i/>
          <w:color w:val="954ECA"/>
          <w:sz w:val="20"/>
          <w:szCs w:val="20"/>
        </w:rPr>
      </w:pPr>
      <w:bookmarkStart w:id="92" w:name="_Toc532473570"/>
      <w:bookmarkStart w:id="93" w:name="_Toc1722566"/>
      <w:bookmarkStart w:id="94" w:name="_Toc1724690"/>
      <w:bookmarkStart w:id="95" w:name="_Toc1725008"/>
      <w:r>
        <w:br w:type="page"/>
      </w:r>
    </w:p>
    <w:p w:rsidR="00EB1AC2" w:rsidRPr="00826C99" w:rsidRDefault="00EB1AC2" w:rsidP="00EB1AC2">
      <w:pPr>
        <w:pStyle w:val="Caption"/>
      </w:pPr>
      <w:r>
        <w:lastRenderedPageBreak/>
        <w:t xml:space="preserve">Figure </w:t>
      </w:r>
      <w:r w:rsidR="001F11F0">
        <w:rPr>
          <w:noProof/>
        </w:rPr>
        <w:t>14</w:t>
      </w:r>
      <w:r>
        <w:t>: Stock and Flow Process</w:t>
      </w:r>
      <w:bookmarkEnd w:id="92"/>
      <w:bookmarkEnd w:id="93"/>
      <w:bookmarkEnd w:id="94"/>
      <w:bookmarkEnd w:id="95"/>
    </w:p>
    <w:p w:rsidR="00CC79C4" w:rsidRDefault="00CC79C4" w:rsidP="00E02467">
      <w:pPr>
        <w:spacing w:after="0" w:line="276" w:lineRule="auto"/>
        <w:jc w:val="center"/>
        <w:rPr>
          <w:rFonts w:eastAsia="Times New Roman" w:cs="Arial"/>
          <w:color w:val="000000"/>
          <w:szCs w:val="22"/>
        </w:rPr>
      </w:pPr>
      <w:r>
        <w:rPr>
          <w:noProof/>
          <w:lang w:eastAsia="en-AU"/>
        </w:rPr>
        <w:drawing>
          <wp:inline distT="0" distB="0" distL="0" distR="0" wp14:anchorId="415F99D0" wp14:editId="51205587">
            <wp:extent cx="5219700" cy="3148822"/>
            <wp:effectExtent l="0" t="0" r="0" b="0"/>
            <wp:docPr id="6" name="Picture 6" descr="Shows the stock and flow process:&#10;Current workforce flow out factors are retirement, illness/death, career change, decreased hours and emigration.&#10;&#10;Future workforce flow in factors are graduates, re-entries, increased hours, immigration and late retirements." title="Figure 14: Stock and Flow Proc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225247" cy="3152169"/>
                    </a:xfrm>
                    <a:prstGeom prst="rect">
                      <a:avLst/>
                    </a:prstGeom>
                  </pic:spPr>
                </pic:pic>
              </a:graphicData>
            </a:graphic>
          </wp:inline>
        </w:drawing>
      </w:r>
    </w:p>
    <w:p w:rsidR="00B740AD" w:rsidRPr="00F9587D" w:rsidRDefault="00B740AD" w:rsidP="00E85564">
      <w:pPr>
        <w:pStyle w:val="Heading2"/>
      </w:pPr>
      <w:bookmarkStart w:id="96" w:name="_Toc10808395"/>
      <w:r w:rsidRPr="00F9587D">
        <w:t>Key inputs in the stock and flow model</w:t>
      </w:r>
      <w:bookmarkEnd w:id="96"/>
    </w:p>
    <w:p w:rsidR="00B740AD" w:rsidRPr="00826C99" w:rsidRDefault="00B740AD" w:rsidP="00C5057B">
      <w:pPr>
        <w:autoSpaceDE w:val="0"/>
        <w:autoSpaceDN w:val="0"/>
        <w:adjustRightInd w:val="0"/>
        <w:spacing w:before="120" w:after="120" w:line="240" w:lineRule="auto"/>
        <w:jc w:val="both"/>
        <w:rPr>
          <w:rFonts w:eastAsia="Calibri" w:cs="Arial"/>
          <w:szCs w:val="22"/>
          <w:lang w:eastAsia="x-none"/>
        </w:rPr>
      </w:pPr>
      <w:r w:rsidRPr="00826C99">
        <w:rPr>
          <w:rFonts w:eastAsia="Calibri" w:cs="Arial"/>
          <w:szCs w:val="22"/>
          <w:lang w:eastAsia="x-none"/>
        </w:rPr>
        <w:t>There are four key inputs in the dynamic stock and flow model:</w:t>
      </w:r>
    </w:p>
    <w:p w:rsidR="00B740AD" w:rsidRPr="00826C99" w:rsidRDefault="00B740AD" w:rsidP="002B7E32">
      <w:pPr>
        <w:numPr>
          <w:ilvl w:val="0"/>
          <w:numId w:val="16"/>
        </w:numPr>
        <w:autoSpaceDE w:val="0"/>
        <w:autoSpaceDN w:val="0"/>
        <w:adjustRightInd w:val="0"/>
        <w:spacing w:before="120" w:after="120" w:line="240" w:lineRule="auto"/>
        <w:jc w:val="both"/>
        <w:rPr>
          <w:rFonts w:eastAsia="Calibri" w:cs="Arial"/>
          <w:color w:val="000000"/>
          <w:szCs w:val="22"/>
        </w:rPr>
      </w:pPr>
      <w:r w:rsidRPr="00826C99">
        <w:rPr>
          <w:rFonts w:eastAsia="Calibri" w:cs="Arial"/>
          <w:color w:val="000000"/>
          <w:szCs w:val="22"/>
        </w:rPr>
        <w:t>Workforce stock</w:t>
      </w:r>
    </w:p>
    <w:p w:rsidR="00B740AD" w:rsidRPr="00826C99" w:rsidRDefault="00B740AD" w:rsidP="002B7E32">
      <w:pPr>
        <w:numPr>
          <w:ilvl w:val="0"/>
          <w:numId w:val="16"/>
        </w:numPr>
        <w:autoSpaceDE w:val="0"/>
        <w:autoSpaceDN w:val="0"/>
        <w:adjustRightInd w:val="0"/>
        <w:spacing w:before="120" w:after="120" w:line="240" w:lineRule="auto"/>
        <w:jc w:val="both"/>
        <w:rPr>
          <w:rFonts w:eastAsia="Calibri" w:cs="Arial"/>
          <w:color w:val="000000"/>
          <w:szCs w:val="22"/>
        </w:rPr>
      </w:pPr>
      <w:r w:rsidRPr="00826C99">
        <w:rPr>
          <w:rFonts w:eastAsia="Calibri" w:cs="Arial"/>
          <w:color w:val="000000"/>
          <w:szCs w:val="22"/>
        </w:rPr>
        <w:t>New graduates</w:t>
      </w:r>
    </w:p>
    <w:p w:rsidR="00B740AD" w:rsidRPr="00826C99" w:rsidRDefault="00B740AD" w:rsidP="002B7E32">
      <w:pPr>
        <w:numPr>
          <w:ilvl w:val="0"/>
          <w:numId w:val="16"/>
        </w:numPr>
        <w:autoSpaceDE w:val="0"/>
        <w:autoSpaceDN w:val="0"/>
        <w:adjustRightInd w:val="0"/>
        <w:spacing w:before="120" w:after="120" w:line="240" w:lineRule="auto"/>
        <w:jc w:val="both"/>
        <w:rPr>
          <w:rFonts w:eastAsia="Calibri" w:cs="Arial"/>
          <w:color w:val="000000"/>
          <w:szCs w:val="22"/>
        </w:rPr>
      </w:pPr>
      <w:r w:rsidRPr="00826C99">
        <w:rPr>
          <w:rFonts w:eastAsia="Calibri" w:cs="Arial"/>
          <w:color w:val="000000"/>
          <w:szCs w:val="22"/>
        </w:rPr>
        <w:t>Migration (permanent, no substantive visa held)</w:t>
      </w:r>
    </w:p>
    <w:p w:rsidR="00B740AD" w:rsidRPr="00826C99" w:rsidRDefault="00B740AD" w:rsidP="002B7E32">
      <w:pPr>
        <w:numPr>
          <w:ilvl w:val="0"/>
          <w:numId w:val="16"/>
        </w:numPr>
        <w:autoSpaceDE w:val="0"/>
        <w:autoSpaceDN w:val="0"/>
        <w:adjustRightInd w:val="0"/>
        <w:spacing w:before="120" w:after="120" w:line="240" w:lineRule="auto"/>
        <w:jc w:val="both"/>
        <w:rPr>
          <w:rFonts w:eastAsia="Calibri" w:cs="Arial"/>
          <w:color w:val="0070C1"/>
          <w:szCs w:val="22"/>
        </w:rPr>
      </w:pPr>
      <w:r w:rsidRPr="00826C99">
        <w:rPr>
          <w:rFonts w:eastAsia="Calibri" w:cs="Arial"/>
          <w:color w:val="000000"/>
          <w:szCs w:val="22"/>
        </w:rPr>
        <w:t>Exits, which includes all permanent and temporary flows out of the workforce.</w:t>
      </w:r>
    </w:p>
    <w:p w:rsidR="00B740AD" w:rsidRPr="00F9587D" w:rsidRDefault="00B740AD" w:rsidP="00E85564">
      <w:pPr>
        <w:pStyle w:val="Heading2"/>
      </w:pPr>
      <w:bookmarkStart w:id="97" w:name="_Toc10808396"/>
      <w:r w:rsidRPr="00F9587D">
        <w:t>Workforce stock</w:t>
      </w:r>
      <w:bookmarkEnd w:id="97"/>
    </w:p>
    <w:p w:rsidR="00AC5B85" w:rsidRPr="00826C99" w:rsidRDefault="00B740AD" w:rsidP="00C5057B">
      <w:pPr>
        <w:autoSpaceDE w:val="0"/>
        <w:autoSpaceDN w:val="0"/>
        <w:adjustRightInd w:val="0"/>
        <w:spacing w:before="120" w:after="120" w:line="240" w:lineRule="auto"/>
        <w:jc w:val="both"/>
        <w:rPr>
          <w:rFonts w:eastAsia="Calibri" w:cs="Arial"/>
          <w:szCs w:val="22"/>
          <w:lang w:eastAsia="x-none"/>
        </w:rPr>
      </w:pPr>
      <w:r w:rsidRPr="00826C99">
        <w:rPr>
          <w:rFonts w:eastAsia="Calibri" w:cs="Arial"/>
          <w:szCs w:val="22"/>
          <w:lang w:eastAsia="x-none"/>
        </w:rPr>
        <w:t>Calculation of the workforce ‘sto</w:t>
      </w:r>
      <w:r w:rsidR="001A1EA6">
        <w:rPr>
          <w:rFonts w:eastAsia="Calibri" w:cs="Arial"/>
          <w:szCs w:val="22"/>
          <w:lang w:eastAsia="x-none"/>
        </w:rPr>
        <w:t>ck’ in the base year (2017) uses</w:t>
      </w:r>
      <w:r w:rsidRPr="00826C99">
        <w:rPr>
          <w:rFonts w:eastAsia="Calibri" w:cs="Arial"/>
          <w:szCs w:val="22"/>
          <w:lang w:eastAsia="x-none"/>
        </w:rPr>
        <w:t xml:space="preserve"> the NHWDS. The NHWDS combines data from the annual registration process through </w:t>
      </w:r>
      <w:r w:rsidR="008E2713">
        <w:rPr>
          <w:rFonts w:eastAsia="Calibri" w:cs="Arial"/>
          <w:szCs w:val="22"/>
          <w:lang w:eastAsia="x-none"/>
        </w:rPr>
        <w:t xml:space="preserve">the </w:t>
      </w:r>
      <w:r w:rsidRPr="00826C99">
        <w:rPr>
          <w:rFonts w:eastAsia="Calibri" w:cs="Arial"/>
          <w:szCs w:val="22"/>
          <w:lang w:eastAsia="x-none"/>
        </w:rPr>
        <w:t>Australian Health Practitioner Regulati</w:t>
      </w:r>
      <w:r w:rsidR="008E2713">
        <w:rPr>
          <w:rFonts w:eastAsia="Calibri" w:cs="Arial"/>
          <w:szCs w:val="22"/>
          <w:lang w:eastAsia="x-none"/>
        </w:rPr>
        <w:t>on</w:t>
      </w:r>
      <w:r w:rsidRPr="00826C99">
        <w:rPr>
          <w:rFonts w:eastAsia="Calibri" w:cs="Arial"/>
          <w:szCs w:val="22"/>
          <w:lang w:eastAsia="x-none"/>
        </w:rPr>
        <w:t xml:space="preserve"> Agency (AHPRA) for registered midwives and nurses, together with data from a workforce survey that is voluntarily completed at the time of registration. </w:t>
      </w:r>
    </w:p>
    <w:p w:rsidR="00543598" w:rsidRPr="00F9587D" w:rsidRDefault="00B740AD" w:rsidP="00E85564">
      <w:pPr>
        <w:pStyle w:val="Heading2"/>
      </w:pPr>
      <w:bookmarkStart w:id="98" w:name="_Toc10808397"/>
      <w:r w:rsidRPr="00F9587D">
        <w:t>New graduates</w:t>
      </w:r>
      <w:bookmarkEnd w:id="98"/>
      <w:r w:rsidRPr="00F9587D">
        <w:t xml:space="preserve"> </w:t>
      </w:r>
    </w:p>
    <w:p w:rsidR="00B740AD" w:rsidRPr="00826C99" w:rsidRDefault="00B740AD" w:rsidP="00C5057B">
      <w:pPr>
        <w:autoSpaceDE w:val="0"/>
        <w:autoSpaceDN w:val="0"/>
        <w:adjustRightInd w:val="0"/>
        <w:spacing w:before="120" w:after="120" w:line="240" w:lineRule="auto"/>
        <w:jc w:val="both"/>
        <w:rPr>
          <w:rFonts w:eastAsia="Calibri" w:cs="Arial"/>
          <w:szCs w:val="22"/>
          <w:lang w:eastAsia="x-none"/>
        </w:rPr>
      </w:pPr>
      <w:r w:rsidRPr="00826C99">
        <w:rPr>
          <w:rFonts w:eastAsia="Calibri" w:cs="Arial"/>
          <w:szCs w:val="22"/>
          <w:lang w:eastAsia="x-none"/>
        </w:rPr>
        <w:t xml:space="preserve">Data from the Department of Education was used to estimate the anticipated number of new enrolments (commencements), continuing students and completing graduates, based on recent trends in the number of graduating students and their expected years of completion. </w:t>
      </w:r>
    </w:p>
    <w:p w:rsidR="008E2713" w:rsidRDefault="009B7071" w:rsidP="00941260">
      <w:pPr>
        <w:autoSpaceDE w:val="0"/>
        <w:autoSpaceDN w:val="0"/>
        <w:adjustRightInd w:val="0"/>
        <w:spacing w:before="120" w:after="120" w:line="240" w:lineRule="auto"/>
        <w:jc w:val="both"/>
        <w:rPr>
          <w:rFonts w:eastAsia="Calibri" w:cs="Arial"/>
          <w:noProof/>
          <w:szCs w:val="22"/>
          <w:lang w:eastAsia="en-AU"/>
        </w:rPr>
      </w:pPr>
      <w:r>
        <w:rPr>
          <w:rFonts w:eastAsia="Calibri" w:cs="Arial"/>
          <w:szCs w:val="22"/>
          <w:lang w:eastAsia="x-none"/>
        </w:rPr>
        <w:t>Figure 1</w:t>
      </w:r>
      <w:r w:rsidR="00954D39">
        <w:rPr>
          <w:rFonts w:eastAsia="Calibri" w:cs="Arial"/>
          <w:szCs w:val="22"/>
          <w:lang w:eastAsia="x-none"/>
        </w:rPr>
        <w:t>5</w:t>
      </w:r>
      <w:r w:rsidR="00B740AD" w:rsidRPr="00826C99">
        <w:rPr>
          <w:rFonts w:eastAsia="Calibri" w:cs="Arial"/>
          <w:szCs w:val="22"/>
          <w:lang w:eastAsia="x-none"/>
        </w:rPr>
        <w:t xml:space="preserve"> shows the number of commencements, continuing and completing - graduates (historical and projected) for midwives to 2030. From 2017, graduate numbers are projected based on historical growth and the number of students in training.</w:t>
      </w:r>
      <w:r w:rsidR="00941260">
        <w:rPr>
          <w:rFonts w:eastAsia="Calibri" w:cs="Arial"/>
          <w:noProof/>
          <w:szCs w:val="22"/>
          <w:lang w:eastAsia="en-AU"/>
        </w:rPr>
        <w:t xml:space="preserve"> </w:t>
      </w:r>
    </w:p>
    <w:p w:rsidR="001F11F0" w:rsidRDefault="001F11F0">
      <w:pPr>
        <w:rPr>
          <w:rFonts w:eastAsia="Calibri" w:cs="Arial"/>
          <w:noProof/>
          <w:szCs w:val="22"/>
          <w:lang w:eastAsia="en-AU"/>
        </w:rPr>
      </w:pPr>
      <w:r>
        <w:rPr>
          <w:rFonts w:eastAsia="Calibri" w:cs="Arial"/>
          <w:noProof/>
          <w:szCs w:val="22"/>
          <w:lang w:eastAsia="en-AU"/>
        </w:rPr>
        <w:br w:type="page"/>
      </w:r>
    </w:p>
    <w:p w:rsidR="00B336F4" w:rsidRDefault="00EB1AC2" w:rsidP="00B336F4">
      <w:pPr>
        <w:pStyle w:val="Caption"/>
      </w:pPr>
      <w:bookmarkStart w:id="99" w:name="_Toc532473571"/>
      <w:bookmarkStart w:id="100" w:name="_Toc1722567"/>
      <w:bookmarkStart w:id="101" w:name="_Toc1724691"/>
      <w:bookmarkStart w:id="102" w:name="_Toc1725009"/>
      <w:r w:rsidRPr="001F11F0">
        <w:lastRenderedPageBreak/>
        <w:t xml:space="preserve">Figure </w:t>
      </w:r>
      <w:r w:rsidR="001F11F0">
        <w:t>15</w:t>
      </w:r>
      <w:r w:rsidRPr="001F11F0">
        <w:t>: Commencing, continuing and completin</w:t>
      </w:r>
      <w:r w:rsidR="00657C08" w:rsidRPr="001F11F0">
        <w:t>g midwifery students, 2012 - 20</w:t>
      </w:r>
      <w:r w:rsidRPr="001F11F0">
        <w:t>3</w:t>
      </w:r>
      <w:bookmarkEnd w:id="99"/>
      <w:r w:rsidR="00657C08" w:rsidRPr="001F11F0">
        <w:t>0</w:t>
      </w:r>
      <w:bookmarkStart w:id="103" w:name="_Toc10808398"/>
      <w:bookmarkEnd w:id="100"/>
      <w:bookmarkEnd w:id="101"/>
      <w:bookmarkEnd w:id="102"/>
    </w:p>
    <w:p w:rsidR="00B336F4" w:rsidRDefault="00B336F4" w:rsidP="00832CC0">
      <w:pPr>
        <w:pStyle w:val="Heading2"/>
        <w:spacing w:before="120"/>
        <w:jc w:val="center"/>
      </w:pPr>
      <w:r>
        <w:rPr>
          <w:noProof/>
          <w:lang w:eastAsia="en-AU"/>
        </w:rPr>
        <w:drawing>
          <wp:inline distT="0" distB="0" distL="0" distR="0">
            <wp:extent cx="5579745" cy="2576363"/>
            <wp:effectExtent l="0" t="0" r="1905" b="0"/>
            <wp:docPr id="30" name="Picture 30" descr="Shows the number of commencing, continuing and completing midwifery students from 2012 to 2030.&#10;Commencements:&#10;2012 - 1,488 to 2030 - 2,298&#10;Continuing:&#10;2012 - 2,146 to 2030 - 4,203&#10;Completions:&#10;2012 - 840 to 2030 - 1797&#10;" title="Figure 15: Commencing, continuing and completing midwifery students, 2012 - 2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87CE88F.tmp"/>
                    <pic:cNvPicPr/>
                  </pic:nvPicPr>
                  <pic:blipFill rotWithShape="1">
                    <a:blip r:embed="rId20">
                      <a:extLst>
                        <a:ext uri="{28A0092B-C50C-407E-A947-70E740481C1C}">
                          <a14:useLocalDpi xmlns:a14="http://schemas.microsoft.com/office/drawing/2010/main" val="0"/>
                        </a:ext>
                      </a:extLst>
                    </a:blip>
                    <a:srcRect l="12382" t="29636" r="31661" b="22369"/>
                    <a:stretch/>
                  </pic:blipFill>
                  <pic:spPr bwMode="auto">
                    <a:xfrm>
                      <a:off x="0" y="0"/>
                      <a:ext cx="5602155" cy="2586711"/>
                    </a:xfrm>
                    <a:prstGeom prst="rect">
                      <a:avLst/>
                    </a:prstGeom>
                    <a:ln>
                      <a:noFill/>
                    </a:ln>
                    <a:extLst>
                      <a:ext uri="{53640926-AAD7-44D8-BBD7-CCE9431645EC}">
                        <a14:shadowObscured xmlns:a14="http://schemas.microsoft.com/office/drawing/2010/main"/>
                      </a:ext>
                    </a:extLst>
                  </pic:spPr>
                </pic:pic>
              </a:graphicData>
            </a:graphic>
          </wp:inline>
        </w:drawing>
      </w:r>
    </w:p>
    <w:p w:rsidR="00B740AD" w:rsidRPr="00C5057B" w:rsidRDefault="00B740AD" w:rsidP="00C35325">
      <w:pPr>
        <w:pStyle w:val="Heading2"/>
      </w:pPr>
      <w:r w:rsidRPr="00C5057B">
        <w:t>Migration</w:t>
      </w:r>
      <w:bookmarkEnd w:id="103"/>
    </w:p>
    <w:p w:rsidR="00763D93" w:rsidRDefault="009B7071" w:rsidP="00B740AD">
      <w:pPr>
        <w:autoSpaceDE w:val="0"/>
        <w:autoSpaceDN w:val="0"/>
        <w:adjustRightInd w:val="0"/>
        <w:spacing w:after="120" w:line="240" w:lineRule="auto"/>
        <w:jc w:val="both"/>
        <w:rPr>
          <w:rFonts w:eastAsia="Calibri" w:cs="Arial"/>
          <w:szCs w:val="22"/>
          <w:lang w:eastAsia="x-none"/>
        </w:rPr>
      </w:pPr>
      <w:r>
        <w:rPr>
          <w:rFonts w:eastAsia="Calibri" w:cs="Arial"/>
          <w:szCs w:val="22"/>
          <w:lang w:eastAsia="x-none"/>
        </w:rPr>
        <w:t>Figure 1</w:t>
      </w:r>
      <w:r w:rsidR="00954D39">
        <w:rPr>
          <w:rFonts w:eastAsia="Calibri" w:cs="Arial"/>
          <w:szCs w:val="22"/>
          <w:lang w:eastAsia="x-none"/>
        </w:rPr>
        <w:t>6</w:t>
      </w:r>
      <w:r w:rsidR="00B740AD" w:rsidRPr="00826C99">
        <w:rPr>
          <w:rFonts w:eastAsia="Calibri" w:cs="Arial"/>
          <w:szCs w:val="22"/>
          <w:lang w:eastAsia="x-none"/>
        </w:rPr>
        <w:t xml:space="preserve"> shows the number of permanent migrant midwives that entered the workforce </w:t>
      </w:r>
      <w:r w:rsidR="008E2713">
        <w:rPr>
          <w:rFonts w:eastAsia="Calibri" w:cs="Arial"/>
          <w:szCs w:val="22"/>
          <w:lang w:eastAsia="x-none"/>
        </w:rPr>
        <w:t>(</w:t>
      </w:r>
      <w:r w:rsidR="00B740AD" w:rsidRPr="00826C99">
        <w:rPr>
          <w:rFonts w:eastAsia="Calibri" w:cs="Arial"/>
          <w:szCs w:val="22"/>
          <w:lang w:eastAsia="x-none"/>
        </w:rPr>
        <w:t>sourced from the Department of Home Affairs</w:t>
      </w:r>
      <w:r w:rsidR="008E2713">
        <w:rPr>
          <w:rFonts w:eastAsia="Calibri" w:cs="Arial"/>
          <w:szCs w:val="22"/>
          <w:lang w:eastAsia="x-none"/>
        </w:rPr>
        <w:t>)</w:t>
      </w:r>
      <w:r w:rsidR="00B740AD" w:rsidRPr="00826C99">
        <w:rPr>
          <w:rFonts w:eastAsia="Calibri" w:cs="Arial"/>
          <w:szCs w:val="22"/>
          <w:lang w:eastAsia="x-none"/>
        </w:rPr>
        <w:t xml:space="preserve"> to estimate migratory inflows. The migration numbers in 2017 is held constant to 2030 in the model. This is based on the average number of migrants that entered in the last five </w:t>
      </w:r>
      <w:r w:rsidR="001A1EA6">
        <w:rPr>
          <w:rFonts w:eastAsia="Calibri" w:cs="Arial"/>
          <w:szCs w:val="22"/>
          <w:lang w:eastAsia="x-none"/>
        </w:rPr>
        <w:t>years. To avoid double counting</w:t>
      </w:r>
      <w:r w:rsidR="00B740AD" w:rsidRPr="00826C99">
        <w:rPr>
          <w:rFonts w:eastAsia="Calibri" w:cs="Arial"/>
          <w:szCs w:val="22"/>
          <w:lang w:eastAsia="x-none"/>
        </w:rPr>
        <w:t xml:space="preserve"> the number of permanent migrants who have held no </w:t>
      </w:r>
      <w:r w:rsidR="0093348E">
        <w:rPr>
          <w:rFonts w:eastAsia="Calibri" w:cs="Arial"/>
          <w:szCs w:val="22"/>
          <w:lang w:eastAsia="x-none"/>
        </w:rPr>
        <w:t xml:space="preserve">previous </w:t>
      </w:r>
      <w:r w:rsidR="00B740AD" w:rsidRPr="00826C99">
        <w:rPr>
          <w:rFonts w:eastAsia="Calibri" w:cs="Arial"/>
          <w:szCs w:val="22"/>
          <w:lang w:eastAsia="x-none"/>
        </w:rPr>
        <w:t xml:space="preserve">substantive visa are used as the input into the workforce projections. </w:t>
      </w:r>
    </w:p>
    <w:p w:rsidR="00441705" w:rsidRDefault="00EB1AC2" w:rsidP="00441705">
      <w:pPr>
        <w:pStyle w:val="Caption"/>
      </w:pPr>
      <w:bookmarkStart w:id="104" w:name="_Toc532473572"/>
      <w:bookmarkStart w:id="105" w:name="_Toc1722568"/>
      <w:bookmarkStart w:id="106" w:name="_Toc1724692"/>
      <w:bookmarkStart w:id="107" w:name="_Toc1725010"/>
      <w:r w:rsidRPr="001F11F0">
        <w:t>Figure</w:t>
      </w:r>
      <w:r w:rsidR="001F11F0">
        <w:t xml:space="preserve"> </w:t>
      </w:r>
      <w:r w:rsidR="00954D39" w:rsidRPr="001F11F0">
        <w:t>16</w:t>
      </w:r>
      <w:r w:rsidRPr="001F11F0">
        <w:t>: Permanent migrants, 2012 - 2030</w:t>
      </w:r>
      <w:bookmarkEnd w:id="104"/>
      <w:bookmarkEnd w:id="105"/>
      <w:bookmarkEnd w:id="106"/>
      <w:bookmarkEnd w:id="107"/>
    </w:p>
    <w:p w:rsidR="00954D39" w:rsidRDefault="00441705">
      <w:pPr>
        <w:rPr>
          <w:rFonts w:eastAsia="Times New Roman" w:cs="Arial"/>
          <w:bCs/>
          <w:iCs/>
          <w:color w:val="7030A0"/>
          <w:szCs w:val="28"/>
        </w:rPr>
      </w:pPr>
      <w:r>
        <w:rPr>
          <w:noProof/>
          <w:lang w:eastAsia="en-AU"/>
        </w:rPr>
        <w:drawing>
          <wp:inline distT="0" distB="0" distL="0" distR="0">
            <wp:extent cx="6080078" cy="2805007"/>
            <wp:effectExtent l="0" t="0" r="0" b="0"/>
            <wp:docPr id="32" name="Picture 32" descr="Shows the number of permanent migrant midwives that entered the workforce to estimate migratory inflows.  The number of permanent migrants varied between 2012 and 2016.  From 2017 the migration numbers were held constant to 2030 in the model." title="Figure 16: Permanent migrants, 2012 - 2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87CC545.tmp"/>
                    <pic:cNvPicPr/>
                  </pic:nvPicPr>
                  <pic:blipFill rotWithShape="1">
                    <a:blip r:embed="rId21">
                      <a:extLst>
                        <a:ext uri="{28A0092B-C50C-407E-A947-70E740481C1C}">
                          <a14:useLocalDpi xmlns:a14="http://schemas.microsoft.com/office/drawing/2010/main" val="0"/>
                        </a:ext>
                      </a:extLst>
                    </a:blip>
                    <a:srcRect l="12345" t="35582" r="31351" b="16166"/>
                    <a:stretch/>
                  </pic:blipFill>
                  <pic:spPr bwMode="auto">
                    <a:xfrm>
                      <a:off x="0" y="0"/>
                      <a:ext cx="6122831" cy="2824731"/>
                    </a:xfrm>
                    <a:prstGeom prst="rect">
                      <a:avLst/>
                    </a:prstGeom>
                    <a:ln>
                      <a:noFill/>
                    </a:ln>
                    <a:extLst>
                      <a:ext uri="{53640926-AAD7-44D8-BBD7-CCE9431645EC}">
                        <a14:shadowObscured xmlns:a14="http://schemas.microsoft.com/office/drawing/2010/main"/>
                      </a:ext>
                    </a:extLst>
                  </pic:spPr>
                </pic:pic>
              </a:graphicData>
            </a:graphic>
          </wp:inline>
        </w:drawing>
      </w:r>
      <w:r w:rsidR="00954D39">
        <w:br w:type="page"/>
      </w:r>
    </w:p>
    <w:p w:rsidR="00B740AD" w:rsidRPr="00C5057B" w:rsidRDefault="00B740AD" w:rsidP="00E85564">
      <w:pPr>
        <w:pStyle w:val="Heading2"/>
      </w:pPr>
      <w:bookmarkStart w:id="108" w:name="_Toc10808399"/>
      <w:r w:rsidRPr="00C5057B">
        <w:lastRenderedPageBreak/>
        <w:t>New entrants</w:t>
      </w:r>
      <w:bookmarkEnd w:id="108"/>
    </w:p>
    <w:p w:rsidR="008E2713" w:rsidRPr="00134B5F" w:rsidRDefault="00B740AD" w:rsidP="00134B5F">
      <w:pPr>
        <w:spacing w:before="120" w:after="120" w:line="240" w:lineRule="auto"/>
        <w:jc w:val="both"/>
        <w:rPr>
          <w:rFonts w:eastAsia="Calibri" w:cs="Arial"/>
          <w:szCs w:val="22"/>
          <w:lang w:eastAsia="x-none"/>
        </w:rPr>
      </w:pPr>
      <w:r w:rsidRPr="00826C99">
        <w:rPr>
          <w:rFonts w:eastAsia="Calibri" w:cs="Arial"/>
          <w:szCs w:val="22"/>
          <w:lang w:eastAsia="x-none"/>
        </w:rPr>
        <w:t xml:space="preserve">The new registrations for midwives are considered over a two year period. This is </w:t>
      </w:r>
      <w:r w:rsidR="006F646B">
        <w:rPr>
          <w:rFonts w:eastAsia="Calibri" w:cs="Arial"/>
          <w:szCs w:val="22"/>
          <w:lang w:eastAsia="x-none"/>
        </w:rPr>
        <w:t>due to a timing issue where new entrants</w:t>
      </w:r>
      <w:r w:rsidRPr="00826C99">
        <w:rPr>
          <w:rFonts w:eastAsia="Calibri" w:cs="Arial"/>
          <w:szCs w:val="22"/>
          <w:lang w:eastAsia="x-none"/>
        </w:rPr>
        <w:t xml:space="preserve"> were registered in particular year, but didn’t fill out a survey until the following year as their registration occurred after 31 May of the previous year. Taking into account the t</w:t>
      </w:r>
      <w:r w:rsidR="00ED2FDB">
        <w:rPr>
          <w:rFonts w:eastAsia="Calibri" w:cs="Arial"/>
          <w:szCs w:val="22"/>
          <w:lang w:eastAsia="x-none"/>
        </w:rPr>
        <w:t xml:space="preserve">wo year period (below in </w:t>
      </w:r>
      <w:r w:rsidR="00954D39">
        <w:rPr>
          <w:rFonts w:eastAsia="Calibri" w:cs="Arial"/>
          <w:szCs w:val="22"/>
          <w:lang w:eastAsia="x-none"/>
        </w:rPr>
        <w:t>figure 17</w:t>
      </w:r>
      <w:r w:rsidRPr="00826C99">
        <w:rPr>
          <w:rFonts w:eastAsia="Calibri" w:cs="Arial"/>
          <w:szCs w:val="22"/>
          <w:lang w:eastAsia="x-none"/>
        </w:rPr>
        <w:t>) shows that the number of completions and migrants are closely aligned to the number of new registrants (on average 88 per</w:t>
      </w:r>
      <w:r w:rsidR="00AA3E45">
        <w:rPr>
          <w:rFonts w:eastAsia="Calibri" w:cs="Arial"/>
          <w:szCs w:val="22"/>
          <w:lang w:eastAsia="x-none"/>
        </w:rPr>
        <w:t xml:space="preserve"> </w:t>
      </w:r>
      <w:r w:rsidRPr="00826C99">
        <w:rPr>
          <w:rFonts w:eastAsia="Calibri" w:cs="Arial"/>
          <w:szCs w:val="22"/>
          <w:lang w:eastAsia="x-none"/>
        </w:rPr>
        <w:t xml:space="preserve">cent of those completing or entering Australia are registering to practise as a </w:t>
      </w:r>
      <w:r w:rsidR="00954D39">
        <w:rPr>
          <w:rFonts w:eastAsia="Calibri" w:cs="Arial"/>
          <w:szCs w:val="22"/>
          <w:lang w:eastAsia="x-none"/>
        </w:rPr>
        <w:t>m</w:t>
      </w:r>
      <w:bookmarkStart w:id="109" w:name="_Toc532473573"/>
      <w:r w:rsidR="00134B5F">
        <w:rPr>
          <w:rFonts w:eastAsia="Calibri" w:cs="Arial"/>
          <w:szCs w:val="22"/>
          <w:lang w:eastAsia="x-none"/>
        </w:rPr>
        <w:t xml:space="preserve">idwife). </w:t>
      </w:r>
    </w:p>
    <w:p w:rsidR="00EB1AC2" w:rsidRPr="001F11F0" w:rsidRDefault="00EB1AC2" w:rsidP="001F11F0">
      <w:pPr>
        <w:pStyle w:val="Caption"/>
      </w:pPr>
      <w:bookmarkStart w:id="110" w:name="_Toc1722569"/>
      <w:bookmarkStart w:id="111" w:name="_Toc1724693"/>
      <w:bookmarkStart w:id="112" w:name="_Toc1725011"/>
      <w:r w:rsidRPr="001F11F0">
        <w:t xml:space="preserve">Figure </w:t>
      </w:r>
      <w:r w:rsidR="001F11F0">
        <w:t>17</w:t>
      </w:r>
      <w:r w:rsidRPr="001F11F0">
        <w:t>: New entrants to the workforce model, 2012 - 2030</w:t>
      </w:r>
      <w:bookmarkEnd w:id="109"/>
      <w:bookmarkEnd w:id="110"/>
      <w:bookmarkEnd w:id="111"/>
      <w:bookmarkEnd w:id="112"/>
    </w:p>
    <w:tbl>
      <w:tblPr>
        <w:tblStyle w:val="MediumShading2-Accent41"/>
        <w:tblW w:w="0" w:type="auto"/>
        <w:tblInd w:w="108" w:type="dxa"/>
        <w:tblLook w:val="0420" w:firstRow="1" w:lastRow="0" w:firstColumn="0" w:lastColumn="0" w:noHBand="0" w:noVBand="1"/>
        <w:tblCaption w:val="Figure 17: New entrants to the workforce model, 2012 - 2030"/>
        <w:tblDescription w:val="Shows the number of new entrants to the workforce model for the period 2012 to 2030."/>
      </w:tblPr>
      <w:tblGrid>
        <w:gridCol w:w="706"/>
        <w:gridCol w:w="1428"/>
        <w:gridCol w:w="2617"/>
        <w:gridCol w:w="1528"/>
        <w:gridCol w:w="2506"/>
      </w:tblGrid>
      <w:tr w:rsidR="00B740AD" w:rsidRPr="00826C99" w:rsidTr="00F92344">
        <w:trPr>
          <w:cnfStyle w:val="100000000000" w:firstRow="1" w:lastRow="0" w:firstColumn="0" w:lastColumn="0" w:oddVBand="0" w:evenVBand="0" w:oddHBand="0" w:evenHBand="0" w:firstRowFirstColumn="0" w:firstRowLastColumn="0" w:lastRowFirstColumn="0" w:lastRowLastColumn="0"/>
          <w:trHeight w:val="227"/>
          <w:tblHeader/>
        </w:trPr>
        <w:tc>
          <w:tcPr>
            <w:tcW w:w="0" w:type="auto"/>
            <w:tcBorders>
              <w:top w:val="single" w:sz="4" w:space="0" w:color="auto"/>
              <w:left w:val="single" w:sz="4" w:space="0" w:color="auto"/>
              <w:bottom w:val="single" w:sz="4" w:space="0" w:color="auto"/>
            </w:tcBorders>
            <w:shd w:val="clear" w:color="auto" w:fill="7030A0"/>
            <w:noWrap/>
            <w:hideMark/>
          </w:tcPr>
          <w:p w:rsidR="00B740AD" w:rsidRPr="00ED73EC" w:rsidRDefault="00B740AD" w:rsidP="00B740AD">
            <w:pPr>
              <w:rPr>
                <w:rFonts w:eastAsia="Times New Roman" w:cs="Arial"/>
                <w:sz w:val="20"/>
                <w:szCs w:val="20"/>
                <w:lang w:eastAsia="en-AU"/>
              </w:rPr>
            </w:pPr>
            <w:r w:rsidRPr="00ED73EC">
              <w:rPr>
                <w:rFonts w:eastAsia="Times New Roman" w:cs="Arial"/>
                <w:sz w:val="20"/>
                <w:szCs w:val="20"/>
                <w:lang w:eastAsia="en-AU"/>
              </w:rPr>
              <w:t> Year</w:t>
            </w:r>
          </w:p>
        </w:tc>
        <w:tc>
          <w:tcPr>
            <w:tcW w:w="0" w:type="auto"/>
            <w:tcBorders>
              <w:top w:val="single" w:sz="4" w:space="0" w:color="auto"/>
              <w:bottom w:val="single" w:sz="4" w:space="0" w:color="auto"/>
            </w:tcBorders>
            <w:shd w:val="clear" w:color="auto" w:fill="7030A0"/>
            <w:vAlign w:val="center"/>
          </w:tcPr>
          <w:p w:rsidR="00B740AD" w:rsidRPr="00ED73EC" w:rsidRDefault="00B740AD" w:rsidP="00B740AD">
            <w:pPr>
              <w:jc w:val="right"/>
              <w:rPr>
                <w:rFonts w:eastAsia="Calibri" w:cs="Arial"/>
                <w:bCs w:val="0"/>
                <w:sz w:val="20"/>
                <w:szCs w:val="20"/>
              </w:rPr>
            </w:pPr>
            <w:r w:rsidRPr="00ED73EC">
              <w:rPr>
                <w:rFonts w:eastAsia="Calibri" w:cs="Arial"/>
                <w:bCs w:val="0"/>
                <w:sz w:val="20"/>
                <w:szCs w:val="20"/>
              </w:rPr>
              <w:t>Completions</w:t>
            </w:r>
          </w:p>
          <w:p w:rsidR="00B740AD" w:rsidRPr="00ED73EC" w:rsidRDefault="00B740AD" w:rsidP="00B740AD">
            <w:pPr>
              <w:jc w:val="right"/>
              <w:rPr>
                <w:rFonts w:eastAsia="Calibri" w:cs="Arial"/>
                <w:sz w:val="20"/>
                <w:szCs w:val="20"/>
              </w:rPr>
            </w:pPr>
            <w:r w:rsidRPr="00ED73EC">
              <w:rPr>
                <w:rFonts w:eastAsia="Calibri" w:cs="Arial"/>
                <w:bCs w:val="0"/>
                <w:sz w:val="20"/>
                <w:szCs w:val="20"/>
              </w:rPr>
              <w:t>(graduates)</w:t>
            </w:r>
          </w:p>
        </w:tc>
        <w:tc>
          <w:tcPr>
            <w:tcW w:w="0" w:type="auto"/>
            <w:tcBorders>
              <w:top w:val="single" w:sz="4" w:space="0" w:color="auto"/>
              <w:bottom w:val="single" w:sz="4" w:space="0" w:color="auto"/>
            </w:tcBorders>
            <w:shd w:val="clear" w:color="auto" w:fill="7030A0"/>
            <w:noWrap/>
            <w:hideMark/>
          </w:tcPr>
          <w:p w:rsidR="00B740AD" w:rsidRPr="00ED73EC" w:rsidRDefault="00B740AD" w:rsidP="00B740AD">
            <w:pPr>
              <w:jc w:val="right"/>
              <w:rPr>
                <w:rFonts w:eastAsia="Times New Roman" w:cs="Arial"/>
                <w:bCs w:val="0"/>
                <w:sz w:val="20"/>
                <w:szCs w:val="20"/>
                <w:lang w:eastAsia="en-AU"/>
              </w:rPr>
            </w:pPr>
            <w:r w:rsidRPr="00ED73EC">
              <w:rPr>
                <w:rFonts w:eastAsia="Times New Roman" w:cs="Arial"/>
                <w:bCs w:val="0"/>
                <w:sz w:val="20"/>
                <w:szCs w:val="20"/>
                <w:lang w:eastAsia="en-AU"/>
              </w:rPr>
              <w:t>New entrants (graduates)</w:t>
            </w:r>
          </w:p>
        </w:tc>
        <w:tc>
          <w:tcPr>
            <w:tcW w:w="0" w:type="auto"/>
            <w:tcBorders>
              <w:top w:val="single" w:sz="4" w:space="0" w:color="auto"/>
              <w:bottom w:val="single" w:sz="4" w:space="0" w:color="auto"/>
            </w:tcBorders>
            <w:shd w:val="clear" w:color="auto" w:fill="7030A0"/>
            <w:noWrap/>
            <w:hideMark/>
          </w:tcPr>
          <w:p w:rsidR="00B740AD" w:rsidRPr="00ED73EC" w:rsidRDefault="00B740AD" w:rsidP="00B740AD">
            <w:pPr>
              <w:jc w:val="right"/>
              <w:rPr>
                <w:rFonts w:eastAsia="Times New Roman" w:cs="Arial"/>
                <w:bCs w:val="0"/>
                <w:sz w:val="20"/>
                <w:szCs w:val="20"/>
                <w:lang w:eastAsia="en-AU"/>
              </w:rPr>
            </w:pPr>
            <w:r w:rsidRPr="00ED73EC">
              <w:rPr>
                <w:rFonts w:eastAsia="Times New Roman" w:cs="Arial"/>
                <w:bCs w:val="0"/>
                <w:sz w:val="20"/>
                <w:szCs w:val="20"/>
                <w:lang w:eastAsia="en-AU"/>
              </w:rPr>
              <w:t>New migrants</w:t>
            </w:r>
          </w:p>
        </w:tc>
        <w:tc>
          <w:tcPr>
            <w:tcW w:w="0" w:type="auto"/>
            <w:tcBorders>
              <w:top w:val="single" w:sz="4" w:space="0" w:color="auto"/>
              <w:bottom w:val="single" w:sz="4" w:space="0" w:color="auto"/>
              <w:right w:val="single" w:sz="4" w:space="0" w:color="auto"/>
            </w:tcBorders>
            <w:shd w:val="clear" w:color="auto" w:fill="7030A0"/>
            <w:noWrap/>
            <w:hideMark/>
          </w:tcPr>
          <w:p w:rsidR="00B740AD" w:rsidRPr="00ED73EC" w:rsidRDefault="00B740AD" w:rsidP="00B740AD">
            <w:pPr>
              <w:jc w:val="right"/>
              <w:rPr>
                <w:rFonts w:eastAsia="Times New Roman" w:cs="Arial"/>
                <w:bCs w:val="0"/>
                <w:sz w:val="20"/>
                <w:szCs w:val="20"/>
                <w:lang w:eastAsia="en-AU"/>
              </w:rPr>
            </w:pPr>
            <w:r w:rsidRPr="00ED73EC">
              <w:rPr>
                <w:rFonts w:eastAsia="Times New Roman" w:cs="Arial"/>
                <w:bCs w:val="0"/>
                <w:sz w:val="20"/>
                <w:szCs w:val="20"/>
                <w:lang w:eastAsia="en-AU"/>
              </w:rPr>
              <w:t>New entrants (migrants)</w:t>
            </w:r>
          </w:p>
        </w:tc>
      </w:tr>
      <w:tr w:rsidR="00B740AD" w:rsidRPr="002F4606" w:rsidTr="00B740AD">
        <w:trPr>
          <w:cnfStyle w:val="000000100000" w:firstRow="0" w:lastRow="0" w:firstColumn="0" w:lastColumn="0" w:oddVBand="0" w:evenVBand="0" w:oddHBand="1" w:evenHBand="0" w:firstRowFirstColumn="0" w:firstRowLastColumn="0" w:lastRowFirstColumn="0" w:lastRowLastColumn="0"/>
          <w:trHeight w:val="227"/>
        </w:trPr>
        <w:tc>
          <w:tcPr>
            <w:tcW w:w="0" w:type="auto"/>
            <w:tcBorders>
              <w:top w:val="single" w:sz="4" w:space="0" w:color="auto"/>
              <w:left w:val="single" w:sz="4" w:space="0" w:color="auto"/>
            </w:tcBorders>
            <w:noWrap/>
            <w:hideMark/>
          </w:tcPr>
          <w:p w:rsidR="00B740AD" w:rsidRPr="002F4606" w:rsidRDefault="00B740AD" w:rsidP="00B740AD">
            <w:pPr>
              <w:jc w:val="right"/>
              <w:rPr>
                <w:rFonts w:eastAsia="Times New Roman" w:cs="Arial"/>
                <w:sz w:val="20"/>
                <w:szCs w:val="20"/>
                <w:lang w:eastAsia="en-AU"/>
              </w:rPr>
            </w:pPr>
            <w:r w:rsidRPr="002F4606">
              <w:rPr>
                <w:rFonts w:eastAsia="Times New Roman" w:cs="Arial"/>
                <w:sz w:val="20"/>
                <w:szCs w:val="20"/>
                <w:lang w:eastAsia="en-AU"/>
              </w:rPr>
              <w:t>2012</w:t>
            </w:r>
          </w:p>
        </w:tc>
        <w:tc>
          <w:tcPr>
            <w:tcW w:w="0" w:type="auto"/>
            <w:tcBorders>
              <w:top w:val="single" w:sz="4" w:space="0" w:color="auto"/>
            </w:tcBorders>
            <w:vAlign w:val="center"/>
          </w:tcPr>
          <w:p w:rsidR="00B740AD" w:rsidRPr="002F4606" w:rsidRDefault="00B740AD" w:rsidP="00B740AD">
            <w:pPr>
              <w:jc w:val="right"/>
              <w:rPr>
                <w:rFonts w:eastAsia="Calibri" w:cs="Arial"/>
                <w:i/>
                <w:color w:val="000000"/>
                <w:sz w:val="20"/>
                <w:szCs w:val="20"/>
              </w:rPr>
            </w:pPr>
            <w:r w:rsidRPr="002F4606">
              <w:rPr>
                <w:rFonts w:eastAsia="Calibri" w:cs="Arial"/>
                <w:i/>
                <w:color w:val="000000"/>
                <w:sz w:val="20"/>
                <w:szCs w:val="20"/>
              </w:rPr>
              <w:t>815</w:t>
            </w:r>
          </w:p>
        </w:tc>
        <w:tc>
          <w:tcPr>
            <w:tcW w:w="0" w:type="auto"/>
            <w:tcBorders>
              <w:top w:val="single" w:sz="4" w:space="0" w:color="auto"/>
              <w:bottom w:val="nil"/>
            </w:tcBorders>
            <w:noWrap/>
            <w:vAlign w:val="center"/>
            <w:hideMark/>
          </w:tcPr>
          <w:p w:rsidR="00B740AD" w:rsidRPr="002F4606" w:rsidRDefault="00B740AD" w:rsidP="00B740AD">
            <w:pPr>
              <w:jc w:val="right"/>
              <w:rPr>
                <w:rFonts w:eastAsia="Calibri" w:cs="Arial"/>
                <w:color w:val="000000"/>
                <w:sz w:val="20"/>
                <w:szCs w:val="20"/>
              </w:rPr>
            </w:pPr>
            <w:r w:rsidRPr="002F4606">
              <w:rPr>
                <w:rFonts w:eastAsia="Calibri" w:cs="Arial"/>
                <w:color w:val="000000"/>
                <w:sz w:val="20"/>
                <w:szCs w:val="20"/>
              </w:rPr>
              <w:t> -</w:t>
            </w:r>
          </w:p>
        </w:tc>
        <w:tc>
          <w:tcPr>
            <w:tcW w:w="0" w:type="auto"/>
            <w:tcBorders>
              <w:top w:val="single" w:sz="4" w:space="0" w:color="auto"/>
              <w:bottom w:val="nil"/>
            </w:tcBorders>
            <w:noWrap/>
            <w:hideMark/>
          </w:tcPr>
          <w:p w:rsidR="00B740AD" w:rsidRPr="002F4606" w:rsidRDefault="00B740AD" w:rsidP="00B740AD">
            <w:pPr>
              <w:jc w:val="right"/>
              <w:rPr>
                <w:rFonts w:eastAsia="Times New Roman" w:cs="Arial"/>
                <w:bCs/>
                <w:i/>
                <w:color w:val="000000"/>
                <w:sz w:val="20"/>
                <w:szCs w:val="20"/>
                <w:lang w:eastAsia="en-AU"/>
              </w:rPr>
            </w:pPr>
            <w:r w:rsidRPr="002F4606">
              <w:rPr>
                <w:rFonts w:eastAsia="Times New Roman" w:cs="Arial"/>
                <w:bCs/>
                <w:i/>
                <w:color w:val="000000"/>
                <w:sz w:val="20"/>
                <w:szCs w:val="20"/>
                <w:lang w:eastAsia="en-AU"/>
              </w:rPr>
              <w:t>19</w:t>
            </w:r>
          </w:p>
        </w:tc>
        <w:tc>
          <w:tcPr>
            <w:tcW w:w="0" w:type="auto"/>
            <w:tcBorders>
              <w:top w:val="single" w:sz="4" w:space="0" w:color="auto"/>
              <w:bottom w:val="nil"/>
              <w:right w:val="single" w:sz="4" w:space="0" w:color="auto"/>
            </w:tcBorders>
            <w:noWrap/>
            <w:vAlign w:val="center"/>
            <w:hideMark/>
          </w:tcPr>
          <w:p w:rsidR="00B740AD" w:rsidRPr="002F4606" w:rsidRDefault="00B740AD" w:rsidP="00B740AD">
            <w:pPr>
              <w:jc w:val="right"/>
              <w:rPr>
                <w:rFonts w:eastAsia="Calibri" w:cs="Arial"/>
                <w:color w:val="000000"/>
                <w:sz w:val="20"/>
                <w:szCs w:val="20"/>
              </w:rPr>
            </w:pPr>
            <w:r w:rsidRPr="002F4606">
              <w:rPr>
                <w:rFonts w:eastAsia="Calibri" w:cs="Arial"/>
                <w:color w:val="000000"/>
                <w:sz w:val="20"/>
                <w:szCs w:val="20"/>
              </w:rPr>
              <w:t> -</w:t>
            </w:r>
          </w:p>
        </w:tc>
      </w:tr>
      <w:tr w:rsidR="00B740AD" w:rsidRPr="002F4606" w:rsidTr="00B85FC5">
        <w:trPr>
          <w:trHeight w:val="227"/>
        </w:trPr>
        <w:tc>
          <w:tcPr>
            <w:tcW w:w="0" w:type="auto"/>
            <w:tcBorders>
              <w:top w:val="nil"/>
              <w:left w:val="single" w:sz="4" w:space="0" w:color="auto"/>
            </w:tcBorders>
            <w:noWrap/>
            <w:hideMark/>
          </w:tcPr>
          <w:p w:rsidR="00B740AD" w:rsidRPr="002F4606" w:rsidRDefault="00B740AD" w:rsidP="00B740AD">
            <w:pPr>
              <w:jc w:val="right"/>
              <w:rPr>
                <w:rFonts w:eastAsia="Times New Roman" w:cs="Arial"/>
                <w:sz w:val="20"/>
                <w:szCs w:val="20"/>
                <w:lang w:eastAsia="en-AU"/>
              </w:rPr>
            </w:pPr>
            <w:r w:rsidRPr="002F4606">
              <w:rPr>
                <w:rFonts w:eastAsia="Times New Roman" w:cs="Arial"/>
                <w:sz w:val="20"/>
                <w:szCs w:val="20"/>
                <w:lang w:eastAsia="en-AU"/>
              </w:rPr>
              <w:t>2013</w:t>
            </w:r>
          </w:p>
        </w:tc>
        <w:tc>
          <w:tcPr>
            <w:tcW w:w="0" w:type="auto"/>
            <w:tcBorders>
              <w:top w:val="nil"/>
            </w:tcBorders>
            <w:vAlign w:val="center"/>
          </w:tcPr>
          <w:p w:rsidR="00B740AD" w:rsidRPr="002F4606" w:rsidRDefault="00B740AD" w:rsidP="00B740AD">
            <w:pPr>
              <w:jc w:val="right"/>
              <w:rPr>
                <w:rFonts w:eastAsia="Calibri" w:cs="Arial"/>
                <w:i/>
                <w:color w:val="000000"/>
                <w:sz w:val="20"/>
                <w:szCs w:val="20"/>
              </w:rPr>
            </w:pPr>
            <w:r w:rsidRPr="002F4606">
              <w:rPr>
                <w:rFonts w:eastAsia="Calibri" w:cs="Arial"/>
                <w:i/>
                <w:color w:val="000000"/>
                <w:sz w:val="20"/>
                <w:szCs w:val="20"/>
              </w:rPr>
              <w:t>840</w:t>
            </w:r>
          </w:p>
        </w:tc>
        <w:tc>
          <w:tcPr>
            <w:tcW w:w="0" w:type="auto"/>
            <w:tcBorders>
              <w:top w:val="nil"/>
              <w:bottom w:val="nil"/>
            </w:tcBorders>
            <w:noWrap/>
            <w:vAlign w:val="center"/>
            <w:hideMark/>
          </w:tcPr>
          <w:p w:rsidR="00B740AD" w:rsidRPr="002F4606" w:rsidRDefault="00B740AD" w:rsidP="00B740AD">
            <w:pPr>
              <w:jc w:val="right"/>
              <w:rPr>
                <w:rFonts w:eastAsia="Calibri" w:cs="Arial"/>
                <w:color w:val="000000"/>
                <w:sz w:val="20"/>
                <w:szCs w:val="20"/>
              </w:rPr>
            </w:pPr>
            <w:r w:rsidRPr="002F4606">
              <w:rPr>
                <w:rFonts w:eastAsia="Calibri" w:cs="Arial"/>
                <w:color w:val="000000"/>
                <w:sz w:val="20"/>
                <w:szCs w:val="20"/>
              </w:rPr>
              <w:t xml:space="preserve">794 </w:t>
            </w:r>
          </w:p>
        </w:tc>
        <w:tc>
          <w:tcPr>
            <w:tcW w:w="0" w:type="auto"/>
            <w:tcBorders>
              <w:top w:val="nil"/>
              <w:bottom w:val="nil"/>
            </w:tcBorders>
            <w:noWrap/>
            <w:hideMark/>
          </w:tcPr>
          <w:p w:rsidR="00B740AD" w:rsidRPr="002F4606" w:rsidRDefault="00B740AD" w:rsidP="00B740AD">
            <w:pPr>
              <w:jc w:val="right"/>
              <w:rPr>
                <w:rFonts w:eastAsia="Times New Roman" w:cs="Arial"/>
                <w:bCs/>
                <w:i/>
                <w:color w:val="000000"/>
                <w:sz w:val="20"/>
                <w:szCs w:val="20"/>
                <w:lang w:eastAsia="en-AU"/>
              </w:rPr>
            </w:pPr>
            <w:r w:rsidRPr="002F4606">
              <w:rPr>
                <w:rFonts w:eastAsia="Times New Roman" w:cs="Arial"/>
                <w:bCs/>
                <w:i/>
                <w:color w:val="000000"/>
                <w:sz w:val="20"/>
                <w:szCs w:val="20"/>
                <w:lang w:eastAsia="en-AU"/>
              </w:rPr>
              <w:t>50</w:t>
            </w:r>
          </w:p>
        </w:tc>
        <w:tc>
          <w:tcPr>
            <w:tcW w:w="0" w:type="auto"/>
            <w:tcBorders>
              <w:top w:val="nil"/>
              <w:bottom w:val="nil"/>
              <w:right w:val="single" w:sz="4" w:space="0" w:color="auto"/>
            </w:tcBorders>
            <w:noWrap/>
            <w:vAlign w:val="center"/>
            <w:hideMark/>
          </w:tcPr>
          <w:p w:rsidR="00B740AD" w:rsidRPr="002F4606" w:rsidRDefault="00B740AD" w:rsidP="00B740AD">
            <w:pPr>
              <w:jc w:val="right"/>
              <w:rPr>
                <w:rFonts w:eastAsia="Calibri" w:cs="Arial"/>
                <w:color w:val="000000"/>
                <w:sz w:val="20"/>
                <w:szCs w:val="20"/>
              </w:rPr>
            </w:pPr>
            <w:r w:rsidRPr="002F4606">
              <w:rPr>
                <w:rFonts w:eastAsia="Calibri" w:cs="Arial"/>
                <w:color w:val="000000"/>
                <w:sz w:val="20"/>
                <w:szCs w:val="20"/>
              </w:rPr>
              <w:t xml:space="preserve">794 </w:t>
            </w:r>
          </w:p>
        </w:tc>
      </w:tr>
      <w:tr w:rsidR="00B740AD" w:rsidRPr="002F4606" w:rsidTr="00B740AD">
        <w:trPr>
          <w:cnfStyle w:val="000000100000" w:firstRow="0" w:lastRow="0" w:firstColumn="0" w:lastColumn="0" w:oddVBand="0" w:evenVBand="0" w:oddHBand="1" w:evenHBand="0" w:firstRowFirstColumn="0" w:firstRowLastColumn="0" w:lastRowFirstColumn="0" w:lastRowLastColumn="0"/>
          <w:trHeight w:val="227"/>
        </w:trPr>
        <w:tc>
          <w:tcPr>
            <w:tcW w:w="0" w:type="auto"/>
            <w:tcBorders>
              <w:top w:val="nil"/>
              <w:left w:val="single" w:sz="4" w:space="0" w:color="auto"/>
            </w:tcBorders>
            <w:noWrap/>
            <w:hideMark/>
          </w:tcPr>
          <w:p w:rsidR="00B740AD" w:rsidRPr="002F4606" w:rsidRDefault="00B740AD" w:rsidP="00B740AD">
            <w:pPr>
              <w:jc w:val="right"/>
              <w:rPr>
                <w:rFonts w:eastAsia="Times New Roman" w:cs="Arial"/>
                <w:sz w:val="20"/>
                <w:szCs w:val="20"/>
                <w:lang w:eastAsia="en-AU"/>
              </w:rPr>
            </w:pPr>
            <w:r w:rsidRPr="002F4606">
              <w:rPr>
                <w:rFonts w:eastAsia="Times New Roman" w:cs="Arial"/>
                <w:sz w:val="20"/>
                <w:szCs w:val="20"/>
                <w:lang w:eastAsia="en-AU"/>
              </w:rPr>
              <w:t>2014</w:t>
            </w:r>
          </w:p>
        </w:tc>
        <w:tc>
          <w:tcPr>
            <w:tcW w:w="0" w:type="auto"/>
            <w:tcBorders>
              <w:top w:val="nil"/>
            </w:tcBorders>
            <w:vAlign w:val="center"/>
          </w:tcPr>
          <w:p w:rsidR="00B740AD" w:rsidRPr="002F4606" w:rsidRDefault="00B740AD" w:rsidP="00B740AD">
            <w:pPr>
              <w:jc w:val="right"/>
              <w:rPr>
                <w:rFonts w:eastAsia="Calibri" w:cs="Arial"/>
                <w:i/>
                <w:color w:val="000000"/>
                <w:sz w:val="20"/>
                <w:szCs w:val="20"/>
              </w:rPr>
            </w:pPr>
            <w:r w:rsidRPr="002F4606">
              <w:rPr>
                <w:rFonts w:eastAsia="Calibri" w:cs="Arial"/>
                <w:i/>
                <w:color w:val="000000"/>
                <w:sz w:val="20"/>
                <w:szCs w:val="20"/>
              </w:rPr>
              <w:t>1,045</w:t>
            </w:r>
          </w:p>
        </w:tc>
        <w:tc>
          <w:tcPr>
            <w:tcW w:w="0" w:type="auto"/>
            <w:tcBorders>
              <w:top w:val="nil"/>
              <w:bottom w:val="nil"/>
            </w:tcBorders>
            <w:noWrap/>
            <w:vAlign w:val="center"/>
            <w:hideMark/>
          </w:tcPr>
          <w:p w:rsidR="00B740AD" w:rsidRPr="002F4606" w:rsidRDefault="00B740AD" w:rsidP="00B740AD">
            <w:pPr>
              <w:jc w:val="right"/>
              <w:rPr>
                <w:rFonts w:eastAsia="Calibri" w:cs="Arial"/>
                <w:color w:val="000000"/>
                <w:sz w:val="20"/>
                <w:szCs w:val="20"/>
              </w:rPr>
            </w:pPr>
            <w:r w:rsidRPr="002F4606">
              <w:rPr>
                <w:rFonts w:eastAsia="Calibri" w:cs="Arial"/>
                <w:color w:val="000000"/>
                <w:sz w:val="20"/>
                <w:szCs w:val="20"/>
              </w:rPr>
              <w:t xml:space="preserve">945 </w:t>
            </w:r>
          </w:p>
        </w:tc>
        <w:tc>
          <w:tcPr>
            <w:tcW w:w="0" w:type="auto"/>
            <w:tcBorders>
              <w:top w:val="nil"/>
              <w:bottom w:val="nil"/>
            </w:tcBorders>
            <w:noWrap/>
            <w:hideMark/>
          </w:tcPr>
          <w:p w:rsidR="00B740AD" w:rsidRPr="002F4606" w:rsidRDefault="00B740AD" w:rsidP="00B740AD">
            <w:pPr>
              <w:jc w:val="right"/>
              <w:rPr>
                <w:rFonts w:eastAsia="Times New Roman" w:cs="Arial"/>
                <w:bCs/>
                <w:i/>
                <w:color w:val="000000"/>
                <w:sz w:val="20"/>
                <w:szCs w:val="20"/>
                <w:lang w:eastAsia="en-AU"/>
              </w:rPr>
            </w:pPr>
            <w:r w:rsidRPr="002F4606">
              <w:rPr>
                <w:rFonts w:eastAsia="Times New Roman" w:cs="Arial"/>
                <w:bCs/>
                <w:i/>
                <w:color w:val="000000"/>
                <w:sz w:val="20"/>
                <w:szCs w:val="20"/>
                <w:lang w:eastAsia="en-AU"/>
              </w:rPr>
              <w:t>14</w:t>
            </w:r>
          </w:p>
        </w:tc>
        <w:tc>
          <w:tcPr>
            <w:tcW w:w="0" w:type="auto"/>
            <w:tcBorders>
              <w:top w:val="nil"/>
              <w:bottom w:val="nil"/>
              <w:right w:val="single" w:sz="4" w:space="0" w:color="auto"/>
            </w:tcBorders>
            <w:noWrap/>
            <w:vAlign w:val="center"/>
            <w:hideMark/>
          </w:tcPr>
          <w:p w:rsidR="00B740AD" w:rsidRPr="002F4606" w:rsidRDefault="00B740AD" w:rsidP="00B740AD">
            <w:pPr>
              <w:jc w:val="right"/>
              <w:rPr>
                <w:rFonts w:eastAsia="Calibri" w:cs="Arial"/>
                <w:color w:val="000000"/>
                <w:sz w:val="20"/>
                <w:szCs w:val="20"/>
              </w:rPr>
            </w:pPr>
            <w:r w:rsidRPr="002F4606">
              <w:rPr>
                <w:rFonts w:eastAsia="Calibri" w:cs="Arial"/>
                <w:color w:val="000000"/>
                <w:sz w:val="20"/>
                <w:szCs w:val="20"/>
              </w:rPr>
              <w:t xml:space="preserve">945 </w:t>
            </w:r>
          </w:p>
        </w:tc>
      </w:tr>
      <w:tr w:rsidR="00B740AD" w:rsidRPr="002F4606" w:rsidTr="00B85FC5">
        <w:trPr>
          <w:trHeight w:val="227"/>
        </w:trPr>
        <w:tc>
          <w:tcPr>
            <w:tcW w:w="0" w:type="auto"/>
            <w:tcBorders>
              <w:top w:val="nil"/>
              <w:left w:val="single" w:sz="4" w:space="0" w:color="auto"/>
              <w:bottom w:val="nil"/>
            </w:tcBorders>
            <w:noWrap/>
            <w:hideMark/>
          </w:tcPr>
          <w:p w:rsidR="00B740AD" w:rsidRPr="002F4606" w:rsidRDefault="00B740AD" w:rsidP="00B740AD">
            <w:pPr>
              <w:jc w:val="right"/>
              <w:rPr>
                <w:rFonts w:eastAsia="Times New Roman" w:cs="Arial"/>
                <w:sz w:val="20"/>
                <w:szCs w:val="20"/>
                <w:lang w:eastAsia="en-AU"/>
              </w:rPr>
            </w:pPr>
            <w:r w:rsidRPr="002F4606">
              <w:rPr>
                <w:rFonts w:eastAsia="Times New Roman" w:cs="Arial"/>
                <w:sz w:val="20"/>
                <w:szCs w:val="20"/>
                <w:lang w:eastAsia="en-AU"/>
              </w:rPr>
              <w:t>2015</w:t>
            </w:r>
          </w:p>
        </w:tc>
        <w:tc>
          <w:tcPr>
            <w:tcW w:w="0" w:type="auto"/>
            <w:tcBorders>
              <w:top w:val="nil"/>
              <w:bottom w:val="nil"/>
            </w:tcBorders>
            <w:vAlign w:val="center"/>
          </w:tcPr>
          <w:p w:rsidR="00B740AD" w:rsidRPr="002F4606" w:rsidRDefault="00B740AD" w:rsidP="00B740AD">
            <w:pPr>
              <w:jc w:val="right"/>
              <w:rPr>
                <w:rFonts w:eastAsia="Calibri" w:cs="Arial"/>
                <w:i/>
                <w:color w:val="000000"/>
                <w:sz w:val="20"/>
                <w:szCs w:val="20"/>
              </w:rPr>
            </w:pPr>
            <w:r w:rsidRPr="002F4606">
              <w:rPr>
                <w:rFonts w:eastAsia="Calibri" w:cs="Arial"/>
                <w:i/>
                <w:color w:val="000000"/>
                <w:sz w:val="20"/>
                <w:szCs w:val="20"/>
              </w:rPr>
              <w:t>990</w:t>
            </w:r>
          </w:p>
        </w:tc>
        <w:tc>
          <w:tcPr>
            <w:tcW w:w="0" w:type="auto"/>
            <w:tcBorders>
              <w:top w:val="nil"/>
              <w:bottom w:val="nil"/>
            </w:tcBorders>
            <w:noWrap/>
            <w:vAlign w:val="center"/>
            <w:hideMark/>
          </w:tcPr>
          <w:p w:rsidR="00B740AD" w:rsidRPr="002F4606" w:rsidRDefault="00B740AD" w:rsidP="00B740AD">
            <w:pPr>
              <w:jc w:val="right"/>
              <w:rPr>
                <w:rFonts w:eastAsia="Calibri" w:cs="Arial"/>
                <w:color w:val="000000"/>
                <w:sz w:val="20"/>
                <w:szCs w:val="20"/>
              </w:rPr>
            </w:pPr>
            <w:r w:rsidRPr="002F4606">
              <w:rPr>
                <w:rFonts w:eastAsia="Calibri" w:cs="Arial"/>
                <w:color w:val="000000"/>
                <w:sz w:val="20"/>
                <w:szCs w:val="20"/>
              </w:rPr>
              <w:t xml:space="preserve">911 </w:t>
            </w:r>
          </w:p>
        </w:tc>
        <w:tc>
          <w:tcPr>
            <w:tcW w:w="0" w:type="auto"/>
            <w:tcBorders>
              <w:top w:val="nil"/>
              <w:bottom w:val="nil"/>
            </w:tcBorders>
            <w:noWrap/>
            <w:hideMark/>
          </w:tcPr>
          <w:p w:rsidR="00B740AD" w:rsidRPr="002F4606" w:rsidRDefault="00B740AD" w:rsidP="00B740AD">
            <w:pPr>
              <w:jc w:val="right"/>
              <w:rPr>
                <w:rFonts w:eastAsia="Times New Roman" w:cs="Arial"/>
                <w:bCs/>
                <w:i/>
                <w:color w:val="000000"/>
                <w:sz w:val="20"/>
                <w:szCs w:val="20"/>
                <w:lang w:eastAsia="en-AU"/>
              </w:rPr>
            </w:pPr>
            <w:r w:rsidRPr="002F4606">
              <w:rPr>
                <w:rFonts w:eastAsia="Times New Roman" w:cs="Arial"/>
                <w:bCs/>
                <w:i/>
                <w:color w:val="000000"/>
                <w:sz w:val="20"/>
                <w:szCs w:val="20"/>
                <w:lang w:eastAsia="en-AU"/>
              </w:rPr>
              <w:t>31</w:t>
            </w:r>
          </w:p>
        </w:tc>
        <w:tc>
          <w:tcPr>
            <w:tcW w:w="0" w:type="auto"/>
            <w:tcBorders>
              <w:top w:val="nil"/>
              <w:bottom w:val="nil"/>
              <w:right w:val="single" w:sz="4" w:space="0" w:color="auto"/>
            </w:tcBorders>
            <w:noWrap/>
            <w:vAlign w:val="center"/>
            <w:hideMark/>
          </w:tcPr>
          <w:p w:rsidR="00B740AD" w:rsidRPr="002F4606" w:rsidRDefault="00B740AD" w:rsidP="00B740AD">
            <w:pPr>
              <w:jc w:val="right"/>
              <w:rPr>
                <w:rFonts w:eastAsia="Calibri" w:cs="Arial"/>
                <w:color w:val="000000"/>
                <w:sz w:val="20"/>
                <w:szCs w:val="20"/>
              </w:rPr>
            </w:pPr>
            <w:r w:rsidRPr="002F4606">
              <w:rPr>
                <w:rFonts w:eastAsia="Calibri" w:cs="Arial"/>
                <w:color w:val="000000"/>
                <w:sz w:val="20"/>
                <w:szCs w:val="20"/>
              </w:rPr>
              <w:t xml:space="preserve">911 </w:t>
            </w:r>
          </w:p>
        </w:tc>
      </w:tr>
      <w:tr w:rsidR="00B740AD" w:rsidRPr="002F4606" w:rsidTr="00B740AD">
        <w:trPr>
          <w:cnfStyle w:val="000000100000" w:firstRow="0" w:lastRow="0" w:firstColumn="0" w:lastColumn="0" w:oddVBand="0" w:evenVBand="0" w:oddHBand="1" w:evenHBand="0" w:firstRowFirstColumn="0" w:firstRowLastColumn="0" w:lastRowFirstColumn="0" w:lastRowLastColumn="0"/>
          <w:trHeight w:val="227"/>
        </w:trPr>
        <w:tc>
          <w:tcPr>
            <w:tcW w:w="0" w:type="auto"/>
            <w:tcBorders>
              <w:top w:val="nil"/>
              <w:left w:val="single" w:sz="4" w:space="0" w:color="auto"/>
              <w:bottom w:val="dashed" w:sz="4" w:space="0" w:color="FF66FF"/>
            </w:tcBorders>
            <w:noWrap/>
            <w:hideMark/>
          </w:tcPr>
          <w:p w:rsidR="00B740AD" w:rsidRPr="002F4606" w:rsidRDefault="0078723F" w:rsidP="00B740AD">
            <w:pPr>
              <w:jc w:val="right"/>
              <w:rPr>
                <w:rFonts w:eastAsia="Times New Roman" w:cs="Arial"/>
                <w:sz w:val="20"/>
                <w:szCs w:val="20"/>
                <w:lang w:eastAsia="en-AU"/>
              </w:rPr>
            </w:pPr>
            <w:r>
              <w:rPr>
                <w:rFonts w:eastAsia="Times New Roman" w:cs="Arial"/>
                <w:sz w:val="20"/>
                <w:szCs w:val="20"/>
                <w:lang w:eastAsia="en-AU"/>
              </w:rPr>
              <w:t>2016</w:t>
            </w:r>
          </w:p>
        </w:tc>
        <w:tc>
          <w:tcPr>
            <w:tcW w:w="0" w:type="auto"/>
            <w:tcBorders>
              <w:top w:val="nil"/>
              <w:bottom w:val="dashed" w:sz="4" w:space="0" w:color="FF66FF"/>
            </w:tcBorders>
            <w:vAlign w:val="center"/>
          </w:tcPr>
          <w:p w:rsidR="00B740AD" w:rsidRPr="002F4606" w:rsidRDefault="00B740AD" w:rsidP="00B740AD">
            <w:pPr>
              <w:jc w:val="right"/>
              <w:rPr>
                <w:rFonts w:eastAsia="Calibri" w:cs="Arial"/>
                <w:i/>
                <w:color w:val="000000"/>
                <w:sz w:val="20"/>
                <w:szCs w:val="20"/>
              </w:rPr>
            </w:pPr>
            <w:r w:rsidRPr="002F4606">
              <w:rPr>
                <w:rFonts w:eastAsia="Calibri" w:cs="Arial"/>
                <w:i/>
                <w:color w:val="000000"/>
                <w:sz w:val="20"/>
                <w:szCs w:val="20"/>
              </w:rPr>
              <w:t>1,226</w:t>
            </w:r>
          </w:p>
        </w:tc>
        <w:tc>
          <w:tcPr>
            <w:tcW w:w="0" w:type="auto"/>
            <w:tcBorders>
              <w:top w:val="nil"/>
              <w:bottom w:val="dashed" w:sz="4" w:space="0" w:color="FF66FF"/>
            </w:tcBorders>
            <w:noWrap/>
            <w:vAlign w:val="center"/>
            <w:hideMark/>
          </w:tcPr>
          <w:p w:rsidR="00B740AD" w:rsidRPr="002F4606" w:rsidRDefault="00B740AD" w:rsidP="00B740AD">
            <w:pPr>
              <w:jc w:val="right"/>
              <w:rPr>
                <w:rFonts w:eastAsia="Calibri" w:cs="Arial"/>
                <w:color w:val="000000"/>
                <w:sz w:val="20"/>
                <w:szCs w:val="20"/>
              </w:rPr>
            </w:pPr>
            <w:r w:rsidRPr="002F4606">
              <w:rPr>
                <w:rFonts w:eastAsia="Calibri" w:cs="Arial"/>
                <w:color w:val="000000"/>
                <w:sz w:val="20"/>
                <w:szCs w:val="20"/>
              </w:rPr>
              <w:t xml:space="preserve">1,116 </w:t>
            </w:r>
          </w:p>
        </w:tc>
        <w:tc>
          <w:tcPr>
            <w:tcW w:w="0" w:type="auto"/>
            <w:tcBorders>
              <w:top w:val="nil"/>
              <w:bottom w:val="dashed" w:sz="4" w:space="0" w:color="FF66FF"/>
            </w:tcBorders>
            <w:noWrap/>
            <w:hideMark/>
          </w:tcPr>
          <w:p w:rsidR="00B740AD" w:rsidRPr="002F4606" w:rsidRDefault="00B740AD" w:rsidP="00B740AD">
            <w:pPr>
              <w:jc w:val="right"/>
              <w:rPr>
                <w:rFonts w:eastAsia="Times New Roman" w:cs="Arial"/>
                <w:bCs/>
                <w:i/>
                <w:color w:val="000000"/>
                <w:sz w:val="20"/>
                <w:szCs w:val="20"/>
                <w:lang w:eastAsia="en-AU"/>
              </w:rPr>
            </w:pPr>
            <w:r w:rsidRPr="002F4606">
              <w:rPr>
                <w:rFonts w:eastAsia="Times New Roman" w:cs="Arial"/>
                <w:bCs/>
                <w:i/>
                <w:color w:val="000000"/>
                <w:sz w:val="20"/>
                <w:szCs w:val="20"/>
                <w:lang w:eastAsia="en-AU"/>
              </w:rPr>
              <w:t>25</w:t>
            </w:r>
          </w:p>
        </w:tc>
        <w:tc>
          <w:tcPr>
            <w:tcW w:w="0" w:type="auto"/>
            <w:tcBorders>
              <w:top w:val="nil"/>
              <w:bottom w:val="dashed" w:sz="4" w:space="0" w:color="FF66FF"/>
              <w:right w:val="single" w:sz="4" w:space="0" w:color="auto"/>
            </w:tcBorders>
            <w:noWrap/>
            <w:vAlign w:val="center"/>
            <w:hideMark/>
          </w:tcPr>
          <w:p w:rsidR="00B740AD" w:rsidRPr="002F4606" w:rsidRDefault="00B740AD" w:rsidP="00B740AD">
            <w:pPr>
              <w:jc w:val="right"/>
              <w:rPr>
                <w:rFonts w:eastAsia="Calibri" w:cs="Arial"/>
                <w:color w:val="000000"/>
                <w:sz w:val="20"/>
                <w:szCs w:val="20"/>
              </w:rPr>
            </w:pPr>
            <w:r w:rsidRPr="002F4606">
              <w:rPr>
                <w:rFonts w:eastAsia="Calibri" w:cs="Arial"/>
                <w:color w:val="000000"/>
                <w:sz w:val="20"/>
                <w:szCs w:val="20"/>
              </w:rPr>
              <w:t xml:space="preserve">1,116 </w:t>
            </w:r>
          </w:p>
        </w:tc>
      </w:tr>
      <w:tr w:rsidR="00B740AD" w:rsidRPr="002F4606" w:rsidTr="00B85FC5">
        <w:trPr>
          <w:trHeight w:val="227"/>
        </w:trPr>
        <w:tc>
          <w:tcPr>
            <w:tcW w:w="0" w:type="auto"/>
            <w:tcBorders>
              <w:top w:val="dashed" w:sz="4" w:space="0" w:color="FF66FF"/>
              <w:left w:val="single" w:sz="4" w:space="0" w:color="auto"/>
            </w:tcBorders>
            <w:noWrap/>
            <w:hideMark/>
          </w:tcPr>
          <w:p w:rsidR="00B740AD" w:rsidRPr="002F4606" w:rsidRDefault="00B740AD" w:rsidP="00B740AD">
            <w:pPr>
              <w:jc w:val="right"/>
              <w:rPr>
                <w:rFonts w:eastAsia="Times New Roman" w:cs="Arial"/>
                <w:sz w:val="20"/>
                <w:szCs w:val="20"/>
                <w:lang w:eastAsia="en-AU"/>
              </w:rPr>
            </w:pPr>
            <w:r w:rsidRPr="002F4606">
              <w:rPr>
                <w:rFonts w:eastAsia="Times New Roman" w:cs="Arial"/>
                <w:sz w:val="20"/>
                <w:szCs w:val="20"/>
                <w:lang w:eastAsia="en-AU"/>
              </w:rPr>
              <w:t>2017</w:t>
            </w:r>
          </w:p>
        </w:tc>
        <w:tc>
          <w:tcPr>
            <w:tcW w:w="0" w:type="auto"/>
            <w:tcBorders>
              <w:top w:val="dashed" w:sz="4" w:space="0" w:color="FF66FF"/>
            </w:tcBorders>
            <w:vAlign w:val="center"/>
          </w:tcPr>
          <w:p w:rsidR="00B740AD" w:rsidRPr="002F4606" w:rsidRDefault="00B740AD" w:rsidP="00B740AD">
            <w:pPr>
              <w:jc w:val="right"/>
              <w:rPr>
                <w:rFonts w:eastAsia="Calibri" w:cs="Arial"/>
                <w:i/>
                <w:color w:val="000000"/>
                <w:sz w:val="20"/>
                <w:szCs w:val="20"/>
              </w:rPr>
            </w:pPr>
            <w:r w:rsidRPr="002F4606">
              <w:rPr>
                <w:rFonts w:eastAsia="Calibri" w:cs="Arial"/>
                <w:i/>
                <w:color w:val="000000"/>
                <w:sz w:val="20"/>
                <w:szCs w:val="20"/>
              </w:rPr>
              <w:t>1,330</w:t>
            </w:r>
          </w:p>
        </w:tc>
        <w:tc>
          <w:tcPr>
            <w:tcW w:w="0" w:type="auto"/>
            <w:tcBorders>
              <w:top w:val="dashed" w:sz="4" w:space="0" w:color="FF66FF"/>
            </w:tcBorders>
            <w:noWrap/>
            <w:vAlign w:val="center"/>
            <w:hideMark/>
          </w:tcPr>
          <w:p w:rsidR="00B740AD" w:rsidRPr="002F4606" w:rsidRDefault="00B740AD" w:rsidP="00B740AD">
            <w:pPr>
              <w:jc w:val="right"/>
              <w:rPr>
                <w:rFonts w:eastAsia="Calibri" w:cs="Arial"/>
                <w:color w:val="000000"/>
                <w:sz w:val="20"/>
                <w:szCs w:val="20"/>
              </w:rPr>
            </w:pPr>
            <w:r w:rsidRPr="002F4606">
              <w:rPr>
                <w:rFonts w:eastAsia="Calibri" w:cs="Arial"/>
                <w:color w:val="000000"/>
                <w:sz w:val="20"/>
                <w:szCs w:val="20"/>
              </w:rPr>
              <w:t xml:space="preserve">1,212 </w:t>
            </w:r>
          </w:p>
        </w:tc>
        <w:tc>
          <w:tcPr>
            <w:tcW w:w="0" w:type="auto"/>
            <w:tcBorders>
              <w:top w:val="dashed" w:sz="4" w:space="0" w:color="FF66FF"/>
            </w:tcBorders>
            <w:noWrap/>
            <w:hideMark/>
          </w:tcPr>
          <w:p w:rsidR="00B740AD" w:rsidRPr="002F4606" w:rsidRDefault="00B740AD" w:rsidP="00B740AD">
            <w:pPr>
              <w:jc w:val="right"/>
              <w:rPr>
                <w:rFonts w:eastAsia="Times New Roman" w:cs="Arial"/>
                <w:bCs/>
                <w:i/>
                <w:color w:val="000000"/>
                <w:sz w:val="20"/>
                <w:szCs w:val="20"/>
                <w:lang w:eastAsia="en-AU"/>
              </w:rPr>
            </w:pPr>
            <w:r w:rsidRPr="002F4606">
              <w:rPr>
                <w:rFonts w:eastAsia="Times New Roman" w:cs="Arial"/>
                <w:bCs/>
                <w:i/>
                <w:color w:val="000000"/>
                <w:sz w:val="20"/>
                <w:szCs w:val="20"/>
                <w:lang w:eastAsia="en-AU"/>
              </w:rPr>
              <w:t xml:space="preserve">28 </w:t>
            </w:r>
          </w:p>
        </w:tc>
        <w:tc>
          <w:tcPr>
            <w:tcW w:w="0" w:type="auto"/>
            <w:tcBorders>
              <w:top w:val="dashed" w:sz="4" w:space="0" w:color="FF66FF"/>
              <w:right w:val="single" w:sz="4" w:space="0" w:color="auto"/>
            </w:tcBorders>
            <w:noWrap/>
            <w:vAlign w:val="center"/>
            <w:hideMark/>
          </w:tcPr>
          <w:p w:rsidR="00B740AD" w:rsidRPr="002F4606" w:rsidRDefault="00B740AD" w:rsidP="00B740AD">
            <w:pPr>
              <w:jc w:val="right"/>
              <w:rPr>
                <w:rFonts w:eastAsia="Calibri" w:cs="Arial"/>
                <w:color w:val="000000"/>
                <w:sz w:val="20"/>
                <w:szCs w:val="20"/>
              </w:rPr>
            </w:pPr>
            <w:r w:rsidRPr="002F4606">
              <w:rPr>
                <w:rFonts w:eastAsia="Calibri" w:cs="Arial"/>
                <w:color w:val="000000"/>
                <w:sz w:val="20"/>
                <w:szCs w:val="20"/>
              </w:rPr>
              <w:t xml:space="preserve">1,212 </w:t>
            </w:r>
          </w:p>
        </w:tc>
      </w:tr>
      <w:tr w:rsidR="00B740AD" w:rsidRPr="002F4606" w:rsidTr="00B740AD">
        <w:trPr>
          <w:cnfStyle w:val="000000100000" w:firstRow="0" w:lastRow="0" w:firstColumn="0" w:lastColumn="0" w:oddVBand="0" w:evenVBand="0" w:oddHBand="1" w:evenHBand="0" w:firstRowFirstColumn="0" w:firstRowLastColumn="0" w:lastRowFirstColumn="0" w:lastRowLastColumn="0"/>
          <w:trHeight w:val="227"/>
        </w:trPr>
        <w:tc>
          <w:tcPr>
            <w:tcW w:w="0" w:type="auto"/>
            <w:tcBorders>
              <w:left w:val="single" w:sz="4" w:space="0" w:color="auto"/>
            </w:tcBorders>
            <w:noWrap/>
            <w:hideMark/>
          </w:tcPr>
          <w:p w:rsidR="00B740AD" w:rsidRPr="002F4606" w:rsidRDefault="00B740AD" w:rsidP="00B740AD">
            <w:pPr>
              <w:jc w:val="right"/>
              <w:rPr>
                <w:rFonts w:eastAsia="Times New Roman" w:cs="Arial"/>
                <w:sz w:val="20"/>
                <w:szCs w:val="20"/>
                <w:lang w:eastAsia="en-AU"/>
              </w:rPr>
            </w:pPr>
            <w:r w:rsidRPr="002F4606">
              <w:rPr>
                <w:rFonts w:eastAsia="Times New Roman" w:cs="Arial"/>
                <w:sz w:val="20"/>
                <w:szCs w:val="20"/>
                <w:lang w:eastAsia="en-AU"/>
              </w:rPr>
              <w:t>2018</w:t>
            </w:r>
          </w:p>
        </w:tc>
        <w:tc>
          <w:tcPr>
            <w:tcW w:w="0" w:type="auto"/>
            <w:vAlign w:val="center"/>
          </w:tcPr>
          <w:p w:rsidR="00B740AD" w:rsidRPr="002F4606" w:rsidRDefault="00B740AD" w:rsidP="00B740AD">
            <w:pPr>
              <w:jc w:val="right"/>
              <w:rPr>
                <w:rFonts w:eastAsia="Calibri" w:cs="Arial"/>
                <w:i/>
                <w:color w:val="000000"/>
                <w:sz w:val="20"/>
                <w:szCs w:val="20"/>
              </w:rPr>
            </w:pPr>
            <w:r w:rsidRPr="002F4606">
              <w:rPr>
                <w:rFonts w:eastAsia="Calibri" w:cs="Arial"/>
                <w:i/>
                <w:color w:val="000000"/>
                <w:sz w:val="20"/>
                <w:szCs w:val="20"/>
              </w:rPr>
              <w:t>1,311</w:t>
            </w:r>
          </w:p>
        </w:tc>
        <w:tc>
          <w:tcPr>
            <w:tcW w:w="0" w:type="auto"/>
            <w:noWrap/>
            <w:vAlign w:val="center"/>
            <w:hideMark/>
          </w:tcPr>
          <w:p w:rsidR="00B740AD" w:rsidRPr="002F4606" w:rsidRDefault="00B740AD" w:rsidP="00B740AD">
            <w:pPr>
              <w:jc w:val="right"/>
              <w:rPr>
                <w:rFonts w:eastAsia="Calibri" w:cs="Arial"/>
                <w:color w:val="000000"/>
                <w:sz w:val="20"/>
                <w:szCs w:val="20"/>
              </w:rPr>
            </w:pPr>
            <w:r w:rsidRPr="002F4606">
              <w:rPr>
                <w:rFonts w:eastAsia="Calibri" w:cs="Arial"/>
                <w:color w:val="000000"/>
                <w:sz w:val="20"/>
                <w:szCs w:val="20"/>
              </w:rPr>
              <w:t xml:space="preserve">1,167 </w:t>
            </w:r>
          </w:p>
        </w:tc>
        <w:tc>
          <w:tcPr>
            <w:tcW w:w="0" w:type="auto"/>
            <w:noWrap/>
            <w:hideMark/>
          </w:tcPr>
          <w:p w:rsidR="00B740AD" w:rsidRPr="002F4606" w:rsidRDefault="00B740AD" w:rsidP="00B740AD">
            <w:pPr>
              <w:jc w:val="right"/>
              <w:rPr>
                <w:rFonts w:eastAsia="Times New Roman" w:cs="Arial"/>
                <w:bCs/>
                <w:i/>
                <w:color w:val="000000"/>
                <w:sz w:val="20"/>
                <w:szCs w:val="20"/>
                <w:lang w:eastAsia="en-AU"/>
              </w:rPr>
            </w:pPr>
            <w:r w:rsidRPr="002F4606">
              <w:rPr>
                <w:rFonts w:eastAsia="Times New Roman" w:cs="Arial"/>
                <w:bCs/>
                <w:i/>
                <w:color w:val="000000"/>
                <w:sz w:val="20"/>
                <w:szCs w:val="20"/>
                <w:lang w:eastAsia="en-AU"/>
              </w:rPr>
              <w:t xml:space="preserve">28 </w:t>
            </w:r>
          </w:p>
        </w:tc>
        <w:tc>
          <w:tcPr>
            <w:tcW w:w="0" w:type="auto"/>
            <w:tcBorders>
              <w:right w:val="single" w:sz="4" w:space="0" w:color="auto"/>
            </w:tcBorders>
            <w:noWrap/>
            <w:vAlign w:val="center"/>
            <w:hideMark/>
          </w:tcPr>
          <w:p w:rsidR="00B740AD" w:rsidRPr="002F4606" w:rsidRDefault="00B740AD" w:rsidP="00B740AD">
            <w:pPr>
              <w:jc w:val="right"/>
              <w:rPr>
                <w:rFonts w:eastAsia="Calibri" w:cs="Arial"/>
                <w:color w:val="000000"/>
                <w:sz w:val="20"/>
                <w:szCs w:val="20"/>
              </w:rPr>
            </w:pPr>
            <w:r w:rsidRPr="002F4606">
              <w:rPr>
                <w:rFonts w:eastAsia="Calibri" w:cs="Arial"/>
                <w:color w:val="000000"/>
                <w:sz w:val="20"/>
                <w:szCs w:val="20"/>
              </w:rPr>
              <w:t xml:space="preserve">25 </w:t>
            </w:r>
          </w:p>
        </w:tc>
      </w:tr>
      <w:tr w:rsidR="00B740AD" w:rsidRPr="002F4606" w:rsidTr="00B85FC5">
        <w:trPr>
          <w:trHeight w:val="227"/>
        </w:trPr>
        <w:tc>
          <w:tcPr>
            <w:tcW w:w="0" w:type="auto"/>
            <w:tcBorders>
              <w:left w:val="single" w:sz="4" w:space="0" w:color="auto"/>
            </w:tcBorders>
            <w:noWrap/>
            <w:hideMark/>
          </w:tcPr>
          <w:p w:rsidR="00B740AD" w:rsidRPr="002F4606" w:rsidRDefault="00B740AD" w:rsidP="00B740AD">
            <w:pPr>
              <w:jc w:val="right"/>
              <w:rPr>
                <w:rFonts w:eastAsia="Times New Roman" w:cs="Arial"/>
                <w:sz w:val="20"/>
                <w:szCs w:val="20"/>
                <w:lang w:eastAsia="en-AU"/>
              </w:rPr>
            </w:pPr>
            <w:r w:rsidRPr="002F4606">
              <w:rPr>
                <w:rFonts w:eastAsia="Times New Roman" w:cs="Arial"/>
                <w:sz w:val="20"/>
                <w:szCs w:val="20"/>
                <w:lang w:eastAsia="en-AU"/>
              </w:rPr>
              <w:t>2019</w:t>
            </w:r>
          </w:p>
        </w:tc>
        <w:tc>
          <w:tcPr>
            <w:tcW w:w="0" w:type="auto"/>
            <w:vAlign w:val="center"/>
          </w:tcPr>
          <w:p w:rsidR="00B740AD" w:rsidRPr="002F4606" w:rsidRDefault="00B740AD" w:rsidP="00B740AD">
            <w:pPr>
              <w:jc w:val="right"/>
              <w:rPr>
                <w:rFonts w:eastAsia="Calibri" w:cs="Arial"/>
                <w:i/>
                <w:color w:val="000000"/>
                <w:sz w:val="20"/>
                <w:szCs w:val="20"/>
              </w:rPr>
            </w:pPr>
            <w:r w:rsidRPr="002F4606">
              <w:rPr>
                <w:rFonts w:eastAsia="Calibri" w:cs="Arial"/>
                <w:i/>
                <w:color w:val="000000"/>
                <w:sz w:val="20"/>
                <w:szCs w:val="20"/>
              </w:rPr>
              <w:t>1,352</w:t>
            </w:r>
          </w:p>
        </w:tc>
        <w:tc>
          <w:tcPr>
            <w:tcW w:w="0" w:type="auto"/>
            <w:noWrap/>
            <w:vAlign w:val="center"/>
            <w:hideMark/>
          </w:tcPr>
          <w:p w:rsidR="00B740AD" w:rsidRPr="002F4606" w:rsidRDefault="00B740AD" w:rsidP="00B740AD">
            <w:pPr>
              <w:jc w:val="right"/>
              <w:rPr>
                <w:rFonts w:eastAsia="Calibri" w:cs="Arial"/>
                <w:color w:val="000000"/>
                <w:sz w:val="20"/>
                <w:szCs w:val="20"/>
              </w:rPr>
            </w:pPr>
            <w:r w:rsidRPr="002F4606">
              <w:rPr>
                <w:rFonts w:eastAsia="Calibri" w:cs="Arial"/>
                <w:color w:val="000000"/>
                <w:sz w:val="20"/>
                <w:szCs w:val="20"/>
              </w:rPr>
              <w:t xml:space="preserve">1,203 </w:t>
            </w:r>
          </w:p>
        </w:tc>
        <w:tc>
          <w:tcPr>
            <w:tcW w:w="0" w:type="auto"/>
            <w:noWrap/>
            <w:hideMark/>
          </w:tcPr>
          <w:p w:rsidR="00B740AD" w:rsidRPr="002F4606" w:rsidRDefault="00B740AD" w:rsidP="00B740AD">
            <w:pPr>
              <w:jc w:val="right"/>
              <w:rPr>
                <w:rFonts w:eastAsia="Times New Roman" w:cs="Arial"/>
                <w:bCs/>
                <w:i/>
                <w:color w:val="000000"/>
                <w:sz w:val="20"/>
                <w:szCs w:val="20"/>
                <w:lang w:eastAsia="en-AU"/>
              </w:rPr>
            </w:pPr>
            <w:r w:rsidRPr="002F4606">
              <w:rPr>
                <w:rFonts w:eastAsia="Times New Roman" w:cs="Arial"/>
                <w:bCs/>
                <w:i/>
                <w:color w:val="000000"/>
                <w:sz w:val="20"/>
                <w:szCs w:val="20"/>
                <w:lang w:eastAsia="en-AU"/>
              </w:rPr>
              <w:t xml:space="preserve">28 </w:t>
            </w:r>
          </w:p>
        </w:tc>
        <w:tc>
          <w:tcPr>
            <w:tcW w:w="0" w:type="auto"/>
            <w:tcBorders>
              <w:right w:val="single" w:sz="4" w:space="0" w:color="auto"/>
            </w:tcBorders>
            <w:noWrap/>
            <w:vAlign w:val="center"/>
            <w:hideMark/>
          </w:tcPr>
          <w:p w:rsidR="00B740AD" w:rsidRPr="002F4606" w:rsidRDefault="00B740AD" w:rsidP="00B740AD">
            <w:pPr>
              <w:jc w:val="right"/>
              <w:rPr>
                <w:rFonts w:eastAsia="Calibri" w:cs="Arial"/>
                <w:color w:val="000000"/>
                <w:sz w:val="20"/>
                <w:szCs w:val="20"/>
              </w:rPr>
            </w:pPr>
            <w:r w:rsidRPr="002F4606">
              <w:rPr>
                <w:rFonts w:eastAsia="Calibri" w:cs="Arial"/>
                <w:color w:val="000000"/>
                <w:sz w:val="20"/>
                <w:szCs w:val="20"/>
              </w:rPr>
              <w:t xml:space="preserve">25 </w:t>
            </w:r>
          </w:p>
        </w:tc>
      </w:tr>
      <w:tr w:rsidR="00B740AD" w:rsidRPr="002F4606" w:rsidTr="00B740AD">
        <w:trPr>
          <w:cnfStyle w:val="000000100000" w:firstRow="0" w:lastRow="0" w:firstColumn="0" w:lastColumn="0" w:oddVBand="0" w:evenVBand="0" w:oddHBand="1" w:evenHBand="0" w:firstRowFirstColumn="0" w:firstRowLastColumn="0" w:lastRowFirstColumn="0" w:lastRowLastColumn="0"/>
          <w:trHeight w:val="227"/>
        </w:trPr>
        <w:tc>
          <w:tcPr>
            <w:tcW w:w="0" w:type="auto"/>
            <w:tcBorders>
              <w:left w:val="single" w:sz="4" w:space="0" w:color="auto"/>
            </w:tcBorders>
            <w:noWrap/>
            <w:hideMark/>
          </w:tcPr>
          <w:p w:rsidR="00B740AD" w:rsidRPr="002F4606" w:rsidRDefault="00B740AD" w:rsidP="00B740AD">
            <w:pPr>
              <w:jc w:val="right"/>
              <w:rPr>
                <w:rFonts w:eastAsia="Times New Roman" w:cs="Arial"/>
                <w:sz w:val="20"/>
                <w:szCs w:val="20"/>
                <w:lang w:eastAsia="en-AU"/>
              </w:rPr>
            </w:pPr>
            <w:r w:rsidRPr="002F4606">
              <w:rPr>
                <w:rFonts w:eastAsia="Times New Roman" w:cs="Arial"/>
                <w:sz w:val="20"/>
                <w:szCs w:val="20"/>
                <w:lang w:eastAsia="en-AU"/>
              </w:rPr>
              <w:t>2020</w:t>
            </w:r>
          </w:p>
        </w:tc>
        <w:tc>
          <w:tcPr>
            <w:tcW w:w="0" w:type="auto"/>
            <w:vAlign w:val="center"/>
          </w:tcPr>
          <w:p w:rsidR="00B740AD" w:rsidRPr="002F4606" w:rsidRDefault="00B740AD" w:rsidP="00B740AD">
            <w:pPr>
              <w:jc w:val="right"/>
              <w:rPr>
                <w:rFonts w:eastAsia="Calibri" w:cs="Arial"/>
                <w:i/>
                <w:color w:val="000000"/>
                <w:sz w:val="20"/>
                <w:szCs w:val="20"/>
              </w:rPr>
            </w:pPr>
            <w:r w:rsidRPr="002F4606">
              <w:rPr>
                <w:rFonts w:eastAsia="Calibri" w:cs="Arial"/>
                <w:i/>
                <w:color w:val="000000"/>
                <w:sz w:val="20"/>
                <w:szCs w:val="20"/>
              </w:rPr>
              <w:t>1,387</w:t>
            </w:r>
          </w:p>
        </w:tc>
        <w:tc>
          <w:tcPr>
            <w:tcW w:w="0" w:type="auto"/>
            <w:noWrap/>
            <w:vAlign w:val="center"/>
            <w:hideMark/>
          </w:tcPr>
          <w:p w:rsidR="00B740AD" w:rsidRPr="002F4606" w:rsidRDefault="00B740AD" w:rsidP="00B740AD">
            <w:pPr>
              <w:jc w:val="right"/>
              <w:rPr>
                <w:rFonts w:eastAsia="Calibri" w:cs="Arial"/>
                <w:color w:val="000000"/>
                <w:sz w:val="20"/>
                <w:szCs w:val="20"/>
              </w:rPr>
            </w:pPr>
            <w:r w:rsidRPr="002F4606">
              <w:rPr>
                <w:rFonts w:eastAsia="Calibri" w:cs="Arial"/>
                <w:color w:val="000000"/>
                <w:sz w:val="20"/>
                <w:szCs w:val="20"/>
              </w:rPr>
              <w:t xml:space="preserve">1,234 </w:t>
            </w:r>
          </w:p>
        </w:tc>
        <w:tc>
          <w:tcPr>
            <w:tcW w:w="0" w:type="auto"/>
            <w:noWrap/>
            <w:hideMark/>
          </w:tcPr>
          <w:p w:rsidR="00B740AD" w:rsidRPr="002F4606" w:rsidRDefault="00B740AD" w:rsidP="00B740AD">
            <w:pPr>
              <w:jc w:val="right"/>
              <w:rPr>
                <w:rFonts w:eastAsia="Times New Roman" w:cs="Arial"/>
                <w:bCs/>
                <w:i/>
                <w:color w:val="000000"/>
                <w:sz w:val="20"/>
                <w:szCs w:val="20"/>
                <w:lang w:eastAsia="en-AU"/>
              </w:rPr>
            </w:pPr>
            <w:r w:rsidRPr="002F4606">
              <w:rPr>
                <w:rFonts w:eastAsia="Times New Roman" w:cs="Arial"/>
                <w:bCs/>
                <w:i/>
                <w:color w:val="000000"/>
                <w:sz w:val="20"/>
                <w:szCs w:val="20"/>
                <w:lang w:eastAsia="en-AU"/>
              </w:rPr>
              <w:t xml:space="preserve">28 </w:t>
            </w:r>
          </w:p>
        </w:tc>
        <w:tc>
          <w:tcPr>
            <w:tcW w:w="0" w:type="auto"/>
            <w:tcBorders>
              <w:right w:val="single" w:sz="4" w:space="0" w:color="auto"/>
            </w:tcBorders>
            <w:noWrap/>
            <w:vAlign w:val="center"/>
            <w:hideMark/>
          </w:tcPr>
          <w:p w:rsidR="00B740AD" w:rsidRPr="002F4606" w:rsidRDefault="00B740AD" w:rsidP="00B740AD">
            <w:pPr>
              <w:jc w:val="right"/>
              <w:rPr>
                <w:rFonts w:eastAsia="Calibri" w:cs="Arial"/>
                <w:color w:val="000000"/>
                <w:sz w:val="20"/>
                <w:szCs w:val="20"/>
              </w:rPr>
            </w:pPr>
            <w:r w:rsidRPr="002F4606">
              <w:rPr>
                <w:rFonts w:eastAsia="Calibri" w:cs="Arial"/>
                <w:color w:val="000000"/>
                <w:sz w:val="20"/>
                <w:szCs w:val="20"/>
              </w:rPr>
              <w:t xml:space="preserve">25 </w:t>
            </w:r>
          </w:p>
        </w:tc>
      </w:tr>
      <w:tr w:rsidR="00B740AD" w:rsidRPr="002F4606" w:rsidTr="00B85FC5">
        <w:trPr>
          <w:trHeight w:val="227"/>
        </w:trPr>
        <w:tc>
          <w:tcPr>
            <w:tcW w:w="0" w:type="auto"/>
            <w:tcBorders>
              <w:left w:val="single" w:sz="4" w:space="0" w:color="auto"/>
            </w:tcBorders>
            <w:noWrap/>
            <w:hideMark/>
          </w:tcPr>
          <w:p w:rsidR="00B740AD" w:rsidRPr="002F4606" w:rsidRDefault="00B740AD" w:rsidP="00B740AD">
            <w:pPr>
              <w:jc w:val="right"/>
              <w:rPr>
                <w:rFonts w:eastAsia="Times New Roman" w:cs="Arial"/>
                <w:sz w:val="20"/>
                <w:szCs w:val="20"/>
                <w:lang w:eastAsia="en-AU"/>
              </w:rPr>
            </w:pPr>
            <w:r w:rsidRPr="002F4606">
              <w:rPr>
                <w:rFonts w:eastAsia="Times New Roman" w:cs="Arial"/>
                <w:sz w:val="20"/>
                <w:szCs w:val="20"/>
                <w:lang w:eastAsia="en-AU"/>
              </w:rPr>
              <w:t>2021</w:t>
            </w:r>
          </w:p>
        </w:tc>
        <w:tc>
          <w:tcPr>
            <w:tcW w:w="0" w:type="auto"/>
            <w:vAlign w:val="center"/>
          </w:tcPr>
          <w:p w:rsidR="00B740AD" w:rsidRPr="002F4606" w:rsidRDefault="00B740AD" w:rsidP="00B740AD">
            <w:pPr>
              <w:jc w:val="right"/>
              <w:rPr>
                <w:rFonts w:eastAsia="Calibri" w:cs="Arial"/>
                <w:i/>
                <w:color w:val="000000"/>
                <w:sz w:val="20"/>
                <w:szCs w:val="20"/>
              </w:rPr>
            </w:pPr>
            <w:r w:rsidRPr="002F4606">
              <w:rPr>
                <w:rFonts w:eastAsia="Calibri" w:cs="Arial"/>
                <w:i/>
                <w:color w:val="000000"/>
                <w:sz w:val="20"/>
                <w:szCs w:val="20"/>
              </w:rPr>
              <w:t>1,423</w:t>
            </w:r>
          </w:p>
        </w:tc>
        <w:tc>
          <w:tcPr>
            <w:tcW w:w="0" w:type="auto"/>
            <w:noWrap/>
            <w:vAlign w:val="center"/>
            <w:hideMark/>
          </w:tcPr>
          <w:p w:rsidR="00B740AD" w:rsidRPr="002F4606" w:rsidRDefault="00B740AD" w:rsidP="00B740AD">
            <w:pPr>
              <w:jc w:val="right"/>
              <w:rPr>
                <w:rFonts w:eastAsia="Calibri" w:cs="Arial"/>
                <w:color w:val="000000"/>
                <w:sz w:val="20"/>
                <w:szCs w:val="20"/>
              </w:rPr>
            </w:pPr>
            <w:r w:rsidRPr="002F4606">
              <w:rPr>
                <w:rFonts w:eastAsia="Calibri" w:cs="Arial"/>
                <w:color w:val="000000"/>
                <w:sz w:val="20"/>
                <w:szCs w:val="20"/>
              </w:rPr>
              <w:t xml:space="preserve">1,267 </w:t>
            </w:r>
          </w:p>
        </w:tc>
        <w:tc>
          <w:tcPr>
            <w:tcW w:w="0" w:type="auto"/>
            <w:noWrap/>
            <w:hideMark/>
          </w:tcPr>
          <w:p w:rsidR="00B740AD" w:rsidRPr="002F4606" w:rsidRDefault="00B740AD" w:rsidP="00B740AD">
            <w:pPr>
              <w:jc w:val="right"/>
              <w:rPr>
                <w:rFonts w:eastAsia="Times New Roman" w:cs="Arial"/>
                <w:bCs/>
                <w:i/>
                <w:color w:val="000000"/>
                <w:sz w:val="20"/>
                <w:szCs w:val="20"/>
                <w:lang w:eastAsia="en-AU"/>
              </w:rPr>
            </w:pPr>
            <w:r w:rsidRPr="002F4606">
              <w:rPr>
                <w:rFonts w:eastAsia="Times New Roman" w:cs="Arial"/>
                <w:bCs/>
                <w:i/>
                <w:color w:val="000000"/>
                <w:sz w:val="20"/>
                <w:szCs w:val="20"/>
                <w:lang w:eastAsia="en-AU"/>
              </w:rPr>
              <w:t xml:space="preserve">28 </w:t>
            </w:r>
          </w:p>
        </w:tc>
        <w:tc>
          <w:tcPr>
            <w:tcW w:w="0" w:type="auto"/>
            <w:tcBorders>
              <w:right w:val="single" w:sz="4" w:space="0" w:color="auto"/>
            </w:tcBorders>
            <w:noWrap/>
            <w:vAlign w:val="center"/>
            <w:hideMark/>
          </w:tcPr>
          <w:p w:rsidR="00B740AD" w:rsidRPr="002F4606" w:rsidRDefault="00B740AD" w:rsidP="00B740AD">
            <w:pPr>
              <w:jc w:val="right"/>
              <w:rPr>
                <w:rFonts w:eastAsia="Calibri" w:cs="Arial"/>
                <w:color w:val="000000"/>
                <w:sz w:val="20"/>
                <w:szCs w:val="20"/>
              </w:rPr>
            </w:pPr>
            <w:r w:rsidRPr="002F4606">
              <w:rPr>
                <w:rFonts w:eastAsia="Calibri" w:cs="Arial"/>
                <w:color w:val="000000"/>
                <w:sz w:val="20"/>
                <w:szCs w:val="20"/>
              </w:rPr>
              <w:t xml:space="preserve">25 </w:t>
            </w:r>
          </w:p>
        </w:tc>
      </w:tr>
      <w:tr w:rsidR="00B740AD" w:rsidRPr="002F4606" w:rsidTr="00B740AD">
        <w:trPr>
          <w:cnfStyle w:val="000000100000" w:firstRow="0" w:lastRow="0" w:firstColumn="0" w:lastColumn="0" w:oddVBand="0" w:evenVBand="0" w:oddHBand="1" w:evenHBand="0" w:firstRowFirstColumn="0" w:firstRowLastColumn="0" w:lastRowFirstColumn="0" w:lastRowLastColumn="0"/>
          <w:trHeight w:val="227"/>
        </w:trPr>
        <w:tc>
          <w:tcPr>
            <w:tcW w:w="0" w:type="auto"/>
            <w:tcBorders>
              <w:left w:val="single" w:sz="4" w:space="0" w:color="auto"/>
            </w:tcBorders>
            <w:noWrap/>
            <w:hideMark/>
          </w:tcPr>
          <w:p w:rsidR="00B740AD" w:rsidRPr="002F4606" w:rsidRDefault="00B740AD" w:rsidP="00B740AD">
            <w:pPr>
              <w:jc w:val="right"/>
              <w:rPr>
                <w:rFonts w:eastAsia="Times New Roman" w:cs="Arial"/>
                <w:sz w:val="20"/>
                <w:szCs w:val="20"/>
                <w:lang w:eastAsia="en-AU"/>
              </w:rPr>
            </w:pPr>
            <w:r w:rsidRPr="002F4606">
              <w:rPr>
                <w:rFonts w:eastAsia="Times New Roman" w:cs="Arial"/>
                <w:sz w:val="20"/>
                <w:szCs w:val="20"/>
                <w:lang w:eastAsia="en-AU"/>
              </w:rPr>
              <w:t>2022</w:t>
            </w:r>
          </w:p>
        </w:tc>
        <w:tc>
          <w:tcPr>
            <w:tcW w:w="0" w:type="auto"/>
            <w:vAlign w:val="center"/>
          </w:tcPr>
          <w:p w:rsidR="00B740AD" w:rsidRPr="002F4606" w:rsidRDefault="00B740AD" w:rsidP="00B740AD">
            <w:pPr>
              <w:jc w:val="right"/>
              <w:rPr>
                <w:rFonts w:eastAsia="Calibri" w:cs="Arial"/>
                <w:i/>
                <w:color w:val="000000"/>
                <w:sz w:val="20"/>
                <w:szCs w:val="20"/>
              </w:rPr>
            </w:pPr>
            <w:r w:rsidRPr="002F4606">
              <w:rPr>
                <w:rFonts w:eastAsia="Calibri" w:cs="Arial"/>
                <w:i/>
                <w:color w:val="000000"/>
                <w:sz w:val="20"/>
                <w:szCs w:val="20"/>
              </w:rPr>
              <w:t>1,461</w:t>
            </w:r>
          </w:p>
        </w:tc>
        <w:tc>
          <w:tcPr>
            <w:tcW w:w="0" w:type="auto"/>
            <w:noWrap/>
            <w:vAlign w:val="center"/>
            <w:hideMark/>
          </w:tcPr>
          <w:p w:rsidR="00B740AD" w:rsidRPr="002F4606" w:rsidRDefault="00B740AD" w:rsidP="00B740AD">
            <w:pPr>
              <w:jc w:val="right"/>
              <w:rPr>
                <w:rFonts w:eastAsia="Calibri" w:cs="Arial"/>
                <w:color w:val="000000"/>
                <w:sz w:val="20"/>
                <w:szCs w:val="20"/>
              </w:rPr>
            </w:pPr>
            <w:r w:rsidRPr="002F4606">
              <w:rPr>
                <w:rFonts w:eastAsia="Calibri" w:cs="Arial"/>
                <w:color w:val="000000"/>
                <w:sz w:val="20"/>
                <w:szCs w:val="20"/>
              </w:rPr>
              <w:t xml:space="preserve">1,300 </w:t>
            </w:r>
          </w:p>
        </w:tc>
        <w:tc>
          <w:tcPr>
            <w:tcW w:w="0" w:type="auto"/>
            <w:noWrap/>
            <w:hideMark/>
          </w:tcPr>
          <w:p w:rsidR="00B740AD" w:rsidRPr="002F4606" w:rsidRDefault="00B740AD" w:rsidP="00B740AD">
            <w:pPr>
              <w:jc w:val="right"/>
              <w:rPr>
                <w:rFonts w:eastAsia="Times New Roman" w:cs="Arial"/>
                <w:bCs/>
                <w:i/>
                <w:color w:val="000000"/>
                <w:sz w:val="20"/>
                <w:szCs w:val="20"/>
                <w:lang w:eastAsia="en-AU"/>
              </w:rPr>
            </w:pPr>
            <w:r w:rsidRPr="002F4606">
              <w:rPr>
                <w:rFonts w:eastAsia="Times New Roman" w:cs="Arial"/>
                <w:bCs/>
                <w:i/>
                <w:color w:val="000000"/>
                <w:sz w:val="20"/>
                <w:szCs w:val="20"/>
                <w:lang w:eastAsia="en-AU"/>
              </w:rPr>
              <w:t xml:space="preserve">28 </w:t>
            </w:r>
          </w:p>
        </w:tc>
        <w:tc>
          <w:tcPr>
            <w:tcW w:w="0" w:type="auto"/>
            <w:tcBorders>
              <w:right w:val="single" w:sz="4" w:space="0" w:color="auto"/>
            </w:tcBorders>
            <w:noWrap/>
            <w:vAlign w:val="center"/>
            <w:hideMark/>
          </w:tcPr>
          <w:p w:rsidR="00B740AD" w:rsidRPr="002F4606" w:rsidRDefault="00B740AD" w:rsidP="00B740AD">
            <w:pPr>
              <w:jc w:val="right"/>
              <w:rPr>
                <w:rFonts w:eastAsia="Calibri" w:cs="Arial"/>
                <w:color w:val="000000"/>
                <w:sz w:val="20"/>
                <w:szCs w:val="20"/>
              </w:rPr>
            </w:pPr>
            <w:r w:rsidRPr="002F4606">
              <w:rPr>
                <w:rFonts w:eastAsia="Calibri" w:cs="Arial"/>
                <w:color w:val="000000"/>
                <w:sz w:val="20"/>
                <w:szCs w:val="20"/>
              </w:rPr>
              <w:t xml:space="preserve">25 </w:t>
            </w:r>
          </w:p>
        </w:tc>
      </w:tr>
      <w:tr w:rsidR="00B740AD" w:rsidRPr="002F4606" w:rsidTr="00B85FC5">
        <w:trPr>
          <w:trHeight w:val="227"/>
        </w:trPr>
        <w:tc>
          <w:tcPr>
            <w:tcW w:w="0" w:type="auto"/>
            <w:tcBorders>
              <w:left w:val="single" w:sz="4" w:space="0" w:color="auto"/>
            </w:tcBorders>
            <w:noWrap/>
            <w:hideMark/>
          </w:tcPr>
          <w:p w:rsidR="00B740AD" w:rsidRPr="002F4606" w:rsidRDefault="00B740AD" w:rsidP="00B740AD">
            <w:pPr>
              <w:jc w:val="right"/>
              <w:rPr>
                <w:rFonts w:eastAsia="Times New Roman" w:cs="Arial"/>
                <w:sz w:val="20"/>
                <w:szCs w:val="20"/>
                <w:lang w:eastAsia="en-AU"/>
              </w:rPr>
            </w:pPr>
            <w:r w:rsidRPr="002F4606">
              <w:rPr>
                <w:rFonts w:eastAsia="Times New Roman" w:cs="Arial"/>
                <w:sz w:val="20"/>
                <w:szCs w:val="20"/>
                <w:lang w:eastAsia="en-AU"/>
              </w:rPr>
              <w:t>2023</w:t>
            </w:r>
          </w:p>
        </w:tc>
        <w:tc>
          <w:tcPr>
            <w:tcW w:w="0" w:type="auto"/>
            <w:vAlign w:val="center"/>
          </w:tcPr>
          <w:p w:rsidR="00B740AD" w:rsidRPr="002F4606" w:rsidRDefault="00B740AD" w:rsidP="00B740AD">
            <w:pPr>
              <w:jc w:val="right"/>
              <w:rPr>
                <w:rFonts w:eastAsia="Calibri" w:cs="Arial"/>
                <w:i/>
                <w:color w:val="000000"/>
                <w:sz w:val="20"/>
                <w:szCs w:val="20"/>
              </w:rPr>
            </w:pPr>
            <w:r w:rsidRPr="002F4606">
              <w:rPr>
                <w:rFonts w:eastAsia="Calibri" w:cs="Arial"/>
                <w:i/>
                <w:color w:val="000000"/>
                <w:sz w:val="20"/>
                <w:szCs w:val="20"/>
              </w:rPr>
              <w:t>1,499</w:t>
            </w:r>
          </w:p>
        </w:tc>
        <w:tc>
          <w:tcPr>
            <w:tcW w:w="0" w:type="auto"/>
            <w:noWrap/>
            <w:vAlign w:val="center"/>
            <w:hideMark/>
          </w:tcPr>
          <w:p w:rsidR="00B740AD" w:rsidRPr="002F4606" w:rsidRDefault="00B740AD" w:rsidP="00B740AD">
            <w:pPr>
              <w:jc w:val="right"/>
              <w:rPr>
                <w:rFonts w:eastAsia="Calibri" w:cs="Arial"/>
                <w:color w:val="000000"/>
                <w:sz w:val="20"/>
                <w:szCs w:val="20"/>
              </w:rPr>
            </w:pPr>
            <w:r w:rsidRPr="002F4606">
              <w:rPr>
                <w:rFonts w:eastAsia="Calibri" w:cs="Arial"/>
                <w:color w:val="000000"/>
                <w:sz w:val="20"/>
                <w:szCs w:val="20"/>
              </w:rPr>
              <w:t xml:space="preserve">1,334 </w:t>
            </w:r>
          </w:p>
        </w:tc>
        <w:tc>
          <w:tcPr>
            <w:tcW w:w="0" w:type="auto"/>
            <w:noWrap/>
            <w:hideMark/>
          </w:tcPr>
          <w:p w:rsidR="00B740AD" w:rsidRPr="002F4606" w:rsidRDefault="00B740AD" w:rsidP="00B740AD">
            <w:pPr>
              <w:jc w:val="right"/>
              <w:rPr>
                <w:rFonts w:eastAsia="Times New Roman" w:cs="Arial"/>
                <w:bCs/>
                <w:i/>
                <w:color w:val="000000"/>
                <w:sz w:val="20"/>
                <w:szCs w:val="20"/>
                <w:lang w:eastAsia="en-AU"/>
              </w:rPr>
            </w:pPr>
            <w:r w:rsidRPr="002F4606">
              <w:rPr>
                <w:rFonts w:eastAsia="Times New Roman" w:cs="Arial"/>
                <w:bCs/>
                <w:i/>
                <w:color w:val="000000"/>
                <w:sz w:val="20"/>
                <w:szCs w:val="20"/>
                <w:lang w:eastAsia="en-AU"/>
              </w:rPr>
              <w:t xml:space="preserve">28 </w:t>
            </w:r>
          </w:p>
        </w:tc>
        <w:tc>
          <w:tcPr>
            <w:tcW w:w="0" w:type="auto"/>
            <w:tcBorders>
              <w:right w:val="single" w:sz="4" w:space="0" w:color="auto"/>
            </w:tcBorders>
            <w:noWrap/>
            <w:vAlign w:val="center"/>
            <w:hideMark/>
          </w:tcPr>
          <w:p w:rsidR="00B740AD" w:rsidRPr="002F4606" w:rsidRDefault="00B740AD" w:rsidP="00B740AD">
            <w:pPr>
              <w:jc w:val="right"/>
              <w:rPr>
                <w:rFonts w:eastAsia="Calibri" w:cs="Arial"/>
                <w:color w:val="000000"/>
                <w:sz w:val="20"/>
                <w:szCs w:val="20"/>
              </w:rPr>
            </w:pPr>
            <w:r w:rsidRPr="002F4606">
              <w:rPr>
                <w:rFonts w:eastAsia="Calibri" w:cs="Arial"/>
                <w:color w:val="000000"/>
                <w:sz w:val="20"/>
                <w:szCs w:val="20"/>
              </w:rPr>
              <w:t xml:space="preserve">25 </w:t>
            </w:r>
          </w:p>
        </w:tc>
      </w:tr>
      <w:tr w:rsidR="00B740AD" w:rsidRPr="002F4606" w:rsidTr="00B740AD">
        <w:trPr>
          <w:cnfStyle w:val="000000100000" w:firstRow="0" w:lastRow="0" w:firstColumn="0" w:lastColumn="0" w:oddVBand="0" w:evenVBand="0" w:oddHBand="1" w:evenHBand="0" w:firstRowFirstColumn="0" w:firstRowLastColumn="0" w:lastRowFirstColumn="0" w:lastRowLastColumn="0"/>
          <w:trHeight w:val="227"/>
        </w:trPr>
        <w:tc>
          <w:tcPr>
            <w:tcW w:w="0" w:type="auto"/>
            <w:tcBorders>
              <w:left w:val="single" w:sz="4" w:space="0" w:color="auto"/>
            </w:tcBorders>
            <w:noWrap/>
            <w:hideMark/>
          </w:tcPr>
          <w:p w:rsidR="00B740AD" w:rsidRPr="002F4606" w:rsidRDefault="00B740AD" w:rsidP="00B740AD">
            <w:pPr>
              <w:jc w:val="right"/>
              <w:rPr>
                <w:rFonts w:eastAsia="Times New Roman" w:cs="Arial"/>
                <w:sz w:val="20"/>
                <w:szCs w:val="20"/>
                <w:lang w:eastAsia="en-AU"/>
              </w:rPr>
            </w:pPr>
            <w:r w:rsidRPr="002F4606">
              <w:rPr>
                <w:rFonts w:eastAsia="Times New Roman" w:cs="Arial"/>
                <w:sz w:val="20"/>
                <w:szCs w:val="20"/>
                <w:lang w:eastAsia="en-AU"/>
              </w:rPr>
              <w:t>2024</w:t>
            </w:r>
          </w:p>
        </w:tc>
        <w:tc>
          <w:tcPr>
            <w:tcW w:w="0" w:type="auto"/>
            <w:vAlign w:val="center"/>
          </w:tcPr>
          <w:p w:rsidR="00B740AD" w:rsidRPr="002F4606" w:rsidRDefault="00B740AD" w:rsidP="00B740AD">
            <w:pPr>
              <w:jc w:val="right"/>
              <w:rPr>
                <w:rFonts w:eastAsia="Calibri" w:cs="Arial"/>
                <w:i/>
                <w:color w:val="000000"/>
                <w:sz w:val="20"/>
                <w:szCs w:val="20"/>
              </w:rPr>
            </w:pPr>
            <w:r w:rsidRPr="002F4606">
              <w:rPr>
                <w:rFonts w:eastAsia="Calibri" w:cs="Arial"/>
                <w:i/>
                <w:color w:val="000000"/>
                <w:sz w:val="20"/>
                <w:szCs w:val="20"/>
              </w:rPr>
              <w:t>1,539</w:t>
            </w:r>
          </w:p>
        </w:tc>
        <w:tc>
          <w:tcPr>
            <w:tcW w:w="0" w:type="auto"/>
            <w:noWrap/>
            <w:vAlign w:val="center"/>
            <w:hideMark/>
          </w:tcPr>
          <w:p w:rsidR="00B740AD" w:rsidRPr="002F4606" w:rsidRDefault="00B740AD" w:rsidP="00B740AD">
            <w:pPr>
              <w:jc w:val="right"/>
              <w:rPr>
                <w:rFonts w:eastAsia="Calibri" w:cs="Arial"/>
                <w:color w:val="000000"/>
                <w:sz w:val="20"/>
                <w:szCs w:val="20"/>
              </w:rPr>
            </w:pPr>
            <w:r w:rsidRPr="002F4606">
              <w:rPr>
                <w:rFonts w:eastAsia="Calibri" w:cs="Arial"/>
                <w:color w:val="000000"/>
                <w:sz w:val="20"/>
                <w:szCs w:val="20"/>
              </w:rPr>
              <w:t xml:space="preserve">1,369 </w:t>
            </w:r>
          </w:p>
        </w:tc>
        <w:tc>
          <w:tcPr>
            <w:tcW w:w="0" w:type="auto"/>
            <w:noWrap/>
            <w:hideMark/>
          </w:tcPr>
          <w:p w:rsidR="00B740AD" w:rsidRPr="002F4606" w:rsidRDefault="00B740AD" w:rsidP="00B740AD">
            <w:pPr>
              <w:jc w:val="right"/>
              <w:rPr>
                <w:rFonts w:eastAsia="Times New Roman" w:cs="Arial"/>
                <w:bCs/>
                <w:i/>
                <w:color w:val="000000"/>
                <w:sz w:val="20"/>
                <w:szCs w:val="20"/>
                <w:lang w:eastAsia="en-AU"/>
              </w:rPr>
            </w:pPr>
            <w:r w:rsidRPr="002F4606">
              <w:rPr>
                <w:rFonts w:eastAsia="Times New Roman" w:cs="Arial"/>
                <w:bCs/>
                <w:i/>
                <w:color w:val="000000"/>
                <w:sz w:val="20"/>
                <w:szCs w:val="20"/>
                <w:lang w:eastAsia="en-AU"/>
              </w:rPr>
              <w:t xml:space="preserve">28 </w:t>
            </w:r>
          </w:p>
        </w:tc>
        <w:tc>
          <w:tcPr>
            <w:tcW w:w="0" w:type="auto"/>
            <w:tcBorders>
              <w:right w:val="single" w:sz="4" w:space="0" w:color="auto"/>
            </w:tcBorders>
            <w:noWrap/>
            <w:vAlign w:val="center"/>
            <w:hideMark/>
          </w:tcPr>
          <w:p w:rsidR="00B740AD" w:rsidRPr="002F4606" w:rsidRDefault="00B740AD" w:rsidP="00B740AD">
            <w:pPr>
              <w:jc w:val="right"/>
              <w:rPr>
                <w:rFonts w:eastAsia="Calibri" w:cs="Arial"/>
                <w:color w:val="000000"/>
                <w:sz w:val="20"/>
                <w:szCs w:val="20"/>
              </w:rPr>
            </w:pPr>
            <w:r w:rsidRPr="002F4606">
              <w:rPr>
                <w:rFonts w:eastAsia="Calibri" w:cs="Arial"/>
                <w:color w:val="000000"/>
                <w:sz w:val="20"/>
                <w:szCs w:val="20"/>
              </w:rPr>
              <w:t xml:space="preserve">25 </w:t>
            </w:r>
          </w:p>
        </w:tc>
      </w:tr>
      <w:tr w:rsidR="00B740AD" w:rsidRPr="002F4606" w:rsidTr="00B85FC5">
        <w:trPr>
          <w:trHeight w:val="227"/>
        </w:trPr>
        <w:tc>
          <w:tcPr>
            <w:tcW w:w="0" w:type="auto"/>
            <w:tcBorders>
              <w:left w:val="single" w:sz="4" w:space="0" w:color="auto"/>
            </w:tcBorders>
            <w:noWrap/>
            <w:hideMark/>
          </w:tcPr>
          <w:p w:rsidR="00B740AD" w:rsidRPr="002F4606" w:rsidRDefault="00B740AD" w:rsidP="00B740AD">
            <w:pPr>
              <w:jc w:val="right"/>
              <w:rPr>
                <w:rFonts w:eastAsia="Times New Roman" w:cs="Arial"/>
                <w:sz w:val="20"/>
                <w:szCs w:val="20"/>
                <w:lang w:eastAsia="en-AU"/>
              </w:rPr>
            </w:pPr>
            <w:r w:rsidRPr="002F4606">
              <w:rPr>
                <w:rFonts w:eastAsia="Times New Roman" w:cs="Arial"/>
                <w:sz w:val="20"/>
                <w:szCs w:val="20"/>
                <w:lang w:eastAsia="en-AU"/>
              </w:rPr>
              <w:t>2025</w:t>
            </w:r>
          </w:p>
        </w:tc>
        <w:tc>
          <w:tcPr>
            <w:tcW w:w="0" w:type="auto"/>
            <w:vAlign w:val="center"/>
          </w:tcPr>
          <w:p w:rsidR="00B740AD" w:rsidRPr="002F4606" w:rsidRDefault="00B740AD" w:rsidP="00B740AD">
            <w:pPr>
              <w:jc w:val="right"/>
              <w:rPr>
                <w:rFonts w:eastAsia="Calibri" w:cs="Arial"/>
                <w:i/>
                <w:color w:val="000000"/>
                <w:sz w:val="20"/>
                <w:szCs w:val="20"/>
              </w:rPr>
            </w:pPr>
            <w:r w:rsidRPr="002F4606">
              <w:rPr>
                <w:rFonts w:eastAsia="Calibri" w:cs="Arial"/>
                <w:i/>
                <w:color w:val="000000"/>
                <w:sz w:val="20"/>
                <w:szCs w:val="20"/>
              </w:rPr>
              <w:t>1,579</w:t>
            </w:r>
          </w:p>
        </w:tc>
        <w:tc>
          <w:tcPr>
            <w:tcW w:w="0" w:type="auto"/>
            <w:noWrap/>
            <w:vAlign w:val="center"/>
            <w:hideMark/>
          </w:tcPr>
          <w:p w:rsidR="00B740AD" w:rsidRPr="002F4606" w:rsidRDefault="00B740AD" w:rsidP="00B740AD">
            <w:pPr>
              <w:jc w:val="right"/>
              <w:rPr>
                <w:rFonts w:eastAsia="Calibri" w:cs="Arial"/>
                <w:color w:val="000000"/>
                <w:sz w:val="20"/>
                <w:szCs w:val="20"/>
              </w:rPr>
            </w:pPr>
            <w:r w:rsidRPr="002F4606">
              <w:rPr>
                <w:rFonts w:eastAsia="Calibri" w:cs="Arial"/>
                <w:color w:val="000000"/>
                <w:sz w:val="20"/>
                <w:szCs w:val="20"/>
              </w:rPr>
              <w:t>1,405</w:t>
            </w:r>
          </w:p>
        </w:tc>
        <w:tc>
          <w:tcPr>
            <w:tcW w:w="0" w:type="auto"/>
            <w:noWrap/>
            <w:hideMark/>
          </w:tcPr>
          <w:p w:rsidR="00B740AD" w:rsidRPr="002F4606" w:rsidRDefault="00B740AD" w:rsidP="00B740AD">
            <w:pPr>
              <w:jc w:val="right"/>
              <w:rPr>
                <w:rFonts w:eastAsia="Times New Roman" w:cs="Arial"/>
                <w:bCs/>
                <w:i/>
                <w:color w:val="000000"/>
                <w:sz w:val="20"/>
                <w:szCs w:val="20"/>
                <w:lang w:eastAsia="en-AU"/>
              </w:rPr>
            </w:pPr>
            <w:r w:rsidRPr="002F4606">
              <w:rPr>
                <w:rFonts w:eastAsia="Times New Roman" w:cs="Arial"/>
                <w:bCs/>
                <w:i/>
                <w:color w:val="000000"/>
                <w:sz w:val="20"/>
                <w:szCs w:val="20"/>
                <w:lang w:eastAsia="en-AU"/>
              </w:rPr>
              <w:t xml:space="preserve">28 </w:t>
            </w:r>
          </w:p>
        </w:tc>
        <w:tc>
          <w:tcPr>
            <w:tcW w:w="0" w:type="auto"/>
            <w:tcBorders>
              <w:right w:val="single" w:sz="4" w:space="0" w:color="auto"/>
            </w:tcBorders>
            <w:noWrap/>
            <w:vAlign w:val="center"/>
            <w:hideMark/>
          </w:tcPr>
          <w:p w:rsidR="00B740AD" w:rsidRPr="002F4606" w:rsidRDefault="00B740AD" w:rsidP="00B740AD">
            <w:pPr>
              <w:jc w:val="right"/>
              <w:rPr>
                <w:rFonts w:eastAsia="Calibri" w:cs="Arial"/>
                <w:color w:val="000000"/>
                <w:sz w:val="20"/>
                <w:szCs w:val="20"/>
              </w:rPr>
            </w:pPr>
            <w:r w:rsidRPr="002F4606">
              <w:rPr>
                <w:rFonts w:eastAsia="Calibri" w:cs="Arial"/>
                <w:color w:val="000000"/>
                <w:sz w:val="20"/>
                <w:szCs w:val="20"/>
              </w:rPr>
              <w:t>25</w:t>
            </w:r>
          </w:p>
        </w:tc>
      </w:tr>
      <w:tr w:rsidR="00B740AD" w:rsidRPr="002F4606" w:rsidTr="00B740AD">
        <w:trPr>
          <w:cnfStyle w:val="000000100000" w:firstRow="0" w:lastRow="0" w:firstColumn="0" w:lastColumn="0" w:oddVBand="0" w:evenVBand="0" w:oddHBand="1" w:evenHBand="0" w:firstRowFirstColumn="0" w:firstRowLastColumn="0" w:lastRowFirstColumn="0" w:lastRowLastColumn="0"/>
          <w:trHeight w:val="227"/>
        </w:trPr>
        <w:tc>
          <w:tcPr>
            <w:tcW w:w="0" w:type="auto"/>
            <w:tcBorders>
              <w:left w:val="single" w:sz="4" w:space="0" w:color="auto"/>
            </w:tcBorders>
            <w:noWrap/>
            <w:hideMark/>
          </w:tcPr>
          <w:p w:rsidR="00B740AD" w:rsidRPr="002F4606" w:rsidRDefault="00B740AD" w:rsidP="00B740AD">
            <w:pPr>
              <w:jc w:val="right"/>
              <w:rPr>
                <w:rFonts w:eastAsia="Times New Roman" w:cs="Arial"/>
                <w:sz w:val="20"/>
                <w:szCs w:val="20"/>
                <w:lang w:eastAsia="en-AU"/>
              </w:rPr>
            </w:pPr>
            <w:r w:rsidRPr="002F4606">
              <w:rPr>
                <w:rFonts w:eastAsia="Times New Roman" w:cs="Arial"/>
                <w:sz w:val="20"/>
                <w:szCs w:val="20"/>
                <w:lang w:eastAsia="en-AU"/>
              </w:rPr>
              <w:t>2026</w:t>
            </w:r>
          </w:p>
        </w:tc>
        <w:tc>
          <w:tcPr>
            <w:tcW w:w="0" w:type="auto"/>
            <w:vAlign w:val="center"/>
          </w:tcPr>
          <w:p w:rsidR="00B740AD" w:rsidRPr="002F4606" w:rsidRDefault="00B740AD" w:rsidP="00B740AD">
            <w:pPr>
              <w:jc w:val="right"/>
              <w:rPr>
                <w:rFonts w:eastAsia="Calibri" w:cs="Arial"/>
                <w:i/>
                <w:color w:val="000000"/>
                <w:sz w:val="20"/>
                <w:szCs w:val="20"/>
              </w:rPr>
            </w:pPr>
            <w:r w:rsidRPr="002F4606">
              <w:rPr>
                <w:rFonts w:eastAsia="Calibri" w:cs="Arial"/>
                <w:i/>
                <w:color w:val="000000"/>
                <w:sz w:val="20"/>
                <w:szCs w:val="20"/>
              </w:rPr>
              <w:t>1,620</w:t>
            </w:r>
          </w:p>
        </w:tc>
        <w:tc>
          <w:tcPr>
            <w:tcW w:w="0" w:type="auto"/>
            <w:noWrap/>
            <w:vAlign w:val="center"/>
            <w:hideMark/>
          </w:tcPr>
          <w:p w:rsidR="00B740AD" w:rsidRPr="002F4606" w:rsidRDefault="00B740AD" w:rsidP="00B740AD">
            <w:pPr>
              <w:jc w:val="right"/>
              <w:rPr>
                <w:rFonts w:eastAsia="Calibri" w:cs="Arial"/>
                <w:color w:val="000000"/>
                <w:sz w:val="20"/>
                <w:szCs w:val="20"/>
              </w:rPr>
            </w:pPr>
            <w:r w:rsidRPr="002F4606">
              <w:rPr>
                <w:rFonts w:eastAsia="Calibri" w:cs="Arial"/>
                <w:color w:val="000000"/>
                <w:sz w:val="20"/>
                <w:szCs w:val="20"/>
              </w:rPr>
              <w:t>1,442</w:t>
            </w:r>
          </w:p>
        </w:tc>
        <w:tc>
          <w:tcPr>
            <w:tcW w:w="0" w:type="auto"/>
            <w:noWrap/>
            <w:hideMark/>
          </w:tcPr>
          <w:p w:rsidR="00B740AD" w:rsidRPr="002F4606" w:rsidRDefault="00B740AD" w:rsidP="00B740AD">
            <w:pPr>
              <w:jc w:val="right"/>
              <w:rPr>
                <w:rFonts w:eastAsia="Times New Roman" w:cs="Arial"/>
                <w:bCs/>
                <w:i/>
                <w:color w:val="000000"/>
                <w:sz w:val="20"/>
                <w:szCs w:val="20"/>
                <w:lang w:eastAsia="en-AU"/>
              </w:rPr>
            </w:pPr>
            <w:r w:rsidRPr="002F4606">
              <w:rPr>
                <w:rFonts w:eastAsia="Times New Roman" w:cs="Arial"/>
                <w:bCs/>
                <w:i/>
                <w:color w:val="000000"/>
                <w:sz w:val="20"/>
                <w:szCs w:val="20"/>
                <w:lang w:eastAsia="en-AU"/>
              </w:rPr>
              <w:t xml:space="preserve">28 </w:t>
            </w:r>
          </w:p>
        </w:tc>
        <w:tc>
          <w:tcPr>
            <w:tcW w:w="0" w:type="auto"/>
            <w:tcBorders>
              <w:right w:val="single" w:sz="4" w:space="0" w:color="auto"/>
            </w:tcBorders>
            <w:noWrap/>
            <w:vAlign w:val="center"/>
            <w:hideMark/>
          </w:tcPr>
          <w:p w:rsidR="00B740AD" w:rsidRPr="002F4606" w:rsidRDefault="00B740AD" w:rsidP="00B740AD">
            <w:pPr>
              <w:jc w:val="right"/>
              <w:rPr>
                <w:rFonts w:eastAsia="Calibri" w:cs="Arial"/>
                <w:color w:val="000000"/>
                <w:sz w:val="20"/>
                <w:szCs w:val="20"/>
              </w:rPr>
            </w:pPr>
            <w:r w:rsidRPr="002F4606">
              <w:rPr>
                <w:rFonts w:eastAsia="Calibri" w:cs="Arial"/>
                <w:color w:val="000000"/>
                <w:sz w:val="20"/>
                <w:szCs w:val="20"/>
              </w:rPr>
              <w:t>25</w:t>
            </w:r>
          </w:p>
        </w:tc>
      </w:tr>
      <w:tr w:rsidR="00B740AD" w:rsidRPr="002F4606" w:rsidTr="00B85FC5">
        <w:trPr>
          <w:trHeight w:val="227"/>
        </w:trPr>
        <w:tc>
          <w:tcPr>
            <w:tcW w:w="0" w:type="auto"/>
            <w:tcBorders>
              <w:left w:val="single" w:sz="4" w:space="0" w:color="auto"/>
            </w:tcBorders>
            <w:noWrap/>
            <w:hideMark/>
          </w:tcPr>
          <w:p w:rsidR="00B740AD" w:rsidRPr="002F4606" w:rsidRDefault="00B740AD" w:rsidP="00B740AD">
            <w:pPr>
              <w:jc w:val="right"/>
              <w:rPr>
                <w:rFonts w:eastAsia="Times New Roman" w:cs="Arial"/>
                <w:sz w:val="20"/>
                <w:szCs w:val="20"/>
                <w:lang w:eastAsia="en-AU"/>
              </w:rPr>
            </w:pPr>
            <w:r w:rsidRPr="002F4606">
              <w:rPr>
                <w:rFonts w:eastAsia="Times New Roman" w:cs="Arial"/>
                <w:sz w:val="20"/>
                <w:szCs w:val="20"/>
                <w:lang w:eastAsia="en-AU"/>
              </w:rPr>
              <w:t>2027</w:t>
            </w:r>
          </w:p>
        </w:tc>
        <w:tc>
          <w:tcPr>
            <w:tcW w:w="0" w:type="auto"/>
            <w:vAlign w:val="center"/>
          </w:tcPr>
          <w:p w:rsidR="00B740AD" w:rsidRPr="002F4606" w:rsidRDefault="00B740AD" w:rsidP="00B740AD">
            <w:pPr>
              <w:jc w:val="right"/>
              <w:rPr>
                <w:rFonts w:eastAsia="Calibri" w:cs="Arial"/>
                <w:i/>
                <w:color w:val="000000"/>
                <w:sz w:val="20"/>
                <w:szCs w:val="20"/>
              </w:rPr>
            </w:pPr>
            <w:r w:rsidRPr="002F4606">
              <w:rPr>
                <w:rFonts w:eastAsia="Calibri" w:cs="Arial"/>
                <w:i/>
                <w:color w:val="000000"/>
                <w:sz w:val="20"/>
                <w:szCs w:val="20"/>
              </w:rPr>
              <w:t>1,663</w:t>
            </w:r>
          </w:p>
        </w:tc>
        <w:tc>
          <w:tcPr>
            <w:tcW w:w="0" w:type="auto"/>
            <w:noWrap/>
            <w:vAlign w:val="center"/>
            <w:hideMark/>
          </w:tcPr>
          <w:p w:rsidR="00B740AD" w:rsidRPr="002F4606" w:rsidRDefault="00B740AD" w:rsidP="00B740AD">
            <w:pPr>
              <w:jc w:val="right"/>
              <w:rPr>
                <w:rFonts w:eastAsia="Calibri" w:cs="Arial"/>
                <w:color w:val="000000"/>
                <w:sz w:val="20"/>
                <w:szCs w:val="20"/>
              </w:rPr>
            </w:pPr>
            <w:r w:rsidRPr="002F4606">
              <w:rPr>
                <w:rFonts w:eastAsia="Calibri" w:cs="Arial"/>
                <w:color w:val="000000"/>
                <w:sz w:val="20"/>
                <w:szCs w:val="20"/>
              </w:rPr>
              <w:t>1,480</w:t>
            </w:r>
          </w:p>
        </w:tc>
        <w:tc>
          <w:tcPr>
            <w:tcW w:w="0" w:type="auto"/>
            <w:noWrap/>
            <w:hideMark/>
          </w:tcPr>
          <w:p w:rsidR="00B740AD" w:rsidRPr="002F4606" w:rsidRDefault="00B740AD" w:rsidP="00B740AD">
            <w:pPr>
              <w:jc w:val="right"/>
              <w:rPr>
                <w:rFonts w:eastAsia="Times New Roman" w:cs="Arial"/>
                <w:bCs/>
                <w:i/>
                <w:color w:val="000000"/>
                <w:sz w:val="20"/>
                <w:szCs w:val="20"/>
                <w:lang w:eastAsia="en-AU"/>
              </w:rPr>
            </w:pPr>
            <w:r w:rsidRPr="002F4606">
              <w:rPr>
                <w:rFonts w:eastAsia="Times New Roman" w:cs="Arial"/>
                <w:bCs/>
                <w:i/>
                <w:color w:val="000000"/>
                <w:sz w:val="20"/>
                <w:szCs w:val="20"/>
                <w:lang w:eastAsia="en-AU"/>
              </w:rPr>
              <w:t xml:space="preserve">28 </w:t>
            </w:r>
          </w:p>
        </w:tc>
        <w:tc>
          <w:tcPr>
            <w:tcW w:w="0" w:type="auto"/>
            <w:tcBorders>
              <w:right w:val="single" w:sz="4" w:space="0" w:color="auto"/>
            </w:tcBorders>
            <w:noWrap/>
            <w:vAlign w:val="center"/>
            <w:hideMark/>
          </w:tcPr>
          <w:p w:rsidR="00B740AD" w:rsidRPr="002F4606" w:rsidRDefault="00B740AD" w:rsidP="00B740AD">
            <w:pPr>
              <w:jc w:val="right"/>
              <w:rPr>
                <w:rFonts w:eastAsia="Calibri" w:cs="Arial"/>
                <w:color w:val="000000"/>
                <w:sz w:val="20"/>
                <w:szCs w:val="20"/>
              </w:rPr>
            </w:pPr>
            <w:r w:rsidRPr="002F4606">
              <w:rPr>
                <w:rFonts w:eastAsia="Calibri" w:cs="Arial"/>
                <w:color w:val="000000"/>
                <w:sz w:val="20"/>
                <w:szCs w:val="20"/>
              </w:rPr>
              <w:t>25</w:t>
            </w:r>
          </w:p>
        </w:tc>
      </w:tr>
      <w:tr w:rsidR="00B740AD" w:rsidRPr="002F4606" w:rsidTr="00B740AD">
        <w:trPr>
          <w:cnfStyle w:val="000000100000" w:firstRow="0" w:lastRow="0" w:firstColumn="0" w:lastColumn="0" w:oddVBand="0" w:evenVBand="0" w:oddHBand="1" w:evenHBand="0" w:firstRowFirstColumn="0" w:firstRowLastColumn="0" w:lastRowFirstColumn="0" w:lastRowLastColumn="0"/>
          <w:trHeight w:val="227"/>
        </w:trPr>
        <w:tc>
          <w:tcPr>
            <w:tcW w:w="0" w:type="auto"/>
            <w:tcBorders>
              <w:left w:val="single" w:sz="4" w:space="0" w:color="auto"/>
            </w:tcBorders>
            <w:noWrap/>
            <w:hideMark/>
          </w:tcPr>
          <w:p w:rsidR="00B740AD" w:rsidRPr="002F4606" w:rsidRDefault="00B740AD" w:rsidP="00B740AD">
            <w:pPr>
              <w:jc w:val="right"/>
              <w:rPr>
                <w:rFonts w:eastAsia="Times New Roman" w:cs="Arial"/>
                <w:sz w:val="20"/>
                <w:szCs w:val="20"/>
                <w:lang w:eastAsia="en-AU"/>
              </w:rPr>
            </w:pPr>
            <w:r w:rsidRPr="002F4606">
              <w:rPr>
                <w:rFonts w:eastAsia="Times New Roman" w:cs="Arial"/>
                <w:sz w:val="20"/>
                <w:szCs w:val="20"/>
                <w:lang w:eastAsia="en-AU"/>
              </w:rPr>
              <w:t>2028</w:t>
            </w:r>
          </w:p>
        </w:tc>
        <w:tc>
          <w:tcPr>
            <w:tcW w:w="0" w:type="auto"/>
            <w:vAlign w:val="center"/>
          </w:tcPr>
          <w:p w:rsidR="00B740AD" w:rsidRPr="002F4606" w:rsidRDefault="00B740AD" w:rsidP="00B740AD">
            <w:pPr>
              <w:jc w:val="right"/>
              <w:rPr>
                <w:rFonts w:eastAsia="Calibri" w:cs="Arial"/>
                <w:i/>
                <w:color w:val="000000"/>
                <w:sz w:val="20"/>
                <w:szCs w:val="20"/>
              </w:rPr>
            </w:pPr>
            <w:r w:rsidRPr="002F4606">
              <w:rPr>
                <w:rFonts w:eastAsia="Calibri" w:cs="Arial"/>
                <w:i/>
                <w:color w:val="000000"/>
                <w:sz w:val="20"/>
                <w:szCs w:val="20"/>
              </w:rPr>
              <w:t>1,707</w:t>
            </w:r>
          </w:p>
        </w:tc>
        <w:tc>
          <w:tcPr>
            <w:tcW w:w="0" w:type="auto"/>
            <w:noWrap/>
            <w:vAlign w:val="center"/>
            <w:hideMark/>
          </w:tcPr>
          <w:p w:rsidR="00B740AD" w:rsidRPr="002F4606" w:rsidRDefault="00B740AD" w:rsidP="00B740AD">
            <w:pPr>
              <w:jc w:val="right"/>
              <w:rPr>
                <w:rFonts w:eastAsia="Calibri" w:cs="Arial"/>
                <w:color w:val="000000"/>
                <w:sz w:val="20"/>
                <w:szCs w:val="20"/>
              </w:rPr>
            </w:pPr>
            <w:r w:rsidRPr="002F4606">
              <w:rPr>
                <w:rFonts w:eastAsia="Calibri" w:cs="Arial"/>
                <w:color w:val="000000"/>
                <w:sz w:val="20"/>
                <w:szCs w:val="20"/>
              </w:rPr>
              <w:t>1,519</w:t>
            </w:r>
          </w:p>
        </w:tc>
        <w:tc>
          <w:tcPr>
            <w:tcW w:w="0" w:type="auto"/>
            <w:noWrap/>
            <w:hideMark/>
          </w:tcPr>
          <w:p w:rsidR="00B740AD" w:rsidRPr="002F4606" w:rsidRDefault="00B740AD" w:rsidP="00B740AD">
            <w:pPr>
              <w:jc w:val="right"/>
              <w:rPr>
                <w:rFonts w:eastAsia="Times New Roman" w:cs="Arial"/>
                <w:bCs/>
                <w:i/>
                <w:color w:val="000000"/>
                <w:sz w:val="20"/>
                <w:szCs w:val="20"/>
                <w:lang w:eastAsia="en-AU"/>
              </w:rPr>
            </w:pPr>
            <w:r w:rsidRPr="002F4606">
              <w:rPr>
                <w:rFonts w:eastAsia="Times New Roman" w:cs="Arial"/>
                <w:bCs/>
                <w:i/>
                <w:color w:val="000000"/>
                <w:sz w:val="20"/>
                <w:szCs w:val="20"/>
                <w:lang w:eastAsia="en-AU"/>
              </w:rPr>
              <w:t xml:space="preserve">28 </w:t>
            </w:r>
          </w:p>
        </w:tc>
        <w:tc>
          <w:tcPr>
            <w:tcW w:w="0" w:type="auto"/>
            <w:tcBorders>
              <w:right w:val="single" w:sz="4" w:space="0" w:color="auto"/>
            </w:tcBorders>
            <w:noWrap/>
            <w:vAlign w:val="center"/>
            <w:hideMark/>
          </w:tcPr>
          <w:p w:rsidR="00B740AD" w:rsidRPr="002F4606" w:rsidRDefault="00B740AD" w:rsidP="00B740AD">
            <w:pPr>
              <w:jc w:val="right"/>
              <w:rPr>
                <w:rFonts w:eastAsia="Calibri" w:cs="Arial"/>
                <w:color w:val="000000"/>
                <w:sz w:val="20"/>
                <w:szCs w:val="20"/>
              </w:rPr>
            </w:pPr>
            <w:r w:rsidRPr="002F4606">
              <w:rPr>
                <w:rFonts w:eastAsia="Calibri" w:cs="Arial"/>
                <w:color w:val="000000"/>
                <w:sz w:val="20"/>
                <w:szCs w:val="20"/>
              </w:rPr>
              <w:t>25</w:t>
            </w:r>
          </w:p>
        </w:tc>
      </w:tr>
      <w:tr w:rsidR="00B740AD" w:rsidRPr="002F4606" w:rsidTr="00B85FC5">
        <w:trPr>
          <w:trHeight w:val="227"/>
        </w:trPr>
        <w:tc>
          <w:tcPr>
            <w:tcW w:w="0" w:type="auto"/>
            <w:tcBorders>
              <w:left w:val="single" w:sz="4" w:space="0" w:color="auto"/>
            </w:tcBorders>
            <w:noWrap/>
            <w:hideMark/>
          </w:tcPr>
          <w:p w:rsidR="00B740AD" w:rsidRPr="002F4606" w:rsidRDefault="00B740AD" w:rsidP="00B740AD">
            <w:pPr>
              <w:jc w:val="right"/>
              <w:rPr>
                <w:rFonts w:eastAsia="Times New Roman" w:cs="Arial"/>
                <w:sz w:val="20"/>
                <w:szCs w:val="20"/>
                <w:lang w:eastAsia="en-AU"/>
              </w:rPr>
            </w:pPr>
            <w:r w:rsidRPr="002F4606">
              <w:rPr>
                <w:rFonts w:eastAsia="Times New Roman" w:cs="Arial"/>
                <w:sz w:val="20"/>
                <w:szCs w:val="20"/>
                <w:lang w:eastAsia="en-AU"/>
              </w:rPr>
              <w:t>2029</w:t>
            </w:r>
          </w:p>
        </w:tc>
        <w:tc>
          <w:tcPr>
            <w:tcW w:w="0" w:type="auto"/>
            <w:vAlign w:val="center"/>
          </w:tcPr>
          <w:p w:rsidR="00B740AD" w:rsidRPr="002F4606" w:rsidRDefault="00B740AD" w:rsidP="00B740AD">
            <w:pPr>
              <w:jc w:val="right"/>
              <w:rPr>
                <w:rFonts w:eastAsia="Calibri" w:cs="Arial"/>
                <w:i/>
                <w:color w:val="000000"/>
                <w:sz w:val="20"/>
                <w:szCs w:val="20"/>
              </w:rPr>
            </w:pPr>
            <w:r w:rsidRPr="002F4606">
              <w:rPr>
                <w:rFonts w:eastAsia="Calibri" w:cs="Arial"/>
                <w:i/>
                <w:color w:val="000000"/>
                <w:sz w:val="20"/>
                <w:szCs w:val="20"/>
              </w:rPr>
              <w:t>1,751</w:t>
            </w:r>
          </w:p>
        </w:tc>
        <w:tc>
          <w:tcPr>
            <w:tcW w:w="0" w:type="auto"/>
            <w:noWrap/>
            <w:vAlign w:val="center"/>
            <w:hideMark/>
          </w:tcPr>
          <w:p w:rsidR="00B740AD" w:rsidRPr="002F4606" w:rsidRDefault="00B740AD" w:rsidP="00B740AD">
            <w:pPr>
              <w:jc w:val="right"/>
              <w:rPr>
                <w:rFonts w:eastAsia="Calibri" w:cs="Arial"/>
                <w:color w:val="000000"/>
                <w:sz w:val="20"/>
                <w:szCs w:val="20"/>
              </w:rPr>
            </w:pPr>
            <w:r w:rsidRPr="002F4606">
              <w:rPr>
                <w:rFonts w:eastAsia="Calibri" w:cs="Arial"/>
                <w:color w:val="000000"/>
                <w:sz w:val="20"/>
                <w:szCs w:val="20"/>
              </w:rPr>
              <w:t>1,559</w:t>
            </w:r>
          </w:p>
        </w:tc>
        <w:tc>
          <w:tcPr>
            <w:tcW w:w="0" w:type="auto"/>
            <w:noWrap/>
            <w:hideMark/>
          </w:tcPr>
          <w:p w:rsidR="00B740AD" w:rsidRPr="002F4606" w:rsidRDefault="00B740AD" w:rsidP="00B740AD">
            <w:pPr>
              <w:jc w:val="right"/>
              <w:rPr>
                <w:rFonts w:eastAsia="Times New Roman" w:cs="Arial"/>
                <w:bCs/>
                <w:i/>
                <w:color w:val="000000"/>
                <w:sz w:val="20"/>
                <w:szCs w:val="20"/>
                <w:lang w:eastAsia="en-AU"/>
              </w:rPr>
            </w:pPr>
            <w:r w:rsidRPr="002F4606">
              <w:rPr>
                <w:rFonts w:eastAsia="Times New Roman" w:cs="Arial"/>
                <w:bCs/>
                <w:i/>
                <w:color w:val="000000"/>
                <w:sz w:val="20"/>
                <w:szCs w:val="20"/>
                <w:lang w:eastAsia="en-AU"/>
              </w:rPr>
              <w:t xml:space="preserve">28 </w:t>
            </w:r>
          </w:p>
        </w:tc>
        <w:tc>
          <w:tcPr>
            <w:tcW w:w="0" w:type="auto"/>
            <w:tcBorders>
              <w:right w:val="single" w:sz="4" w:space="0" w:color="auto"/>
            </w:tcBorders>
            <w:noWrap/>
            <w:vAlign w:val="center"/>
            <w:hideMark/>
          </w:tcPr>
          <w:p w:rsidR="00B740AD" w:rsidRPr="002F4606" w:rsidRDefault="00B740AD" w:rsidP="00B740AD">
            <w:pPr>
              <w:jc w:val="right"/>
              <w:rPr>
                <w:rFonts w:eastAsia="Calibri" w:cs="Arial"/>
                <w:color w:val="000000"/>
                <w:sz w:val="20"/>
                <w:szCs w:val="20"/>
              </w:rPr>
            </w:pPr>
            <w:r w:rsidRPr="002F4606">
              <w:rPr>
                <w:rFonts w:eastAsia="Calibri" w:cs="Arial"/>
                <w:color w:val="000000"/>
                <w:sz w:val="20"/>
                <w:szCs w:val="20"/>
              </w:rPr>
              <w:t>25</w:t>
            </w:r>
          </w:p>
        </w:tc>
      </w:tr>
      <w:tr w:rsidR="00B740AD" w:rsidRPr="002F4606" w:rsidTr="00B740AD">
        <w:trPr>
          <w:cnfStyle w:val="000000100000" w:firstRow="0" w:lastRow="0" w:firstColumn="0" w:lastColumn="0" w:oddVBand="0" w:evenVBand="0" w:oddHBand="1" w:evenHBand="0" w:firstRowFirstColumn="0" w:firstRowLastColumn="0" w:lastRowFirstColumn="0" w:lastRowLastColumn="0"/>
          <w:trHeight w:val="227"/>
        </w:trPr>
        <w:tc>
          <w:tcPr>
            <w:tcW w:w="0" w:type="auto"/>
            <w:tcBorders>
              <w:left w:val="single" w:sz="4" w:space="0" w:color="auto"/>
              <w:bottom w:val="single" w:sz="4" w:space="0" w:color="auto"/>
            </w:tcBorders>
            <w:noWrap/>
            <w:hideMark/>
          </w:tcPr>
          <w:p w:rsidR="00B740AD" w:rsidRPr="002F4606" w:rsidRDefault="00B740AD" w:rsidP="00B740AD">
            <w:pPr>
              <w:jc w:val="right"/>
              <w:rPr>
                <w:rFonts w:eastAsia="Times New Roman" w:cs="Arial"/>
                <w:sz w:val="20"/>
                <w:szCs w:val="20"/>
                <w:lang w:eastAsia="en-AU"/>
              </w:rPr>
            </w:pPr>
            <w:r w:rsidRPr="002F4606">
              <w:rPr>
                <w:rFonts w:eastAsia="Times New Roman" w:cs="Arial"/>
                <w:sz w:val="20"/>
                <w:szCs w:val="20"/>
                <w:lang w:eastAsia="en-AU"/>
              </w:rPr>
              <w:t>2030</w:t>
            </w:r>
          </w:p>
        </w:tc>
        <w:tc>
          <w:tcPr>
            <w:tcW w:w="0" w:type="auto"/>
            <w:tcBorders>
              <w:bottom w:val="single" w:sz="4" w:space="0" w:color="auto"/>
            </w:tcBorders>
            <w:vAlign w:val="center"/>
          </w:tcPr>
          <w:p w:rsidR="00B740AD" w:rsidRPr="002F4606" w:rsidRDefault="00B740AD" w:rsidP="00B740AD">
            <w:pPr>
              <w:jc w:val="right"/>
              <w:rPr>
                <w:rFonts w:eastAsia="Calibri" w:cs="Arial"/>
                <w:i/>
                <w:color w:val="000000"/>
                <w:sz w:val="20"/>
                <w:szCs w:val="20"/>
              </w:rPr>
            </w:pPr>
            <w:r w:rsidRPr="002F4606">
              <w:rPr>
                <w:rFonts w:eastAsia="Calibri" w:cs="Arial"/>
                <w:i/>
                <w:color w:val="000000"/>
                <w:sz w:val="20"/>
                <w:szCs w:val="20"/>
              </w:rPr>
              <w:t>1,797</w:t>
            </w:r>
          </w:p>
        </w:tc>
        <w:tc>
          <w:tcPr>
            <w:tcW w:w="0" w:type="auto"/>
            <w:tcBorders>
              <w:bottom w:val="single" w:sz="4" w:space="0" w:color="auto"/>
            </w:tcBorders>
            <w:noWrap/>
            <w:vAlign w:val="center"/>
            <w:hideMark/>
          </w:tcPr>
          <w:p w:rsidR="00B740AD" w:rsidRPr="002F4606" w:rsidRDefault="00B740AD" w:rsidP="00B740AD">
            <w:pPr>
              <w:jc w:val="right"/>
              <w:rPr>
                <w:rFonts w:eastAsia="Calibri" w:cs="Arial"/>
                <w:color w:val="000000"/>
                <w:sz w:val="20"/>
                <w:szCs w:val="20"/>
              </w:rPr>
            </w:pPr>
            <w:r w:rsidRPr="002F4606">
              <w:rPr>
                <w:rFonts w:eastAsia="Calibri" w:cs="Arial"/>
                <w:color w:val="000000"/>
                <w:sz w:val="20"/>
                <w:szCs w:val="20"/>
              </w:rPr>
              <w:t>1,600</w:t>
            </w:r>
          </w:p>
        </w:tc>
        <w:tc>
          <w:tcPr>
            <w:tcW w:w="0" w:type="auto"/>
            <w:tcBorders>
              <w:bottom w:val="single" w:sz="4" w:space="0" w:color="auto"/>
            </w:tcBorders>
            <w:noWrap/>
            <w:hideMark/>
          </w:tcPr>
          <w:p w:rsidR="00B740AD" w:rsidRPr="002F4606" w:rsidRDefault="00B740AD" w:rsidP="00B740AD">
            <w:pPr>
              <w:jc w:val="right"/>
              <w:rPr>
                <w:rFonts w:eastAsia="Times New Roman" w:cs="Arial"/>
                <w:bCs/>
                <w:i/>
                <w:color w:val="000000"/>
                <w:sz w:val="20"/>
                <w:szCs w:val="20"/>
                <w:lang w:eastAsia="en-AU"/>
              </w:rPr>
            </w:pPr>
            <w:r w:rsidRPr="002F4606">
              <w:rPr>
                <w:rFonts w:eastAsia="Times New Roman" w:cs="Arial"/>
                <w:bCs/>
                <w:i/>
                <w:color w:val="000000"/>
                <w:sz w:val="20"/>
                <w:szCs w:val="20"/>
                <w:lang w:eastAsia="en-AU"/>
              </w:rPr>
              <w:t xml:space="preserve">28 </w:t>
            </w:r>
          </w:p>
        </w:tc>
        <w:tc>
          <w:tcPr>
            <w:tcW w:w="0" w:type="auto"/>
            <w:tcBorders>
              <w:bottom w:val="single" w:sz="4" w:space="0" w:color="auto"/>
              <w:right w:val="single" w:sz="4" w:space="0" w:color="auto"/>
            </w:tcBorders>
            <w:noWrap/>
            <w:vAlign w:val="center"/>
            <w:hideMark/>
          </w:tcPr>
          <w:p w:rsidR="00B740AD" w:rsidRPr="002F4606" w:rsidRDefault="00B740AD" w:rsidP="00B740AD">
            <w:pPr>
              <w:jc w:val="right"/>
              <w:rPr>
                <w:rFonts w:eastAsia="Calibri" w:cs="Arial"/>
                <w:color w:val="000000"/>
                <w:sz w:val="20"/>
                <w:szCs w:val="20"/>
              </w:rPr>
            </w:pPr>
            <w:r w:rsidRPr="002F4606">
              <w:rPr>
                <w:rFonts w:eastAsia="Calibri" w:cs="Arial"/>
                <w:color w:val="000000"/>
                <w:sz w:val="20"/>
                <w:szCs w:val="20"/>
              </w:rPr>
              <w:t>25</w:t>
            </w:r>
          </w:p>
        </w:tc>
      </w:tr>
    </w:tbl>
    <w:p w:rsidR="00B740AD" w:rsidRPr="00C3213B" w:rsidRDefault="00B740AD" w:rsidP="00E85564">
      <w:pPr>
        <w:pStyle w:val="Heading2"/>
      </w:pPr>
      <w:bookmarkStart w:id="113" w:name="_Toc10808400"/>
      <w:r w:rsidRPr="00C3213B">
        <w:t>Exits</w:t>
      </w:r>
      <w:bookmarkEnd w:id="113"/>
      <w:r w:rsidRPr="00C3213B">
        <w:t xml:space="preserve"> </w:t>
      </w:r>
    </w:p>
    <w:p w:rsidR="00B740AD" w:rsidRPr="00826C99" w:rsidRDefault="00B740AD" w:rsidP="008914CB">
      <w:pPr>
        <w:spacing w:before="120" w:after="120" w:line="240" w:lineRule="auto"/>
        <w:jc w:val="both"/>
        <w:rPr>
          <w:rFonts w:eastAsia="Calibri" w:cs="Arial"/>
          <w:szCs w:val="22"/>
          <w:lang w:eastAsia="x-none"/>
        </w:rPr>
      </w:pPr>
      <w:r w:rsidRPr="00826C99">
        <w:rPr>
          <w:rFonts w:eastAsia="Calibri" w:cs="Arial"/>
          <w:szCs w:val="22"/>
          <w:lang w:eastAsia="x-none"/>
        </w:rPr>
        <w:t xml:space="preserve">Estimates of exits are based on the number of permanent departures (retirements, resignations, deaths and migration) and semi-permanent departures (absences from the workforce on a medium to long term basis, including leave without pay and maternity leave) from national registrations. </w:t>
      </w:r>
    </w:p>
    <w:p w:rsidR="00B740AD" w:rsidRPr="00826C99" w:rsidRDefault="00B740AD" w:rsidP="008914CB">
      <w:pPr>
        <w:spacing w:before="120" w:after="120" w:line="240" w:lineRule="auto"/>
        <w:jc w:val="both"/>
        <w:rPr>
          <w:rFonts w:eastAsia="Calibri" w:cs="Arial"/>
          <w:szCs w:val="22"/>
          <w:lang w:eastAsia="x-none"/>
        </w:rPr>
      </w:pPr>
      <w:r w:rsidRPr="00826C99">
        <w:rPr>
          <w:rFonts w:eastAsia="Calibri" w:cs="Arial"/>
          <w:szCs w:val="22"/>
          <w:lang w:eastAsia="x-none"/>
        </w:rPr>
        <w:t xml:space="preserve">Now that the NHWDS has more data points in </w:t>
      </w:r>
      <w:r w:rsidR="00EA328F">
        <w:rPr>
          <w:rFonts w:eastAsia="Calibri" w:cs="Arial"/>
          <w:szCs w:val="22"/>
          <w:lang w:eastAsia="x-none"/>
        </w:rPr>
        <w:t xml:space="preserve">the collection, the number of </w:t>
      </w:r>
      <w:r w:rsidRPr="00826C99">
        <w:rPr>
          <w:rFonts w:eastAsia="Calibri" w:cs="Arial"/>
          <w:szCs w:val="22"/>
          <w:lang w:eastAsia="x-none"/>
        </w:rPr>
        <w:t>re-register</w:t>
      </w:r>
      <w:r w:rsidR="00EA328F">
        <w:rPr>
          <w:rFonts w:eastAsia="Calibri" w:cs="Arial"/>
          <w:szCs w:val="22"/>
          <w:lang w:eastAsia="x-none"/>
        </w:rPr>
        <w:t>s entering the workforce from previous years can be seen in the data sets</w:t>
      </w:r>
      <w:r w:rsidRPr="00826C99">
        <w:rPr>
          <w:rFonts w:eastAsia="Calibri" w:cs="Arial"/>
          <w:szCs w:val="22"/>
          <w:lang w:eastAsia="x-none"/>
        </w:rPr>
        <w:t xml:space="preserve">. The exit rates are based on the average from </w:t>
      </w:r>
      <w:r w:rsidRPr="00042B08">
        <w:rPr>
          <w:rFonts w:eastAsia="Calibri" w:cs="Arial"/>
          <w:szCs w:val="22"/>
          <w:lang w:eastAsia="x-none"/>
        </w:rPr>
        <w:t xml:space="preserve">2013 to </w:t>
      </w:r>
      <w:r w:rsidR="00202BC1" w:rsidRPr="00042B08">
        <w:rPr>
          <w:rFonts w:eastAsia="Calibri" w:cs="Arial"/>
          <w:szCs w:val="22"/>
          <w:lang w:eastAsia="x-none"/>
        </w:rPr>
        <w:t>2017</w:t>
      </w:r>
      <w:r w:rsidRPr="00826C99">
        <w:rPr>
          <w:rFonts w:eastAsia="Calibri" w:cs="Arial"/>
          <w:szCs w:val="22"/>
          <w:lang w:eastAsia="x-none"/>
        </w:rPr>
        <w:t xml:space="preserve"> that have not re-registered as either a midwife or a nurse in the following year. </w:t>
      </w:r>
    </w:p>
    <w:p w:rsidR="00B740AD" w:rsidRPr="00E85564" w:rsidRDefault="00B740AD" w:rsidP="00E85564">
      <w:pPr>
        <w:pStyle w:val="Heading1"/>
      </w:pPr>
      <w:bookmarkStart w:id="114" w:name="_Toc322072298"/>
      <w:bookmarkStart w:id="115" w:name="_Toc10808401"/>
      <w:r w:rsidRPr="00E85564">
        <w:t>Midwifery Training Analysis Pipeline (TAP) methodology</w:t>
      </w:r>
      <w:bookmarkEnd w:id="114"/>
      <w:bookmarkEnd w:id="115"/>
    </w:p>
    <w:p w:rsidR="00B740AD" w:rsidRPr="00826C99" w:rsidRDefault="00B740AD" w:rsidP="00C3213B">
      <w:pPr>
        <w:spacing w:before="120" w:after="120" w:line="240" w:lineRule="auto"/>
        <w:jc w:val="both"/>
        <w:rPr>
          <w:rFonts w:eastAsia="Calibri" w:cs="Arial"/>
          <w:szCs w:val="22"/>
          <w:lang w:val="en-US"/>
        </w:rPr>
      </w:pPr>
      <w:r w:rsidRPr="00826C99">
        <w:rPr>
          <w:rFonts w:eastAsia="Calibri" w:cs="Arial"/>
          <w:szCs w:val="22"/>
          <w:lang w:val="en-US"/>
        </w:rPr>
        <w:t>Pipelining provides a projection of the number of students needed to establish a balance between projected supply and demand in a given year. The process moves beyond unrealistic lockstep assumptions about the passage of students through the education system. That is, it does not assume that, for example, a nurse entering a three year education program will complete their training in that timeframe. Instead the methodology uses specialised flow analysis taking into account:</w:t>
      </w:r>
    </w:p>
    <w:p w:rsidR="00B740AD" w:rsidRPr="00826C99" w:rsidRDefault="00954D39" w:rsidP="002B7E32">
      <w:pPr>
        <w:numPr>
          <w:ilvl w:val="0"/>
          <w:numId w:val="14"/>
        </w:numPr>
        <w:spacing w:before="120" w:after="120" w:line="240" w:lineRule="auto"/>
        <w:jc w:val="both"/>
        <w:rPr>
          <w:rFonts w:eastAsia="Calibri" w:cs="Arial"/>
          <w:szCs w:val="22"/>
          <w:lang w:eastAsia="x-none"/>
        </w:rPr>
      </w:pPr>
      <w:r>
        <w:rPr>
          <w:rFonts w:eastAsia="Calibri" w:cs="Arial"/>
          <w:szCs w:val="22"/>
          <w:lang w:eastAsia="x-none"/>
        </w:rPr>
        <w:t>t</w:t>
      </w:r>
      <w:r w:rsidR="00B740AD" w:rsidRPr="00826C99">
        <w:rPr>
          <w:rFonts w:eastAsia="Calibri" w:cs="Arial"/>
          <w:szCs w:val="22"/>
          <w:lang w:eastAsia="x-none"/>
        </w:rPr>
        <w:t>ypical transition rates within course;</w:t>
      </w:r>
    </w:p>
    <w:p w:rsidR="00B740AD" w:rsidRPr="00826C99" w:rsidRDefault="00954D39" w:rsidP="002B7E32">
      <w:pPr>
        <w:numPr>
          <w:ilvl w:val="0"/>
          <w:numId w:val="14"/>
        </w:numPr>
        <w:spacing w:before="120" w:after="120" w:line="240" w:lineRule="auto"/>
        <w:jc w:val="both"/>
        <w:rPr>
          <w:rFonts w:eastAsia="Calibri" w:cs="Arial"/>
          <w:szCs w:val="22"/>
          <w:lang w:eastAsia="x-none"/>
        </w:rPr>
      </w:pPr>
      <w:r>
        <w:rPr>
          <w:rFonts w:eastAsia="Calibri" w:cs="Arial"/>
          <w:szCs w:val="22"/>
          <w:lang w:eastAsia="x-none"/>
        </w:rPr>
        <w:t>r</w:t>
      </w:r>
      <w:r w:rsidR="00B740AD" w:rsidRPr="00826C99">
        <w:rPr>
          <w:rFonts w:eastAsia="Calibri" w:cs="Arial"/>
          <w:szCs w:val="22"/>
          <w:lang w:eastAsia="x-none"/>
        </w:rPr>
        <w:t>ecent changes in student intakes; and</w:t>
      </w:r>
    </w:p>
    <w:p w:rsidR="00B740AD" w:rsidRPr="008914CB" w:rsidRDefault="00954D39" w:rsidP="002B7E32">
      <w:pPr>
        <w:numPr>
          <w:ilvl w:val="0"/>
          <w:numId w:val="14"/>
        </w:numPr>
        <w:spacing w:before="120" w:after="120" w:line="240" w:lineRule="auto"/>
        <w:jc w:val="both"/>
        <w:rPr>
          <w:rFonts w:eastAsia="Calibri" w:cs="Arial"/>
          <w:szCs w:val="22"/>
          <w:lang w:eastAsia="x-none"/>
        </w:rPr>
      </w:pPr>
      <w:r>
        <w:rPr>
          <w:rFonts w:eastAsia="Calibri" w:cs="Arial"/>
          <w:szCs w:val="22"/>
          <w:lang w:eastAsia="x-none"/>
        </w:rPr>
        <w:t>h</w:t>
      </w:r>
      <w:r w:rsidR="00B740AD" w:rsidRPr="00826C99">
        <w:rPr>
          <w:rFonts w:eastAsia="Calibri" w:cs="Arial"/>
          <w:szCs w:val="22"/>
          <w:lang w:eastAsia="x-none"/>
        </w:rPr>
        <w:t>istorical rates of flow through (i.e. known number of beginning students and actual outputs (graduates)).</w:t>
      </w:r>
    </w:p>
    <w:p w:rsidR="00B740AD" w:rsidRDefault="00954D39" w:rsidP="00C3213B">
      <w:pPr>
        <w:keepNext/>
        <w:spacing w:before="120" w:after="120" w:line="240" w:lineRule="auto"/>
        <w:jc w:val="both"/>
        <w:rPr>
          <w:rFonts w:eastAsia="Calibri" w:cs="Arial"/>
          <w:bCs/>
          <w:szCs w:val="22"/>
        </w:rPr>
      </w:pPr>
      <w:r>
        <w:rPr>
          <w:rFonts w:eastAsia="Calibri" w:cs="Arial"/>
          <w:bCs/>
          <w:szCs w:val="22"/>
        </w:rPr>
        <w:lastRenderedPageBreak/>
        <w:t>Figure 18</w:t>
      </w:r>
      <w:r w:rsidR="00B740AD" w:rsidRPr="00826C99">
        <w:rPr>
          <w:rFonts w:eastAsia="Calibri" w:cs="Arial"/>
          <w:bCs/>
          <w:szCs w:val="22"/>
        </w:rPr>
        <w:t xml:space="preserve"> shows the transition calculations that were used to construct the midwifery training analysis pipeline. </w:t>
      </w:r>
    </w:p>
    <w:p w:rsidR="00EB1AC2" w:rsidRPr="001F11F0" w:rsidRDefault="00EB1AC2" w:rsidP="001F11F0">
      <w:pPr>
        <w:pStyle w:val="Caption"/>
      </w:pPr>
      <w:bookmarkStart w:id="116" w:name="_Toc532473574"/>
      <w:bookmarkStart w:id="117" w:name="_Toc1722570"/>
      <w:bookmarkStart w:id="118" w:name="_Toc1724694"/>
      <w:bookmarkStart w:id="119" w:name="_Toc1725012"/>
      <w:r w:rsidRPr="001F11F0">
        <w:t xml:space="preserve">Figure </w:t>
      </w:r>
      <w:r w:rsidR="00AA3E45" w:rsidRPr="001F11F0">
        <w:t>18</w:t>
      </w:r>
      <w:r w:rsidRPr="001F11F0">
        <w:t>: Transition calculations for the training pipeline for graduate midwives</w:t>
      </w:r>
      <w:bookmarkEnd w:id="116"/>
      <w:bookmarkEnd w:id="117"/>
      <w:bookmarkEnd w:id="118"/>
      <w:bookmarkEnd w:id="119"/>
    </w:p>
    <w:tbl>
      <w:tblPr>
        <w:tblStyle w:val="MediumShading2-Accent41"/>
        <w:tblW w:w="0" w:type="auto"/>
        <w:tblInd w:w="108" w:type="dxa"/>
        <w:tblLook w:val="0420" w:firstRow="1" w:lastRow="0" w:firstColumn="0" w:lastColumn="0" w:noHBand="0" w:noVBand="1"/>
        <w:tblCaption w:val="Figure 18: Transition calculations for the training pipeline for graduate midwives"/>
        <w:tblDescription w:val="Shows the transition calculations that were used to construct the midwifery training analysis pipeline. &#10;Header Row: Transition/churn; Rates; Explanation&#10;Row 1: Commencements; 2%; Of previous years&#10;Row 2: Continuing; 3%; Commencing with the average (which closely aligns with the 62% that make up the continuing students)&#10;Row 3: Continue  to Completion; 44%; Of continuing students, those that move to completions the following year, based on historical trends.&#10;Row 4: Through rate; 64%; If everyone is full time and complete within prescribed period.&#10;Row 5: Bachelor (3 years); 52%; If everyone is full time and complete within prescribed period.&#10;Row 6: Dual (4 years); 63%; If everyone is full time and complete within prescribed period.&#10;Row 7: Grad Cert (1 year); 47%; If everyone is full time and complete within prescribed period&#10;Row 8: Grad Dip (1.5 years); 93%; If everyone is full time and complete within prescribed period.&#10;Row 9: New migrants; 28%; Average of those that have no substantive visa between 2012-2017.&#10;Row 10: New registrants; 88%; This represents the historical proportion of new registrants entering the workforce.&#10;"/>
      </w:tblPr>
      <w:tblGrid>
        <w:gridCol w:w="2153"/>
        <w:gridCol w:w="816"/>
        <w:gridCol w:w="5939"/>
      </w:tblGrid>
      <w:tr w:rsidR="00B740AD" w:rsidRPr="00826C99" w:rsidTr="00F92344">
        <w:trPr>
          <w:cnfStyle w:val="100000000000" w:firstRow="1" w:lastRow="0" w:firstColumn="0" w:lastColumn="0" w:oddVBand="0" w:evenVBand="0" w:oddHBand="0" w:evenHBand="0" w:firstRowFirstColumn="0" w:firstRowLastColumn="0" w:lastRowFirstColumn="0" w:lastRowLastColumn="0"/>
          <w:trHeight w:val="227"/>
          <w:tblHeader/>
        </w:trPr>
        <w:tc>
          <w:tcPr>
            <w:tcW w:w="0" w:type="auto"/>
            <w:tcBorders>
              <w:top w:val="single" w:sz="4" w:space="0" w:color="auto"/>
              <w:left w:val="single" w:sz="4" w:space="0" w:color="auto"/>
              <w:bottom w:val="single" w:sz="4" w:space="0" w:color="auto"/>
              <w:right w:val="single" w:sz="4" w:space="0" w:color="auto"/>
            </w:tcBorders>
            <w:shd w:val="clear" w:color="auto" w:fill="7030A0"/>
          </w:tcPr>
          <w:p w:rsidR="00B740AD" w:rsidRPr="00826C99" w:rsidRDefault="00B740AD" w:rsidP="00B740AD">
            <w:pPr>
              <w:jc w:val="both"/>
              <w:rPr>
                <w:rFonts w:eastAsia="Calibri" w:cs="Arial"/>
                <w:b w:val="0"/>
                <w:bCs w:val="0"/>
                <w:lang w:val="en-US"/>
              </w:rPr>
            </w:pPr>
            <w:r w:rsidRPr="00826C99">
              <w:rPr>
                <w:rFonts w:eastAsia="Calibri" w:cs="Arial"/>
                <w:lang w:val="en-US"/>
              </w:rPr>
              <w:t>Transition/churn</w:t>
            </w:r>
          </w:p>
        </w:tc>
        <w:tc>
          <w:tcPr>
            <w:tcW w:w="0" w:type="auto"/>
            <w:tcBorders>
              <w:top w:val="single" w:sz="4" w:space="0" w:color="auto"/>
              <w:left w:val="single" w:sz="4" w:space="0" w:color="auto"/>
              <w:bottom w:val="single" w:sz="4" w:space="0" w:color="auto"/>
              <w:right w:val="single" w:sz="4" w:space="0" w:color="auto"/>
            </w:tcBorders>
            <w:shd w:val="clear" w:color="auto" w:fill="7030A0"/>
          </w:tcPr>
          <w:p w:rsidR="00B740AD" w:rsidRPr="00826C99" w:rsidRDefault="00B740AD" w:rsidP="00B740AD">
            <w:pPr>
              <w:jc w:val="center"/>
              <w:rPr>
                <w:rFonts w:eastAsia="Calibri" w:cs="Arial"/>
                <w:bCs w:val="0"/>
                <w:lang w:val="en-US"/>
              </w:rPr>
            </w:pPr>
            <w:r w:rsidRPr="00826C99">
              <w:rPr>
                <w:rFonts w:eastAsia="Calibri" w:cs="Arial"/>
                <w:bCs w:val="0"/>
                <w:lang w:val="en-US"/>
              </w:rPr>
              <w:t>Rates</w:t>
            </w:r>
          </w:p>
        </w:tc>
        <w:tc>
          <w:tcPr>
            <w:tcW w:w="0" w:type="auto"/>
            <w:tcBorders>
              <w:top w:val="single" w:sz="4" w:space="0" w:color="auto"/>
              <w:left w:val="single" w:sz="4" w:space="0" w:color="auto"/>
              <w:bottom w:val="single" w:sz="4" w:space="0" w:color="auto"/>
              <w:right w:val="single" w:sz="4" w:space="0" w:color="auto"/>
            </w:tcBorders>
            <w:shd w:val="clear" w:color="auto" w:fill="7030A0"/>
          </w:tcPr>
          <w:p w:rsidR="00B740AD" w:rsidRPr="00826C99" w:rsidRDefault="00B740AD" w:rsidP="00B740AD">
            <w:pPr>
              <w:jc w:val="both"/>
              <w:rPr>
                <w:rFonts w:eastAsia="Calibri" w:cs="Arial"/>
                <w:lang w:val="en-US"/>
              </w:rPr>
            </w:pPr>
            <w:r w:rsidRPr="00826C99">
              <w:rPr>
                <w:rFonts w:eastAsia="Calibri" w:cs="Arial"/>
                <w:lang w:val="en-US"/>
              </w:rPr>
              <w:t>Explanation</w:t>
            </w:r>
          </w:p>
        </w:tc>
      </w:tr>
      <w:tr w:rsidR="00B740AD" w:rsidRPr="002F4606" w:rsidTr="00B740AD">
        <w:trPr>
          <w:cnfStyle w:val="000000100000" w:firstRow="0" w:lastRow="0" w:firstColumn="0" w:lastColumn="0" w:oddVBand="0" w:evenVBand="0" w:oddHBand="1" w:evenHBand="0" w:firstRowFirstColumn="0" w:firstRowLastColumn="0" w:lastRowFirstColumn="0" w:lastRowLastColumn="0"/>
          <w:trHeight w:val="227"/>
        </w:trPr>
        <w:tc>
          <w:tcPr>
            <w:tcW w:w="0" w:type="auto"/>
            <w:tcBorders>
              <w:top w:val="single" w:sz="4" w:space="0" w:color="auto"/>
              <w:left w:val="single" w:sz="4" w:space="0" w:color="auto"/>
            </w:tcBorders>
          </w:tcPr>
          <w:p w:rsidR="00B740AD" w:rsidRPr="002F4606" w:rsidRDefault="00B740AD" w:rsidP="00B740AD">
            <w:pPr>
              <w:rPr>
                <w:rFonts w:eastAsia="Times New Roman" w:cs="Arial"/>
                <w:color w:val="000000"/>
                <w:sz w:val="20"/>
                <w:szCs w:val="20"/>
              </w:rPr>
            </w:pPr>
            <w:r w:rsidRPr="002F4606">
              <w:rPr>
                <w:rFonts w:eastAsia="Times New Roman" w:cs="Arial"/>
                <w:color w:val="000000"/>
                <w:sz w:val="20"/>
                <w:szCs w:val="20"/>
              </w:rPr>
              <w:t>Commencements</w:t>
            </w:r>
          </w:p>
        </w:tc>
        <w:tc>
          <w:tcPr>
            <w:tcW w:w="0" w:type="auto"/>
            <w:tcBorders>
              <w:top w:val="single" w:sz="4" w:space="0" w:color="auto"/>
            </w:tcBorders>
          </w:tcPr>
          <w:p w:rsidR="00B740AD" w:rsidRPr="002F4606" w:rsidRDefault="00B740AD" w:rsidP="00B740AD">
            <w:pPr>
              <w:rPr>
                <w:rFonts w:eastAsia="Times New Roman" w:cs="Arial"/>
                <w:color w:val="000000"/>
                <w:sz w:val="20"/>
                <w:szCs w:val="20"/>
              </w:rPr>
            </w:pPr>
            <w:r w:rsidRPr="002F4606">
              <w:rPr>
                <w:rFonts w:eastAsia="Times New Roman" w:cs="Arial"/>
                <w:color w:val="000000"/>
                <w:sz w:val="20"/>
                <w:szCs w:val="20"/>
              </w:rPr>
              <w:t>2%</w:t>
            </w:r>
          </w:p>
        </w:tc>
        <w:tc>
          <w:tcPr>
            <w:tcW w:w="0" w:type="auto"/>
            <w:tcBorders>
              <w:top w:val="single" w:sz="4" w:space="0" w:color="auto"/>
              <w:right w:val="single" w:sz="4" w:space="0" w:color="auto"/>
            </w:tcBorders>
          </w:tcPr>
          <w:p w:rsidR="00B740AD" w:rsidRPr="002F4606" w:rsidRDefault="00B740AD" w:rsidP="00B740AD">
            <w:pPr>
              <w:jc w:val="both"/>
              <w:rPr>
                <w:rFonts w:eastAsia="Calibri" w:cs="Arial"/>
                <w:sz w:val="20"/>
                <w:szCs w:val="20"/>
                <w:lang w:val="en-US"/>
              </w:rPr>
            </w:pPr>
            <w:r w:rsidRPr="002F4606">
              <w:rPr>
                <w:rFonts w:eastAsia="Times New Roman" w:cs="Arial"/>
                <w:color w:val="000000"/>
                <w:sz w:val="20"/>
                <w:szCs w:val="20"/>
              </w:rPr>
              <w:t>Of previous years</w:t>
            </w:r>
          </w:p>
        </w:tc>
      </w:tr>
      <w:tr w:rsidR="00B740AD" w:rsidRPr="002F4606" w:rsidTr="00B85FC5">
        <w:trPr>
          <w:trHeight w:val="227"/>
        </w:trPr>
        <w:tc>
          <w:tcPr>
            <w:tcW w:w="0" w:type="auto"/>
            <w:tcBorders>
              <w:left w:val="single" w:sz="4" w:space="0" w:color="auto"/>
            </w:tcBorders>
          </w:tcPr>
          <w:p w:rsidR="00B740AD" w:rsidRPr="002F4606" w:rsidRDefault="00B740AD" w:rsidP="00B740AD">
            <w:pPr>
              <w:rPr>
                <w:rFonts w:eastAsia="Times New Roman" w:cs="Arial"/>
                <w:color w:val="000000"/>
                <w:sz w:val="20"/>
                <w:szCs w:val="20"/>
              </w:rPr>
            </w:pPr>
            <w:r w:rsidRPr="002F4606">
              <w:rPr>
                <w:rFonts w:eastAsia="Times New Roman" w:cs="Arial"/>
                <w:color w:val="000000"/>
                <w:sz w:val="20"/>
                <w:szCs w:val="20"/>
              </w:rPr>
              <w:t>Continuing</w:t>
            </w:r>
          </w:p>
        </w:tc>
        <w:tc>
          <w:tcPr>
            <w:tcW w:w="0" w:type="auto"/>
          </w:tcPr>
          <w:p w:rsidR="00B740AD" w:rsidRPr="002F4606" w:rsidRDefault="00B740AD" w:rsidP="00B740AD">
            <w:pPr>
              <w:rPr>
                <w:rFonts w:eastAsia="Times New Roman" w:cs="Arial"/>
                <w:color w:val="000000"/>
                <w:sz w:val="20"/>
                <w:szCs w:val="20"/>
              </w:rPr>
            </w:pPr>
            <w:r w:rsidRPr="002F4606">
              <w:rPr>
                <w:rFonts w:eastAsia="Times New Roman" w:cs="Arial"/>
                <w:color w:val="000000"/>
                <w:sz w:val="20"/>
                <w:szCs w:val="20"/>
              </w:rPr>
              <w:t>3%</w:t>
            </w:r>
          </w:p>
        </w:tc>
        <w:tc>
          <w:tcPr>
            <w:tcW w:w="0" w:type="auto"/>
            <w:tcBorders>
              <w:right w:val="single" w:sz="4" w:space="0" w:color="auto"/>
            </w:tcBorders>
          </w:tcPr>
          <w:p w:rsidR="00B740AD" w:rsidRPr="002F4606" w:rsidRDefault="00B740AD" w:rsidP="00B740AD">
            <w:pPr>
              <w:jc w:val="both"/>
              <w:rPr>
                <w:rFonts w:eastAsia="Calibri" w:cs="Arial"/>
                <w:sz w:val="20"/>
                <w:szCs w:val="20"/>
                <w:lang w:val="en-US"/>
              </w:rPr>
            </w:pPr>
            <w:r w:rsidRPr="002F4606">
              <w:rPr>
                <w:rFonts w:eastAsia="Times New Roman" w:cs="Arial"/>
                <w:color w:val="000000"/>
                <w:sz w:val="20"/>
                <w:szCs w:val="20"/>
              </w:rPr>
              <w:t>Commencing with the average (which closely aligns with the 62% that make up the continuing students)</w:t>
            </w:r>
          </w:p>
        </w:tc>
      </w:tr>
      <w:tr w:rsidR="00B740AD" w:rsidRPr="002F4606" w:rsidTr="00B740AD">
        <w:trPr>
          <w:cnfStyle w:val="000000100000" w:firstRow="0" w:lastRow="0" w:firstColumn="0" w:lastColumn="0" w:oddVBand="0" w:evenVBand="0" w:oddHBand="1" w:evenHBand="0" w:firstRowFirstColumn="0" w:firstRowLastColumn="0" w:lastRowFirstColumn="0" w:lastRowLastColumn="0"/>
          <w:trHeight w:val="227"/>
        </w:trPr>
        <w:tc>
          <w:tcPr>
            <w:tcW w:w="0" w:type="auto"/>
            <w:tcBorders>
              <w:left w:val="single" w:sz="4" w:space="0" w:color="auto"/>
            </w:tcBorders>
          </w:tcPr>
          <w:p w:rsidR="00B740AD" w:rsidRPr="002F4606" w:rsidRDefault="00B740AD" w:rsidP="00954D39">
            <w:pPr>
              <w:rPr>
                <w:rFonts w:eastAsia="Times New Roman" w:cs="Arial"/>
                <w:color w:val="000000"/>
                <w:sz w:val="20"/>
                <w:szCs w:val="20"/>
              </w:rPr>
            </w:pPr>
            <w:r w:rsidRPr="002F4606">
              <w:rPr>
                <w:rFonts w:eastAsia="Times New Roman" w:cs="Arial"/>
                <w:color w:val="000000"/>
                <w:sz w:val="20"/>
                <w:szCs w:val="20"/>
              </w:rPr>
              <w:t>Cont</w:t>
            </w:r>
            <w:r w:rsidR="00954D39" w:rsidRPr="002F4606">
              <w:rPr>
                <w:rFonts w:eastAsia="Times New Roman" w:cs="Arial"/>
                <w:color w:val="000000"/>
                <w:sz w:val="20"/>
                <w:szCs w:val="20"/>
              </w:rPr>
              <w:t xml:space="preserve">inue </w:t>
            </w:r>
            <w:r w:rsidRPr="002F4606">
              <w:rPr>
                <w:rFonts w:eastAsia="Times New Roman" w:cs="Arial"/>
                <w:color w:val="000000"/>
                <w:sz w:val="20"/>
                <w:szCs w:val="20"/>
              </w:rPr>
              <w:t>to Comp</w:t>
            </w:r>
            <w:r w:rsidR="00954D39" w:rsidRPr="002F4606">
              <w:rPr>
                <w:rFonts w:eastAsia="Times New Roman" w:cs="Arial"/>
                <w:color w:val="000000"/>
                <w:sz w:val="20"/>
                <w:szCs w:val="20"/>
              </w:rPr>
              <w:t>letion</w:t>
            </w:r>
          </w:p>
        </w:tc>
        <w:tc>
          <w:tcPr>
            <w:tcW w:w="0" w:type="auto"/>
          </w:tcPr>
          <w:p w:rsidR="00B740AD" w:rsidRPr="002F4606" w:rsidRDefault="00B740AD" w:rsidP="00B740AD">
            <w:pPr>
              <w:rPr>
                <w:rFonts w:eastAsia="Times New Roman" w:cs="Arial"/>
                <w:color w:val="000000"/>
                <w:sz w:val="20"/>
                <w:szCs w:val="20"/>
              </w:rPr>
            </w:pPr>
            <w:r w:rsidRPr="002F4606">
              <w:rPr>
                <w:rFonts w:eastAsia="Times New Roman" w:cs="Arial"/>
                <w:color w:val="000000"/>
                <w:sz w:val="20"/>
                <w:szCs w:val="20"/>
              </w:rPr>
              <w:t>44%</w:t>
            </w:r>
          </w:p>
        </w:tc>
        <w:tc>
          <w:tcPr>
            <w:tcW w:w="0" w:type="auto"/>
            <w:tcBorders>
              <w:right w:val="single" w:sz="4" w:space="0" w:color="auto"/>
            </w:tcBorders>
          </w:tcPr>
          <w:p w:rsidR="00B740AD" w:rsidRPr="002F4606" w:rsidRDefault="00B740AD" w:rsidP="00B740AD">
            <w:pPr>
              <w:jc w:val="both"/>
              <w:rPr>
                <w:rFonts w:eastAsia="Calibri" w:cs="Arial"/>
                <w:sz w:val="20"/>
                <w:szCs w:val="20"/>
                <w:lang w:val="en-US"/>
              </w:rPr>
            </w:pPr>
            <w:r w:rsidRPr="002F4606">
              <w:rPr>
                <w:rFonts w:eastAsia="Times New Roman" w:cs="Arial"/>
                <w:color w:val="000000"/>
                <w:sz w:val="20"/>
                <w:szCs w:val="20"/>
              </w:rPr>
              <w:t>Of continuing students, those that move to completions the following year, based on historical trends</w:t>
            </w:r>
          </w:p>
        </w:tc>
      </w:tr>
      <w:tr w:rsidR="00B740AD" w:rsidRPr="002F4606" w:rsidTr="00B85FC5">
        <w:trPr>
          <w:trHeight w:val="227"/>
        </w:trPr>
        <w:tc>
          <w:tcPr>
            <w:tcW w:w="0" w:type="auto"/>
            <w:tcBorders>
              <w:left w:val="single" w:sz="4" w:space="0" w:color="auto"/>
            </w:tcBorders>
          </w:tcPr>
          <w:p w:rsidR="00B740AD" w:rsidRPr="002F4606" w:rsidRDefault="00B740AD" w:rsidP="00B740AD">
            <w:pPr>
              <w:rPr>
                <w:rFonts w:eastAsia="Times New Roman" w:cs="Arial"/>
                <w:b/>
                <w:color w:val="000000"/>
                <w:sz w:val="20"/>
                <w:szCs w:val="20"/>
              </w:rPr>
            </w:pPr>
            <w:r w:rsidRPr="002F4606">
              <w:rPr>
                <w:rFonts w:eastAsia="Times New Roman" w:cs="Arial"/>
                <w:b/>
                <w:color w:val="000000"/>
                <w:sz w:val="20"/>
                <w:szCs w:val="20"/>
              </w:rPr>
              <w:t>Through rate</w:t>
            </w:r>
          </w:p>
        </w:tc>
        <w:tc>
          <w:tcPr>
            <w:tcW w:w="0" w:type="auto"/>
          </w:tcPr>
          <w:p w:rsidR="00B740AD" w:rsidRPr="002F4606" w:rsidRDefault="00B740AD" w:rsidP="00B740AD">
            <w:pPr>
              <w:rPr>
                <w:rFonts w:eastAsia="Times New Roman" w:cs="Arial"/>
                <w:b/>
                <w:color w:val="000000"/>
                <w:sz w:val="20"/>
                <w:szCs w:val="20"/>
              </w:rPr>
            </w:pPr>
            <w:r w:rsidRPr="002F4606">
              <w:rPr>
                <w:rFonts w:eastAsia="Times New Roman" w:cs="Arial"/>
                <w:b/>
                <w:color w:val="000000"/>
                <w:sz w:val="20"/>
                <w:szCs w:val="20"/>
              </w:rPr>
              <w:t>64%</w:t>
            </w:r>
          </w:p>
        </w:tc>
        <w:tc>
          <w:tcPr>
            <w:tcW w:w="0" w:type="auto"/>
            <w:tcBorders>
              <w:right w:val="single" w:sz="4" w:space="0" w:color="auto"/>
            </w:tcBorders>
          </w:tcPr>
          <w:p w:rsidR="00B740AD" w:rsidRPr="002F4606" w:rsidRDefault="002F4606" w:rsidP="00B740AD">
            <w:pPr>
              <w:jc w:val="both"/>
              <w:rPr>
                <w:rFonts w:eastAsia="Calibri" w:cs="Arial"/>
                <w:sz w:val="20"/>
                <w:szCs w:val="20"/>
                <w:lang w:val="en-US"/>
              </w:rPr>
            </w:pPr>
            <w:r w:rsidRPr="002F4606">
              <w:rPr>
                <w:rFonts w:eastAsia="Times New Roman" w:cs="Arial"/>
                <w:color w:val="000000"/>
                <w:sz w:val="20"/>
                <w:szCs w:val="20"/>
              </w:rPr>
              <w:t>If everyone is full time and complete within prescribed period</w:t>
            </w:r>
          </w:p>
        </w:tc>
      </w:tr>
      <w:tr w:rsidR="00B740AD" w:rsidRPr="002F4606" w:rsidTr="00B740AD">
        <w:trPr>
          <w:cnfStyle w:val="000000100000" w:firstRow="0" w:lastRow="0" w:firstColumn="0" w:lastColumn="0" w:oddVBand="0" w:evenVBand="0" w:oddHBand="1" w:evenHBand="0" w:firstRowFirstColumn="0" w:firstRowLastColumn="0" w:lastRowFirstColumn="0" w:lastRowLastColumn="0"/>
          <w:trHeight w:val="227"/>
        </w:trPr>
        <w:tc>
          <w:tcPr>
            <w:tcW w:w="0" w:type="auto"/>
            <w:tcBorders>
              <w:left w:val="single" w:sz="4" w:space="0" w:color="auto"/>
            </w:tcBorders>
          </w:tcPr>
          <w:p w:rsidR="00B740AD" w:rsidRPr="002F4606" w:rsidRDefault="00B740AD" w:rsidP="00B740AD">
            <w:pPr>
              <w:rPr>
                <w:rFonts w:eastAsia="Times New Roman" w:cs="Arial"/>
                <w:i/>
                <w:iCs/>
                <w:color w:val="000000"/>
                <w:sz w:val="20"/>
                <w:szCs w:val="20"/>
              </w:rPr>
            </w:pPr>
            <w:r w:rsidRPr="002F4606">
              <w:rPr>
                <w:rFonts w:eastAsia="Times New Roman" w:cs="Arial"/>
                <w:i/>
                <w:iCs/>
                <w:color w:val="000000"/>
                <w:sz w:val="20"/>
                <w:szCs w:val="20"/>
              </w:rPr>
              <w:t>Bachelor (3 years)</w:t>
            </w:r>
          </w:p>
        </w:tc>
        <w:tc>
          <w:tcPr>
            <w:tcW w:w="0" w:type="auto"/>
          </w:tcPr>
          <w:p w:rsidR="00B740AD" w:rsidRPr="002F4606" w:rsidRDefault="00B740AD" w:rsidP="00B740AD">
            <w:pPr>
              <w:rPr>
                <w:rFonts w:eastAsia="Times New Roman" w:cs="Arial"/>
                <w:color w:val="000000"/>
                <w:sz w:val="20"/>
                <w:szCs w:val="20"/>
              </w:rPr>
            </w:pPr>
            <w:r w:rsidRPr="002F4606">
              <w:rPr>
                <w:rFonts w:eastAsia="Times New Roman" w:cs="Arial"/>
                <w:color w:val="000000"/>
                <w:sz w:val="20"/>
                <w:szCs w:val="20"/>
              </w:rPr>
              <w:t>52%</w:t>
            </w:r>
          </w:p>
        </w:tc>
        <w:tc>
          <w:tcPr>
            <w:tcW w:w="0" w:type="auto"/>
            <w:tcBorders>
              <w:right w:val="single" w:sz="4" w:space="0" w:color="auto"/>
            </w:tcBorders>
          </w:tcPr>
          <w:p w:rsidR="00B740AD" w:rsidRPr="002F4606" w:rsidRDefault="002F4606" w:rsidP="00B740AD">
            <w:pPr>
              <w:jc w:val="both"/>
              <w:rPr>
                <w:rFonts w:eastAsia="Calibri" w:cs="Arial"/>
                <w:sz w:val="20"/>
                <w:szCs w:val="20"/>
                <w:lang w:val="en-US"/>
              </w:rPr>
            </w:pPr>
            <w:r w:rsidRPr="002F4606">
              <w:rPr>
                <w:rFonts w:eastAsia="Times New Roman" w:cs="Arial"/>
                <w:color w:val="000000"/>
                <w:sz w:val="20"/>
                <w:szCs w:val="20"/>
              </w:rPr>
              <w:t>If everyone is full time and complete within prescribed period</w:t>
            </w:r>
          </w:p>
        </w:tc>
      </w:tr>
      <w:tr w:rsidR="00B740AD" w:rsidRPr="002F4606" w:rsidTr="00B85FC5">
        <w:trPr>
          <w:trHeight w:val="227"/>
        </w:trPr>
        <w:tc>
          <w:tcPr>
            <w:tcW w:w="0" w:type="auto"/>
            <w:tcBorders>
              <w:left w:val="single" w:sz="4" w:space="0" w:color="auto"/>
            </w:tcBorders>
          </w:tcPr>
          <w:p w:rsidR="00B740AD" w:rsidRPr="002F4606" w:rsidRDefault="00B740AD" w:rsidP="00B740AD">
            <w:pPr>
              <w:rPr>
                <w:rFonts w:eastAsia="Times New Roman" w:cs="Arial"/>
                <w:i/>
                <w:iCs/>
                <w:color w:val="000000"/>
                <w:sz w:val="20"/>
                <w:szCs w:val="20"/>
              </w:rPr>
            </w:pPr>
            <w:r w:rsidRPr="002F4606">
              <w:rPr>
                <w:rFonts w:eastAsia="Times New Roman" w:cs="Arial"/>
                <w:i/>
                <w:iCs/>
                <w:color w:val="000000"/>
                <w:sz w:val="20"/>
                <w:szCs w:val="20"/>
              </w:rPr>
              <w:t>Dual (4 years)</w:t>
            </w:r>
          </w:p>
        </w:tc>
        <w:tc>
          <w:tcPr>
            <w:tcW w:w="0" w:type="auto"/>
          </w:tcPr>
          <w:p w:rsidR="00B740AD" w:rsidRPr="002F4606" w:rsidRDefault="00B740AD" w:rsidP="00B740AD">
            <w:pPr>
              <w:rPr>
                <w:rFonts w:eastAsia="Times New Roman" w:cs="Arial"/>
                <w:color w:val="000000"/>
                <w:sz w:val="20"/>
                <w:szCs w:val="20"/>
              </w:rPr>
            </w:pPr>
            <w:r w:rsidRPr="002F4606">
              <w:rPr>
                <w:rFonts w:eastAsia="Times New Roman" w:cs="Arial"/>
                <w:color w:val="000000"/>
                <w:sz w:val="20"/>
                <w:szCs w:val="20"/>
              </w:rPr>
              <w:t>63%</w:t>
            </w:r>
          </w:p>
        </w:tc>
        <w:tc>
          <w:tcPr>
            <w:tcW w:w="0" w:type="auto"/>
            <w:tcBorders>
              <w:right w:val="single" w:sz="4" w:space="0" w:color="auto"/>
            </w:tcBorders>
          </w:tcPr>
          <w:p w:rsidR="00B740AD" w:rsidRPr="002F4606" w:rsidRDefault="006F646B" w:rsidP="000A27AF">
            <w:pPr>
              <w:rPr>
                <w:rFonts w:eastAsia="Calibri" w:cs="Arial"/>
                <w:sz w:val="20"/>
                <w:szCs w:val="20"/>
                <w:lang w:val="en-US"/>
              </w:rPr>
            </w:pPr>
            <w:r w:rsidRPr="002F4606">
              <w:rPr>
                <w:rFonts w:eastAsia="Times New Roman" w:cs="Arial"/>
                <w:color w:val="000000"/>
                <w:sz w:val="20"/>
                <w:szCs w:val="20"/>
              </w:rPr>
              <w:t xml:space="preserve">If everyone </w:t>
            </w:r>
            <w:r w:rsidR="00C5671E" w:rsidRPr="002F4606">
              <w:rPr>
                <w:rFonts w:eastAsia="Times New Roman" w:cs="Arial"/>
                <w:color w:val="000000"/>
                <w:sz w:val="20"/>
                <w:szCs w:val="20"/>
              </w:rPr>
              <w:t xml:space="preserve">is </w:t>
            </w:r>
            <w:r w:rsidRPr="002F4606">
              <w:rPr>
                <w:rFonts w:eastAsia="Times New Roman" w:cs="Arial"/>
                <w:color w:val="000000"/>
                <w:sz w:val="20"/>
                <w:szCs w:val="20"/>
              </w:rPr>
              <w:t>full time</w:t>
            </w:r>
            <w:r w:rsidR="00B740AD" w:rsidRPr="002F4606">
              <w:rPr>
                <w:rFonts w:eastAsia="Times New Roman" w:cs="Arial"/>
                <w:color w:val="000000"/>
                <w:sz w:val="20"/>
                <w:szCs w:val="20"/>
              </w:rPr>
              <w:t xml:space="preserve"> and complete within prescribed period</w:t>
            </w:r>
          </w:p>
        </w:tc>
      </w:tr>
      <w:tr w:rsidR="00B740AD" w:rsidRPr="002F4606" w:rsidTr="00B740AD">
        <w:trPr>
          <w:cnfStyle w:val="000000100000" w:firstRow="0" w:lastRow="0" w:firstColumn="0" w:lastColumn="0" w:oddVBand="0" w:evenVBand="0" w:oddHBand="1" w:evenHBand="0" w:firstRowFirstColumn="0" w:firstRowLastColumn="0" w:lastRowFirstColumn="0" w:lastRowLastColumn="0"/>
          <w:trHeight w:val="227"/>
        </w:trPr>
        <w:tc>
          <w:tcPr>
            <w:tcW w:w="0" w:type="auto"/>
            <w:tcBorders>
              <w:left w:val="single" w:sz="4" w:space="0" w:color="auto"/>
            </w:tcBorders>
          </w:tcPr>
          <w:p w:rsidR="00B740AD" w:rsidRPr="002F4606" w:rsidRDefault="00B740AD" w:rsidP="00B740AD">
            <w:pPr>
              <w:rPr>
                <w:rFonts w:eastAsia="Times New Roman" w:cs="Arial"/>
                <w:i/>
                <w:iCs/>
                <w:color w:val="000000"/>
                <w:sz w:val="20"/>
                <w:szCs w:val="20"/>
              </w:rPr>
            </w:pPr>
            <w:r w:rsidRPr="002F4606">
              <w:rPr>
                <w:rFonts w:eastAsia="Times New Roman" w:cs="Arial"/>
                <w:i/>
                <w:iCs/>
                <w:color w:val="000000"/>
                <w:sz w:val="20"/>
                <w:szCs w:val="20"/>
              </w:rPr>
              <w:t>Grad Cert (1 year)</w:t>
            </w:r>
          </w:p>
        </w:tc>
        <w:tc>
          <w:tcPr>
            <w:tcW w:w="0" w:type="auto"/>
          </w:tcPr>
          <w:p w:rsidR="00B740AD" w:rsidRPr="002F4606" w:rsidRDefault="00B740AD" w:rsidP="00B740AD">
            <w:pPr>
              <w:rPr>
                <w:rFonts w:eastAsia="Times New Roman" w:cs="Arial"/>
                <w:color w:val="000000"/>
                <w:sz w:val="20"/>
                <w:szCs w:val="20"/>
              </w:rPr>
            </w:pPr>
            <w:r w:rsidRPr="002F4606">
              <w:rPr>
                <w:rFonts w:eastAsia="Times New Roman" w:cs="Arial"/>
                <w:color w:val="000000"/>
                <w:sz w:val="20"/>
                <w:szCs w:val="20"/>
              </w:rPr>
              <w:t>47%</w:t>
            </w:r>
          </w:p>
        </w:tc>
        <w:tc>
          <w:tcPr>
            <w:tcW w:w="0" w:type="auto"/>
            <w:tcBorders>
              <w:right w:val="single" w:sz="4" w:space="0" w:color="auto"/>
            </w:tcBorders>
          </w:tcPr>
          <w:p w:rsidR="00B740AD" w:rsidRPr="002F4606" w:rsidRDefault="002F4606" w:rsidP="00B740AD">
            <w:pPr>
              <w:jc w:val="both"/>
              <w:rPr>
                <w:rFonts w:eastAsia="Calibri" w:cs="Arial"/>
                <w:sz w:val="20"/>
                <w:szCs w:val="20"/>
                <w:lang w:val="en-US"/>
              </w:rPr>
            </w:pPr>
            <w:r w:rsidRPr="002F4606">
              <w:rPr>
                <w:rFonts w:eastAsia="Times New Roman" w:cs="Arial"/>
                <w:color w:val="000000"/>
                <w:sz w:val="20"/>
                <w:szCs w:val="20"/>
              </w:rPr>
              <w:t>If everyone is full time and complete within prescribed period</w:t>
            </w:r>
          </w:p>
        </w:tc>
      </w:tr>
      <w:tr w:rsidR="00B740AD" w:rsidRPr="002F4606" w:rsidTr="00B85FC5">
        <w:trPr>
          <w:trHeight w:val="227"/>
        </w:trPr>
        <w:tc>
          <w:tcPr>
            <w:tcW w:w="0" w:type="auto"/>
            <w:tcBorders>
              <w:left w:val="single" w:sz="4" w:space="0" w:color="auto"/>
            </w:tcBorders>
          </w:tcPr>
          <w:p w:rsidR="00B740AD" w:rsidRPr="002F4606" w:rsidRDefault="00B740AD" w:rsidP="00B740AD">
            <w:pPr>
              <w:rPr>
                <w:rFonts w:eastAsia="Times New Roman" w:cs="Arial"/>
                <w:i/>
                <w:iCs/>
                <w:color w:val="000000"/>
                <w:sz w:val="20"/>
                <w:szCs w:val="20"/>
              </w:rPr>
            </w:pPr>
            <w:r w:rsidRPr="002F4606">
              <w:rPr>
                <w:rFonts w:eastAsia="Times New Roman" w:cs="Arial"/>
                <w:i/>
                <w:iCs/>
                <w:color w:val="000000"/>
                <w:sz w:val="20"/>
                <w:szCs w:val="20"/>
              </w:rPr>
              <w:t>Grad Dip (1.5 years)</w:t>
            </w:r>
          </w:p>
        </w:tc>
        <w:tc>
          <w:tcPr>
            <w:tcW w:w="0" w:type="auto"/>
          </w:tcPr>
          <w:p w:rsidR="00B740AD" w:rsidRPr="002F4606" w:rsidRDefault="00B740AD" w:rsidP="00B740AD">
            <w:pPr>
              <w:rPr>
                <w:rFonts w:eastAsia="Times New Roman" w:cs="Arial"/>
                <w:color w:val="000000"/>
                <w:sz w:val="20"/>
                <w:szCs w:val="20"/>
              </w:rPr>
            </w:pPr>
            <w:r w:rsidRPr="002F4606">
              <w:rPr>
                <w:rFonts w:eastAsia="Times New Roman" w:cs="Arial"/>
                <w:color w:val="000000"/>
                <w:sz w:val="20"/>
                <w:szCs w:val="20"/>
              </w:rPr>
              <w:t>93%</w:t>
            </w:r>
          </w:p>
        </w:tc>
        <w:tc>
          <w:tcPr>
            <w:tcW w:w="0" w:type="auto"/>
            <w:tcBorders>
              <w:right w:val="single" w:sz="4" w:space="0" w:color="auto"/>
            </w:tcBorders>
          </w:tcPr>
          <w:p w:rsidR="00B740AD" w:rsidRPr="002F4606" w:rsidRDefault="002F4606" w:rsidP="00B740AD">
            <w:pPr>
              <w:jc w:val="both"/>
              <w:rPr>
                <w:rFonts w:eastAsia="Calibri" w:cs="Arial"/>
                <w:sz w:val="20"/>
                <w:szCs w:val="20"/>
                <w:lang w:val="en-US"/>
              </w:rPr>
            </w:pPr>
            <w:r w:rsidRPr="002F4606">
              <w:rPr>
                <w:rFonts w:eastAsia="Times New Roman" w:cs="Arial"/>
                <w:color w:val="000000"/>
                <w:sz w:val="20"/>
                <w:szCs w:val="20"/>
              </w:rPr>
              <w:t>If everyone is full time and complete within prescribed period</w:t>
            </w:r>
          </w:p>
        </w:tc>
      </w:tr>
      <w:tr w:rsidR="00B740AD" w:rsidRPr="002F4606" w:rsidTr="00B740AD">
        <w:trPr>
          <w:cnfStyle w:val="000000100000" w:firstRow="0" w:lastRow="0" w:firstColumn="0" w:lastColumn="0" w:oddVBand="0" w:evenVBand="0" w:oddHBand="1" w:evenHBand="0" w:firstRowFirstColumn="0" w:firstRowLastColumn="0" w:lastRowFirstColumn="0" w:lastRowLastColumn="0"/>
          <w:trHeight w:val="227"/>
        </w:trPr>
        <w:tc>
          <w:tcPr>
            <w:tcW w:w="0" w:type="auto"/>
            <w:tcBorders>
              <w:left w:val="single" w:sz="4" w:space="0" w:color="auto"/>
            </w:tcBorders>
          </w:tcPr>
          <w:p w:rsidR="00B740AD" w:rsidRPr="002F4606" w:rsidRDefault="00B740AD" w:rsidP="00B740AD">
            <w:pPr>
              <w:rPr>
                <w:rFonts w:eastAsia="Times New Roman" w:cs="Arial"/>
                <w:color w:val="000000"/>
                <w:sz w:val="20"/>
                <w:szCs w:val="20"/>
              </w:rPr>
            </w:pPr>
            <w:r w:rsidRPr="002F4606">
              <w:rPr>
                <w:rFonts w:eastAsia="Times New Roman" w:cs="Arial"/>
                <w:color w:val="000000"/>
                <w:sz w:val="20"/>
                <w:szCs w:val="20"/>
              </w:rPr>
              <w:t>New migrants</w:t>
            </w:r>
          </w:p>
        </w:tc>
        <w:tc>
          <w:tcPr>
            <w:tcW w:w="0" w:type="auto"/>
          </w:tcPr>
          <w:p w:rsidR="00B740AD" w:rsidRPr="002F4606" w:rsidRDefault="00B740AD" w:rsidP="00B740AD">
            <w:pPr>
              <w:rPr>
                <w:rFonts w:eastAsia="Times New Roman" w:cs="Arial"/>
                <w:color w:val="000000"/>
                <w:sz w:val="20"/>
                <w:szCs w:val="20"/>
              </w:rPr>
            </w:pPr>
            <w:r w:rsidRPr="002F4606">
              <w:rPr>
                <w:rFonts w:eastAsia="Times New Roman" w:cs="Arial"/>
                <w:color w:val="000000"/>
                <w:sz w:val="20"/>
                <w:szCs w:val="20"/>
              </w:rPr>
              <w:t>28</w:t>
            </w:r>
            <w:r w:rsidR="00AE1226">
              <w:rPr>
                <w:rFonts w:eastAsia="Times New Roman" w:cs="Arial"/>
                <w:color w:val="000000"/>
                <w:sz w:val="20"/>
                <w:szCs w:val="20"/>
              </w:rPr>
              <w:t>%</w:t>
            </w:r>
          </w:p>
        </w:tc>
        <w:tc>
          <w:tcPr>
            <w:tcW w:w="0" w:type="auto"/>
            <w:tcBorders>
              <w:right w:val="single" w:sz="4" w:space="0" w:color="auto"/>
            </w:tcBorders>
          </w:tcPr>
          <w:p w:rsidR="00B740AD" w:rsidRPr="002F4606" w:rsidRDefault="00B740AD" w:rsidP="00B740AD">
            <w:pPr>
              <w:jc w:val="both"/>
              <w:rPr>
                <w:rFonts w:eastAsia="Calibri" w:cs="Arial"/>
                <w:sz w:val="20"/>
                <w:szCs w:val="20"/>
                <w:lang w:val="en-US"/>
              </w:rPr>
            </w:pPr>
            <w:r w:rsidRPr="002F4606">
              <w:rPr>
                <w:rFonts w:eastAsia="Times New Roman" w:cs="Arial"/>
                <w:color w:val="000000"/>
                <w:sz w:val="20"/>
                <w:szCs w:val="20"/>
              </w:rPr>
              <w:t>Average of those that have no substantive visa between 2012-</w:t>
            </w:r>
            <w:r w:rsidR="00202BC1" w:rsidRPr="002F4606">
              <w:rPr>
                <w:rFonts w:eastAsia="Times New Roman" w:cs="Arial"/>
                <w:color w:val="000000"/>
                <w:sz w:val="20"/>
                <w:szCs w:val="20"/>
              </w:rPr>
              <w:t>2017</w:t>
            </w:r>
          </w:p>
        </w:tc>
      </w:tr>
      <w:tr w:rsidR="00B740AD" w:rsidRPr="002F4606" w:rsidTr="00B85FC5">
        <w:trPr>
          <w:trHeight w:val="227"/>
        </w:trPr>
        <w:tc>
          <w:tcPr>
            <w:tcW w:w="0" w:type="auto"/>
            <w:tcBorders>
              <w:left w:val="single" w:sz="4" w:space="0" w:color="auto"/>
              <w:bottom w:val="single" w:sz="4" w:space="0" w:color="auto"/>
            </w:tcBorders>
          </w:tcPr>
          <w:p w:rsidR="00B740AD" w:rsidRPr="002F4606" w:rsidRDefault="00B740AD" w:rsidP="00B740AD">
            <w:pPr>
              <w:rPr>
                <w:rFonts w:eastAsia="Times New Roman" w:cs="Arial"/>
                <w:color w:val="000000"/>
                <w:sz w:val="20"/>
                <w:szCs w:val="20"/>
              </w:rPr>
            </w:pPr>
            <w:r w:rsidRPr="002F4606">
              <w:rPr>
                <w:rFonts w:eastAsia="Times New Roman" w:cs="Arial"/>
                <w:color w:val="000000"/>
                <w:sz w:val="20"/>
                <w:szCs w:val="20"/>
              </w:rPr>
              <w:t>New registrants</w:t>
            </w:r>
          </w:p>
        </w:tc>
        <w:tc>
          <w:tcPr>
            <w:tcW w:w="0" w:type="auto"/>
            <w:tcBorders>
              <w:bottom w:val="single" w:sz="4" w:space="0" w:color="auto"/>
            </w:tcBorders>
          </w:tcPr>
          <w:p w:rsidR="00B740AD" w:rsidRPr="002F4606" w:rsidRDefault="00B740AD" w:rsidP="00B740AD">
            <w:pPr>
              <w:rPr>
                <w:rFonts w:eastAsia="Times New Roman" w:cs="Arial"/>
                <w:color w:val="000000"/>
                <w:sz w:val="20"/>
                <w:szCs w:val="20"/>
              </w:rPr>
            </w:pPr>
            <w:r w:rsidRPr="002F4606">
              <w:rPr>
                <w:rFonts w:eastAsia="Times New Roman" w:cs="Arial"/>
                <w:color w:val="000000"/>
                <w:sz w:val="20"/>
                <w:szCs w:val="20"/>
              </w:rPr>
              <w:t>88%</w:t>
            </w:r>
          </w:p>
        </w:tc>
        <w:tc>
          <w:tcPr>
            <w:tcW w:w="0" w:type="auto"/>
            <w:tcBorders>
              <w:bottom w:val="single" w:sz="4" w:space="0" w:color="auto"/>
              <w:right w:val="single" w:sz="4" w:space="0" w:color="auto"/>
            </w:tcBorders>
          </w:tcPr>
          <w:p w:rsidR="00B740AD" w:rsidRPr="002F4606" w:rsidRDefault="00B740AD" w:rsidP="00B740AD">
            <w:pPr>
              <w:jc w:val="both"/>
              <w:rPr>
                <w:rFonts w:eastAsia="Calibri" w:cs="Arial"/>
                <w:sz w:val="20"/>
                <w:szCs w:val="20"/>
                <w:lang w:val="en-US"/>
              </w:rPr>
            </w:pPr>
            <w:r w:rsidRPr="002F4606">
              <w:rPr>
                <w:rFonts w:eastAsia="Times New Roman" w:cs="Arial"/>
                <w:color w:val="000000"/>
                <w:sz w:val="20"/>
                <w:szCs w:val="20"/>
              </w:rPr>
              <w:t>This represents the historical proportion of new registrants entering the workforce</w:t>
            </w:r>
          </w:p>
        </w:tc>
      </w:tr>
    </w:tbl>
    <w:p w:rsidR="00B740AD" w:rsidRPr="00D07144" w:rsidRDefault="00B740AD" w:rsidP="00E85564">
      <w:pPr>
        <w:pStyle w:val="Heading2"/>
      </w:pPr>
      <w:bookmarkStart w:id="120" w:name="_Toc10808402"/>
      <w:r w:rsidRPr="00D07144">
        <w:t>Midwife</w:t>
      </w:r>
      <w:r w:rsidRPr="00D07144">
        <w:rPr>
          <w:lang w:val="x-none"/>
        </w:rPr>
        <w:t xml:space="preserve"> </w:t>
      </w:r>
      <w:r w:rsidRPr="00D07144">
        <w:t>Training</w:t>
      </w:r>
      <w:r w:rsidRPr="00D07144">
        <w:rPr>
          <w:lang w:val="x-none"/>
        </w:rPr>
        <w:t xml:space="preserve"> </w:t>
      </w:r>
      <w:r w:rsidRPr="00D07144">
        <w:t>Analysis Pipeline</w:t>
      </w:r>
      <w:bookmarkEnd w:id="120"/>
    </w:p>
    <w:p w:rsidR="00B740AD" w:rsidRPr="00826C99" w:rsidRDefault="00B740AD" w:rsidP="007515FE">
      <w:pPr>
        <w:spacing w:after="0" w:line="276" w:lineRule="auto"/>
        <w:jc w:val="both"/>
        <w:rPr>
          <w:rFonts w:eastAsia="Calibri" w:cs="Arial"/>
          <w:b/>
          <w:bCs/>
          <w:szCs w:val="22"/>
        </w:rPr>
        <w:sectPr w:rsidR="00B740AD" w:rsidRPr="00826C99" w:rsidSect="00B85FC5">
          <w:headerReference w:type="even" r:id="rId22"/>
          <w:headerReference w:type="default" r:id="rId23"/>
          <w:footerReference w:type="default" r:id="rId24"/>
          <w:headerReference w:type="first" r:id="rId25"/>
          <w:footerReference w:type="first" r:id="rId26"/>
          <w:pgSz w:w="11906" w:h="16838"/>
          <w:pgMar w:top="1440" w:right="1440" w:bottom="1440" w:left="1440" w:header="708" w:footer="708" w:gutter="0"/>
          <w:cols w:space="708"/>
          <w:docGrid w:linePitch="360"/>
        </w:sectPr>
      </w:pPr>
      <w:r w:rsidRPr="00826C99">
        <w:rPr>
          <w:rFonts w:eastAsia="Calibri" w:cs="Arial"/>
          <w:szCs w:val="22"/>
          <w:lang w:eastAsia="x-none"/>
        </w:rPr>
        <w:t>In constructing the midwifery Training Analysis Pipeline (TAP), the above discussed transition rates are used to estim</w:t>
      </w:r>
      <w:r w:rsidR="00ED2FDB">
        <w:rPr>
          <w:rFonts w:eastAsia="Calibri" w:cs="Arial"/>
          <w:szCs w:val="22"/>
          <w:lang w:eastAsia="x-none"/>
        </w:rPr>
        <w:t xml:space="preserve">ate the future pipeline. </w:t>
      </w:r>
      <w:r w:rsidR="00AA3E45">
        <w:rPr>
          <w:rFonts w:eastAsia="Calibri" w:cs="Arial"/>
          <w:szCs w:val="22"/>
          <w:lang w:eastAsia="x-none"/>
        </w:rPr>
        <w:t>Figure 19</w:t>
      </w:r>
      <w:r w:rsidRPr="00826C99">
        <w:rPr>
          <w:rFonts w:eastAsia="Calibri" w:cs="Arial"/>
          <w:szCs w:val="22"/>
          <w:lang w:eastAsia="x-none"/>
        </w:rPr>
        <w:t xml:space="preserve"> outlines the students commencing, continuing and completing training and projecting the historical trends forward. </w:t>
      </w:r>
      <w:r w:rsidRPr="00826C99">
        <w:rPr>
          <w:rFonts w:eastAsia="Calibri" w:cs="Arial"/>
          <w:szCs w:val="22"/>
          <w:lang w:val="en-US"/>
        </w:rPr>
        <w:t>The basis for conducting the TAP is to establish the inflows in the supply and demand workforce projections.</w:t>
      </w:r>
    </w:p>
    <w:p w:rsidR="007968C4" w:rsidRPr="007515FE" w:rsidRDefault="007515FE" w:rsidP="007515FE">
      <w:pPr>
        <w:spacing w:after="120"/>
        <w:rPr>
          <w:i/>
          <w:color w:val="954ECA"/>
          <w:sz w:val="20"/>
          <w:szCs w:val="20"/>
        </w:rPr>
      </w:pPr>
      <w:bookmarkStart w:id="121" w:name="_Toc532473575"/>
      <w:bookmarkStart w:id="122" w:name="_Toc1722571"/>
      <w:bookmarkStart w:id="123" w:name="_Toc1724695"/>
      <w:bookmarkStart w:id="124" w:name="_Toc1725013"/>
      <w:r w:rsidRPr="007515FE">
        <w:rPr>
          <w:i/>
          <w:color w:val="954ECA"/>
          <w:sz w:val="20"/>
          <w:szCs w:val="20"/>
        </w:rPr>
        <w:lastRenderedPageBreak/>
        <w:t>Figure 19a: Midwifery TAP, 2012 – 20</w:t>
      </w:r>
      <w:bookmarkEnd w:id="121"/>
      <w:bookmarkEnd w:id="122"/>
      <w:bookmarkEnd w:id="123"/>
      <w:bookmarkEnd w:id="124"/>
      <w:r w:rsidRPr="007515FE">
        <w:rPr>
          <w:i/>
          <w:color w:val="954ECA"/>
          <w:sz w:val="20"/>
          <w:szCs w:val="20"/>
        </w:rPr>
        <w:t>17</w:t>
      </w:r>
      <w:r>
        <w:rPr>
          <w:i/>
          <w:color w:val="954ECA"/>
          <w:sz w:val="20"/>
          <w:szCs w:val="20"/>
        </w:rPr>
        <w:t xml:space="preserve"> – Historical data</w:t>
      </w:r>
    </w:p>
    <w:tbl>
      <w:tblPr>
        <w:tblStyle w:val="TableGrid"/>
        <w:tblW w:w="0" w:type="auto"/>
        <w:tblLayout w:type="fixed"/>
        <w:tblLook w:val="04A0" w:firstRow="1" w:lastRow="0" w:firstColumn="1" w:lastColumn="0" w:noHBand="0" w:noVBand="1"/>
        <w:tblCaption w:val="Figure 19a: Midwifery TAP, 2012 – 2017 – Historical data"/>
        <w:tblDescription w:val="This figure outlines the Midwife Training Analysis Pipeline for students commencing, continuing and completing training.  The number of commencements increased from 1,488 in 2012 to 1,866 in 2017.  The number of continuing students increased from 1,918 in 2012 to 3,000 in 2017.  The number of student completions increased from 815 in 2012 to 1,330 in 2017.  The number of new migrants increased from 19 in 2012 to 28 in 2017.  The number of new entrants (students and migrants) increased from 794 in 2013 to 1,212 in 2017."/>
      </w:tblPr>
      <w:tblGrid>
        <w:gridCol w:w="3541"/>
        <w:gridCol w:w="1702"/>
        <w:gridCol w:w="1702"/>
        <w:gridCol w:w="1702"/>
        <w:gridCol w:w="1702"/>
        <w:gridCol w:w="1702"/>
        <w:gridCol w:w="1696"/>
      </w:tblGrid>
      <w:tr w:rsidR="003B3489" w:rsidTr="00F92344">
        <w:trPr>
          <w:tblHeader/>
        </w:trPr>
        <w:tc>
          <w:tcPr>
            <w:tcW w:w="3541" w:type="dxa"/>
            <w:shd w:val="clear" w:color="auto" w:fill="7030A0"/>
          </w:tcPr>
          <w:p w:rsidR="002A750C" w:rsidRDefault="002A750C" w:rsidP="002A750C"/>
        </w:tc>
        <w:tc>
          <w:tcPr>
            <w:tcW w:w="1702" w:type="dxa"/>
            <w:shd w:val="clear" w:color="auto" w:fill="7030A0"/>
            <w:vAlign w:val="bottom"/>
          </w:tcPr>
          <w:p w:rsidR="002A750C" w:rsidRPr="00AC5B85" w:rsidRDefault="002A750C" w:rsidP="002A750C">
            <w:pPr>
              <w:jc w:val="center"/>
              <w:rPr>
                <w:rFonts w:cs="Arial"/>
                <w:b/>
                <w:color w:val="FFFFFF"/>
                <w:sz w:val="18"/>
                <w:szCs w:val="18"/>
              </w:rPr>
            </w:pPr>
            <w:r w:rsidRPr="00AC5B85">
              <w:rPr>
                <w:rFonts w:cs="Arial"/>
                <w:b/>
                <w:color w:val="FFFFFF"/>
                <w:sz w:val="18"/>
                <w:szCs w:val="18"/>
              </w:rPr>
              <w:t>2012</w:t>
            </w:r>
          </w:p>
        </w:tc>
        <w:tc>
          <w:tcPr>
            <w:tcW w:w="1702" w:type="dxa"/>
            <w:shd w:val="clear" w:color="auto" w:fill="7030A0"/>
            <w:vAlign w:val="bottom"/>
          </w:tcPr>
          <w:p w:rsidR="002A750C" w:rsidRPr="00AC5B85" w:rsidRDefault="002A750C" w:rsidP="002A750C">
            <w:pPr>
              <w:jc w:val="center"/>
              <w:rPr>
                <w:rFonts w:cs="Arial"/>
                <w:b/>
                <w:color w:val="FFFFFF"/>
                <w:sz w:val="18"/>
                <w:szCs w:val="18"/>
              </w:rPr>
            </w:pPr>
            <w:r w:rsidRPr="00AC5B85">
              <w:rPr>
                <w:rFonts w:cs="Arial"/>
                <w:b/>
                <w:color w:val="FFFFFF"/>
                <w:sz w:val="18"/>
                <w:szCs w:val="18"/>
              </w:rPr>
              <w:t>2013</w:t>
            </w:r>
          </w:p>
        </w:tc>
        <w:tc>
          <w:tcPr>
            <w:tcW w:w="1702" w:type="dxa"/>
            <w:shd w:val="clear" w:color="auto" w:fill="7030A0"/>
            <w:vAlign w:val="bottom"/>
          </w:tcPr>
          <w:p w:rsidR="002A750C" w:rsidRPr="00AC5B85" w:rsidRDefault="002A750C" w:rsidP="002A750C">
            <w:pPr>
              <w:jc w:val="center"/>
              <w:rPr>
                <w:rFonts w:cs="Arial"/>
                <w:b/>
                <w:color w:val="FFFFFF"/>
                <w:sz w:val="18"/>
                <w:szCs w:val="18"/>
              </w:rPr>
            </w:pPr>
            <w:r w:rsidRPr="00AC5B85">
              <w:rPr>
                <w:rFonts w:cs="Arial"/>
                <w:b/>
                <w:color w:val="FFFFFF"/>
                <w:sz w:val="18"/>
                <w:szCs w:val="18"/>
              </w:rPr>
              <w:t>2014</w:t>
            </w:r>
          </w:p>
        </w:tc>
        <w:tc>
          <w:tcPr>
            <w:tcW w:w="1702" w:type="dxa"/>
            <w:shd w:val="clear" w:color="auto" w:fill="7030A0"/>
            <w:vAlign w:val="bottom"/>
          </w:tcPr>
          <w:p w:rsidR="002A750C" w:rsidRPr="00AC5B85" w:rsidRDefault="002A750C" w:rsidP="002A750C">
            <w:pPr>
              <w:jc w:val="center"/>
              <w:rPr>
                <w:rFonts w:cs="Arial"/>
                <w:b/>
                <w:color w:val="FFFFFF"/>
                <w:sz w:val="18"/>
                <w:szCs w:val="18"/>
              </w:rPr>
            </w:pPr>
            <w:r w:rsidRPr="00AC5B85">
              <w:rPr>
                <w:rFonts w:cs="Arial"/>
                <w:b/>
                <w:color w:val="FFFFFF"/>
                <w:sz w:val="18"/>
                <w:szCs w:val="18"/>
              </w:rPr>
              <w:t>2015</w:t>
            </w:r>
          </w:p>
        </w:tc>
        <w:tc>
          <w:tcPr>
            <w:tcW w:w="1702" w:type="dxa"/>
            <w:shd w:val="clear" w:color="auto" w:fill="7030A0"/>
            <w:vAlign w:val="bottom"/>
          </w:tcPr>
          <w:p w:rsidR="002A750C" w:rsidRPr="00AC5B85" w:rsidRDefault="0078723F" w:rsidP="002A750C">
            <w:pPr>
              <w:jc w:val="center"/>
              <w:rPr>
                <w:rFonts w:cs="Arial"/>
                <w:b/>
                <w:color w:val="FFFFFF"/>
                <w:sz w:val="18"/>
                <w:szCs w:val="18"/>
              </w:rPr>
            </w:pPr>
            <w:r>
              <w:rPr>
                <w:rFonts w:cs="Arial"/>
                <w:b/>
                <w:color w:val="FFFFFF"/>
                <w:sz w:val="18"/>
                <w:szCs w:val="18"/>
              </w:rPr>
              <w:t>2016</w:t>
            </w:r>
          </w:p>
        </w:tc>
        <w:tc>
          <w:tcPr>
            <w:tcW w:w="1696" w:type="dxa"/>
            <w:shd w:val="clear" w:color="auto" w:fill="7030A0"/>
            <w:vAlign w:val="bottom"/>
          </w:tcPr>
          <w:p w:rsidR="002A750C" w:rsidRPr="00AC5B85" w:rsidRDefault="002A750C" w:rsidP="002A750C">
            <w:pPr>
              <w:jc w:val="center"/>
              <w:rPr>
                <w:rFonts w:cs="Arial"/>
                <w:b/>
                <w:color w:val="FFFFFF"/>
                <w:sz w:val="18"/>
                <w:szCs w:val="18"/>
              </w:rPr>
            </w:pPr>
            <w:r w:rsidRPr="00AC5B85">
              <w:rPr>
                <w:rFonts w:cs="Arial"/>
                <w:b/>
                <w:color w:val="FFFFFF"/>
                <w:sz w:val="18"/>
                <w:szCs w:val="18"/>
              </w:rPr>
              <w:t>2017</w:t>
            </w:r>
          </w:p>
        </w:tc>
      </w:tr>
      <w:tr w:rsidR="003B3489" w:rsidTr="003B3489">
        <w:tc>
          <w:tcPr>
            <w:tcW w:w="3541" w:type="dxa"/>
            <w:shd w:val="clear" w:color="auto" w:fill="auto"/>
            <w:vAlign w:val="bottom"/>
          </w:tcPr>
          <w:p w:rsidR="002A750C" w:rsidRPr="00AC5B85" w:rsidRDefault="002A750C" w:rsidP="002A750C">
            <w:pPr>
              <w:rPr>
                <w:rFonts w:cs="Arial"/>
                <w:b/>
                <w:bCs/>
                <w:color w:val="000000"/>
                <w:sz w:val="18"/>
                <w:szCs w:val="18"/>
              </w:rPr>
            </w:pPr>
            <w:r w:rsidRPr="00AC5B85">
              <w:rPr>
                <w:rFonts w:cs="Arial"/>
                <w:b/>
                <w:bCs/>
                <w:color w:val="000000"/>
                <w:sz w:val="18"/>
                <w:szCs w:val="18"/>
              </w:rPr>
              <w:t>Commencements</w:t>
            </w:r>
          </w:p>
        </w:tc>
        <w:tc>
          <w:tcPr>
            <w:tcW w:w="1702" w:type="dxa"/>
            <w:vAlign w:val="bottom"/>
          </w:tcPr>
          <w:p w:rsidR="002A750C" w:rsidRPr="00AC5B85" w:rsidRDefault="002A750C" w:rsidP="002A750C">
            <w:pPr>
              <w:jc w:val="center"/>
              <w:rPr>
                <w:rFonts w:cs="Arial"/>
                <w:b/>
                <w:bCs/>
                <w:color w:val="000000"/>
                <w:sz w:val="18"/>
                <w:szCs w:val="18"/>
              </w:rPr>
            </w:pPr>
            <w:r w:rsidRPr="00AC5B85">
              <w:rPr>
                <w:rFonts w:cs="Arial"/>
                <w:b/>
                <w:bCs/>
                <w:color w:val="000000"/>
                <w:sz w:val="18"/>
                <w:szCs w:val="18"/>
              </w:rPr>
              <w:t>1,488</w:t>
            </w:r>
          </w:p>
        </w:tc>
        <w:tc>
          <w:tcPr>
            <w:tcW w:w="1702" w:type="dxa"/>
            <w:vAlign w:val="bottom"/>
          </w:tcPr>
          <w:p w:rsidR="002A750C" w:rsidRPr="00AC5B85" w:rsidRDefault="002A750C" w:rsidP="002A750C">
            <w:pPr>
              <w:jc w:val="center"/>
              <w:rPr>
                <w:rFonts w:cs="Arial"/>
                <w:b/>
                <w:bCs/>
                <w:color w:val="000000"/>
                <w:sz w:val="18"/>
                <w:szCs w:val="18"/>
              </w:rPr>
            </w:pPr>
            <w:r w:rsidRPr="00AC5B85">
              <w:rPr>
                <w:rFonts w:cs="Arial"/>
                <w:b/>
                <w:bCs/>
                <w:color w:val="000000"/>
                <w:sz w:val="18"/>
                <w:szCs w:val="18"/>
              </w:rPr>
              <w:t>1,750</w:t>
            </w:r>
          </w:p>
        </w:tc>
        <w:tc>
          <w:tcPr>
            <w:tcW w:w="1702" w:type="dxa"/>
            <w:vAlign w:val="bottom"/>
          </w:tcPr>
          <w:p w:rsidR="002A750C" w:rsidRPr="00AC5B85" w:rsidRDefault="002A750C" w:rsidP="002A750C">
            <w:pPr>
              <w:jc w:val="center"/>
              <w:rPr>
                <w:rFonts w:cs="Arial"/>
                <w:b/>
                <w:bCs/>
                <w:color w:val="000000"/>
                <w:sz w:val="18"/>
                <w:szCs w:val="18"/>
              </w:rPr>
            </w:pPr>
            <w:r w:rsidRPr="00AC5B85">
              <w:rPr>
                <w:rFonts w:cs="Arial"/>
                <w:b/>
                <w:bCs/>
                <w:color w:val="000000"/>
                <w:sz w:val="18"/>
                <w:szCs w:val="18"/>
              </w:rPr>
              <w:t>1,926</w:t>
            </w:r>
          </w:p>
        </w:tc>
        <w:tc>
          <w:tcPr>
            <w:tcW w:w="1702" w:type="dxa"/>
            <w:vAlign w:val="bottom"/>
          </w:tcPr>
          <w:p w:rsidR="002A750C" w:rsidRPr="00AC5B85" w:rsidRDefault="002A750C" w:rsidP="002A750C">
            <w:pPr>
              <w:jc w:val="center"/>
              <w:rPr>
                <w:rFonts w:cs="Arial"/>
                <w:b/>
                <w:bCs/>
                <w:color w:val="000000"/>
                <w:sz w:val="18"/>
                <w:szCs w:val="18"/>
              </w:rPr>
            </w:pPr>
            <w:r w:rsidRPr="00AC5B85">
              <w:rPr>
                <w:rFonts w:cs="Arial"/>
                <w:b/>
                <w:bCs/>
                <w:color w:val="000000"/>
                <w:sz w:val="18"/>
                <w:szCs w:val="18"/>
              </w:rPr>
              <w:t>1,793</w:t>
            </w:r>
          </w:p>
        </w:tc>
        <w:tc>
          <w:tcPr>
            <w:tcW w:w="1702" w:type="dxa"/>
            <w:vAlign w:val="bottom"/>
          </w:tcPr>
          <w:p w:rsidR="002A750C" w:rsidRPr="00AC5B85" w:rsidRDefault="002A750C" w:rsidP="002A750C">
            <w:pPr>
              <w:jc w:val="center"/>
              <w:rPr>
                <w:rFonts w:cs="Arial"/>
                <w:b/>
                <w:bCs/>
                <w:color w:val="000000"/>
                <w:sz w:val="18"/>
                <w:szCs w:val="18"/>
              </w:rPr>
            </w:pPr>
            <w:r w:rsidRPr="00AC5B85">
              <w:rPr>
                <w:rFonts w:cs="Arial"/>
                <w:b/>
                <w:bCs/>
                <w:color w:val="000000"/>
                <w:sz w:val="18"/>
                <w:szCs w:val="18"/>
              </w:rPr>
              <w:t>1,829</w:t>
            </w:r>
          </w:p>
        </w:tc>
        <w:tc>
          <w:tcPr>
            <w:tcW w:w="1696" w:type="dxa"/>
            <w:vAlign w:val="bottom"/>
          </w:tcPr>
          <w:p w:rsidR="002A750C" w:rsidRPr="00AC5B85" w:rsidRDefault="002A750C" w:rsidP="002A750C">
            <w:pPr>
              <w:jc w:val="center"/>
              <w:rPr>
                <w:rFonts w:cs="Arial"/>
                <w:b/>
                <w:bCs/>
                <w:color w:val="000000"/>
                <w:sz w:val="18"/>
                <w:szCs w:val="18"/>
              </w:rPr>
            </w:pPr>
            <w:r w:rsidRPr="00AC5B85">
              <w:rPr>
                <w:rFonts w:cs="Arial"/>
                <w:b/>
                <w:bCs/>
                <w:color w:val="000000"/>
                <w:sz w:val="18"/>
                <w:szCs w:val="18"/>
              </w:rPr>
              <w:t>1,866</w:t>
            </w:r>
          </w:p>
        </w:tc>
      </w:tr>
      <w:tr w:rsidR="003B3489" w:rsidTr="003B3489">
        <w:tc>
          <w:tcPr>
            <w:tcW w:w="3541" w:type="dxa"/>
            <w:shd w:val="clear" w:color="auto" w:fill="auto"/>
            <w:vAlign w:val="bottom"/>
          </w:tcPr>
          <w:p w:rsidR="002A750C" w:rsidRPr="00AC5B85" w:rsidRDefault="002A750C" w:rsidP="002A750C">
            <w:pPr>
              <w:rPr>
                <w:rFonts w:cs="Arial"/>
                <w:i/>
                <w:color w:val="000000"/>
                <w:sz w:val="18"/>
                <w:szCs w:val="18"/>
              </w:rPr>
            </w:pPr>
            <w:r w:rsidRPr="00AC5B85">
              <w:rPr>
                <w:rFonts w:cs="Arial"/>
                <w:i/>
                <w:color w:val="000000"/>
                <w:sz w:val="18"/>
                <w:szCs w:val="18"/>
              </w:rPr>
              <w:t>Bachelor (3 years)</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867</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955</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1,035</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1,002</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1,024</w:t>
            </w:r>
          </w:p>
        </w:tc>
        <w:tc>
          <w:tcPr>
            <w:tcW w:w="1696" w:type="dxa"/>
            <w:vAlign w:val="bottom"/>
          </w:tcPr>
          <w:p w:rsidR="002A750C" w:rsidRPr="00AC5B85" w:rsidRDefault="00B616DB" w:rsidP="002A750C">
            <w:pPr>
              <w:jc w:val="center"/>
              <w:rPr>
                <w:rFonts w:cs="Arial"/>
                <w:i/>
                <w:color w:val="000000"/>
                <w:sz w:val="18"/>
                <w:szCs w:val="18"/>
              </w:rPr>
            </w:pPr>
            <w:r>
              <w:rPr>
                <w:rFonts w:cs="Arial"/>
                <w:i/>
                <w:color w:val="000000"/>
                <w:sz w:val="18"/>
                <w:szCs w:val="18"/>
              </w:rPr>
              <w:t>1,044</w:t>
            </w:r>
          </w:p>
        </w:tc>
      </w:tr>
      <w:tr w:rsidR="003B3489" w:rsidTr="003B3489">
        <w:tc>
          <w:tcPr>
            <w:tcW w:w="3541" w:type="dxa"/>
            <w:shd w:val="clear" w:color="auto" w:fill="auto"/>
            <w:vAlign w:val="bottom"/>
          </w:tcPr>
          <w:p w:rsidR="002A750C" w:rsidRPr="00AC5B85" w:rsidRDefault="002A750C" w:rsidP="002A750C">
            <w:pPr>
              <w:rPr>
                <w:rFonts w:cs="Arial"/>
                <w:i/>
                <w:color w:val="000000"/>
                <w:sz w:val="18"/>
                <w:szCs w:val="18"/>
              </w:rPr>
            </w:pPr>
            <w:r w:rsidRPr="00AC5B85">
              <w:rPr>
                <w:rFonts w:cs="Arial"/>
                <w:i/>
                <w:color w:val="000000"/>
                <w:sz w:val="18"/>
                <w:szCs w:val="18"/>
              </w:rPr>
              <w:t>Dual (4 years)</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244</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457</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458</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353</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366</w:t>
            </w:r>
          </w:p>
        </w:tc>
        <w:tc>
          <w:tcPr>
            <w:tcW w:w="1696"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370</w:t>
            </w:r>
          </w:p>
        </w:tc>
      </w:tr>
      <w:tr w:rsidR="003B3489" w:rsidTr="003B3489">
        <w:tc>
          <w:tcPr>
            <w:tcW w:w="3541" w:type="dxa"/>
            <w:shd w:val="clear" w:color="auto" w:fill="auto"/>
            <w:vAlign w:val="bottom"/>
          </w:tcPr>
          <w:p w:rsidR="002A750C" w:rsidRPr="00AC5B85" w:rsidRDefault="002A750C" w:rsidP="002A750C">
            <w:pPr>
              <w:rPr>
                <w:rFonts w:cs="Arial"/>
                <w:i/>
                <w:color w:val="000000"/>
                <w:sz w:val="18"/>
                <w:szCs w:val="18"/>
              </w:rPr>
            </w:pPr>
            <w:r w:rsidRPr="00AC5B85">
              <w:rPr>
                <w:rFonts w:cs="Arial"/>
                <w:i/>
                <w:color w:val="000000"/>
                <w:sz w:val="18"/>
                <w:szCs w:val="18"/>
              </w:rPr>
              <w:t>Grad Cert (1 year)</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127</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77</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26</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16</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11</w:t>
            </w:r>
          </w:p>
        </w:tc>
        <w:tc>
          <w:tcPr>
            <w:tcW w:w="1696"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11</w:t>
            </w:r>
          </w:p>
        </w:tc>
      </w:tr>
      <w:tr w:rsidR="003B3489" w:rsidTr="003B3489">
        <w:tc>
          <w:tcPr>
            <w:tcW w:w="3541" w:type="dxa"/>
            <w:shd w:val="clear" w:color="auto" w:fill="auto"/>
            <w:vAlign w:val="bottom"/>
          </w:tcPr>
          <w:p w:rsidR="002A750C" w:rsidRPr="00AC5B85" w:rsidRDefault="002A750C" w:rsidP="002A750C">
            <w:pPr>
              <w:rPr>
                <w:rFonts w:cs="Arial"/>
                <w:i/>
                <w:color w:val="000000"/>
                <w:sz w:val="18"/>
                <w:szCs w:val="18"/>
              </w:rPr>
            </w:pPr>
            <w:r w:rsidRPr="00AC5B85">
              <w:rPr>
                <w:rFonts w:cs="Arial"/>
                <w:i/>
                <w:color w:val="000000"/>
                <w:sz w:val="18"/>
                <w:szCs w:val="18"/>
              </w:rPr>
              <w:t>Grad Dip (1.5 years)</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250</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261</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407</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422</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428</w:t>
            </w:r>
          </w:p>
        </w:tc>
        <w:tc>
          <w:tcPr>
            <w:tcW w:w="1696"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440</w:t>
            </w:r>
          </w:p>
        </w:tc>
      </w:tr>
      <w:tr w:rsidR="003B3489" w:rsidTr="003B3489">
        <w:tc>
          <w:tcPr>
            <w:tcW w:w="3541" w:type="dxa"/>
            <w:shd w:val="clear" w:color="auto" w:fill="auto"/>
            <w:vAlign w:val="bottom"/>
          </w:tcPr>
          <w:p w:rsidR="002A750C" w:rsidRPr="00AC5B85" w:rsidRDefault="002A750C" w:rsidP="002A750C">
            <w:pPr>
              <w:rPr>
                <w:rFonts w:cs="Arial"/>
                <w:b/>
                <w:bCs/>
                <w:color w:val="000000"/>
                <w:sz w:val="18"/>
                <w:szCs w:val="18"/>
              </w:rPr>
            </w:pPr>
            <w:r w:rsidRPr="00AC5B85">
              <w:rPr>
                <w:rFonts w:cs="Arial"/>
                <w:b/>
                <w:bCs/>
                <w:color w:val="000000"/>
                <w:sz w:val="18"/>
                <w:szCs w:val="18"/>
              </w:rPr>
              <w:t>Continuing</w:t>
            </w:r>
          </w:p>
        </w:tc>
        <w:tc>
          <w:tcPr>
            <w:tcW w:w="1702" w:type="dxa"/>
            <w:vAlign w:val="bottom"/>
          </w:tcPr>
          <w:p w:rsidR="002A750C" w:rsidRPr="00AC5B85" w:rsidRDefault="002A750C" w:rsidP="002A750C">
            <w:pPr>
              <w:jc w:val="center"/>
              <w:rPr>
                <w:rFonts w:cs="Arial"/>
                <w:b/>
                <w:bCs/>
                <w:color w:val="000000"/>
                <w:sz w:val="18"/>
                <w:szCs w:val="18"/>
              </w:rPr>
            </w:pPr>
            <w:r w:rsidRPr="00AC5B85">
              <w:rPr>
                <w:rFonts w:cs="Arial"/>
                <w:b/>
                <w:bCs/>
                <w:color w:val="000000"/>
                <w:sz w:val="18"/>
                <w:szCs w:val="18"/>
              </w:rPr>
              <w:t>1,918</w:t>
            </w:r>
          </w:p>
        </w:tc>
        <w:tc>
          <w:tcPr>
            <w:tcW w:w="1702" w:type="dxa"/>
            <w:vAlign w:val="bottom"/>
          </w:tcPr>
          <w:p w:rsidR="002A750C" w:rsidRPr="00AC5B85" w:rsidRDefault="002A750C" w:rsidP="002A750C">
            <w:pPr>
              <w:jc w:val="center"/>
              <w:rPr>
                <w:rFonts w:cs="Arial"/>
                <w:b/>
                <w:bCs/>
                <w:color w:val="000000"/>
                <w:sz w:val="18"/>
                <w:szCs w:val="18"/>
              </w:rPr>
            </w:pPr>
            <w:r w:rsidRPr="00AC5B85">
              <w:rPr>
                <w:rFonts w:cs="Arial"/>
                <w:b/>
                <w:bCs/>
                <w:color w:val="000000"/>
                <w:sz w:val="18"/>
                <w:szCs w:val="18"/>
              </w:rPr>
              <w:t>2,146</w:t>
            </w:r>
          </w:p>
        </w:tc>
        <w:tc>
          <w:tcPr>
            <w:tcW w:w="1702" w:type="dxa"/>
            <w:vAlign w:val="bottom"/>
          </w:tcPr>
          <w:p w:rsidR="002A750C" w:rsidRPr="00AC5B85" w:rsidRDefault="002A750C" w:rsidP="002A750C">
            <w:pPr>
              <w:jc w:val="center"/>
              <w:rPr>
                <w:rFonts w:cs="Arial"/>
                <w:b/>
                <w:bCs/>
                <w:color w:val="000000"/>
                <w:sz w:val="18"/>
                <w:szCs w:val="18"/>
              </w:rPr>
            </w:pPr>
            <w:r w:rsidRPr="00AC5B85">
              <w:rPr>
                <w:rFonts w:cs="Arial"/>
                <w:b/>
                <w:bCs/>
                <w:color w:val="000000"/>
                <w:sz w:val="18"/>
                <w:szCs w:val="18"/>
              </w:rPr>
              <w:t>2,516</w:t>
            </w:r>
          </w:p>
        </w:tc>
        <w:tc>
          <w:tcPr>
            <w:tcW w:w="1702" w:type="dxa"/>
            <w:vAlign w:val="bottom"/>
          </w:tcPr>
          <w:p w:rsidR="002A750C" w:rsidRPr="00AC5B85" w:rsidRDefault="002A750C" w:rsidP="002A750C">
            <w:pPr>
              <w:jc w:val="center"/>
              <w:rPr>
                <w:rFonts w:cs="Arial"/>
                <w:b/>
                <w:bCs/>
                <w:color w:val="000000"/>
                <w:sz w:val="18"/>
                <w:szCs w:val="18"/>
              </w:rPr>
            </w:pPr>
            <w:r w:rsidRPr="00AC5B85">
              <w:rPr>
                <w:rFonts w:cs="Arial"/>
                <w:b/>
                <w:bCs/>
                <w:color w:val="000000"/>
                <w:sz w:val="18"/>
                <w:szCs w:val="18"/>
              </w:rPr>
              <w:t>2,803</w:t>
            </w:r>
          </w:p>
        </w:tc>
        <w:tc>
          <w:tcPr>
            <w:tcW w:w="1702" w:type="dxa"/>
            <w:vAlign w:val="bottom"/>
          </w:tcPr>
          <w:p w:rsidR="002A750C" w:rsidRPr="00AC5B85" w:rsidRDefault="002A750C" w:rsidP="002A750C">
            <w:pPr>
              <w:jc w:val="center"/>
              <w:rPr>
                <w:rFonts w:cs="Arial"/>
                <w:b/>
                <w:bCs/>
                <w:color w:val="000000"/>
                <w:sz w:val="18"/>
                <w:szCs w:val="18"/>
              </w:rPr>
            </w:pPr>
            <w:r w:rsidRPr="00AC5B85">
              <w:rPr>
                <w:rFonts w:cs="Arial"/>
                <w:b/>
                <w:bCs/>
                <w:color w:val="000000"/>
                <w:sz w:val="18"/>
                <w:szCs w:val="18"/>
              </w:rPr>
              <w:t>3,044</w:t>
            </w:r>
          </w:p>
        </w:tc>
        <w:tc>
          <w:tcPr>
            <w:tcW w:w="1696" w:type="dxa"/>
            <w:vAlign w:val="bottom"/>
          </w:tcPr>
          <w:p w:rsidR="002A750C" w:rsidRPr="00AC5B85" w:rsidRDefault="002A750C" w:rsidP="002A750C">
            <w:pPr>
              <w:jc w:val="center"/>
              <w:rPr>
                <w:rFonts w:cs="Arial"/>
                <w:b/>
                <w:bCs/>
                <w:color w:val="000000"/>
                <w:sz w:val="18"/>
                <w:szCs w:val="18"/>
              </w:rPr>
            </w:pPr>
            <w:r w:rsidRPr="00AC5B85">
              <w:rPr>
                <w:rFonts w:cs="Arial"/>
                <w:b/>
                <w:bCs/>
                <w:color w:val="000000"/>
                <w:sz w:val="18"/>
                <w:szCs w:val="18"/>
              </w:rPr>
              <w:t>3,000</w:t>
            </w:r>
          </w:p>
        </w:tc>
      </w:tr>
      <w:tr w:rsidR="003B3489" w:rsidTr="003B3489">
        <w:tc>
          <w:tcPr>
            <w:tcW w:w="3541" w:type="dxa"/>
            <w:shd w:val="clear" w:color="auto" w:fill="auto"/>
            <w:vAlign w:val="bottom"/>
          </w:tcPr>
          <w:p w:rsidR="002A750C" w:rsidRPr="00AC5B85" w:rsidRDefault="002A750C" w:rsidP="002A750C">
            <w:pPr>
              <w:rPr>
                <w:rFonts w:cs="Arial"/>
                <w:b/>
                <w:bCs/>
                <w:color w:val="000000"/>
                <w:sz w:val="18"/>
                <w:szCs w:val="18"/>
              </w:rPr>
            </w:pPr>
            <w:r w:rsidRPr="00AC5B85">
              <w:rPr>
                <w:rFonts w:cs="Arial"/>
                <w:b/>
                <w:bCs/>
                <w:color w:val="000000"/>
                <w:sz w:val="18"/>
                <w:szCs w:val="18"/>
              </w:rPr>
              <w:t>Completions</w:t>
            </w:r>
          </w:p>
        </w:tc>
        <w:tc>
          <w:tcPr>
            <w:tcW w:w="1702" w:type="dxa"/>
            <w:vAlign w:val="bottom"/>
          </w:tcPr>
          <w:p w:rsidR="002A750C" w:rsidRPr="00AC5B85" w:rsidRDefault="002A750C" w:rsidP="002A750C">
            <w:pPr>
              <w:jc w:val="center"/>
              <w:rPr>
                <w:rFonts w:cs="Arial"/>
                <w:b/>
                <w:bCs/>
                <w:color w:val="000000"/>
                <w:sz w:val="18"/>
                <w:szCs w:val="18"/>
              </w:rPr>
            </w:pPr>
            <w:r w:rsidRPr="00AC5B85">
              <w:rPr>
                <w:rFonts w:cs="Arial"/>
                <w:b/>
                <w:bCs/>
                <w:color w:val="000000"/>
                <w:sz w:val="18"/>
                <w:szCs w:val="18"/>
              </w:rPr>
              <w:t>815</w:t>
            </w:r>
          </w:p>
        </w:tc>
        <w:tc>
          <w:tcPr>
            <w:tcW w:w="1702" w:type="dxa"/>
            <w:vAlign w:val="bottom"/>
          </w:tcPr>
          <w:p w:rsidR="002A750C" w:rsidRPr="00AC5B85" w:rsidRDefault="002A750C" w:rsidP="002A750C">
            <w:pPr>
              <w:jc w:val="center"/>
              <w:rPr>
                <w:rFonts w:cs="Arial"/>
                <w:b/>
                <w:bCs/>
                <w:color w:val="000000"/>
                <w:sz w:val="18"/>
                <w:szCs w:val="18"/>
              </w:rPr>
            </w:pPr>
            <w:r w:rsidRPr="00AC5B85">
              <w:rPr>
                <w:rFonts w:cs="Arial"/>
                <w:b/>
                <w:bCs/>
                <w:color w:val="000000"/>
                <w:sz w:val="18"/>
                <w:szCs w:val="18"/>
              </w:rPr>
              <w:t>840</w:t>
            </w:r>
          </w:p>
        </w:tc>
        <w:tc>
          <w:tcPr>
            <w:tcW w:w="1702" w:type="dxa"/>
            <w:vAlign w:val="bottom"/>
          </w:tcPr>
          <w:p w:rsidR="002A750C" w:rsidRPr="00AC5B85" w:rsidRDefault="002A750C" w:rsidP="002A750C">
            <w:pPr>
              <w:jc w:val="center"/>
              <w:rPr>
                <w:rFonts w:cs="Arial"/>
                <w:b/>
                <w:bCs/>
                <w:color w:val="000000"/>
                <w:sz w:val="18"/>
                <w:szCs w:val="18"/>
              </w:rPr>
            </w:pPr>
            <w:r w:rsidRPr="00AC5B85">
              <w:rPr>
                <w:rFonts w:cs="Arial"/>
                <w:b/>
                <w:bCs/>
                <w:color w:val="000000"/>
                <w:sz w:val="18"/>
                <w:szCs w:val="18"/>
              </w:rPr>
              <w:t>1,045</w:t>
            </w:r>
          </w:p>
        </w:tc>
        <w:tc>
          <w:tcPr>
            <w:tcW w:w="1702" w:type="dxa"/>
            <w:vAlign w:val="bottom"/>
          </w:tcPr>
          <w:p w:rsidR="002A750C" w:rsidRPr="00AC5B85" w:rsidRDefault="002A750C" w:rsidP="002A750C">
            <w:pPr>
              <w:jc w:val="center"/>
              <w:rPr>
                <w:rFonts w:cs="Arial"/>
                <w:b/>
                <w:bCs/>
                <w:color w:val="000000"/>
                <w:sz w:val="18"/>
                <w:szCs w:val="18"/>
              </w:rPr>
            </w:pPr>
            <w:r w:rsidRPr="00AC5B85">
              <w:rPr>
                <w:rFonts w:cs="Arial"/>
                <w:b/>
                <w:bCs/>
                <w:color w:val="000000"/>
                <w:sz w:val="18"/>
                <w:szCs w:val="18"/>
              </w:rPr>
              <w:t>990</w:t>
            </w:r>
          </w:p>
        </w:tc>
        <w:tc>
          <w:tcPr>
            <w:tcW w:w="1702" w:type="dxa"/>
            <w:vAlign w:val="bottom"/>
          </w:tcPr>
          <w:p w:rsidR="002A750C" w:rsidRPr="00AC5B85" w:rsidRDefault="002A750C" w:rsidP="002A750C">
            <w:pPr>
              <w:jc w:val="center"/>
              <w:rPr>
                <w:rFonts w:cs="Arial"/>
                <w:b/>
                <w:bCs/>
                <w:color w:val="000000"/>
                <w:sz w:val="18"/>
                <w:szCs w:val="18"/>
              </w:rPr>
            </w:pPr>
            <w:r w:rsidRPr="00AC5B85">
              <w:rPr>
                <w:rFonts w:cs="Arial"/>
                <w:b/>
                <w:bCs/>
                <w:color w:val="000000"/>
                <w:sz w:val="18"/>
                <w:szCs w:val="18"/>
              </w:rPr>
              <w:t>1,226</w:t>
            </w:r>
          </w:p>
        </w:tc>
        <w:tc>
          <w:tcPr>
            <w:tcW w:w="1696" w:type="dxa"/>
            <w:vAlign w:val="bottom"/>
          </w:tcPr>
          <w:p w:rsidR="002A750C" w:rsidRPr="00AC5B85" w:rsidRDefault="002A750C" w:rsidP="002A750C">
            <w:pPr>
              <w:jc w:val="center"/>
              <w:rPr>
                <w:rFonts w:cs="Arial"/>
                <w:b/>
                <w:bCs/>
                <w:color w:val="000000"/>
                <w:sz w:val="18"/>
                <w:szCs w:val="18"/>
              </w:rPr>
            </w:pPr>
            <w:r w:rsidRPr="00AC5B85">
              <w:rPr>
                <w:rFonts w:cs="Arial"/>
                <w:b/>
                <w:bCs/>
                <w:color w:val="000000"/>
                <w:sz w:val="18"/>
                <w:szCs w:val="18"/>
              </w:rPr>
              <w:t>1,330</w:t>
            </w:r>
          </w:p>
        </w:tc>
      </w:tr>
      <w:tr w:rsidR="003B3489" w:rsidTr="003B3489">
        <w:tc>
          <w:tcPr>
            <w:tcW w:w="3541" w:type="dxa"/>
            <w:shd w:val="clear" w:color="auto" w:fill="auto"/>
            <w:vAlign w:val="bottom"/>
          </w:tcPr>
          <w:p w:rsidR="002A750C" w:rsidRPr="00AC5B85" w:rsidRDefault="002A750C" w:rsidP="002A750C">
            <w:pPr>
              <w:rPr>
                <w:rFonts w:cs="Arial"/>
                <w:i/>
                <w:color w:val="000000"/>
                <w:sz w:val="18"/>
                <w:szCs w:val="18"/>
              </w:rPr>
            </w:pPr>
            <w:r w:rsidRPr="00AC5B85">
              <w:rPr>
                <w:rFonts w:cs="Arial"/>
                <w:i/>
                <w:color w:val="000000"/>
                <w:sz w:val="18"/>
                <w:szCs w:val="18"/>
              </w:rPr>
              <w:t>Bachelor (3 years)</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348</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407</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444</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457</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573</w:t>
            </w:r>
          </w:p>
        </w:tc>
        <w:tc>
          <w:tcPr>
            <w:tcW w:w="1696"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618</w:t>
            </w:r>
          </w:p>
        </w:tc>
      </w:tr>
      <w:tr w:rsidR="003B3489" w:rsidTr="003B3489">
        <w:tc>
          <w:tcPr>
            <w:tcW w:w="3541" w:type="dxa"/>
            <w:shd w:val="clear" w:color="auto" w:fill="auto"/>
            <w:vAlign w:val="bottom"/>
          </w:tcPr>
          <w:p w:rsidR="002A750C" w:rsidRPr="00AC5B85" w:rsidRDefault="002A750C" w:rsidP="002A750C">
            <w:pPr>
              <w:rPr>
                <w:rFonts w:cs="Arial"/>
                <w:i/>
                <w:color w:val="000000"/>
                <w:sz w:val="18"/>
                <w:szCs w:val="18"/>
              </w:rPr>
            </w:pPr>
            <w:r w:rsidRPr="00AC5B85">
              <w:rPr>
                <w:rFonts w:cs="Arial"/>
                <w:i/>
                <w:color w:val="000000"/>
                <w:sz w:val="18"/>
                <w:szCs w:val="18"/>
              </w:rPr>
              <w:t>Dual (4 years)</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193</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170</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193</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160</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279</w:t>
            </w:r>
          </w:p>
        </w:tc>
        <w:tc>
          <w:tcPr>
            <w:tcW w:w="1696"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264</w:t>
            </w:r>
          </w:p>
        </w:tc>
      </w:tr>
      <w:tr w:rsidR="003B3489" w:rsidTr="003B3489">
        <w:tc>
          <w:tcPr>
            <w:tcW w:w="3541" w:type="dxa"/>
            <w:shd w:val="clear" w:color="auto" w:fill="auto"/>
            <w:vAlign w:val="bottom"/>
          </w:tcPr>
          <w:p w:rsidR="002A750C" w:rsidRPr="00AC5B85" w:rsidRDefault="002A750C" w:rsidP="002A750C">
            <w:pPr>
              <w:rPr>
                <w:rFonts w:cs="Arial"/>
                <w:i/>
                <w:color w:val="000000"/>
                <w:sz w:val="18"/>
                <w:szCs w:val="18"/>
              </w:rPr>
            </w:pPr>
            <w:r w:rsidRPr="00AC5B85">
              <w:rPr>
                <w:rFonts w:cs="Arial"/>
                <w:i/>
                <w:color w:val="000000"/>
                <w:sz w:val="18"/>
                <w:szCs w:val="18"/>
              </w:rPr>
              <w:t>Grad Cert (1 year)</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33</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119</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31</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17</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8</w:t>
            </w:r>
          </w:p>
        </w:tc>
        <w:tc>
          <w:tcPr>
            <w:tcW w:w="1696"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10</w:t>
            </w:r>
          </w:p>
        </w:tc>
      </w:tr>
      <w:tr w:rsidR="003B3489" w:rsidTr="003B3489">
        <w:tc>
          <w:tcPr>
            <w:tcW w:w="3541" w:type="dxa"/>
            <w:shd w:val="clear" w:color="auto" w:fill="auto"/>
            <w:vAlign w:val="bottom"/>
          </w:tcPr>
          <w:p w:rsidR="002A750C" w:rsidRPr="00AC5B85" w:rsidRDefault="002A750C" w:rsidP="002A750C">
            <w:pPr>
              <w:rPr>
                <w:rFonts w:cs="Arial"/>
                <w:i/>
                <w:color w:val="000000"/>
                <w:sz w:val="18"/>
                <w:szCs w:val="18"/>
              </w:rPr>
            </w:pPr>
            <w:r w:rsidRPr="00AC5B85">
              <w:rPr>
                <w:rFonts w:cs="Arial"/>
                <w:i/>
                <w:color w:val="000000"/>
                <w:sz w:val="18"/>
                <w:szCs w:val="18"/>
              </w:rPr>
              <w:t>Grad Dip (1.5 years)</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241</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144</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377</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356</w:t>
            </w:r>
          </w:p>
        </w:tc>
        <w:tc>
          <w:tcPr>
            <w:tcW w:w="1702"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366</w:t>
            </w:r>
          </w:p>
        </w:tc>
        <w:tc>
          <w:tcPr>
            <w:tcW w:w="1696" w:type="dxa"/>
            <w:vAlign w:val="bottom"/>
          </w:tcPr>
          <w:p w:rsidR="002A750C" w:rsidRPr="00AC5B85" w:rsidRDefault="002A750C" w:rsidP="002A750C">
            <w:pPr>
              <w:jc w:val="center"/>
              <w:rPr>
                <w:rFonts w:cs="Arial"/>
                <w:i/>
                <w:color w:val="000000"/>
                <w:sz w:val="18"/>
                <w:szCs w:val="18"/>
              </w:rPr>
            </w:pPr>
            <w:r w:rsidRPr="00AC5B85">
              <w:rPr>
                <w:rFonts w:cs="Arial"/>
                <w:i/>
                <w:color w:val="000000"/>
                <w:sz w:val="18"/>
                <w:szCs w:val="18"/>
              </w:rPr>
              <w:t>439</w:t>
            </w:r>
          </w:p>
        </w:tc>
      </w:tr>
      <w:tr w:rsidR="003B3489" w:rsidTr="003B3489">
        <w:tc>
          <w:tcPr>
            <w:tcW w:w="3541" w:type="dxa"/>
            <w:shd w:val="clear" w:color="auto" w:fill="auto"/>
            <w:vAlign w:val="bottom"/>
          </w:tcPr>
          <w:p w:rsidR="002A750C" w:rsidRPr="00AC5B85" w:rsidRDefault="002A750C" w:rsidP="002A750C">
            <w:pPr>
              <w:rPr>
                <w:rFonts w:cs="Arial"/>
                <w:b/>
                <w:bCs/>
                <w:color w:val="000000"/>
                <w:sz w:val="18"/>
                <w:szCs w:val="18"/>
              </w:rPr>
            </w:pPr>
            <w:r w:rsidRPr="00AC5B85">
              <w:rPr>
                <w:rFonts w:cs="Arial"/>
                <w:b/>
                <w:bCs/>
                <w:color w:val="000000"/>
                <w:sz w:val="18"/>
                <w:szCs w:val="18"/>
              </w:rPr>
              <w:t>New migrants</w:t>
            </w:r>
          </w:p>
        </w:tc>
        <w:tc>
          <w:tcPr>
            <w:tcW w:w="1702" w:type="dxa"/>
            <w:vAlign w:val="bottom"/>
          </w:tcPr>
          <w:p w:rsidR="002A750C" w:rsidRPr="00AC5B85" w:rsidRDefault="002A750C" w:rsidP="002A750C">
            <w:pPr>
              <w:jc w:val="center"/>
              <w:rPr>
                <w:rFonts w:cs="Arial"/>
                <w:b/>
                <w:bCs/>
                <w:color w:val="000000"/>
                <w:sz w:val="18"/>
                <w:szCs w:val="18"/>
              </w:rPr>
            </w:pPr>
            <w:r w:rsidRPr="00AC5B85">
              <w:rPr>
                <w:rFonts w:cs="Arial"/>
                <w:b/>
                <w:bCs/>
                <w:color w:val="000000"/>
                <w:sz w:val="18"/>
                <w:szCs w:val="18"/>
              </w:rPr>
              <w:t>19</w:t>
            </w:r>
          </w:p>
        </w:tc>
        <w:tc>
          <w:tcPr>
            <w:tcW w:w="1702" w:type="dxa"/>
            <w:vAlign w:val="bottom"/>
          </w:tcPr>
          <w:p w:rsidR="002A750C" w:rsidRPr="00AC5B85" w:rsidRDefault="002A750C" w:rsidP="002A750C">
            <w:pPr>
              <w:jc w:val="center"/>
              <w:rPr>
                <w:rFonts w:cs="Arial"/>
                <w:b/>
                <w:bCs/>
                <w:color w:val="000000"/>
                <w:sz w:val="18"/>
                <w:szCs w:val="18"/>
              </w:rPr>
            </w:pPr>
            <w:r w:rsidRPr="00AC5B85">
              <w:rPr>
                <w:rFonts w:cs="Arial"/>
                <w:b/>
                <w:bCs/>
                <w:color w:val="000000"/>
                <w:sz w:val="18"/>
                <w:szCs w:val="18"/>
              </w:rPr>
              <w:t>50</w:t>
            </w:r>
          </w:p>
        </w:tc>
        <w:tc>
          <w:tcPr>
            <w:tcW w:w="1702" w:type="dxa"/>
            <w:vAlign w:val="bottom"/>
          </w:tcPr>
          <w:p w:rsidR="002A750C" w:rsidRPr="00AC5B85" w:rsidRDefault="002A750C" w:rsidP="002A750C">
            <w:pPr>
              <w:jc w:val="center"/>
              <w:rPr>
                <w:rFonts w:cs="Arial"/>
                <w:b/>
                <w:bCs/>
                <w:color w:val="000000"/>
                <w:sz w:val="18"/>
                <w:szCs w:val="18"/>
              </w:rPr>
            </w:pPr>
            <w:r w:rsidRPr="00AC5B85">
              <w:rPr>
                <w:rFonts w:cs="Arial"/>
                <w:b/>
                <w:bCs/>
                <w:color w:val="000000"/>
                <w:sz w:val="18"/>
                <w:szCs w:val="18"/>
              </w:rPr>
              <w:t>14</w:t>
            </w:r>
          </w:p>
        </w:tc>
        <w:tc>
          <w:tcPr>
            <w:tcW w:w="1702" w:type="dxa"/>
            <w:vAlign w:val="bottom"/>
          </w:tcPr>
          <w:p w:rsidR="002A750C" w:rsidRPr="00AC5B85" w:rsidRDefault="002A750C" w:rsidP="002A750C">
            <w:pPr>
              <w:jc w:val="center"/>
              <w:rPr>
                <w:rFonts w:cs="Arial"/>
                <w:b/>
                <w:bCs/>
                <w:color w:val="000000"/>
                <w:sz w:val="18"/>
                <w:szCs w:val="18"/>
              </w:rPr>
            </w:pPr>
            <w:r w:rsidRPr="00AC5B85">
              <w:rPr>
                <w:rFonts w:cs="Arial"/>
                <w:b/>
                <w:bCs/>
                <w:color w:val="000000"/>
                <w:sz w:val="18"/>
                <w:szCs w:val="18"/>
              </w:rPr>
              <w:t>31</w:t>
            </w:r>
          </w:p>
        </w:tc>
        <w:tc>
          <w:tcPr>
            <w:tcW w:w="1702" w:type="dxa"/>
            <w:vAlign w:val="bottom"/>
          </w:tcPr>
          <w:p w:rsidR="002A750C" w:rsidRPr="00AC5B85" w:rsidRDefault="002A750C" w:rsidP="002A750C">
            <w:pPr>
              <w:jc w:val="center"/>
              <w:rPr>
                <w:rFonts w:cs="Arial"/>
                <w:b/>
                <w:bCs/>
                <w:color w:val="000000"/>
                <w:sz w:val="18"/>
                <w:szCs w:val="18"/>
              </w:rPr>
            </w:pPr>
            <w:r w:rsidRPr="00AC5B85">
              <w:rPr>
                <w:rFonts w:cs="Arial"/>
                <w:b/>
                <w:bCs/>
                <w:color w:val="000000"/>
                <w:sz w:val="18"/>
                <w:szCs w:val="18"/>
              </w:rPr>
              <w:t>25</w:t>
            </w:r>
          </w:p>
        </w:tc>
        <w:tc>
          <w:tcPr>
            <w:tcW w:w="1696" w:type="dxa"/>
            <w:vAlign w:val="bottom"/>
          </w:tcPr>
          <w:p w:rsidR="002A750C" w:rsidRPr="00AC5B85" w:rsidRDefault="002A750C" w:rsidP="002A750C">
            <w:pPr>
              <w:jc w:val="center"/>
              <w:rPr>
                <w:rFonts w:cs="Arial"/>
                <w:b/>
                <w:bCs/>
                <w:color w:val="000000"/>
                <w:sz w:val="18"/>
                <w:szCs w:val="18"/>
              </w:rPr>
            </w:pPr>
            <w:r w:rsidRPr="00AC5B85">
              <w:rPr>
                <w:rFonts w:cs="Arial"/>
                <w:b/>
                <w:bCs/>
                <w:color w:val="000000"/>
                <w:sz w:val="18"/>
                <w:szCs w:val="18"/>
              </w:rPr>
              <w:t>28</w:t>
            </w:r>
          </w:p>
        </w:tc>
      </w:tr>
      <w:tr w:rsidR="003B3489" w:rsidTr="003B3489">
        <w:tc>
          <w:tcPr>
            <w:tcW w:w="3541" w:type="dxa"/>
            <w:shd w:val="clear" w:color="auto" w:fill="auto"/>
            <w:vAlign w:val="bottom"/>
          </w:tcPr>
          <w:p w:rsidR="002A750C" w:rsidRPr="00AC5B85" w:rsidRDefault="002A750C" w:rsidP="002A750C">
            <w:pPr>
              <w:rPr>
                <w:rFonts w:cs="Arial"/>
                <w:b/>
                <w:bCs/>
                <w:color w:val="000000"/>
                <w:sz w:val="18"/>
                <w:szCs w:val="18"/>
              </w:rPr>
            </w:pPr>
            <w:r w:rsidRPr="00AC5B85">
              <w:rPr>
                <w:rFonts w:cs="Arial"/>
                <w:b/>
                <w:bCs/>
                <w:color w:val="000000"/>
                <w:sz w:val="18"/>
                <w:szCs w:val="18"/>
              </w:rPr>
              <w:t>New entrants (students</w:t>
            </w:r>
            <w:r>
              <w:rPr>
                <w:rFonts w:cs="Arial"/>
                <w:b/>
                <w:bCs/>
                <w:color w:val="000000"/>
                <w:sz w:val="18"/>
                <w:szCs w:val="18"/>
              </w:rPr>
              <w:t xml:space="preserve"> and migrants</w:t>
            </w:r>
            <w:r w:rsidRPr="00AC5B85">
              <w:rPr>
                <w:rFonts w:cs="Arial"/>
                <w:b/>
                <w:bCs/>
                <w:color w:val="000000"/>
                <w:sz w:val="18"/>
                <w:szCs w:val="18"/>
              </w:rPr>
              <w:t>)</w:t>
            </w:r>
          </w:p>
        </w:tc>
        <w:tc>
          <w:tcPr>
            <w:tcW w:w="1702" w:type="dxa"/>
            <w:vAlign w:val="bottom"/>
          </w:tcPr>
          <w:p w:rsidR="002A750C" w:rsidRPr="00AC5B85" w:rsidRDefault="002A750C" w:rsidP="002A750C">
            <w:pPr>
              <w:jc w:val="center"/>
              <w:rPr>
                <w:rFonts w:cs="Arial"/>
                <w:color w:val="000000"/>
                <w:sz w:val="18"/>
                <w:szCs w:val="18"/>
              </w:rPr>
            </w:pPr>
            <w:r w:rsidRPr="00AC5B85">
              <w:rPr>
                <w:rFonts w:cs="Arial"/>
                <w:color w:val="000000"/>
                <w:sz w:val="18"/>
                <w:szCs w:val="18"/>
              </w:rPr>
              <w:t>n.a.</w:t>
            </w:r>
          </w:p>
        </w:tc>
        <w:tc>
          <w:tcPr>
            <w:tcW w:w="1702" w:type="dxa"/>
            <w:vAlign w:val="center"/>
          </w:tcPr>
          <w:p w:rsidR="002A750C" w:rsidRPr="004711A7" w:rsidRDefault="002A750C" w:rsidP="002A750C">
            <w:pPr>
              <w:jc w:val="center"/>
              <w:rPr>
                <w:rFonts w:eastAsia="Calibri" w:cs="Arial"/>
                <w:b/>
                <w:bCs/>
                <w:color w:val="000000"/>
                <w:sz w:val="18"/>
                <w:szCs w:val="18"/>
              </w:rPr>
            </w:pPr>
            <w:r w:rsidRPr="004711A7">
              <w:rPr>
                <w:rFonts w:eastAsia="Calibri" w:cs="Arial"/>
                <w:b/>
                <w:bCs/>
                <w:color w:val="000000"/>
                <w:sz w:val="18"/>
                <w:szCs w:val="18"/>
              </w:rPr>
              <w:t>794</w:t>
            </w:r>
          </w:p>
        </w:tc>
        <w:tc>
          <w:tcPr>
            <w:tcW w:w="1702" w:type="dxa"/>
            <w:vAlign w:val="center"/>
          </w:tcPr>
          <w:p w:rsidR="002A750C" w:rsidRPr="004711A7" w:rsidRDefault="002A750C" w:rsidP="002A750C">
            <w:pPr>
              <w:jc w:val="center"/>
              <w:rPr>
                <w:rFonts w:eastAsia="Calibri" w:cs="Arial"/>
                <w:b/>
                <w:bCs/>
                <w:color w:val="000000"/>
                <w:sz w:val="18"/>
                <w:szCs w:val="18"/>
              </w:rPr>
            </w:pPr>
            <w:r w:rsidRPr="004711A7">
              <w:rPr>
                <w:rFonts w:eastAsia="Calibri" w:cs="Arial"/>
                <w:b/>
                <w:bCs/>
                <w:color w:val="000000"/>
                <w:sz w:val="18"/>
                <w:szCs w:val="18"/>
              </w:rPr>
              <w:t>945</w:t>
            </w:r>
          </w:p>
        </w:tc>
        <w:tc>
          <w:tcPr>
            <w:tcW w:w="1702" w:type="dxa"/>
            <w:vAlign w:val="center"/>
          </w:tcPr>
          <w:p w:rsidR="002A750C" w:rsidRPr="004711A7" w:rsidRDefault="002A750C" w:rsidP="002A750C">
            <w:pPr>
              <w:jc w:val="center"/>
              <w:rPr>
                <w:rFonts w:eastAsia="Calibri" w:cs="Arial"/>
                <w:b/>
                <w:bCs/>
                <w:color w:val="000000"/>
                <w:sz w:val="18"/>
                <w:szCs w:val="18"/>
              </w:rPr>
            </w:pPr>
            <w:r w:rsidRPr="004711A7">
              <w:rPr>
                <w:rFonts w:eastAsia="Calibri" w:cs="Arial"/>
                <w:b/>
                <w:bCs/>
                <w:color w:val="000000"/>
                <w:sz w:val="18"/>
                <w:szCs w:val="18"/>
              </w:rPr>
              <w:t>911</w:t>
            </w:r>
          </w:p>
        </w:tc>
        <w:tc>
          <w:tcPr>
            <w:tcW w:w="1702" w:type="dxa"/>
            <w:vAlign w:val="center"/>
          </w:tcPr>
          <w:p w:rsidR="002A750C" w:rsidRPr="004711A7" w:rsidRDefault="002A750C" w:rsidP="002A750C">
            <w:pPr>
              <w:jc w:val="center"/>
              <w:rPr>
                <w:rFonts w:eastAsia="Calibri" w:cs="Arial"/>
                <w:b/>
                <w:bCs/>
                <w:color w:val="000000"/>
                <w:sz w:val="18"/>
                <w:szCs w:val="18"/>
              </w:rPr>
            </w:pPr>
            <w:r w:rsidRPr="004711A7">
              <w:rPr>
                <w:rFonts w:eastAsia="Calibri" w:cs="Arial"/>
                <w:b/>
                <w:bCs/>
                <w:color w:val="000000"/>
                <w:sz w:val="18"/>
                <w:szCs w:val="18"/>
              </w:rPr>
              <w:t>1,116</w:t>
            </w:r>
          </w:p>
        </w:tc>
        <w:tc>
          <w:tcPr>
            <w:tcW w:w="1696" w:type="dxa"/>
            <w:vAlign w:val="center"/>
          </w:tcPr>
          <w:p w:rsidR="002A750C" w:rsidRPr="004711A7" w:rsidRDefault="002A750C" w:rsidP="002A750C">
            <w:pPr>
              <w:jc w:val="center"/>
              <w:rPr>
                <w:rFonts w:eastAsia="Calibri" w:cs="Arial"/>
                <w:b/>
                <w:bCs/>
                <w:color w:val="000000"/>
                <w:sz w:val="18"/>
                <w:szCs w:val="18"/>
              </w:rPr>
            </w:pPr>
            <w:r w:rsidRPr="004711A7">
              <w:rPr>
                <w:rFonts w:eastAsia="Calibri" w:cs="Arial"/>
                <w:b/>
                <w:bCs/>
                <w:color w:val="000000"/>
                <w:sz w:val="18"/>
                <w:szCs w:val="18"/>
              </w:rPr>
              <w:t>1,212</w:t>
            </w:r>
          </w:p>
        </w:tc>
      </w:tr>
    </w:tbl>
    <w:p w:rsidR="007968C4" w:rsidRDefault="007968C4" w:rsidP="007968C4">
      <w:pPr>
        <w:pStyle w:val="Caption"/>
      </w:pPr>
      <w:r w:rsidRPr="001F11F0">
        <w:t>Figure 19</w:t>
      </w:r>
      <w:r>
        <w:t>b: Midwifery TAP,</w:t>
      </w:r>
      <w:r w:rsidRPr="001F11F0">
        <w:t xml:space="preserve"> 20</w:t>
      </w:r>
      <w:r>
        <w:t xml:space="preserve">18 </w:t>
      </w:r>
      <w:r w:rsidR="007515FE">
        <w:t>–</w:t>
      </w:r>
      <w:r>
        <w:t xml:space="preserve"> 2030</w:t>
      </w:r>
      <w:r w:rsidR="007515FE">
        <w:t xml:space="preserve"> </w:t>
      </w:r>
    </w:p>
    <w:tbl>
      <w:tblPr>
        <w:tblStyle w:val="TableGrid"/>
        <w:tblW w:w="0" w:type="auto"/>
        <w:tblLook w:val="04A0" w:firstRow="1" w:lastRow="0" w:firstColumn="1" w:lastColumn="0" w:noHBand="0" w:noVBand="1"/>
        <w:tblCaption w:val="Figure 19b: Midwifery TAP, 2018 – 2030 "/>
        <w:tblDescription w:val="This figure projects the historical trends of the Midwife Training Analysis Pipeline forward into the future.&#10;&#10;The projected number of student commencements increases from 1,655 in 2018 to 2,298 in 2030.  The projected number of continuing students increased from 3,079 in 2018 to 4,203 in 2030.  The projected number of student completions increased from 1,311 in 2018 to 1,797 in 2030.  The projected number of new migrants remained constant at 28 for period.  The projected number of new entrants (students) increased from 1,167 in 2018 to 1,600 in 2030.  The projected number of new entrants (migrants) remained constant at 25 for the period."/>
      </w:tblPr>
      <w:tblGrid>
        <w:gridCol w:w="2689"/>
        <w:gridCol w:w="866"/>
        <w:gridCol w:w="866"/>
        <w:gridCol w:w="866"/>
        <w:gridCol w:w="866"/>
        <w:gridCol w:w="866"/>
        <w:gridCol w:w="866"/>
        <w:gridCol w:w="866"/>
        <w:gridCol w:w="866"/>
        <w:gridCol w:w="866"/>
        <w:gridCol w:w="866"/>
        <w:gridCol w:w="866"/>
        <w:gridCol w:w="866"/>
        <w:gridCol w:w="867"/>
      </w:tblGrid>
      <w:tr w:rsidR="00D52392" w:rsidTr="00F92344">
        <w:trPr>
          <w:tblHeader/>
        </w:trPr>
        <w:tc>
          <w:tcPr>
            <w:tcW w:w="2689" w:type="dxa"/>
            <w:tcBorders>
              <w:top w:val="single" w:sz="4" w:space="0" w:color="auto"/>
              <w:left w:val="single" w:sz="4" w:space="0" w:color="auto"/>
              <w:bottom w:val="single" w:sz="4" w:space="0" w:color="auto"/>
              <w:right w:val="single" w:sz="4" w:space="0" w:color="auto"/>
            </w:tcBorders>
            <w:shd w:val="clear" w:color="auto" w:fill="7030A0"/>
            <w:vAlign w:val="bottom"/>
          </w:tcPr>
          <w:p w:rsidR="00D52392" w:rsidRPr="00D52392" w:rsidRDefault="00D52392" w:rsidP="00D52392">
            <w:pPr>
              <w:rPr>
                <w:b/>
                <w:color w:val="FFFFFF" w:themeColor="background1"/>
                <w:sz w:val="18"/>
                <w:szCs w:val="18"/>
              </w:rPr>
            </w:pPr>
            <w:r w:rsidRPr="00D52392">
              <w:rPr>
                <w:b/>
                <w:color w:val="FFFFFF" w:themeColor="background1"/>
                <w:sz w:val="18"/>
                <w:szCs w:val="18"/>
              </w:rPr>
              <w:t> </w:t>
            </w:r>
          </w:p>
        </w:tc>
        <w:tc>
          <w:tcPr>
            <w:tcW w:w="866" w:type="dxa"/>
            <w:tcBorders>
              <w:top w:val="single" w:sz="4" w:space="0" w:color="auto"/>
              <w:left w:val="nil"/>
              <w:bottom w:val="single" w:sz="4" w:space="0" w:color="auto"/>
              <w:right w:val="single" w:sz="4" w:space="0" w:color="auto"/>
            </w:tcBorders>
            <w:shd w:val="clear" w:color="auto" w:fill="7030A0"/>
            <w:vAlign w:val="bottom"/>
          </w:tcPr>
          <w:p w:rsidR="00D52392" w:rsidRPr="00D52392" w:rsidRDefault="00D52392" w:rsidP="00D52392">
            <w:pPr>
              <w:rPr>
                <w:b/>
                <w:color w:val="FFFFFF" w:themeColor="background1"/>
                <w:sz w:val="18"/>
                <w:szCs w:val="18"/>
              </w:rPr>
            </w:pPr>
            <w:r w:rsidRPr="00D52392">
              <w:rPr>
                <w:b/>
                <w:color w:val="FFFFFF" w:themeColor="background1"/>
                <w:sz w:val="18"/>
                <w:szCs w:val="18"/>
              </w:rPr>
              <w:t>2018</w:t>
            </w:r>
          </w:p>
        </w:tc>
        <w:tc>
          <w:tcPr>
            <w:tcW w:w="866" w:type="dxa"/>
            <w:tcBorders>
              <w:top w:val="single" w:sz="4" w:space="0" w:color="auto"/>
              <w:left w:val="nil"/>
              <w:bottom w:val="single" w:sz="4" w:space="0" w:color="auto"/>
              <w:right w:val="single" w:sz="4" w:space="0" w:color="auto"/>
            </w:tcBorders>
            <w:shd w:val="clear" w:color="auto" w:fill="7030A0"/>
            <w:vAlign w:val="bottom"/>
          </w:tcPr>
          <w:p w:rsidR="00D52392" w:rsidRPr="00D52392" w:rsidRDefault="00D52392" w:rsidP="00D52392">
            <w:pPr>
              <w:rPr>
                <w:b/>
                <w:color w:val="FFFFFF" w:themeColor="background1"/>
                <w:sz w:val="18"/>
                <w:szCs w:val="18"/>
              </w:rPr>
            </w:pPr>
            <w:r w:rsidRPr="00D52392">
              <w:rPr>
                <w:b/>
                <w:color w:val="FFFFFF" w:themeColor="background1"/>
                <w:sz w:val="18"/>
                <w:szCs w:val="18"/>
              </w:rPr>
              <w:t>2019</w:t>
            </w:r>
          </w:p>
        </w:tc>
        <w:tc>
          <w:tcPr>
            <w:tcW w:w="866" w:type="dxa"/>
            <w:tcBorders>
              <w:top w:val="single" w:sz="4" w:space="0" w:color="auto"/>
              <w:left w:val="nil"/>
              <w:bottom w:val="single" w:sz="4" w:space="0" w:color="auto"/>
              <w:right w:val="single" w:sz="4" w:space="0" w:color="auto"/>
            </w:tcBorders>
            <w:shd w:val="clear" w:color="auto" w:fill="7030A0"/>
            <w:vAlign w:val="bottom"/>
          </w:tcPr>
          <w:p w:rsidR="00D52392" w:rsidRPr="00D52392" w:rsidRDefault="00D52392" w:rsidP="00D52392">
            <w:pPr>
              <w:rPr>
                <w:b/>
                <w:color w:val="FFFFFF" w:themeColor="background1"/>
                <w:sz w:val="18"/>
                <w:szCs w:val="18"/>
              </w:rPr>
            </w:pPr>
            <w:r w:rsidRPr="00D52392">
              <w:rPr>
                <w:b/>
                <w:color w:val="FFFFFF" w:themeColor="background1"/>
                <w:sz w:val="18"/>
                <w:szCs w:val="18"/>
              </w:rPr>
              <w:t>2020</w:t>
            </w:r>
          </w:p>
        </w:tc>
        <w:tc>
          <w:tcPr>
            <w:tcW w:w="866" w:type="dxa"/>
            <w:tcBorders>
              <w:top w:val="single" w:sz="4" w:space="0" w:color="auto"/>
              <w:left w:val="nil"/>
              <w:bottom w:val="single" w:sz="4" w:space="0" w:color="auto"/>
              <w:right w:val="single" w:sz="4" w:space="0" w:color="auto"/>
            </w:tcBorders>
            <w:shd w:val="clear" w:color="auto" w:fill="7030A0"/>
            <w:vAlign w:val="bottom"/>
          </w:tcPr>
          <w:p w:rsidR="00D52392" w:rsidRPr="00D52392" w:rsidRDefault="00D52392" w:rsidP="00D52392">
            <w:pPr>
              <w:rPr>
                <w:b/>
                <w:color w:val="FFFFFF" w:themeColor="background1"/>
                <w:sz w:val="18"/>
                <w:szCs w:val="18"/>
              </w:rPr>
            </w:pPr>
            <w:r w:rsidRPr="00D52392">
              <w:rPr>
                <w:b/>
                <w:color w:val="FFFFFF" w:themeColor="background1"/>
                <w:sz w:val="18"/>
                <w:szCs w:val="18"/>
              </w:rPr>
              <w:t>2021</w:t>
            </w:r>
          </w:p>
        </w:tc>
        <w:tc>
          <w:tcPr>
            <w:tcW w:w="866" w:type="dxa"/>
            <w:tcBorders>
              <w:top w:val="single" w:sz="4" w:space="0" w:color="auto"/>
              <w:left w:val="nil"/>
              <w:bottom w:val="single" w:sz="4" w:space="0" w:color="auto"/>
              <w:right w:val="single" w:sz="4" w:space="0" w:color="auto"/>
            </w:tcBorders>
            <w:shd w:val="clear" w:color="auto" w:fill="7030A0"/>
            <w:vAlign w:val="bottom"/>
          </w:tcPr>
          <w:p w:rsidR="00D52392" w:rsidRPr="00D52392" w:rsidRDefault="00D52392" w:rsidP="00D52392">
            <w:pPr>
              <w:rPr>
                <w:b/>
                <w:color w:val="FFFFFF" w:themeColor="background1"/>
                <w:sz w:val="18"/>
                <w:szCs w:val="18"/>
              </w:rPr>
            </w:pPr>
            <w:r w:rsidRPr="00D52392">
              <w:rPr>
                <w:b/>
                <w:color w:val="FFFFFF" w:themeColor="background1"/>
                <w:sz w:val="18"/>
                <w:szCs w:val="18"/>
              </w:rPr>
              <w:t>2022</w:t>
            </w:r>
          </w:p>
        </w:tc>
        <w:tc>
          <w:tcPr>
            <w:tcW w:w="866" w:type="dxa"/>
            <w:tcBorders>
              <w:top w:val="single" w:sz="4" w:space="0" w:color="auto"/>
              <w:left w:val="nil"/>
              <w:bottom w:val="single" w:sz="4" w:space="0" w:color="auto"/>
              <w:right w:val="single" w:sz="4" w:space="0" w:color="auto"/>
            </w:tcBorders>
            <w:shd w:val="clear" w:color="auto" w:fill="7030A0"/>
            <w:vAlign w:val="bottom"/>
          </w:tcPr>
          <w:p w:rsidR="00D52392" w:rsidRPr="00D52392" w:rsidRDefault="00D52392" w:rsidP="00D52392">
            <w:pPr>
              <w:rPr>
                <w:b/>
                <w:color w:val="FFFFFF" w:themeColor="background1"/>
                <w:sz w:val="18"/>
                <w:szCs w:val="18"/>
              </w:rPr>
            </w:pPr>
            <w:r w:rsidRPr="00D52392">
              <w:rPr>
                <w:b/>
                <w:color w:val="FFFFFF" w:themeColor="background1"/>
                <w:sz w:val="18"/>
                <w:szCs w:val="18"/>
              </w:rPr>
              <w:t>2023</w:t>
            </w:r>
          </w:p>
        </w:tc>
        <w:tc>
          <w:tcPr>
            <w:tcW w:w="866" w:type="dxa"/>
            <w:tcBorders>
              <w:top w:val="single" w:sz="4" w:space="0" w:color="auto"/>
              <w:left w:val="nil"/>
              <w:bottom w:val="single" w:sz="4" w:space="0" w:color="auto"/>
              <w:right w:val="single" w:sz="4" w:space="0" w:color="auto"/>
            </w:tcBorders>
            <w:shd w:val="clear" w:color="auto" w:fill="7030A0"/>
            <w:vAlign w:val="bottom"/>
          </w:tcPr>
          <w:p w:rsidR="00D52392" w:rsidRPr="00D52392" w:rsidRDefault="00D52392" w:rsidP="00D52392">
            <w:pPr>
              <w:rPr>
                <w:b/>
                <w:color w:val="FFFFFF" w:themeColor="background1"/>
                <w:sz w:val="18"/>
                <w:szCs w:val="18"/>
              </w:rPr>
            </w:pPr>
            <w:r w:rsidRPr="00D52392">
              <w:rPr>
                <w:b/>
                <w:color w:val="FFFFFF" w:themeColor="background1"/>
                <w:sz w:val="18"/>
                <w:szCs w:val="18"/>
              </w:rPr>
              <w:t>2024</w:t>
            </w:r>
          </w:p>
        </w:tc>
        <w:tc>
          <w:tcPr>
            <w:tcW w:w="866" w:type="dxa"/>
            <w:tcBorders>
              <w:top w:val="single" w:sz="4" w:space="0" w:color="auto"/>
              <w:left w:val="nil"/>
              <w:bottom w:val="single" w:sz="4" w:space="0" w:color="auto"/>
              <w:right w:val="single" w:sz="4" w:space="0" w:color="auto"/>
            </w:tcBorders>
            <w:shd w:val="clear" w:color="auto" w:fill="7030A0"/>
            <w:vAlign w:val="bottom"/>
          </w:tcPr>
          <w:p w:rsidR="00D52392" w:rsidRPr="00D52392" w:rsidRDefault="00D52392" w:rsidP="00D52392">
            <w:pPr>
              <w:rPr>
                <w:b/>
                <w:color w:val="FFFFFF" w:themeColor="background1"/>
                <w:sz w:val="18"/>
                <w:szCs w:val="18"/>
              </w:rPr>
            </w:pPr>
            <w:r w:rsidRPr="00D52392">
              <w:rPr>
                <w:b/>
                <w:color w:val="FFFFFF" w:themeColor="background1"/>
                <w:sz w:val="18"/>
                <w:szCs w:val="18"/>
              </w:rPr>
              <w:t>2025</w:t>
            </w:r>
          </w:p>
        </w:tc>
        <w:tc>
          <w:tcPr>
            <w:tcW w:w="866" w:type="dxa"/>
            <w:tcBorders>
              <w:top w:val="single" w:sz="4" w:space="0" w:color="auto"/>
              <w:left w:val="nil"/>
              <w:bottom w:val="single" w:sz="4" w:space="0" w:color="auto"/>
              <w:right w:val="single" w:sz="4" w:space="0" w:color="auto"/>
            </w:tcBorders>
            <w:shd w:val="clear" w:color="auto" w:fill="7030A0"/>
            <w:vAlign w:val="bottom"/>
          </w:tcPr>
          <w:p w:rsidR="00D52392" w:rsidRPr="00D52392" w:rsidRDefault="00D52392" w:rsidP="00D52392">
            <w:pPr>
              <w:rPr>
                <w:b/>
                <w:color w:val="FFFFFF" w:themeColor="background1"/>
                <w:sz w:val="18"/>
                <w:szCs w:val="18"/>
              </w:rPr>
            </w:pPr>
            <w:r w:rsidRPr="00D52392">
              <w:rPr>
                <w:b/>
                <w:color w:val="FFFFFF" w:themeColor="background1"/>
                <w:sz w:val="18"/>
                <w:szCs w:val="18"/>
              </w:rPr>
              <w:t>2026</w:t>
            </w:r>
          </w:p>
        </w:tc>
        <w:tc>
          <w:tcPr>
            <w:tcW w:w="866" w:type="dxa"/>
            <w:tcBorders>
              <w:top w:val="single" w:sz="4" w:space="0" w:color="auto"/>
              <w:left w:val="nil"/>
              <w:bottom w:val="single" w:sz="4" w:space="0" w:color="auto"/>
              <w:right w:val="single" w:sz="4" w:space="0" w:color="auto"/>
            </w:tcBorders>
            <w:shd w:val="clear" w:color="auto" w:fill="7030A0"/>
            <w:vAlign w:val="bottom"/>
          </w:tcPr>
          <w:p w:rsidR="00D52392" w:rsidRPr="00D52392" w:rsidRDefault="00D52392" w:rsidP="00D52392">
            <w:pPr>
              <w:rPr>
                <w:b/>
                <w:color w:val="FFFFFF" w:themeColor="background1"/>
                <w:sz w:val="18"/>
                <w:szCs w:val="18"/>
              </w:rPr>
            </w:pPr>
            <w:r w:rsidRPr="00D52392">
              <w:rPr>
                <w:b/>
                <w:color w:val="FFFFFF" w:themeColor="background1"/>
                <w:sz w:val="18"/>
                <w:szCs w:val="18"/>
              </w:rPr>
              <w:t>2027</w:t>
            </w:r>
          </w:p>
        </w:tc>
        <w:tc>
          <w:tcPr>
            <w:tcW w:w="866" w:type="dxa"/>
            <w:tcBorders>
              <w:top w:val="single" w:sz="4" w:space="0" w:color="auto"/>
              <w:left w:val="nil"/>
              <w:bottom w:val="single" w:sz="4" w:space="0" w:color="auto"/>
              <w:right w:val="single" w:sz="4" w:space="0" w:color="auto"/>
            </w:tcBorders>
            <w:shd w:val="clear" w:color="auto" w:fill="7030A0"/>
            <w:vAlign w:val="bottom"/>
          </w:tcPr>
          <w:p w:rsidR="00D52392" w:rsidRPr="00D52392" w:rsidRDefault="00D52392" w:rsidP="00D52392">
            <w:pPr>
              <w:rPr>
                <w:b/>
                <w:color w:val="FFFFFF" w:themeColor="background1"/>
                <w:sz w:val="18"/>
                <w:szCs w:val="18"/>
              </w:rPr>
            </w:pPr>
            <w:r w:rsidRPr="00D52392">
              <w:rPr>
                <w:b/>
                <w:color w:val="FFFFFF" w:themeColor="background1"/>
                <w:sz w:val="18"/>
                <w:szCs w:val="18"/>
              </w:rPr>
              <w:t>2028</w:t>
            </w:r>
          </w:p>
        </w:tc>
        <w:tc>
          <w:tcPr>
            <w:tcW w:w="866" w:type="dxa"/>
            <w:tcBorders>
              <w:top w:val="single" w:sz="4" w:space="0" w:color="auto"/>
              <w:left w:val="nil"/>
              <w:bottom w:val="single" w:sz="4" w:space="0" w:color="auto"/>
              <w:right w:val="single" w:sz="4" w:space="0" w:color="auto"/>
            </w:tcBorders>
            <w:shd w:val="clear" w:color="auto" w:fill="7030A0"/>
            <w:vAlign w:val="bottom"/>
          </w:tcPr>
          <w:p w:rsidR="00D52392" w:rsidRPr="00D52392" w:rsidRDefault="00D52392" w:rsidP="00D52392">
            <w:pPr>
              <w:rPr>
                <w:b/>
                <w:color w:val="FFFFFF" w:themeColor="background1"/>
                <w:sz w:val="18"/>
                <w:szCs w:val="18"/>
              </w:rPr>
            </w:pPr>
            <w:r w:rsidRPr="00D52392">
              <w:rPr>
                <w:b/>
                <w:color w:val="FFFFFF" w:themeColor="background1"/>
                <w:sz w:val="18"/>
                <w:szCs w:val="18"/>
              </w:rPr>
              <w:t>2029</w:t>
            </w:r>
          </w:p>
        </w:tc>
        <w:tc>
          <w:tcPr>
            <w:tcW w:w="867" w:type="dxa"/>
            <w:tcBorders>
              <w:top w:val="single" w:sz="4" w:space="0" w:color="auto"/>
              <w:left w:val="nil"/>
              <w:bottom w:val="single" w:sz="4" w:space="0" w:color="auto"/>
              <w:right w:val="single" w:sz="4" w:space="0" w:color="auto"/>
            </w:tcBorders>
            <w:shd w:val="clear" w:color="auto" w:fill="7030A0"/>
            <w:vAlign w:val="bottom"/>
          </w:tcPr>
          <w:p w:rsidR="00D52392" w:rsidRPr="00D52392" w:rsidRDefault="00D52392" w:rsidP="00D52392">
            <w:pPr>
              <w:rPr>
                <w:b/>
                <w:color w:val="FFFFFF" w:themeColor="background1"/>
                <w:sz w:val="18"/>
                <w:szCs w:val="18"/>
              </w:rPr>
            </w:pPr>
            <w:r w:rsidRPr="00D52392">
              <w:rPr>
                <w:b/>
                <w:color w:val="FFFFFF" w:themeColor="background1"/>
                <w:sz w:val="18"/>
                <w:szCs w:val="18"/>
              </w:rPr>
              <w:t>2030</w:t>
            </w:r>
          </w:p>
        </w:tc>
      </w:tr>
      <w:tr w:rsidR="00D52392" w:rsidTr="00686D4C">
        <w:tc>
          <w:tcPr>
            <w:tcW w:w="2689" w:type="dxa"/>
            <w:tcBorders>
              <w:top w:val="nil"/>
              <w:left w:val="single" w:sz="4" w:space="0" w:color="auto"/>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Commencements</w:t>
            </w:r>
          </w:p>
        </w:tc>
        <w:tc>
          <w:tcPr>
            <w:tcW w:w="866" w:type="dxa"/>
            <w:tcBorders>
              <w:top w:val="nil"/>
              <w:left w:val="nil"/>
              <w:bottom w:val="single" w:sz="4" w:space="0" w:color="auto"/>
              <w:right w:val="single" w:sz="4" w:space="0" w:color="auto"/>
            </w:tcBorders>
            <w:shd w:val="clear" w:color="000000" w:fill="F2DCDB"/>
            <w:vAlign w:val="center"/>
          </w:tcPr>
          <w:p w:rsidR="00D52392" w:rsidRPr="00BB0C0E" w:rsidRDefault="00D52392" w:rsidP="00D52392">
            <w:pPr>
              <w:rPr>
                <w:b/>
                <w:bCs/>
                <w:sz w:val="16"/>
                <w:szCs w:val="16"/>
              </w:rPr>
            </w:pPr>
            <w:r w:rsidRPr="00BB0C0E">
              <w:rPr>
                <w:b/>
                <w:bCs/>
                <w:sz w:val="16"/>
                <w:szCs w:val="16"/>
              </w:rPr>
              <w:t xml:space="preserve">1,655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1,847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1,884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1,922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1,961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2,000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2,040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2,081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2,123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2,166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2,209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2,253 </w:t>
            </w:r>
          </w:p>
        </w:tc>
        <w:tc>
          <w:tcPr>
            <w:tcW w:w="867"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2,298 </w:t>
            </w:r>
          </w:p>
        </w:tc>
      </w:tr>
      <w:tr w:rsidR="00D52392" w:rsidTr="00686D4C">
        <w:tc>
          <w:tcPr>
            <w:tcW w:w="2689" w:type="dxa"/>
            <w:tcBorders>
              <w:top w:val="nil"/>
              <w:left w:val="single" w:sz="4" w:space="0" w:color="auto"/>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Bachelor (3 years)</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926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1,033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1,054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1,075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1,097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1,119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1,141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1,164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1,188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1,212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1,236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1,260 </w:t>
            </w:r>
          </w:p>
        </w:tc>
        <w:tc>
          <w:tcPr>
            <w:tcW w:w="867"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1,285 </w:t>
            </w:r>
          </w:p>
        </w:tc>
      </w:tr>
      <w:tr w:rsidR="00D52392" w:rsidTr="00686D4C">
        <w:tc>
          <w:tcPr>
            <w:tcW w:w="2689" w:type="dxa"/>
            <w:tcBorders>
              <w:top w:val="nil"/>
              <w:left w:val="single" w:sz="4" w:space="0" w:color="auto"/>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Dual (4 years)</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329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367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374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382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389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397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405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413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421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430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439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447 </w:t>
            </w:r>
          </w:p>
        </w:tc>
        <w:tc>
          <w:tcPr>
            <w:tcW w:w="867"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456 </w:t>
            </w:r>
          </w:p>
        </w:tc>
      </w:tr>
      <w:tr w:rsidR="00D52392" w:rsidTr="00686D4C">
        <w:tc>
          <w:tcPr>
            <w:tcW w:w="2689" w:type="dxa"/>
            <w:tcBorders>
              <w:top w:val="nil"/>
              <w:left w:val="single" w:sz="4" w:space="0" w:color="auto"/>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Grad Cert (1 year)</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10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11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11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12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12</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12</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12</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13</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13</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13</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13</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14</w:t>
            </w:r>
          </w:p>
        </w:tc>
        <w:tc>
          <w:tcPr>
            <w:tcW w:w="867"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14</w:t>
            </w:r>
          </w:p>
        </w:tc>
      </w:tr>
      <w:tr w:rsidR="00D52392" w:rsidTr="00686D4C">
        <w:tc>
          <w:tcPr>
            <w:tcW w:w="2689" w:type="dxa"/>
            <w:tcBorders>
              <w:top w:val="nil"/>
              <w:left w:val="single" w:sz="4" w:space="0" w:color="auto"/>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Grad Dip (1.5 years)</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391</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436</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445</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454</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463</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472</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482</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491</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501</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511</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521</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532</w:t>
            </w:r>
          </w:p>
        </w:tc>
        <w:tc>
          <w:tcPr>
            <w:tcW w:w="867"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542</w:t>
            </w:r>
          </w:p>
        </w:tc>
      </w:tr>
      <w:tr w:rsidR="00D52392" w:rsidTr="00686D4C">
        <w:tc>
          <w:tcPr>
            <w:tcW w:w="2689" w:type="dxa"/>
            <w:tcBorders>
              <w:top w:val="nil"/>
              <w:left w:val="single" w:sz="4" w:space="0" w:color="auto"/>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Continuing</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3,079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3,160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3,243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3,328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3,415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3,505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3,597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3,691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3,788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3,888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3,990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4,095 </w:t>
            </w:r>
          </w:p>
        </w:tc>
        <w:tc>
          <w:tcPr>
            <w:tcW w:w="867"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4,203 </w:t>
            </w:r>
          </w:p>
        </w:tc>
      </w:tr>
      <w:tr w:rsidR="00D52392" w:rsidTr="00686D4C">
        <w:tc>
          <w:tcPr>
            <w:tcW w:w="2689" w:type="dxa"/>
            <w:tcBorders>
              <w:top w:val="nil"/>
              <w:left w:val="single" w:sz="4" w:space="0" w:color="auto"/>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Completions</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1,311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1,352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1,387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1,423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1,461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1,499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1,539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1,579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1,620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1,663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1,707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1,751 </w:t>
            </w:r>
          </w:p>
        </w:tc>
        <w:tc>
          <w:tcPr>
            <w:tcW w:w="867"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1,797 </w:t>
            </w:r>
          </w:p>
        </w:tc>
      </w:tr>
      <w:tr w:rsidR="00D52392" w:rsidTr="00686D4C">
        <w:tc>
          <w:tcPr>
            <w:tcW w:w="2689" w:type="dxa"/>
            <w:tcBorders>
              <w:top w:val="nil"/>
              <w:left w:val="single" w:sz="4" w:space="0" w:color="auto"/>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Bachelor (3 years)</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609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628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645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662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679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697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715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734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753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773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793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814 </w:t>
            </w:r>
          </w:p>
        </w:tc>
        <w:tc>
          <w:tcPr>
            <w:tcW w:w="867"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835 </w:t>
            </w:r>
          </w:p>
        </w:tc>
      </w:tr>
      <w:tr w:rsidR="00D52392" w:rsidTr="00686D4C">
        <w:tc>
          <w:tcPr>
            <w:tcW w:w="2689" w:type="dxa"/>
            <w:tcBorders>
              <w:top w:val="nil"/>
              <w:left w:val="single" w:sz="4" w:space="0" w:color="auto"/>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Dual (4 years)</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260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268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275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282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289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297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305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313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321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329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338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347 </w:t>
            </w:r>
          </w:p>
        </w:tc>
        <w:tc>
          <w:tcPr>
            <w:tcW w:w="867"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356 </w:t>
            </w:r>
          </w:p>
        </w:tc>
      </w:tr>
      <w:tr w:rsidR="00D52392" w:rsidTr="00686D4C">
        <w:tc>
          <w:tcPr>
            <w:tcW w:w="2689" w:type="dxa"/>
            <w:tcBorders>
              <w:top w:val="nil"/>
              <w:left w:val="single" w:sz="4" w:space="0" w:color="auto"/>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Grad Cert (1 year)</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9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10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10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10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11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11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11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11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12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12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12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13 </w:t>
            </w:r>
          </w:p>
        </w:tc>
        <w:tc>
          <w:tcPr>
            <w:tcW w:w="867"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13 </w:t>
            </w:r>
          </w:p>
        </w:tc>
      </w:tr>
      <w:tr w:rsidR="00D52392" w:rsidTr="00686D4C">
        <w:tc>
          <w:tcPr>
            <w:tcW w:w="2689" w:type="dxa"/>
            <w:tcBorders>
              <w:top w:val="nil"/>
              <w:left w:val="single" w:sz="4" w:space="0" w:color="auto"/>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Grad Dip (1.5 years)</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433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446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458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470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482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494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508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521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534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548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563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578 </w:t>
            </w:r>
          </w:p>
        </w:tc>
        <w:tc>
          <w:tcPr>
            <w:tcW w:w="867"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i/>
                <w:sz w:val="16"/>
                <w:szCs w:val="16"/>
              </w:rPr>
            </w:pPr>
            <w:r w:rsidRPr="00BB0C0E">
              <w:rPr>
                <w:i/>
                <w:sz w:val="16"/>
                <w:szCs w:val="16"/>
              </w:rPr>
              <w:t xml:space="preserve">593 </w:t>
            </w:r>
          </w:p>
        </w:tc>
      </w:tr>
      <w:tr w:rsidR="00D52392" w:rsidTr="00686D4C">
        <w:tc>
          <w:tcPr>
            <w:tcW w:w="2689" w:type="dxa"/>
            <w:tcBorders>
              <w:top w:val="nil"/>
              <w:left w:val="single" w:sz="4" w:space="0" w:color="auto"/>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New migrants</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28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28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28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28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28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28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28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28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28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28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28 </w:t>
            </w:r>
          </w:p>
        </w:tc>
        <w:tc>
          <w:tcPr>
            <w:tcW w:w="866"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28 </w:t>
            </w:r>
          </w:p>
        </w:tc>
        <w:tc>
          <w:tcPr>
            <w:tcW w:w="867" w:type="dxa"/>
            <w:tcBorders>
              <w:top w:val="nil"/>
              <w:left w:val="nil"/>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 xml:space="preserve">28 </w:t>
            </w:r>
          </w:p>
        </w:tc>
      </w:tr>
      <w:tr w:rsidR="00D52392" w:rsidTr="00D52392">
        <w:tc>
          <w:tcPr>
            <w:tcW w:w="2689" w:type="dxa"/>
            <w:tcBorders>
              <w:top w:val="nil"/>
              <w:left w:val="single" w:sz="4" w:space="0" w:color="auto"/>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New entrants (students)</w:t>
            </w:r>
          </w:p>
        </w:tc>
        <w:tc>
          <w:tcPr>
            <w:tcW w:w="866" w:type="dxa"/>
            <w:tcBorders>
              <w:top w:val="nil"/>
              <w:left w:val="nil"/>
              <w:bottom w:val="single" w:sz="4" w:space="0" w:color="auto"/>
              <w:right w:val="single" w:sz="4" w:space="0" w:color="auto"/>
            </w:tcBorders>
            <w:shd w:val="clear" w:color="000000" w:fill="CCC0DA"/>
            <w:vAlign w:val="center"/>
          </w:tcPr>
          <w:p w:rsidR="00D52392" w:rsidRPr="00BB0C0E" w:rsidRDefault="00D52392" w:rsidP="00D52392">
            <w:pPr>
              <w:rPr>
                <w:b/>
                <w:bCs/>
                <w:sz w:val="16"/>
                <w:szCs w:val="16"/>
              </w:rPr>
            </w:pPr>
            <w:r w:rsidRPr="00BB0C0E">
              <w:rPr>
                <w:b/>
                <w:bCs/>
                <w:sz w:val="16"/>
                <w:szCs w:val="16"/>
              </w:rPr>
              <w:t>1,167</w:t>
            </w:r>
          </w:p>
        </w:tc>
        <w:tc>
          <w:tcPr>
            <w:tcW w:w="866" w:type="dxa"/>
            <w:tcBorders>
              <w:top w:val="nil"/>
              <w:left w:val="nil"/>
              <w:bottom w:val="single" w:sz="4" w:space="0" w:color="auto"/>
              <w:right w:val="single" w:sz="4" w:space="0" w:color="auto"/>
            </w:tcBorders>
            <w:shd w:val="clear" w:color="000000" w:fill="CCC0DA"/>
            <w:vAlign w:val="center"/>
          </w:tcPr>
          <w:p w:rsidR="00D52392" w:rsidRPr="00BB0C0E" w:rsidRDefault="00D52392" w:rsidP="00D52392">
            <w:pPr>
              <w:rPr>
                <w:b/>
                <w:bCs/>
                <w:sz w:val="16"/>
                <w:szCs w:val="16"/>
              </w:rPr>
            </w:pPr>
            <w:r w:rsidRPr="00BB0C0E">
              <w:rPr>
                <w:b/>
                <w:bCs/>
                <w:sz w:val="16"/>
                <w:szCs w:val="16"/>
              </w:rPr>
              <w:t>1,203</w:t>
            </w:r>
          </w:p>
        </w:tc>
        <w:tc>
          <w:tcPr>
            <w:tcW w:w="866" w:type="dxa"/>
            <w:tcBorders>
              <w:top w:val="nil"/>
              <w:left w:val="nil"/>
              <w:bottom w:val="single" w:sz="4" w:space="0" w:color="auto"/>
              <w:right w:val="single" w:sz="4" w:space="0" w:color="auto"/>
            </w:tcBorders>
            <w:shd w:val="clear" w:color="000000" w:fill="CCC0DA"/>
            <w:vAlign w:val="center"/>
          </w:tcPr>
          <w:p w:rsidR="00D52392" w:rsidRPr="00BB0C0E" w:rsidRDefault="00D52392" w:rsidP="00D52392">
            <w:pPr>
              <w:rPr>
                <w:b/>
                <w:bCs/>
                <w:sz w:val="16"/>
                <w:szCs w:val="16"/>
              </w:rPr>
            </w:pPr>
            <w:r w:rsidRPr="00BB0C0E">
              <w:rPr>
                <w:b/>
                <w:bCs/>
                <w:sz w:val="16"/>
                <w:szCs w:val="16"/>
              </w:rPr>
              <w:t>1,234</w:t>
            </w:r>
          </w:p>
        </w:tc>
        <w:tc>
          <w:tcPr>
            <w:tcW w:w="866" w:type="dxa"/>
            <w:tcBorders>
              <w:top w:val="nil"/>
              <w:left w:val="nil"/>
              <w:bottom w:val="single" w:sz="4" w:space="0" w:color="auto"/>
              <w:right w:val="single" w:sz="4" w:space="0" w:color="auto"/>
            </w:tcBorders>
            <w:shd w:val="clear" w:color="000000" w:fill="CCC0DA"/>
            <w:vAlign w:val="center"/>
          </w:tcPr>
          <w:p w:rsidR="00D52392" w:rsidRPr="00BB0C0E" w:rsidRDefault="00D52392" w:rsidP="00D52392">
            <w:pPr>
              <w:rPr>
                <w:b/>
                <w:bCs/>
                <w:sz w:val="16"/>
                <w:szCs w:val="16"/>
              </w:rPr>
            </w:pPr>
            <w:r w:rsidRPr="00BB0C0E">
              <w:rPr>
                <w:b/>
                <w:bCs/>
                <w:sz w:val="16"/>
                <w:szCs w:val="16"/>
              </w:rPr>
              <w:t>1,267</w:t>
            </w:r>
          </w:p>
        </w:tc>
        <w:tc>
          <w:tcPr>
            <w:tcW w:w="866" w:type="dxa"/>
            <w:tcBorders>
              <w:top w:val="nil"/>
              <w:left w:val="nil"/>
              <w:bottom w:val="single" w:sz="4" w:space="0" w:color="auto"/>
              <w:right w:val="single" w:sz="4" w:space="0" w:color="auto"/>
            </w:tcBorders>
            <w:shd w:val="clear" w:color="000000" w:fill="CCC0DA"/>
            <w:vAlign w:val="center"/>
          </w:tcPr>
          <w:p w:rsidR="00D52392" w:rsidRPr="00BB0C0E" w:rsidRDefault="00D52392" w:rsidP="00D52392">
            <w:pPr>
              <w:rPr>
                <w:b/>
                <w:bCs/>
                <w:sz w:val="16"/>
                <w:szCs w:val="16"/>
              </w:rPr>
            </w:pPr>
            <w:r w:rsidRPr="00BB0C0E">
              <w:rPr>
                <w:b/>
                <w:bCs/>
                <w:sz w:val="16"/>
                <w:szCs w:val="16"/>
              </w:rPr>
              <w:t>1,300</w:t>
            </w:r>
          </w:p>
        </w:tc>
        <w:tc>
          <w:tcPr>
            <w:tcW w:w="866" w:type="dxa"/>
            <w:tcBorders>
              <w:top w:val="nil"/>
              <w:left w:val="nil"/>
              <w:bottom w:val="single" w:sz="4" w:space="0" w:color="auto"/>
              <w:right w:val="single" w:sz="4" w:space="0" w:color="auto"/>
            </w:tcBorders>
            <w:shd w:val="clear" w:color="000000" w:fill="CCC0DA"/>
            <w:vAlign w:val="center"/>
          </w:tcPr>
          <w:p w:rsidR="00D52392" w:rsidRPr="00BB0C0E" w:rsidRDefault="00D52392" w:rsidP="00D52392">
            <w:pPr>
              <w:rPr>
                <w:b/>
                <w:bCs/>
                <w:sz w:val="16"/>
                <w:szCs w:val="16"/>
              </w:rPr>
            </w:pPr>
            <w:r w:rsidRPr="00BB0C0E">
              <w:rPr>
                <w:b/>
                <w:bCs/>
                <w:sz w:val="16"/>
                <w:szCs w:val="16"/>
              </w:rPr>
              <w:t>1,334</w:t>
            </w:r>
          </w:p>
        </w:tc>
        <w:tc>
          <w:tcPr>
            <w:tcW w:w="866" w:type="dxa"/>
            <w:tcBorders>
              <w:top w:val="nil"/>
              <w:left w:val="nil"/>
              <w:bottom w:val="single" w:sz="4" w:space="0" w:color="auto"/>
              <w:right w:val="single" w:sz="4" w:space="0" w:color="auto"/>
            </w:tcBorders>
            <w:shd w:val="clear" w:color="000000" w:fill="CCC0DA"/>
            <w:vAlign w:val="center"/>
          </w:tcPr>
          <w:p w:rsidR="00D52392" w:rsidRPr="00BB0C0E" w:rsidRDefault="00D52392" w:rsidP="00D52392">
            <w:pPr>
              <w:rPr>
                <w:b/>
                <w:bCs/>
                <w:sz w:val="16"/>
                <w:szCs w:val="16"/>
              </w:rPr>
            </w:pPr>
            <w:r w:rsidRPr="00BB0C0E">
              <w:rPr>
                <w:b/>
                <w:bCs/>
                <w:sz w:val="16"/>
                <w:szCs w:val="16"/>
              </w:rPr>
              <w:t>1,369</w:t>
            </w:r>
          </w:p>
        </w:tc>
        <w:tc>
          <w:tcPr>
            <w:tcW w:w="866" w:type="dxa"/>
            <w:tcBorders>
              <w:top w:val="nil"/>
              <w:left w:val="nil"/>
              <w:bottom w:val="single" w:sz="4" w:space="0" w:color="auto"/>
              <w:right w:val="single" w:sz="4" w:space="0" w:color="auto"/>
            </w:tcBorders>
            <w:shd w:val="clear" w:color="000000" w:fill="CCC0DA"/>
            <w:vAlign w:val="center"/>
          </w:tcPr>
          <w:p w:rsidR="00D52392" w:rsidRPr="00BB0C0E" w:rsidRDefault="00D52392" w:rsidP="00D52392">
            <w:pPr>
              <w:rPr>
                <w:b/>
                <w:bCs/>
                <w:sz w:val="16"/>
                <w:szCs w:val="16"/>
              </w:rPr>
            </w:pPr>
            <w:r w:rsidRPr="00BB0C0E">
              <w:rPr>
                <w:b/>
                <w:bCs/>
                <w:sz w:val="16"/>
                <w:szCs w:val="16"/>
              </w:rPr>
              <w:t>1,405</w:t>
            </w:r>
          </w:p>
        </w:tc>
        <w:tc>
          <w:tcPr>
            <w:tcW w:w="866" w:type="dxa"/>
            <w:tcBorders>
              <w:top w:val="nil"/>
              <w:left w:val="nil"/>
              <w:bottom w:val="single" w:sz="4" w:space="0" w:color="auto"/>
              <w:right w:val="single" w:sz="4" w:space="0" w:color="auto"/>
            </w:tcBorders>
            <w:shd w:val="clear" w:color="000000" w:fill="CCC0DA"/>
            <w:vAlign w:val="center"/>
          </w:tcPr>
          <w:p w:rsidR="00D52392" w:rsidRPr="00BB0C0E" w:rsidRDefault="00D52392" w:rsidP="00D52392">
            <w:pPr>
              <w:rPr>
                <w:b/>
                <w:bCs/>
                <w:sz w:val="16"/>
                <w:szCs w:val="16"/>
              </w:rPr>
            </w:pPr>
            <w:r w:rsidRPr="00BB0C0E">
              <w:rPr>
                <w:b/>
                <w:bCs/>
                <w:sz w:val="16"/>
                <w:szCs w:val="16"/>
              </w:rPr>
              <w:t>1,442</w:t>
            </w:r>
          </w:p>
        </w:tc>
        <w:tc>
          <w:tcPr>
            <w:tcW w:w="866" w:type="dxa"/>
            <w:tcBorders>
              <w:top w:val="nil"/>
              <w:left w:val="nil"/>
              <w:bottom w:val="single" w:sz="4" w:space="0" w:color="auto"/>
              <w:right w:val="single" w:sz="4" w:space="0" w:color="auto"/>
            </w:tcBorders>
            <w:shd w:val="clear" w:color="000000" w:fill="CCC0DA"/>
            <w:vAlign w:val="center"/>
          </w:tcPr>
          <w:p w:rsidR="00D52392" w:rsidRPr="00BB0C0E" w:rsidRDefault="00D52392" w:rsidP="00D52392">
            <w:pPr>
              <w:rPr>
                <w:b/>
                <w:bCs/>
                <w:sz w:val="16"/>
                <w:szCs w:val="16"/>
              </w:rPr>
            </w:pPr>
            <w:r w:rsidRPr="00BB0C0E">
              <w:rPr>
                <w:b/>
                <w:bCs/>
                <w:sz w:val="16"/>
                <w:szCs w:val="16"/>
              </w:rPr>
              <w:t>1,480</w:t>
            </w:r>
          </w:p>
        </w:tc>
        <w:tc>
          <w:tcPr>
            <w:tcW w:w="866" w:type="dxa"/>
            <w:tcBorders>
              <w:top w:val="nil"/>
              <w:left w:val="nil"/>
              <w:bottom w:val="single" w:sz="4" w:space="0" w:color="auto"/>
              <w:right w:val="single" w:sz="4" w:space="0" w:color="auto"/>
            </w:tcBorders>
            <w:shd w:val="clear" w:color="000000" w:fill="CCC0DA"/>
            <w:vAlign w:val="center"/>
          </w:tcPr>
          <w:p w:rsidR="00D52392" w:rsidRPr="00BB0C0E" w:rsidRDefault="00D52392" w:rsidP="00D52392">
            <w:pPr>
              <w:rPr>
                <w:b/>
                <w:bCs/>
                <w:sz w:val="16"/>
                <w:szCs w:val="16"/>
              </w:rPr>
            </w:pPr>
            <w:r w:rsidRPr="00BB0C0E">
              <w:rPr>
                <w:b/>
                <w:bCs/>
                <w:sz w:val="16"/>
                <w:szCs w:val="16"/>
              </w:rPr>
              <w:t>1,519</w:t>
            </w:r>
          </w:p>
        </w:tc>
        <w:tc>
          <w:tcPr>
            <w:tcW w:w="866" w:type="dxa"/>
            <w:tcBorders>
              <w:top w:val="nil"/>
              <w:left w:val="nil"/>
              <w:bottom w:val="single" w:sz="4" w:space="0" w:color="auto"/>
              <w:right w:val="single" w:sz="4" w:space="0" w:color="auto"/>
            </w:tcBorders>
            <w:shd w:val="clear" w:color="000000" w:fill="CCC0DA"/>
            <w:vAlign w:val="center"/>
          </w:tcPr>
          <w:p w:rsidR="00D52392" w:rsidRPr="00BB0C0E" w:rsidRDefault="00D52392" w:rsidP="00D52392">
            <w:pPr>
              <w:rPr>
                <w:b/>
                <w:bCs/>
                <w:sz w:val="16"/>
                <w:szCs w:val="16"/>
              </w:rPr>
            </w:pPr>
            <w:r w:rsidRPr="00BB0C0E">
              <w:rPr>
                <w:b/>
                <w:bCs/>
                <w:sz w:val="16"/>
                <w:szCs w:val="16"/>
              </w:rPr>
              <w:t>1,559</w:t>
            </w:r>
          </w:p>
        </w:tc>
        <w:tc>
          <w:tcPr>
            <w:tcW w:w="867" w:type="dxa"/>
            <w:tcBorders>
              <w:top w:val="nil"/>
              <w:left w:val="nil"/>
              <w:bottom w:val="single" w:sz="4" w:space="0" w:color="auto"/>
              <w:right w:val="single" w:sz="4" w:space="0" w:color="auto"/>
            </w:tcBorders>
            <w:shd w:val="clear" w:color="000000" w:fill="CCC0DA"/>
            <w:vAlign w:val="center"/>
          </w:tcPr>
          <w:p w:rsidR="00D52392" w:rsidRPr="00BB0C0E" w:rsidRDefault="00D52392" w:rsidP="00D52392">
            <w:pPr>
              <w:rPr>
                <w:b/>
                <w:bCs/>
                <w:sz w:val="16"/>
                <w:szCs w:val="16"/>
              </w:rPr>
            </w:pPr>
            <w:r w:rsidRPr="00BB0C0E">
              <w:rPr>
                <w:b/>
                <w:bCs/>
                <w:sz w:val="16"/>
                <w:szCs w:val="16"/>
              </w:rPr>
              <w:t>1,600</w:t>
            </w:r>
          </w:p>
        </w:tc>
      </w:tr>
      <w:tr w:rsidR="00D52392" w:rsidTr="00D52392">
        <w:tc>
          <w:tcPr>
            <w:tcW w:w="2689" w:type="dxa"/>
            <w:tcBorders>
              <w:top w:val="single" w:sz="4" w:space="0" w:color="auto"/>
              <w:left w:val="single" w:sz="4" w:space="0" w:color="auto"/>
              <w:bottom w:val="single" w:sz="4" w:space="0" w:color="auto"/>
              <w:right w:val="single" w:sz="4" w:space="0" w:color="auto"/>
            </w:tcBorders>
            <w:shd w:val="clear" w:color="auto" w:fill="auto"/>
            <w:vAlign w:val="center"/>
          </w:tcPr>
          <w:p w:rsidR="00D52392" w:rsidRPr="00BB0C0E" w:rsidRDefault="00D52392" w:rsidP="00D52392">
            <w:pPr>
              <w:rPr>
                <w:b/>
                <w:bCs/>
                <w:sz w:val="16"/>
                <w:szCs w:val="16"/>
              </w:rPr>
            </w:pPr>
            <w:r w:rsidRPr="00BB0C0E">
              <w:rPr>
                <w:b/>
                <w:bCs/>
                <w:sz w:val="16"/>
                <w:szCs w:val="16"/>
              </w:rPr>
              <w:t>New entrants (migrants)</w:t>
            </w:r>
          </w:p>
        </w:tc>
        <w:tc>
          <w:tcPr>
            <w:tcW w:w="866" w:type="dxa"/>
            <w:tcBorders>
              <w:top w:val="single" w:sz="4" w:space="0" w:color="auto"/>
              <w:left w:val="nil"/>
              <w:bottom w:val="single" w:sz="4" w:space="0" w:color="auto"/>
              <w:right w:val="single" w:sz="4" w:space="0" w:color="auto"/>
            </w:tcBorders>
            <w:shd w:val="clear" w:color="000000" w:fill="CCC0DA"/>
            <w:vAlign w:val="center"/>
          </w:tcPr>
          <w:p w:rsidR="00D52392" w:rsidRPr="00BB0C0E" w:rsidRDefault="00D52392" w:rsidP="00D52392">
            <w:pPr>
              <w:rPr>
                <w:b/>
                <w:bCs/>
                <w:sz w:val="16"/>
                <w:szCs w:val="16"/>
              </w:rPr>
            </w:pPr>
            <w:r w:rsidRPr="00BB0C0E">
              <w:rPr>
                <w:b/>
                <w:bCs/>
                <w:sz w:val="16"/>
                <w:szCs w:val="16"/>
              </w:rPr>
              <w:t>25</w:t>
            </w:r>
          </w:p>
        </w:tc>
        <w:tc>
          <w:tcPr>
            <w:tcW w:w="866" w:type="dxa"/>
            <w:tcBorders>
              <w:top w:val="single" w:sz="4" w:space="0" w:color="auto"/>
              <w:left w:val="nil"/>
              <w:bottom w:val="single" w:sz="4" w:space="0" w:color="auto"/>
              <w:right w:val="single" w:sz="4" w:space="0" w:color="auto"/>
            </w:tcBorders>
            <w:shd w:val="clear" w:color="000000" w:fill="CCC0DA"/>
            <w:vAlign w:val="center"/>
          </w:tcPr>
          <w:p w:rsidR="00D52392" w:rsidRPr="00BB0C0E" w:rsidRDefault="00D52392" w:rsidP="00D52392">
            <w:pPr>
              <w:rPr>
                <w:b/>
                <w:bCs/>
                <w:sz w:val="16"/>
                <w:szCs w:val="16"/>
              </w:rPr>
            </w:pPr>
            <w:r w:rsidRPr="00BB0C0E">
              <w:rPr>
                <w:b/>
                <w:bCs/>
                <w:sz w:val="16"/>
                <w:szCs w:val="16"/>
              </w:rPr>
              <w:t>25</w:t>
            </w:r>
          </w:p>
        </w:tc>
        <w:tc>
          <w:tcPr>
            <w:tcW w:w="866" w:type="dxa"/>
            <w:tcBorders>
              <w:top w:val="single" w:sz="4" w:space="0" w:color="auto"/>
              <w:left w:val="nil"/>
              <w:bottom w:val="single" w:sz="4" w:space="0" w:color="auto"/>
              <w:right w:val="single" w:sz="4" w:space="0" w:color="auto"/>
            </w:tcBorders>
            <w:shd w:val="clear" w:color="000000" w:fill="CCC0DA"/>
            <w:vAlign w:val="center"/>
          </w:tcPr>
          <w:p w:rsidR="00D52392" w:rsidRPr="00BB0C0E" w:rsidRDefault="00D52392" w:rsidP="00D52392">
            <w:pPr>
              <w:rPr>
                <w:b/>
                <w:bCs/>
                <w:sz w:val="16"/>
                <w:szCs w:val="16"/>
              </w:rPr>
            </w:pPr>
            <w:r w:rsidRPr="00BB0C0E">
              <w:rPr>
                <w:b/>
                <w:bCs/>
                <w:sz w:val="16"/>
                <w:szCs w:val="16"/>
              </w:rPr>
              <w:t>25</w:t>
            </w:r>
          </w:p>
        </w:tc>
        <w:tc>
          <w:tcPr>
            <w:tcW w:w="866" w:type="dxa"/>
            <w:tcBorders>
              <w:top w:val="single" w:sz="4" w:space="0" w:color="auto"/>
              <w:left w:val="nil"/>
              <w:bottom w:val="single" w:sz="4" w:space="0" w:color="auto"/>
              <w:right w:val="single" w:sz="4" w:space="0" w:color="auto"/>
            </w:tcBorders>
            <w:shd w:val="clear" w:color="000000" w:fill="CCC0DA"/>
            <w:vAlign w:val="center"/>
          </w:tcPr>
          <w:p w:rsidR="00D52392" w:rsidRPr="00BB0C0E" w:rsidRDefault="00D52392" w:rsidP="00D52392">
            <w:pPr>
              <w:rPr>
                <w:b/>
                <w:bCs/>
                <w:sz w:val="16"/>
                <w:szCs w:val="16"/>
              </w:rPr>
            </w:pPr>
            <w:r w:rsidRPr="00BB0C0E">
              <w:rPr>
                <w:b/>
                <w:bCs/>
                <w:sz w:val="16"/>
                <w:szCs w:val="16"/>
              </w:rPr>
              <w:t>25</w:t>
            </w:r>
          </w:p>
        </w:tc>
        <w:tc>
          <w:tcPr>
            <w:tcW w:w="866" w:type="dxa"/>
            <w:tcBorders>
              <w:top w:val="single" w:sz="4" w:space="0" w:color="auto"/>
              <w:left w:val="nil"/>
              <w:bottom w:val="single" w:sz="4" w:space="0" w:color="auto"/>
              <w:right w:val="single" w:sz="4" w:space="0" w:color="auto"/>
            </w:tcBorders>
            <w:shd w:val="clear" w:color="000000" w:fill="CCC0DA"/>
            <w:vAlign w:val="center"/>
          </w:tcPr>
          <w:p w:rsidR="00D52392" w:rsidRPr="00BB0C0E" w:rsidRDefault="00D52392" w:rsidP="00D52392">
            <w:pPr>
              <w:rPr>
                <w:b/>
                <w:bCs/>
                <w:sz w:val="16"/>
                <w:szCs w:val="16"/>
              </w:rPr>
            </w:pPr>
            <w:r w:rsidRPr="00BB0C0E">
              <w:rPr>
                <w:b/>
                <w:bCs/>
                <w:sz w:val="16"/>
                <w:szCs w:val="16"/>
              </w:rPr>
              <w:t>25</w:t>
            </w:r>
          </w:p>
        </w:tc>
        <w:tc>
          <w:tcPr>
            <w:tcW w:w="866" w:type="dxa"/>
            <w:tcBorders>
              <w:top w:val="single" w:sz="4" w:space="0" w:color="auto"/>
              <w:left w:val="nil"/>
              <w:bottom w:val="single" w:sz="4" w:space="0" w:color="auto"/>
              <w:right w:val="single" w:sz="4" w:space="0" w:color="auto"/>
            </w:tcBorders>
            <w:shd w:val="clear" w:color="000000" w:fill="CCC0DA"/>
            <w:vAlign w:val="center"/>
          </w:tcPr>
          <w:p w:rsidR="00D52392" w:rsidRPr="00BB0C0E" w:rsidRDefault="00D52392" w:rsidP="00D52392">
            <w:pPr>
              <w:rPr>
                <w:b/>
                <w:bCs/>
                <w:sz w:val="16"/>
                <w:szCs w:val="16"/>
              </w:rPr>
            </w:pPr>
            <w:r w:rsidRPr="00BB0C0E">
              <w:rPr>
                <w:b/>
                <w:bCs/>
                <w:sz w:val="16"/>
                <w:szCs w:val="16"/>
              </w:rPr>
              <w:t>25</w:t>
            </w:r>
          </w:p>
        </w:tc>
        <w:tc>
          <w:tcPr>
            <w:tcW w:w="866" w:type="dxa"/>
            <w:tcBorders>
              <w:top w:val="single" w:sz="4" w:space="0" w:color="auto"/>
              <w:left w:val="nil"/>
              <w:bottom w:val="single" w:sz="4" w:space="0" w:color="auto"/>
              <w:right w:val="single" w:sz="4" w:space="0" w:color="auto"/>
            </w:tcBorders>
            <w:shd w:val="clear" w:color="000000" w:fill="CCC0DA"/>
            <w:vAlign w:val="center"/>
          </w:tcPr>
          <w:p w:rsidR="00D52392" w:rsidRPr="00BB0C0E" w:rsidRDefault="00D52392" w:rsidP="00D52392">
            <w:pPr>
              <w:rPr>
                <w:b/>
                <w:bCs/>
                <w:sz w:val="16"/>
                <w:szCs w:val="16"/>
              </w:rPr>
            </w:pPr>
            <w:r w:rsidRPr="00BB0C0E">
              <w:rPr>
                <w:b/>
                <w:bCs/>
                <w:sz w:val="16"/>
                <w:szCs w:val="16"/>
              </w:rPr>
              <w:t>25</w:t>
            </w:r>
          </w:p>
        </w:tc>
        <w:tc>
          <w:tcPr>
            <w:tcW w:w="866" w:type="dxa"/>
            <w:tcBorders>
              <w:top w:val="single" w:sz="4" w:space="0" w:color="auto"/>
              <w:left w:val="nil"/>
              <w:bottom w:val="single" w:sz="4" w:space="0" w:color="auto"/>
              <w:right w:val="single" w:sz="4" w:space="0" w:color="auto"/>
            </w:tcBorders>
            <w:shd w:val="clear" w:color="000000" w:fill="CCC0DA"/>
            <w:vAlign w:val="center"/>
          </w:tcPr>
          <w:p w:rsidR="00D52392" w:rsidRPr="00BB0C0E" w:rsidRDefault="00D52392" w:rsidP="00D52392">
            <w:pPr>
              <w:rPr>
                <w:b/>
                <w:bCs/>
                <w:sz w:val="16"/>
                <w:szCs w:val="16"/>
              </w:rPr>
            </w:pPr>
            <w:r w:rsidRPr="00BB0C0E">
              <w:rPr>
                <w:b/>
                <w:bCs/>
                <w:sz w:val="16"/>
                <w:szCs w:val="16"/>
              </w:rPr>
              <w:t>25</w:t>
            </w:r>
          </w:p>
        </w:tc>
        <w:tc>
          <w:tcPr>
            <w:tcW w:w="866" w:type="dxa"/>
            <w:tcBorders>
              <w:top w:val="single" w:sz="4" w:space="0" w:color="auto"/>
              <w:left w:val="nil"/>
              <w:bottom w:val="single" w:sz="4" w:space="0" w:color="auto"/>
              <w:right w:val="single" w:sz="4" w:space="0" w:color="auto"/>
            </w:tcBorders>
            <w:shd w:val="clear" w:color="000000" w:fill="CCC0DA"/>
            <w:vAlign w:val="center"/>
          </w:tcPr>
          <w:p w:rsidR="00D52392" w:rsidRPr="00BB0C0E" w:rsidRDefault="00D52392" w:rsidP="00D52392">
            <w:pPr>
              <w:rPr>
                <w:b/>
                <w:bCs/>
                <w:sz w:val="16"/>
                <w:szCs w:val="16"/>
              </w:rPr>
            </w:pPr>
            <w:r w:rsidRPr="00BB0C0E">
              <w:rPr>
                <w:b/>
                <w:bCs/>
                <w:sz w:val="16"/>
                <w:szCs w:val="16"/>
              </w:rPr>
              <w:t>25</w:t>
            </w:r>
          </w:p>
        </w:tc>
        <w:tc>
          <w:tcPr>
            <w:tcW w:w="866" w:type="dxa"/>
            <w:tcBorders>
              <w:top w:val="single" w:sz="4" w:space="0" w:color="auto"/>
              <w:left w:val="nil"/>
              <w:bottom w:val="single" w:sz="4" w:space="0" w:color="auto"/>
              <w:right w:val="single" w:sz="4" w:space="0" w:color="auto"/>
            </w:tcBorders>
            <w:shd w:val="clear" w:color="000000" w:fill="CCC0DA"/>
            <w:vAlign w:val="center"/>
          </w:tcPr>
          <w:p w:rsidR="00D52392" w:rsidRPr="00BB0C0E" w:rsidRDefault="00D52392" w:rsidP="00D52392">
            <w:pPr>
              <w:rPr>
                <w:b/>
                <w:bCs/>
                <w:sz w:val="16"/>
                <w:szCs w:val="16"/>
              </w:rPr>
            </w:pPr>
            <w:r w:rsidRPr="00BB0C0E">
              <w:rPr>
                <w:b/>
                <w:bCs/>
                <w:sz w:val="16"/>
                <w:szCs w:val="16"/>
              </w:rPr>
              <w:t>25</w:t>
            </w:r>
          </w:p>
        </w:tc>
        <w:tc>
          <w:tcPr>
            <w:tcW w:w="866" w:type="dxa"/>
            <w:tcBorders>
              <w:top w:val="single" w:sz="4" w:space="0" w:color="auto"/>
              <w:left w:val="nil"/>
              <w:bottom w:val="single" w:sz="4" w:space="0" w:color="auto"/>
              <w:right w:val="single" w:sz="4" w:space="0" w:color="auto"/>
            </w:tcBorders>
            <w:shd w:val="clear" w:color="000000" w:fill="CCC0DA"/>
            <w:vAlign w:val="center"/>
          </w:tcPr>
          <w:p w:rsidR="00D52392" w:rsidRPr="00BB0C0E" w:rsidRDefault="00D52392" w:rsidP="00D52392">
            <w:pPr>
              <w:rPr>
                <w:b/>
                <w:bCs/>
                <w:sz w:val="16"/>
                <w:szCs w:val="16"/>
              </w:rPr>
            </w:pPr>
            <w:r w:rsidRPr="00BB0C0E">
              <w:rPr>
                <w:b/>
                <w:bCs/>
                <w:sz w:val="16"/>
                <w:szCs w:val="16"/>
              </w:rPr>
              <w:t>25</w:t>
            </w:r>
          </w:p>
        </w:tc>
        <w:tc>
          <w:tcPr>
            <w:tcW w:w="866" w:type="dxa"/>
            <w:tcBorders>
              <w:top w:val="single" w:sz="4" w:space="0" w:color="auto"/>
              <w:left w:val="nil"/>
              <w:bottom w:val="single" w:sz="4" w:space="0" w:color="auto"/>
              <w:right w:val="single" w:sz="4" w:space="0" w:color="auto"/>
            </w:tcBorders>
            <w:shd w:val="clear" w:color="000000" w:fill="CCC0DA"/>
            <w:vAlign w:val="center"/>
          </w:tcPr>
          <w:p w:rsidR="00D52392" w:rsidRPr="00BB0C0E" w:rsidRDefault="00D52392" w:rsidP="00D52392">
            <w:pPr>
              <w:rPr>
                <w:b/>
                <w:bCs/>
                <w:sz w:val="16"/>
                <w:szCs w:val="16"/>
              </w:rPr>
            </w:pPr>
            <w:r w:rsidRPr="00BB0C0E">
              <w:rPr>
                <w:b/>
                <w:bCs/>
                <w:sz w:val="16"/>
                <w:szCs w:val="16"/>
              </w:rPr>
              <w:t>25</w:t>
            </w:r>
          </w:p>
        </w:tc>
        <w:tc>
          <w:tcPr>
            <w:tcW w:w="867" w:type="dxa"/>
            <w:tcBorders>
              <w:top w:val="single" w:sz="4" w:space="0" w:color="auto"/>
              <w:left w:val="nil"/>
              <w:bottom w:val="single" w:sz="4" w:space="0" w:color="auto"/>
              <w:right w:val="single" w:sz="4" w:space="0" w:color="auto"/>
            </w:tcBorders>
            <w:shd w:val="clear" w:color="000000" w:fill="CCC0DA"/>
            <w:vAlign w:val="center"/>
          </w:tcPr>
          <w:p w:rsidR="00D52392" w:rsidRPr="00BB0C0E" w:rsidRDefault="00D52392" w:rsidP="00D52392">
            <w:pPr>
              <w:rPr>
                <w:b/>
                <w:bCs/>
                <w:sz w:val="16"/>
                <w:szCs w:val="16"/>
              </w:rPr>
            </w:pPr>
            <w:r w:rsidRPr="00BB0C0E">
              <w:rPr>
                <w:b/>
                <w:bCs/>
                <w:sz w:val="16"/>
                <w:szCs w:val="16"/>
              </w:rPr>
              <w:t>25</w:t>
            </w:r>
          </w:p>
        </w:tc>
      </w:tr>
      <w:tr w:rsidR="00D52392" w:rsidTr="00D52392">
        <w:tc>
          <w:tcPr>
            <w:tcW w:w="2689" w:type="dxa"/>
            <w:tcBorders>
              <w:top w:val="single" w:sz="4" w:space="0" w:color="auto"/>
              <w:left w:val="nil"/>
              <w:bottom w:val="nil"/>
              <w:right w:val="nil"/>
            </w:tcBorders>
            <w:shd w:val="clear" w:color="auto" w:fill="auto"/>
            <w:vAlign w:val="center"/>
          </w:tcPr>
          <w:p w:rsidR="00D52392" w:rsidRPr="008E6D56" w:rsidRDefault="00D52392" w:rsidP="00D52392">
            <w:pPr>
              <w:jc w:val="right"/>
              <w:rPr>
                <w:bCs/>
                <w:i/>
                <w:sz w:val="16"/>
                <w:szCs w:val="16"/>
              </w:rPr>
            </w:pPr>
            <w:r w:rsidRPr="008E6D56">
              <w:rPr>
                <w:bCs/>
                <w:i/>
                <w:sz w:val="16"/>
                <w:szCs w:val="16"/>
              </w:rPr>
              <w:t>ANMAC figure</w:t>
            </w:r>
          </w:p>
        </w:tc>
        <w:tc>
          <w:tcPr>
            <w:tcW w:w="866" w:type="dxa"/>
            <w:tcBorders>
              <w:top w:val="single" w:sz="4" w:space="0" w:color="auto"/>
              <w:left w:val="nil"/>
              <w:bottom w:val="nil"/>
              <w:right w:val="nil"/>
            </w:tcBorders>
            <w:shd w:val="clear" w:color="auto" w:fill="F1DCDB"/>
            <w:vAlign w:val="center"/>
          </w:tcPr>
          <w:p w:rsidR="00D52392" w:rsidRPr="00BB0C0E" w:rsidRDefault="00D52392" w:rsidP="00D52392">
            <w:pPr>
              <w:jc w:val="right"/>
              <w:rPr>
                <w:b/>
                <w:bCs/>
                <w:sz w:val="16"/>
                <w:szCs w:val="16"/>
              </w:rPr>
            </w:pPr>
          </w:p>
        </w:tc>
        <w:tc>
          <w:tcPr>
            <w:tcW w:w="866" w:type="dxa"/>
            <w:tcBorders>
              <w:top w:val="single" w:sz="4" w:space="0" w:color="auto"/>
              <w:left w:val="nil"/>
              <w:bottom w:val="nil"/>
              <w:right w:val="nil"/>
            </w:tcBorders>
            <w:shd w:val="clear" w:color="auto" w:fill="auto"/>
            <w:vAlign w:val="center"/>
          </w:tcPr>
          <w:p w:rsidR="00D52392" w:rsidRPr="00BB0C0E" w:rsidRDefault="00D52392" w:rsidP="00D52392">
            <w:pPr>
              <w:rPr>
                <w:b/>
                <w:bCs/>
                <w:sz w:val="16"/>
                <w:szCs w:val="16"/>
              </w:rPr>
            </w:pPr>
          </w:p>
        </w:tc>
        <w:tc>
          <w:tcPr>
            <w:tcW w:w="866" w:type="dxa"/>
            <w:tcBorders>
              <w:top w:val="single" w:sz="4" w:space="0" w:color="auto"/>
              <w:left w:val="nil"/>
              <w:bottom w:val="nil"/>
              <w:right w:val="nil"/>
            </w:tcBorders>
            <w:shd w:val="clear" w:color="auto" w:fill="auto"/>
            <w:vAlign w:val="center"/>
          </w:tcPr>
          <w:p w:rsidR="00D52392" w:rsidRPr="00BB0C0E" w:rsidRDefault="00D52392" w:rsidP="00D52392">
            <w:pPr>
              <w:rPr>
                <w:b/>
                <w:bCs/>
                <w:sz w:val="16"/>
                <w:szCs w:val="16"/>
              </w:rPr>
            </w:pPr>
          </w:p>
        </w:tc>
        <w:tc>
          <w:tcPr>
            <w:tcW w:w="866" w:type="dxa"/>
            <w:tcBorders>
              <w:top w:val="single" w:sz="4" w:space="0" w:color="auto"/>
              <w:left w:val="nil"/>
              <w:bottom w:val="nil"/>
              <w:right w:val="nil"/>
            </w:tcBorders>
            <w:shd w:val="clear" w:color="auto" w:fill="auto"/>
            <w:vAlign w:val="center"/>
          </w:tcPr>
          <w:p w:rsidR="00D52392" w:rsidRPr="00BB0C0E" w:rsidRDefault="00D52392" w:rsidP="00D52392">
            <w:pPr>
              <w:rPr>
                <w:b/>
                <w:bCs/>
                <w:sz w:val="16"/>
                <w:szCs w:val="16"/>
              </w:rPr>
            </w:pPr>
          </w:p>
        </w:tc>
        <w:tc>
          <w:tcPr>
            <w:tcW w:w="866" w:type="dxa"/>
            <w:tcBorders>
              <w:top w:val="single" w:sz="4" w:space="0" w:color="auto"/>
              <w:left w:val="nil"/>
              <w:bottom w:val="nil"/>
              <w:right w:val="nil"/>
            </w:tcBorders>
            <w:shd w:val="clear" w:color="auto" w:fill="auto"/>
            <w:vAlign w:val="center"/>
          </w:tcPr>
          <w:p w:rsidR="00D52392" w:rsidRPr="00BB0C0E" w:rsidRDefault="00D52392" w:rsidP="00D52392">
            <w:pPr>
              <w:rPr>
                <w:b/>
                <w:bCs/>
                <w:sz w:val="16"/>
                <w:szCs w:val="16"/>
              </w:rPr>
            </w:pPr>
          </w:p>
        </w:tc>
        <w:tc>
          <w:tcPr>
            <w:tcW w:w="866" w:type="dxa"/>
            <w:tcBorders>
              <w:top w:val="single" w:sz="4" w:space="0" w:color="auto"/>
              <w:left w:val="nil"/>
              <w:bottom w:val="nil"/>
              <w:right w:val="nil"/>
            </w:tcBorders>
            <w:shd w:val="clear" w:color="auto" w:fill="auto"/>
            <w:vAlign w:val="center"/>
          </w:tcPr>
          <w:p w:rsidR="00D52392" w:rsidRPr="00BB0C0E" w:rsidRDefault="00D52392" w:rsidP="00D52392">
            <w:pPr>
              <w:rPr>
                <w:b/>
                <w:bCs/>
                <w:sz w:val="16"/>
                <w:szCs w:val="16"/>
              </w:rPr>
            </w:pPr>
          </w:p>
        </w:tc>
        <w:tc>
          <w:tcPr>
            <w:tcW w:w="866" w:type="dxa"/>
            <w:tcBorders>
              <w:top w:val="single" w:sz="4" w:space="0" w:color="auto"/>
              <w:left w:val="nil"/>
              <w:bottom w:val="nil"/>
              <w:right w:val="nil"/>
            </w:tcBorders>
            <w:shd w:val="clear" w:color="auto" w:fill="auto"/>
            <w:vAlign w:val="center"/>
          </w:tcPr>
          <w:p w:rsidR="00D52392" w:rsidRPr="00BB0C0E" w:rsidRDefault="00D52392" w:rsidP="00D52392">
            <w:pPr>
              <w:rPr>
                <w:b/>
                <w:bCs/>
                <w:sz w:val="16"/>
                <w:szCs w:val="16"/>
              </w:rPr>
            </w:pPr>
          </w:p>
        </w:tc>
        <w:tc>
          <w:tcPr>
            <w:tcW w:w="866" w:type="dxa"/>
            <w:tcBorders>
              <w:top w:val="single" w:sz="4" w:space="0" w:color="auto"/>
              <w:left w:val="nil"/>
              <w:bottom w:val="nil"/>
              <w:right w:val="nil"/>
            </w:tcBorders>
            <w:shd w:val="clear" w:color="auto" w:fill="auto"/>
            <w:vAlign w:val="center"/>
          </w:tcPr>
          <w:p w:rsidR="00D52392" w:rsidRPr="00BB0C0E" w:rsidRDefault="00D52392" w:rsidP="00D52392">
            <w:pPr>
              <w:rPr>
                <w:b/>
                <w:bCs/>
                <w:sz w:val="16"/>
                <w:szCs w:val="16"/>
              </w:rPr>
            </w:pPr>
          </w:p>
        </w:tc>
        <w:tc>
          <w:tcPr>
            <w:tcW w:w="866" w:type="dxa"/>
            <w:tcBorders>
              <w:top w:val="single" w:sz="4" w:space="0" w:color="auto"/>
              <w:left w:val="nil"/>
              <w:bottom w:val="nil"/>
              <w:right w:val="nil"/>
            </w:tcBorders>
            <w:shd w:val="clear" w:color="auto" w:fill="auto"/>
            <w:vAlign w:val="center"/>
          </w:tcPr>
          <w:p w:rsidR="00D52392" w:rsidRPr="00BB0C0E" w:rsidRDefault="00D52392" w:rsidP="00D52392">
            <w:pPr>
              <w:rPr>
                <w:b/>
                <w:bCs/>
                <w:sz w:val="16"/>
                <w:szCs w:val="16"/>
              </w:rPr>
            </w:pPr>
          </w:p>
        </w:tc>
        <w:tc>
          <w:tcPr>
            <w:tcW w:w="866" w:type="dxa"/>
            <w:tcBorders>
              <w:top w:val="single" w:sz="4" w:space="0" w:color="auto"/>
              <w:left w:val="nil"/>
              <w:bottom w:val="nil"/>
              <w:right w:val="nil"/>
            </w:tcBorders>
            <w:shd w:val="clear" w:color="auto" w:fill="auto"/>
            <w:vAlign w:val="center"/>
          </w:tcPr>
          <w:p w:rsidR="00D52392" w:rsidRPr="00BB0C0E" w:rsidRDefault="00D52392" w:rsidP="00D52392">
            <w:pPr>
              <w:rPr>
                <w:b/>
                <w:bCs/>
                <w:sz w:val="16"/>
                <w:szCs w:val="16"/>
              </w:rPr>
            </w:pPr>
          </w:p>
        </w:tc>
        <w:tc>
          <w:tcPr>
            <w:tcW w:w="866" w:type="dxa"/>
            <w:tcBorders>
              <w:top w:val="single" w:sz="4" w:space="0" w:color="auto"/>
              <w:left w:val="nil"/>
              <w:bottom w:val="nil"/>
              <w:right w:val="nil"/>
            </w:tcBorders>
            <w:shd w:val="clear" w:color="auto" w:fill="auto"/>
            <w:vAlign w:val="center"/>
          </w:tcPr>
          <w:p w:rsidR="00D52392" w:rsidRPr="00BB0C0E" w:rsidRDefault="00D52392" w:rsidP="00D52392">
            <w:pPr>
              <w:rPr>
                <w:b/>
                <w:bCs/>
                <w:sz w:val="16"/>
                <w:szCs w:val="16"/>
              </w:rPr>
            </w:pPr>
          </w:p>
        </w:tc>
        <w:tc>
          <w:tcPr>
            <w:tcW w:w="866" w:type="dxa"/>
            <w:tcBorders>
              <w:top w:val="single" w:sz="4" w:space="0" w:color="auto"/>
              <w:left w:val="nil"/>
              <w:bottom w:val="nil"/>
              <w:right w:val="nil"/>
            </w:tcBorders>
            <w:shd w:val="clear" w:color="auto" w:fill="auto"/>
            <w:vAlign w:val="center"/>
          </w:tcPr>
          <w:p w:rsidR="00D52392" w:rsidRPr="00BB0C0E" w:rsidRDefault="00D52392" w:rsidP="00D52392">
            <w:pPr>
              <w:rPr>
                <w:b/>
                <w:bCs/>
                <w:sz w:val="16"/>
                <w:szCs w:val="16"/>
              </w:rPr>
            </w:pPr>
          </w:p>
        </w:tc>
        <w:tc>
          <w:tcPr>
            <w:tcW w:w="867" w:type="dxa"/>
            <w:tcBorders>
              <w:top w:val="single" w:sz="4" w:space="0" w:color="auto"/>
              <w:left w:val="nil"/>
              <w:bottom w:val="nil"/>
              <w:right w:val="nil"/>
            </w:tcBorders>
            <w:shd w:val="clear" w:color="auto" w:fill="auto"/>
            <w:vAlign w:val="center"/>
          </w:tcPr>
          <w:p w:rsidR="00D52392" w:rsidRPr="00BB0C0E" w:rsidRDefault="00D52392" w:rsidP="00D52392">
            <w:pPr>
              <w:rPr>
                <w:b/>
                <w:bCs/>
                <w:sz w:val="16"/>
                <w:szCs w:val="16"/>
              </w:rPr>
            </w:pPr>
          </w:p>
        </w:tc>
      </w:tr>
      <w:tr w:rsidR="00D52392" w:rsidTr="00D52392">
        <w:tc>
          <w:tcPr>
            <w:tcW w:w="2689" w:type="dxa"/>
            <w:tcBorders>
              <w:top w:val="nil"/>
              <w:left w:val="nil"/>
              <w:bottom w:val="nil"/>
              <w:right w:val="nil"/>
            </w:tcBorders>
            <w:shd w:val="clear" w:color="auto" w:fill="auto"/>
            <w:vAlign w:val="center"/>
          </w:tcPr>
          <w:p w:rsidR="00D52392" w:rsidRPr="008E6D56" w:rsidRDefault="00D52392" w:rsidP="00D52392">
            <w:pPr>
              <w:jc w:val="right"/>
              <w:rPr>
                <w:bCs/>
                <w:i/>
                <w:sz w:val="16"/>
                <w:szCs w:val="16"/>
              </w:rPr>
            </w:pPr>
            <w:r w:rsidRPr="008E6D56">
              <w:rPr>
                <w:bCs/>
                <w:i/>
                <w:sz w:val="16"/>
                <w:szCs w:val="16"/>
              </w:rPr>
              <w:t>Derived</w:t>
            </w:r>
          </w:p>
        </w:tc>
        <w:tc>
          <w:tcPr>
            <w:tcW w:w="866" w:type="dxa"/>
            <w:tcBorders>
              <w:top w:val="nil"/>
              <w:left w:val="nil"/>
              <w:bottom w:val="nil"/>
              <w:right w:val="nil"/>
            </w:tcBorders>
            <w:shd w:val="clear" w:color="auto" w:fill="CCC0DA"/>
            <w:vAlign w:val="center"/>
          </w:tcPr>
          <w:p w:rsidR="00D52392" w:rsidRPr="00BB0C0E" w:rsidRDefault="00D52392" w:rsidP="00D52392">
            <w:pPr>
              <w:jc w:val="right"/>
              <w:rPr>
                <w:b/>
                <w:bCs/>
                <w:sz w:val="16"/>
                <w:szCs w:val="16"/>
              </w:rPr>
            </w:pPr>
          </w:p>
        </w:tc>
        <w:tc>
          <w:tcPr>
            <w:tcW w:w="866" w:type="dxa"/>
            <w:tcBorders>
              <w:top w:val="nil"/>
              <w:left w:val="nil"/>
              <w:bottom w:val="nil"/>
              <w:right w:val="nil"/>
            </w:tcBorders>
            <w:shd w:val="clear" w:color="auto" w:fill="auto"/>
            <w:vAlign w:val="center"/>
          </w:tcPr>
          <w:p w:rsidR="00D52392" w:rsidRPr="00BB0C0E" w:rsidRDefault="00D52392" w:rsidP="00D52392">
            <w:pPr>
              <w:rPr>
                <w:b/>
                <w:bCs/>
                <w:sz w:val="16"/>
                <w:szCs w:val="16"/>
              </w:rPr>
            </w:pPr>
          </w:p>
        </w:tc>
        <w:tc>
          <w:tcPr>
            <w:tcW w:w="866" w:type="dxa"/>
            <w:tcBorders>
              <w:top w:val="nil"/>
              <w:left w:val="nil"/>
              <w:bottom w:val="nil"/>
              <w:right w:val="nil"/>
            </w:tcBorders>
            <w:shd w:val="clear" w:color="auto" w:fill="auto"/>
            <w:vAlign w:val="center"/>
          </w:tcPr>
          <w:p w:rsidR="00D52392" w:rsidRPr="00BB0C0E" w:rsidRDefault="00D52392" w:rsidP="00D52392">
            <w:pPr>
              <w:rPr>
                <w:b/>
                <w:bCs/>
                <w:sz w:val="16"/>
                <w:szCs w:val="16"/>
              </w:rPr>
            </w:pPr>
          </w:p>
        </w:tc>
        <w:tc>
          <w:tcPr>
            <w:tcW w:w="866" w:type="dxa"/>
            <w:tcBorders>
              <w:top w:val="nil"/>
              <w:left w:val="nil"/>
              <w:bottom w:val="nil"/>
              <w:right w:val="nil"/>
            </w:tcBorders>
            <w:shd w:val="clear" w:color="auto" w:fill="auto"/>
            <w:vAlign w:val="center"/>
          </w:tcPr>
          <w:p w:rsidR="00D52392" w:rsidRPr="00BB0C0E" w:rsidRDefault="00D52392" w:rsidP="00D52392">
            <w:pPr>
              <w:rPr>
                <w:b/>
                <w:bCs/>
                <w:sz w:val="16"/>
                <w:szCs w:val="16"/>
              </w:rPr>
            </w:pPr>
          </w:p>
        </w:tc>
        <w:tc>
          <w:tcPr>
            <w:tcW w:w="866" w:type="dxa"/>
            <w:tcBorders>
              <w:top w:val="nil"/>
              <w:left w:val="nil"/>
              <w:bottom w:val="nil"/>
              <w:right w:val="nil"/>
            </w:tcBorders>
            <w:shd w:val="clear" w:color="auto" w:fill="auto"/>
            <w:vAlign w:val="center"/>
          </w:tcPr>
          <w:p w:rsidR="00D52392" w:rsidRPr="00BB0C0E" w:rsidRDefault="00D52392" w:rsidP="00D52392">
            <w:pPr>
              <w:rPr>
                <w:b/>
                <w:bCs/>
                <w:sz w:val="16"/>
                <w:szCs w:val="16"/>
              </w:rPr>
            </w:pPr>
          </w:p>
        </w:tc>
        <w:tc>
          <w:tcPr>
            <w:tcW w:w="866" w:type="dxa"/>
            <w:tcBorders>
              <w:top w:val="nil"/>
              <w:left w:val="nil"/>
              <w:bottom w:val="nil"/>
              <w:right w:val="nil"/>
            </w:tcBorders>
            <w:shd w:val="clear" w:color="auto" w:fill="auto"/>
            <w:vAlign w:val="center"/>
          </w:tcPr>
          <w:p w:rsidR="00D52392" w:rsidRPr="00BB0C0E" w:rsidRDefault="00D52392" w:rsidP="00D52392">
            <w:pPr>
              <w:rPr>
                <w:b/>
                <w:bCs/>
                <w:sz w:val="16"/>
                <w:szCs w:val="16"/>
              </w:rPr>
            </w:pPr>
          </w:p>
        </w:tc>
        <w:tc>
          <w:tcPr>
            <w:tcW w:w="866" w:type="dxa"/>
            <w:tcBorders>
              <w:top w:val="nil"/>
              <w:left w:val="nil"/>
              <w:bottom w:val="nil"/>
              <w:right w:val="nil"/>
            </w:tcBorders>
            <w:shd w:val="clear" w:color="auto" w:fill="auto"/>
            <w:vAlign w:val="center"/>
          </w:tcPr>
          <w:p w:rsidR="00D52392" w:rsidRPr="00BB0C0E" w:rsidRDefault="00D52392" w:rsidP="00D52392">
            <w:pPr>
              <w:rPr>
                <w:b/>
                <w:bCs/>
                <w:sz w:val="16"/>
                <w:szCs w:val="16"/>
              </w:rPr>
            </w:pPr>
          </w:p>
        </w:tc>
        <w:tc>
          <w:tcPr>
            <w:tcW w:w="866" w:type="dxa"/>
            <w:tcBorders>
              <w:top w:val="nil"/>
              <w:left w:val="nil"/>
              <w:bottom w:val="nil"/>
              <w:right w:val="nil"/>
            </w:tcBorders>
            <w:shd w:val="clear" w:color="auto" w:fill="auto"/>
            <w:vAlign w:val="center"/>
          </w:tcPr>
          <w:p w:rsidR="00D52392" w:rsidRPr="00BB0C0E" w:rsidRDefault="00D52392" w:rsidP="00D52392">
            <w:pPr>
              <w:rPr>
                <w:b/>
                <w:bCs/>
                <w:sz w:val="16"/>
                <w:szCs w:val="16"/>
              </w:rPr>
            </w:pPr>
          </w:p>
        </w:tc>
        <w:tc>
          <w:tcPr>
            <w:tcW w:w="866" w:type="dxa"/>
            <w:tcBorders>
              <w:top w:val="nil"/>
              <w:left w:val="nil"/>
              <w:bottom w:val="nil"/>
              <w:right w:val="nil"/>
            </w:tcBorders>
            <w:shd w:val="clear" w:color="auto" w:fill="auto"/>
            <w:vAlign w:val="center"/>
          </w:tcPr>
          <w:p w:rsidR="00D52392" w:rsidRPr="00BB0C0E" w:rsidRDefault="00D52392" w:rsidP="00D52392">
            <w:pPr>
              <w:rPr>
                <w:b/>
                <w:bCs/>
                <w:sz w:val="16"/>
                <w:szCs w:val="16"/>
              </w:rPr>
            </w:pPr>
          </w:p>
        </w:tc>
        <w:tc>
          <w:tcPr>
            <w:tcW w:w="866" w:type="dxa"/>
            <w:tcBorders>
              <w:top w:val="nil"/>
              <w:left w:val="nil"/>
              <w:bottom w:val="nil"/>
              <w:right w:val="nil"/>
            </w:tcBorders>
            <w:shd w:val="clear" w:color="auto" w:fill="auto"/>
            <w:vAlign w:val="center"/>
          </w:tcPr>
          <w:p w:rsidR="00D52392" w:rsidRPr="00BB0C0E" w:rsidRDefault="00D52392" w:rsidP="00D52392">
            <w:pPr>
              <w:rPr>
                <w:b/>
                <w:bCs/>
                <w:sz w:val="16"/>
                <w:szCs w:val="16"/>
              </w:rPr>
            </w:pPr>
          </w:p>
        </w:tc>
        <w:tc>
          <w:tcPr>
            <w:tcW w:w="866" w:type="dxa"/>
            <w:tcBorders>
              <w:top w:val="nil"/>
              <w:left w:val="nil"/>
              <w:bottom w:val="nil"/>
              <w:right w:val="nil"/>
            </w:tcBorders>
            <w:shd w:val="clear" w:color="auto" w:fill="auto"/>
            <w:vAlign w:val="center"/>
          </w:tcPr>
          <w:p w:rsidR="00D52392" w:rsidRPr="00BB0C0E" w:rsidRDefault="00D52392" w:rsidP="00D52392">
            <w:pPr>
              <w:rPr>
                <w:b/>
                <w:bCs/>
                <w:sz w:val="16"/>
                <w:szCs w:val="16"/>
              </w:rPr>
            </w:pPr>
          </w:p>
        </w:tc>
        <w:tc>
          <w:tcPr>
            <w:tcW w:w="866" w:type="dxa"/>
            <w:tcBorders>
              <w:top w:val="nil"/>
              <w:left w:val="nil"/>
              <w:bottom w:val="nil"/>
              <w:right w:val="nil"/>
            </w:tcBorders>
            <w:shd w:val="clear" w:color="auto" w:fill="auto"/>
            <w:vAlign w:val="center"/>
          </w:tcPr>
          <w:p w:rsidR="00D52392" w:rsidRPr="00BB0C0E" w:rsidRDefault="00D52392" w:rsidP="00D52392">
            <w:pPr>
              <w:rPr>
                <w:b/>
                <w:bCs/>
                <w:sz w:val="16"/>
                <w:szCs w:val="16"/>
              </w:rPr>
            </w:pPr>
          </w:p>
        </w:tc>
        <w:tc>
          <w:tcPr>
            <w:tcW w:w="867" w:type="dxa"/>
            <w:tcBorders>
              <w:top w:val="nil"/>
              <w:left w:val="nil"/>
              <w:bottom w:val="nil"/>
              <w:right w:val="nil"/>
            </w:tcBorders>
            <w:shd w:val="clear" w:color="auto" w:fill="auto"/>
            <w:vAlign w:val="center"/>
          </w:tcPr>
          <w:p w:rsidR="00D52392" w:rsidRPr="00BB0C0E" w:rsidRDefault="00D52392" w:rsidP="00D52392">
            <w:pPr>
              <w:rPr>
                <w:b/>
                <w:bCs/>
                <w:sz w:val="16"/>
                <w:szCs w:val="16"/>
              </w:rPr>
            </w:pPr>
          </w:p>
        </w:tc>
      </w:tr>
    </w:tbl>
    <w:p w:rsidR="00D52392" w:rsidRDefault="00D52392" w:rsidP="00D52392"/>
    <w:p w:rsidR="00D52392" w:rsidRPr="00826C99" w:rsidRDefault="00D52392" w:rsidP="0065418E">
      <w:pPr>
        <w:keepNext/>
        <w:spacing w:before="120" w:after="0" w:line="240" w:lineRule="atLeast"/>
        <w:outlineLvl w:val="2"/>
        <w:rPr>
          <w:rFonts w:eastAsia="Times New Roman" w:cs="Arial"/>
          <w:color w:val="7030A0"/>
          <w:kern w:val="32"/>
          <w:szCs w:val="22"/>
          <w:lang w:val="x-none" w:eastAsia="x-none"/>
        </w:rPr>
        <w:sectPr w:rsidR="00D52392" w:rsidRPr="00826C99" w:rsidSect="00B85FC5">
          <w:pgSz w:w="16838" w:h="11906" w:orient="landscape"/>
          <w:pgMar w:top="1440" w:right="1440" w:bottom="1440" w:left="1440" w:header="708" w:footer="708" w:gutter="0"/>
          <w:cols w:space="708"/>
          <w:docGrid w:linePitch="360"/>
        </w:sectPr>
      </w:pPr>
    </w:p>
    <w:p w:rsidR="00543598" w:rsidRPr="00E85564" w:rsidRDefault="00543598" w:rsidP="00E85564">
      <w:pPr>
        <w:pStyle w:val="Heading1"/>
      </w:pPr>
      <w:bookmarkStart w:id="125" w:name="_Toc506449998"/>
      <w:bookmarkStart w:id="126" w:name="_Toc10808403"/>
      <w:r w:rsidRPr="00E85564">
        <w:lastRenderedPageBreak/>
        <w:t>Demand</w:t>
      </w:r>
      <w:bookmarkEnd w:id="125"/>
      <w:bookmarkEnd w:id="126"/>
    </w:p>
    <w:p w:rsidR="00995263" w:rsidRDefault="00543598" w:rsidP="005142DA">
      <w:pPr>
        <w:spacing w:after="120" w:line="240" w:lineRule="auto"/>
        <w:jc w:val="both"/>
        <w:rPr>
          <w:rFonts w:eastAsia="Calibri" w:cs="Arial"/>
          <w:szCs w:val="22"/>
          <w:lang w:eastAsia="en-AU"/>
        </w:rPr>
      </w:pPr>
      <w:r w:rsidRPr="00543598">
        <w:rPr>
          <w:rFonts w:eastAsia="Calibri" w:cs="Arial"/>
          <w:szCs w:val="22"/>
          <w:lang w:eastAsia="en-AU"/>
        </w:rPr>
        <w:t xml:space="preserve">A key </w:t>
      </w:r>
      <w:r w:rsidR="00995263">
        <w:rPr>
          <w:rFonts w:eastAsia="Calibri" w:cs="Arial"/>
          <w:szCs w:val="22"/>
          <w:lang w:eastAsia="en-AU"/>
        </w:rPr>
        <w:t xml:space="preserve">element </w:t>
      </w:r>
      <w:r w:rsidRPr="00543598">
        <w:rPr>
          <w:rFonts w:eastAsia="Calibri" w:cs="Arial"/>
          <w:szCs w:val="22"/>
          <w:lang w:eastAsia="en-AU"/>
        </w:rPr>
        <w:t>of this paper is to formulate a method to determine the deman</w:t>
      </w:r>
      <w:r w:rsidR="005142DA">
        <w:rPr>
          <w:rFonts w:eastAsia="Calibri" w:cs="Arial"/>
          <w:szCs w:val="22"/>
          <w:lang w:eastAsia="en-AU"/>
        </w:rPr>
        <w:t>d for the midwifery workforce.</w:t>
      </w:r>
    </w:p>
    <w:p w:rsidR="00995263" w:rsidRDefault="00995263" w:rsidP="00160CA5">
      <w:pPr>
        <w:pStyle w:val="Heading2"/>
        <w:rPr>
          <w:rFonts w:eastAsia="Calibri"/>
          <w:lang w:eastAsia="en-AU"/>
        </w:rPr>
      </w:pPr>
      <w:bookmarkStart w:id="127" w:name="_Toc10808404"/>
      <w:r>
        <w:rPr>
          <w:rFonts w:eastAsia="Calibri"/>
          <w:lang w:eastAsia="en-AU"/>
        </w:rPr>
        <w:t>Previous methodology</w:t>
      </w:r>
      <w:bookmarkEnd w:id="127"/>
    </w:p>
    <w:p w:rsidR="00543598" w:rsidRPr="00042B08" w:rsidRDefault="00543598" w:rsidP="00042B08">
      <w:pPr>
        <w:spacing w:before="120" w:after="120" w:line="240" w:lineRule="auto"/>
        <w:jc w:val="both"/>
        <w:rPr>
          <w:rFonts w:eastAsia="Calibri" w:cs="Arial"/>
          <w:szCs w:val="22"/>
          <w:lang w:eastAsia="en-AU"/>
        </w:rPr>
      </w:pPr>
      <w:r w:rsidRPr="00543598">
        <w:rPr>
          <w:rFonts w:eastAsia="Calibri" w:cs="Arial"/>
          <w:szCs w:val="22"/>
          <w:lang w:eastAsia="en-AU"/>
        </w:rPr>
        <w:t xml:space="preserve">There were a number of concerns regarding the method in </w:t>
      </w:r>
      <w:r w:rsidRPr="00543598">
        <w:rPr>
          <w:rFonts w:eastAsia="Calibri" w:cs="Arial"/>
          <w:i/>
          <w:szCs w:val="22"/>
          <w:lang w:eastAsia="en-AU"/>
        </w:rPr>
        <w:t>HW 2025 Volume 1</w:t>
      </w:r>
      <w:r w:rsidRPr="00543598">
        <w:rPr>
          <w:rFonts w:eastAsia="Calibri" w:cs="Arial"/>
          <w:szCs w:val="22"/>
          <w:lang w:eastAsia="en-AU"/>
        </w:rPr>
        <w:t xml:space="preserve">, which used the number of actual births (separated out for caesarean and vaginal birth) from the </w:t>
      </w:r>
      <w:r w:rsidRPr="006F646B">
        <w:rPr>
          <w:rFonts w:eastAsia="Calibri" w:cs="Arial"/>
          <w:szCs w:val="22"/>
          <w:lang w:eastAsia="en-AU"/>
        </w:rPr>
        <w:t>Australian Institute for Health and Welfare (AIHW)</w:t>
      </w:r>
      <w:r w:rsidRPr="00543598">
        <w:rPr>
          <w:rFonts w:eastAsia="Calibri" w:cs="Arial"/>
          <w:i/>
          <w:szCs w:val="22"/>
          <w:lang w:eastAsia="en-AU"/>
        </w:rPr>
        <w:t xml:space="preserve"> Australia’s mother</w:t>
      </w:r>
      <w:r w:rsidR="006F646B">
        <w:rPr>
          <w:rFonts w:eastAsia="Calibri" w:cs="Arial"/>
          <w:i/>
          <w:szCs w:val="22"/>
          <w:lang w:eastAsia="en-AU"/>
        </w:rPr>
        <w:t>s</w:t>
      </w:r>
      <w:r w:rsidRPr="00543598">
        <w:rPr>
          <w:rFonts w:eastAsia="Calibri" w:cs="Arial"/>
          <w:i/>
          <w:szCs w:val="22"/>
          <w:lang w:eastAsia="en-AU"/>
        </w:rPr>
        <w:t xml:space="preserve"> and babies report 2006 </w:t>
      </w:r>
      <w:r w:rsidRPr="00543598">
        <w:rPr>
          <w:rFonts w:eastAsia="Calibri" w:cs="Arial"/>
          <w:szCs w:val="22"/>
          <w:lang w:eastAsia="en-AU"/>
        </w:rPr>
        <w:t>to</w:t>
      </w:r>
      <w:r w:rsidRPr="00543598">
        <w:rPr>
          <w:rFonts w:eastAsia="Calibri" w:cs="Arial"/>
          <w:i/>
          <w:szCs w:val="22"/>
          <w:lang w:eastAsia="en-AU"/>
        </w:rPr>
        <w:t xml:space="preserve"> 2008</w:t>
      </w:r>
      <w:r w:rsidRPr="00543598">
        <w:rPr>
          <w:rFonts w:eastAsia="Calibri" w:cs="Arial"/>
          <w:szCs w:val="22"/>
          <w:lang w:eastAsia="en-AU"/>
        </w:rPr>
        <w:t xml:space="preserve"> and forecast demand based upon the population projection of women aged 15-49 years. It is recognised that this method did not factor in the </w:t>
      </w:r>
      <w:r w:rsidR="004D53D1">
        <w:rPr>
          <w:rFonts w:eastAsia="Calibri" w:cs="Arial"/>
          <w:szCs w:val="22"/>
          <w:lang w:eastAsia="en-AU"/>
        </w:rPr>
        <w:t>continuity</w:t>
      </w:r>
      <w:r w:rsidRPr="00543598">
        <w:rPr>
          <w:rFonts w:eastAsia="Calibri" w:cs="Arial"/>
          <w:szCs w:val="22"/>
          <w:lang w:eastAsia="en-AU"/>
        </w:rPr>
        <w:t xml:space="preserve"> of care for maternity services.</w:t>
      </w:r>
      <w:r w:rsidR="00042B08">
        <w:rPr>
          <w:rFonts w:eastAsia="Calibri" w:cs="Arial"/>
          <w:szCs w:val="22"/>
          <w:lang w:eastAsia="en-AU"/>
        </w:rPr>
        <w:t xml:space="preserve"> In this report the</w:t>
      </w:r>
      <w:r w:rsidR="00042B08" w:rsidRPr="00042B08">
        <w:rPr>
          <w:rFonts w:eastAsia="Calibri" w:cs="Arial"/>
          <w:szCs w:val="22"/>
          <w:lang w:eastAsia="en-AU"/>
        </w:rPr>
        <w:t xml:space="preserve"> methodology used for estimating demand is </w:t>
      </w:r>
      <w:r w:rsidR="004D53D1">
        <w:rPr>
          <w:rFonts w:eastAsia="Calibri" w:cs="Arial"/>
          <w:szCs w:val="22"/>
          <w:lang w:eastAsia="en-AU"/>
        </w:rPr>
        <w:t>continuity</w:t>
      </w:r>
      <w:r w:rsidR="00042B08" w:rsidRPr="00042B08">
        <w:rPr>
          <w:rFonts w:eastAsia="Calibri" w:cs="Arial"/>
          <w:szCs w:val="22"/>
          <w:lang w:eastAsia="en-AU"/>
        </w:rPr>
        <w:t xml:space="preserve"> of care.</w:t>
      </w:r>
    </w:p>
    <w:p w:rsidR="00042B08" w:rsidRPr="00F47E14" w:rsidRDefault="004D53D1" w:rsidP="00042B08">
      <w:pPr>
        <w:pStyle w:val="Heading2"/>
        <w:rPr>
          <w:rStyle w:val="Heading4Char"/>
          <w:rFonts w:eastAsia="Calibri"/>
        </w:rPr>
      </w:pPr>
      <w:bookmarkStart w:id="128" w:name="_Toc506450013"/>
      <w:bookmarkStart w:id="129" w:name="_Toc10808405"/>
      <w:r>
        <w:rPr>
          <w:rStyle w:val="Heading4Char"/>
          <w:rFonts w:eastAsia="Calibri"/>
        </w:rPr>
        <w:t>Continuity</w:t>
      </w:r>
      <w:r w:rsidR="00042B08" w:rsidRPr="00F47E14">
        <w:rPr>
          <w:rStyle w:val="Heading4Char"/>
          <w:rFonts w:eastAsia="Calibri"/>
        </w:rPr>
        <w:t xml:space="preserve"> of care</w:t>
      </w:r>
      <w:bookmarkEnd w:id="128"/>
      <w:bookmarkEnd w:id="129"/>
    </w:p>
    <w:p w:rsidR="00042B08" w:rsidRPr="003D217A" w:rsidRDefault="00042B08" w:rsidP="00042B08">
      <w:pPr>
        <w:spacing w:after="0" w:line="240" w:lineRule="auto"/>
        <w:jc w:val="both"/>
        <w:rPr>
          <w:rFonts w:eastAsia="Calibri" w:cs="Arial"/>
          <w:szCs w:val="22"/>
          <w:lang w:eastAsia="en-AU"/>
        </w:rPr>
      </w:pPr>
      <w:r w:rsidRPr="003D217A">
        <w:rPr>
          <w:rFonts w:eastAsia="Calibri" w:cs="Arial"/>
          <w:szCs w:val="22"/>
          <w:lang w:eastAsia="en-AU"/>
        </w:rPr>
        <w:t xml:space="preserve">Figure </w:t>
      </w:r>
      <w:r w:rsidR="00AA3E45" w:rsidRPr="003D217A">
        <w:rPr>
          <w:rFonts w:eastAsia="Calibri" w:cs="Arial"/>
          <w:szCs w:val="22"/>
          <w:lang w:eastAsia="en-AU"/>
        </w:rPr>
        <w:t>20</w:t>
      </w:r>
      <w:r w:rsidRPr="003D217A">
        <w:rPr>
          <w:rFonts w:eastAsia="Calibri" w:cs="Arial"/>
          <w:szCs w:val="22"/>
          <w:lang w:eastAsia="en-AU"/>
        </w:rPr>
        <w:t xml:space="preserve"> shows the </w:t>
      </w:r>
      <w:r w:rsidR="004D53D1" w:rsidRPr="003D217A">
        <w:rPr>
          <w:rFonts w:eastAsia="Calibri" w:cs="Arial"/>
          <w:szCs w:val="22"/>
          <w:lang w:eastAsia="en-AU"/>
        </w:rPr>
        <w:t>continuity</w:t>
      </w:r>
      <w:r w:rsidRPr="003D217A">
        <w:rPr>
          <w:rFonts w:eastAsia="Calibri" w:cs="Arial"/>
          <w:szCs w:val="22"/>
          <w:lang w:eastAsia="en-AU"/>
        </w:rPr>
        <w:t xml:space="preserve"> of care for midwifery which acknowledges that midwives work with women and infants from pregnancy and childbirth through to six weeks postnatal. This care is provided in a variety of publ</w:t>
      </w:r>
      <w:r w:rsidR="005142DA" w:rsidRPr="003D217A">
        <w:rPr>
          <w:rFonts w:eastAsia="Calibri" w:cs="Arial"/>
          <w:szCs w:val="22"/>
          <w:lang w:eastAsia="en-AU"/>
        </w:rPr>
        <w:t>ic and private settings.</w:t>
      </w:r>
    </w:p>
    <w:p w:rsidR="00AE1226" w:rsidRPr="00AE1226" w:rsidRDefault="00042B08" w:rsidP="00AE1226">
      <w:pPr>
        <w:pStyle w:val="Caption"/>
        <w:rPr>
          <w:lang w:eastAsia="en-AU"/>
        </w:rPr>
      </w:pPr>
      <w:bookmarkStart w:id="130" w:name="_Toc532473589"/>
      <w:bookmarkStart w:id="131" w:name="_Toc1722572"/>
      <w:bookmarkStart w:id="132" w:name="_Toc1724696"/>
      <w:bookmarkStart w:id="133" w:name="_Toc1725014"/>
      <w:r>
        <w:t xml:space="preserve">Figure </w:t>
      </w:r>
      <w:r w:rsidR="00AA3E45">
        <w:t>20</w:t>
      </w:r>
      <w:r>
        <w:t xml:space="preserve">: </w:t>
      </w:r>
      <w:r w:rsidR="004D53D1">
        <w:t>Continuity</w:t>
      </w:r>
      <w:r>
        <w:t xml:space="preserve"> of Care</w:t>
      </w:r>
      <w:bookmarkEnd w:id="130"/>
      <w:bookmarkEnd w:id="131"/>
      <w:bookmarkEnd w:id="132"/>
      <w:bookmarkEnd w:id="133"/>
    </w:p>
    <w:p w:rsidR="00042B08" w:rsidRPr="00FF5FAA" w:rsidRDefault="00AE1226" w:rsidP="00042B08">
      <w:pPr>
        <w:spacing w:after="0" w:line="240" w:lineRule="auto"/>
        <w:rPr>
          <w:rFonts w:ascii="Helvetica" w:eastAsia="Calibri" w:hAnsi="Helvetica"/>
          <w:sz w:val="16"/>
          <w:szCs w:val="22"/>
          <w:u w:val="single"/>
          <w:lang w:eastAsia="en-AU"/>
        </w:rPr>
      </w:pPr>
      <w:r w:rsidRPr="00AE1226">
        <w:rPr>
          <w:rFonts w:ascii="Helvetica" w:eastAsia="Calibri" w:hAnsi="Helvetica"/>
          <w:noProof/>
          <w:sz w:val="16"/>
          <w:szCs w:val="22"/>
          <w:lang w:eastAsia="en-AU"/>
        </w:rPr>
        <w:drawing>
          <wp:inline distT="0" distB="0" distL="0" distR="0">
            <wp:extent cx="5659034" cy="1392072"/>
            <wp:effectExtent l="0" t="0" r="0" b="0"/>
            <wp:docPr id="33" name="Picture 33" descr="Shows the continuity of care for midwifery which acknowledges that midwives work with women and infants from pregnancy and childbirth through to six weeks postnatal. This care is provided in a variety of public and private settings." title="Figure 20: Continuity of C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87C55A5.tmp"/>
                    <pic:cNvPicPr/>
                  </pic:nvPicPr>
                  <pic:blipFill rotWithShape="1">
                    <a:blip r:embed="rId27">
                      <a:extLst>
                        <a:ext uri="{28A0092B-C50C-407E-A947-70E740481C1C}">
                          <a14:useLocalDpi xmlns:a14="http://schemas.microsoft.com/office/drawing/2010/main" val="0"/>
                        </a:ext>
                      </a:extLst>
                    </a:blip>
                    <a:srcRect l="12424" t="40481" r="33478" b="34801"/>
                    <a:stretch/>
                  </pic:blipFill>
                  <pic:spPr bwMode="auto">
                    <a:xfrm>
                      <a:off x="0" y="0"/>
                      <a:ext cx="5683489" cy="1398088"/>
                    </a:xfrm>
                    <a:prstGeom prst="rect">
                      <a:avLst/>
                    </a:prstGeom>
                    <a:ln>
                      <a:noFill/>
                    </a:ln>
                    <a:extLst>
                      <a:ext uri="{53640926-AAD7-44D8-BBD7-CCE9431645EC}">
                        <a14:shadowObscured xmlns:a14="http://schemas.microsoft.com/office/drawing/2010/main"/>
                      </a:ext>
                    </a:extLst>
                  </pic:spPr>
                </pic:pic>
              </a:graphicData>
            </a:graphic>
          </wp:inline>
        </w:drawing>
      </w:r>
    </w:p>
    <w:p w:rsidR="00042B08" w:rsidRPr="003D217A" w:rsidRDefault="00042B08" w:rsidP="00042B08">
      <w:pPr>
        <w:spacing w:after="0" w:line="240" w:lineRule="auto"/>
        <w:rPr>
          <w:rFonts w:eastAsia="Calibri" w:cs="Arial"/>
          <w:szCs w:val="22"/>
          <w:lang w:eastAsia="en-AU"/>
        </w:rPr>
      </w:pPr>
      <w:r w:rsidRPr="003D217A">
        <w:rPr>
          <w:rFonts w:eastAsia="Calibri" w:cs="Arial"/>
          <w:szCs w:val="22"/>
          <w:lang w:eastAsia="en-AU"/>
        </w:rPr>
        <w:t xml:space="preserve">Each of the above components are considered separately and projected into the future independently. </w:t>
      </w:r>
    </w:p>
    <w:p w:rsidR="00042B08" w:rsidRPr="00FF5FAA" w:rsidRDefault="002A5249" w:rsidP="00042B08">
      <w:pPr>
        <w:spacing w:before="120" w:after="120" w:line="240" w:lineRule="auto"/>
        <w:jc w:val="both"/>
        <w:rPr>
          <w:rFonts w:ascii="Helvetica" w:eastAsia="Calibri" w:hAnsi="Helvetica"/>
          <w:szCs w:val="22"/>
          <w:u w:val="single"/>
          <w:lang w:eastAsia="en-AU"/>
        </w:rPr>
      </w:pPr>
      <w:r w:rsidRPr="00FF5FAA">
        <w:rPr>
          <w:rFonts w:ascii="Helvetica" w:eastAsia="Calibri" w:hAnsi="Helvetica"/>
          <w:noProof/>
          <w:szCs w:val="22"/>
          <w:lang w:eastAsia="en-AU"/>
        </w:rPr>
        <w:drawing>
          <wp:inline distT="0" distB="0" distL="0" distR="0">
            <wp:extent cx="565200" cy="568800"/>
            <wp:effectExtent l="0" t="0" r="6350" b="3175"/>
            <wp:docPr id="19" name="Picture 19" title="Header =Antenatal C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65200" cy="568800"/>
                    </a:xfrm>
                    <a:prstGeom prst="rect">
                      <a:avLst/>
                    </a:prstGeom>
                    <a:noFill/>
                    <a:ln>
                      <a:noFill/>
                    </a:ln>
                  </pic:spPr>
                </pic:pic>
              </a:graphicData>
            </a:graphic>
          </wp:inline>
        </w:drawing>
      </w:r>
    </w:p>
    <w:p w:rsidR="00042B08" w:rsidRPr="003D217A" w:rsidRDefault="00042B08" w:rsidP="00042B08">
      <w:pPr>
        <w:spacing w:before="120" w:after="120" w:line="240" w:lineRule="auto"/>
        <w:jc w:val="both"/>
        <w:rPr>
          <w:rFonts w:eastAsia="Calibri" w:cs="Arial"/>
          <w:szCs w:val="22"/>
          <w:u w:val="single"/>
          <w:lang w:eastAsia="en-AU"/>
        </w:rPr>
      </w:pPr>
      <w:r w:rsidRPr="003D217A">
        <w:rPr>
          <w:rFonts w:eastAsia="Calibri" w:cs="Arial"/>
          <w:szCs w:val="20"/>
          <w:shd w:val="clear" w:color="auto" w:fill="FFFFFF"/>
          <w:lang w:eastAsia="en-AU"/>
        </w:rPr>
        <w:t>While antenatal visits are well established as a means of improving perinatal outcomes, the number and timing of visits has been less studied</w:t>
      </w:r>
      <w:r w:rsidRPr="003D217A">
        <w:rPr>
          <w:rFonts w:eastAsia="Calibri" w:cs="Arial"/>
          <w:szCs w:val="20"/>
          <w:shd w:val="clear" w:color="auto" w:fill="FFFFFF"/>
          <w:vertAlign w:val="superscript"/>
          <w:lang w:eastAsia="en-AU"/>
        </w:rPr>
        <w:footnoteReference w:id="4"/>
      </w:r>
      <w:r w:rsidRPr="003D217A">
        <w:rPr>
          <w:rFonts w:eastAsia="Calibri" w:cs="Arial"/>
          <w:szCs w:val="20"/>
          <w:shd w:val="clear" w:color="auto" w:fill="FFFFFF"/>
          <w:lang w:eastAsia="en-AU"/>
        </w:rPr>
        <w:t>. Systematic reviews and observational studies tend to show an association between the number of antenatal visits and/or gestational age at first antenatal visit and pregnancy outcomes</w:t>
      </w:r>
      <w:r w:rsidRPr="003D217A">
        <w:rPr>
          <w:rFonts w:eastAsia="Calibri" w:cs="Arial"/>
          <w:szCs w:val="20"/>
          <w:shd w:val="clear" w:color="auto" w:fill="FFFFFF"/>
          <w:vertAlign w:val="superscript"/>
          <w:lang w:eastAsia="en-AU"/>
        </w:rPr>
        <w:footnoteReference w:id="5"/>
      </w:r>
      <w:r w:rsidR="00995263" w:rsidRPr="003D217A">
        <w:rPr>
          <w:rFonts w:eastAsia="Calibri" w:cs="Arial"/>
          <w:szCs w:val="20"/>
          <w:shd w:val="clear" w:color="auto" w:fill="FFFFFF"/>
          <w:lang w:eastAsia="en-AU"/>
        </w:rPr>
        <w:t xml:space="preserve">. However, </w:t>
      </w:r>
      <w:r w:rsidRPr="003D217A">
        <w:rPr>
          <w:rFonts w:eastAsia="Calibri" w:cs="Arial"/>
          <w:szCs w:val="20"/>
          <w:shd w:val="clear" w:color="auto" w:fill="FFFFFF"/>
          <w:lang w:eastAsia="en-AU"/>
        </w:rPr>
        <w:t xml:space="preserve">there are many differences in socio-demographic and risk profiles of women attending antenatal care that may contribute to these findings. The </w:t>
      </w:r>
      <w:r w:rsidRPr="003D217A">
        <w:rPr>
          <w:rFonts w:eastAsia="Calibri" w:cs="Arial"/>
          <w:szCs w:val="22"/>
          <w:lang w:eastAsia="en-AU"/>
        </w:rPr>
        <w:t xml:space="preserve">evidence based on </w:t>
      </w:r>
      <w:r w:rsidRPr="003D217A">
        <w:rPr>
          <w:rFonts w:eastAsia="Calibri" w:cs="Arial"/>
          <w:i/>
          <w:iCs/>
          <w:szCs w:val="22"/>
          <w:lang w:eastAsia="en-AU"/>
        </w:rPr>
        <w:t>Clinical Practice Guidelines: Pregnancy Care</w:t>
      </w:r>
      <w:r w:rsidRPr="003D217A">
        <w:rPr>
          <w:rFonts w:eastAsia="Calibri" w:cs="Arial"/>
          <w:szCs w:val="22"/>
          <w:lang w:eastAsia="en-AU"/>
        </w:rPr>
        <w:t xml:space="preserve"> recommends that the appropriate number of antenatal visits is 10 for the first pregnancy and seven for subsequent (normal pregnancies). </w:t>
      </w:r>
    </w:p>
    <w:p w:rsidR="005142DA" w:rsidRPr="003D217A" w:rsidRDefault="00042B08" w:rsidP="00042B08">
      <w:pPr>
        <w:spacing w:before="120" w:after="120" w:line="240" w:lineRule="auto"/>
        <w:jc w:val="both"/>
        <w:rPr>
          <w:rFonts w:eastAsia="Calibri" w:cs="Arial"/>
          <w:lang w:eastAsia="en-AU"/>
        </w:rPr>
      </w:pPr>
      <w:r w:rsidRPr="003D217A">
        <w:rPr>
          <w:rFonts w:eastAsia="Calibri" w:cs="Arial"/>
          <w:lang w:eastAsia="en-AU"/>
        </w:rPr>
        <w:t xml:space="preserve">With the limited data available an assumption is made that the number of antenatal visits needed to be translated into a measure of the total recommended number of visits women attended according to pregnancy characteristics. </w:t>
      </w:r>
    </w:p>
    <w:p w:rsidR="00DC2D0D" w:rsidRDefault="005142DA" w:rsidP="005142DA">
      <w:pPr>
        <w:rPr>
          <w:rFonts w:ascii="Helvetica" w:eastAsia="Calibri" w:hAnsi="Helvetica" w:cs="Helvetica"/>
          <w:lang w:eastAsia="en-AU"/>
        </w:rPr>
      </w:pPr>
      <w:r>
        <w:rPr>
          <w:rFonts w:ascii="Helvetica" w:eastAsia="Calibri" w:hAnsi="Helvetica" w:cs="Helvetica"/>
          <w:lang w:eastAsia="en-AU"/>
        </w:rPr>
        <w:br w:type="page"/>
      </w:r>
    </w:p>
    <w:p w:rsidR="00042B08" w:rsidRPr="003D217A" w:rsidRDefault="00042B08" w:rsidP="00042B08">
      <w:pPr>
        <w:spacing w:before="120" w:after="120" w:line="240" w:lineRule="auto"/>
        <w:jc w:val="both"/>
        <w:rPr>
          <w:rFonts w:eastAsia="Calibri" w:cs="Arial"/>
          <w:lang w:eastAsia="en-AU"/>
        </w:rPr>
      </w:pPr>
      <w:r w:rsidRPr="003D217A">
        <w:rPr>
          <w:rFonts w:eastAsia="Calibri" w:cs="Arial"/>
          <w:lang w:eastAsia="en-AU"/>
        </w:rPr>
        <w:lastRenderedPageBreak/>
        <w:t xml:space="preserve">Figure </w:t>
      </w:r>
      <w:r w:rsidR="00AA3E45" w:rsidRPr="003D217A">
        <w:rPr>
          <w:rFonts w:eastAsia="Calibri" w:cs="Arial"/>
          <w:lang w:eastAsia="en-AU"/>
        </w:rPr>
        <w:t>21</w:t>
      </w:r>
      <w:r w:rsidRPr="003D217A">
        <w:rPr>
          <w:rFonts w:eastAsia="Calibri" w:cs="Arial"/>
          <w:lang w:eastAsia="en-AU"/>
        </w:rPr>
        <w:t xml:space="preserve"> shows the ‘number of women’ who attended antenatal visits as reported in the AHIW </w:t>
      </w:r>
      <w:r w:rsidR="006F646B" w:rsidRPr="003D217A">
        <w:rPr>
          <w:rFonts w:eastAsia="Calibri" w:cs="Arial"/>
          <w:i/>
          <w:lang w:eastAsia="en-AU"/>
        </w:rPr>
        <w:t xml:space="preserve">Australia’s </w:t>
      </w:r>
      <w:r w:rsidRPr="003D217A">
        <w:rPr>
          <w:rFonts w:eastAsia="Calibri" w:cs="Arial"/>
          <w:i/>
          <w:lang w:eastAsia="en-AU"/>
        </w:rPr>
        <w:t>mothers and babies report</w:t>
      </w:r>
      <w:r w:rsidR="00995263" w:rsidRPr="003D217A">
        <w:rPr>
          <w:rFonts w:eastAsia="Calibri" w:cs="Arial"/>
          <w:lang w:eastAsia="en-AU"/>
        </w:rPr>
        <w:t>.</w:t>
      </w:r>
      <w:r w:rsidRPr="003D217A">
        <w:rPr>
          <w:rFonts w:eastAsia="Calibri" w:cs="Arial"/>
          <w:lang w:eastAsia="en-AU"/>
        </w:rPr>
        <w:t xml:space="preserve"> </w:t>
      </w:r>
      <w:r w:rsidR="00995263" w:rsidRPr="003D217A">
        <w:rPr>
          <w:rFonts w:eastAsia="Calibri" w:cs="Arial"/>
          <w:lang w:eastAsia="en-AU"/>
        </w:rPr>
        <w:t>A</w:t>
      </w:r>
      <w:r w:rsidRPr="003D217A">
        <w:rPr>
          <w:rFonts w:eastAsia="Calibri" w:cs="Arial"/>
          <w:lang w:eastAsia="en-AU"/>
        </w:rPr>
        <w:t xml:space="preserve"> measure (mid-point) was devised to determine an approximation of the number of visits a women would have had depending on how many visits they were reported against – this equated to the number of visits. The hours are also an approximation of how long each of these visits would take – to be used as a weighting factor against the t</w:t>
      </w:r>
      <w:r w:rsidR="002B3F61">
        <w:rPr>
          <w:rFonts w:eastAsia="Calibri" w:cs="Arial"/>
          <w:lang w:eastAsia="en-AU"/>
        </w:rPr>
        <w:t>otal hours of a birth episode.</w:t>
      </w:r>
    </w:p>
    <w:p w:rsidR="00042B08" w:rsidRPr="00FF5FAA" w:rsidRDefault="00042B08" w:rsidP="00042B08">
      <w:pPr>
        <w:pStyle w:val="Caption"/>
        <w:rPr>
          <w:lang w:eastAsia="en-AU"/>
        </w:rPr>
      </w:pPr>
      <w:bookmarkStart w:id="134" w:name="_Toc532473590"/>
      <w:bookmarkStart w:id="135" w:name="_Toc1722573"/>
      <w:bookmarkStart w:id="136" w:name="_Toc1724697"/>
      <w:bookmarkStart w:id="137" w:name="_Toc1725015"/>
      <w:r>
        <w:t xml:space="preserve">Figure </w:t>
      </w:r>
      <w:r w:rsidR="00AA3E45">
        <w:t>21</w:t>
      </w:r>
      <w:r>
        <w:t>: Determination of antenatal visits measure</w:t>
      </w:r>
      <w:bookmarkEnd w:id="134"/>
      <w:bookmarkEnd w:id="135"/>
      <w:bookmarkEnd w:id="136"/>
      <w:bookmarkEnd w:id="137"/>
    </w:p>
    <w:tbl>
      <w:tblPr>
        <w:tblStyle w:val="MediumList13"/>
        <w:tblW w:w="4942" w:type="pct"/>
        <w:tblInd w:w="108" w:type="dxa"/>
        <w:tblLook w:val="04A0" w:firstRow="1" w:lastRow="0" w:firstColumn="1" w:lastColumn="0" w:noHBand="0" w:noVBand="1"/>
        <w:tblCaption w:val="Figure 21: Determination of antenatal visits measure"/>
        <w:tblDescription w:val="Shows the number of women who attended antenatal visits.  Most women have more than five visits, followed by 2-5 visits.&#10;"/>
      </w:tblPr>
      <w:tblGrid>
        <w:gridCol w:w="2857"/>
        <w:gridCol w:w="1736"/>
        <w:gridCol w:w="1233"/>
        <w:gridCol w:w="1417"/>
        <w:gridCol w:w="1668"/>
      </w:tblGrid>
      <w:tr w:rsidR="00042B08" w:rsidRPr="00FF5FAA" w:rsidTr="00C623D4">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1603" w:type="pct"/>
            <w:tcBorders>
              <w:top w:val="single" w:sz="4" w:space="0" w:color="auto"/>
              <w:left w:val="single" w:sz="4" w:space="0" w:color="auto"/>
              <w:bottom w:val="single" w:sz="4" w:space="0" w:color="auto"/>
            </w:tcBorders>
            <w:shd w:val="clear" w:color="auto" w:fill="7030A0"/>
          </w:tcPr>
          <w:p w:rsidR="00042B08" w:rsidRPr="00FF5FAA" w:rsidRDefault="00042B08" w:rsidP="00256DD3">
            <w:pPr>
              <w:rPr>
                <w:rFonts w:cs="Helvetica"/>
                <w:color w:val="FFFFFF"/>
                <w:sz w:val="18"/>
              </w:rPr>
            </w:pPr>
            <w:r w:rsidRPr="00FF5FAA">
              <w:rPr>
                <w:rFonts w:cs="Helvetica"/>
                <w:color w:val="FFFFFF"/>
                <w:sz w:val="18"/>
              </w:rPr>
              <w:t>Number of visits</w:t>
            </w:r>
          </w:p>
        </w:tc>
        <w:tc>
          <w:tcPr>
            <w:tcW w:w="974" w:type="pct"/>
            <w:tcBorders>
              <w:top w:val="single" w:sz="4" w:space="0" w:color="auto"/>
              <w:bottom w:val="single" w:sz="4" w:space="0" w:color="auto"/>
            </w:tcBorders>
            <w:shd w:val="clear" w:color="auto" w:fill="7030A0"/>
          </w:tcPr>
          <w:p w:rsidR="00042B08" w:rsidRPr="00FF5FAA" w:rsidRDefault="00042B08" w:rsidP="00256DD3">
            <w:pPr>
              <w:jc w:val="right"/>
              <w:cnfStyle w:val="100000000000" w:firstRow="1" w:lastRow="0" w:firstColumn="0" w:lastColumn="0" w:oddVBand="0" w:evenVBand="0" w:oddHBand="0" w:evenHBand="0" w:firstRowFirstColumn="0" w:firstRowLastColumn="0" w:lastRowFirstColumn="0" w:lastRowLastColumn="0"/>
              <w:rPr>
                <w:rFonts w:cs="Helvetica"/>
                <w:b/>
                <w:color w:val="FFFFFF"/>
                <w:sz w:val="18"/>
              </w:rPr>
            </w:pPr>
            <w:r w:rsidRPr="00FF5FAA">
              <w:rPr>
                <w:rFonts w:cs="Helvetica"/>
                <w:b/>
                <w:color w:val="FFFFFF"/>
                <w:sz w:val="18"/>
              </w:rPr>
              <w:t>Measure</w:t>
            </w:r>
          </w:p>
        </w:tc>
        <w:tc>
          <w:tcPr>
            <w:tcW w:w="692" w:type="pct"/>
            <w:tcBorders>
              <w:top w:val="single" w:sz="4" w:space="0" w:color="auto"/>
              <w:bottom w:val="single" w:sz="4" w:space="0" w:color="auto"/>
            </w:tcBorders>
            <w:shd w:val="clear" w:color="auto" w:fill="7030A0"/>
          </w:tcPr>
          <w:p w:rsidR="00042B08" w:rsidRPr="00FF5FAA" w:rsidRDefault="00042B08" w:rsidP="00256DD3">
            <w:pPr>
              <w:jc w:val="right"/>
              <w:cnfStyle w:val="100000000000" w:firstRow="1" w:lastRow="0" w:firstColumn="0" w:lastColumn="0" w:oddVBand="0" w:evenVBand="0" w:oddHBand="0" w:evenHBand="0" w:firstRowFirstColumn="0" w:firstRowLastColumn="0" w:lastRowFirstColumn="0" w:lastRowLastColumn="0"/>
              <w:rPr>
                <w:rFonts w:cs="Helvetica"/>
                <w:b/>
                <w:color w:val="FFFFFF"/>
                <w:sz w:val="18"/>
              </w:rPr>
            </w:pPr>
            <w:r w:rsidRPr="00FF5FAA">
              <w:rPr>
                <w:rFonts w:cs="Helvetica"/>
                <w:b/>
                <w:color w:val="FFFFFF"/>
                <w:sz w:val="18"/>
              </w:rPr>
              <w:t>Hours</w:t>
            </w:r>
          </w:p>
        </w:tc>
        <w:tc>
          <w:tcPr>
            <w:tcW w:w="795" w:type="pct"/>
            <w:tcBorders>
              <w:top w:val="single" w:sz="4" w:space="0" w:color="auto"/>
              <w:bottom w:val="single" w:sz="4" w:space="0" w:color="auto"/>
            </w:tcBorders>
            <w:shd w:val="clear" w:color="auto" w:fill="7030A0"/>
          </w:tcPr>
          <w:p w:rsidR="00042B08" w:rsidRPr="00FF5FAA" w:rsidRDefault="00042B08" w:rsidP="00256DD3">
            <w:pPr>
              <w:jc w:val="right"/>
              <w:cnfStyle w:val="100000000000" w:firstRow="1" w:lastRow="0" w:firstColumn="0" w:lastColumn="0" w:oddVBand="0" w:evenVBand="0" w:oddHBand="0" w:evenHBand="0" w:firstRowFirstColumn="0" w:firstRowLastColumn="0" w:lastRowFirstColumn="0" w:lastRowLastColumn="0"/>
              <w:rPr>
                <w:rFonts w:cs="Helvetica"/>
                <w:b/>
                <w:color w:val="FFFFFF"/>
                <w:sz w:val="18"/>
              </w:rPr>
            </w:pPr>
            <w:r w:rsidRPr="00FF5FAA">
              <w:rPr>
                <w:rFonts w:cs="Helvetica"/>
                <w:b/>
                <w:color w:val="FFFFFF"/>
                <w:sz w:val="18"/>
              </w:rPr>
              <w:t>Number of women*</w:t>
            </w:r>
          </w:p>
        </w:tc>
        <w:tc>
          <w:tcPr>
            <w:tcW w:w="936" w:type="pct"/>
            <w:tcBorders>
              <w:top w:val="single" w:sz="4" w:space="0" w:color="auto"/>
              <w:bottom w:val="single" w:sz="4" w:space="0" w:color="auto"/>
              <w:right w:val="single" w:sz="4" w:space="0" w:color="auto"/>
            </w:tcBorders>
            <w:shd w:val="clear" w:color="auto" w:fill="7030A0"/>
          </w:tcPr>
          <w:p w:rsidR="00042B08" w:rsidRPr="00FF5FAA" w:rsidRDefault="00042B08" w:rsidP="00256DD3">
            <w:pPr>
              <w:jc w:val="right"/>
              <w:cnfStyle w:val="100000000000" w:firstRow="1" w:lastRow="0" w:firstColumn="0" w:lastColumn="0" w:oddVBand="0" w:evenVBand="0" w:oddHBand="0" w:evenHBand="0" w:firstRowFirstColumn="0" w:firstRowLastColumn="0" w:lastRowFirstColumn="0" w:lastRowLastColumn="0"/>
              <w:rPr>
                <w:rFonts w:cs="Helvetica"/>
                <w:b/>
                <w:color w:val="FFFFFF"/>
                <w:sz w:val="18"/>
              </w:rPr>
            </w:pPr>
            <w:r w:rsidRPr="00FF5FAA">
              <w:rPr>
                <w:rFonts w:cs="Helvetica"/>
                <w:b/>
                <w:color w:val="FFFFFF"/>
                <w:sz w:val="18"/>
              </w:rPr>
              <w:t>Number of visits*</w:t>
            </w:r>
          </w:p>
        </w:tc>
      </w:tr>
      <w:tr w:rsidR="00042B08" w:rsidRPr="00FF5FAA" w:rsidTr="00256DD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03" w:type="pct"/>
            <w:tcBorders>
              <w:top w:val="single" w:sz="4" w:space="0" w:color="auto"/>
              <w:left w:val="single" w:sz="4" w:space="0" w:color="auto"/>
            </w:tcBorders>
          </w:tcPr>
          <w:p w:rsidR="00042B08" w:rsidRPr="00FF5FAA" w:rsidRDefault="00042B08" w:rsidP="00256DD3">
            <w:pPr>
              <w:rPr>
                <w:rFonts w:cs="Helvetica"/>
                <w:sz w:val="18"/>
              </w:rPr>
            </w:pPr>
            <w:r w:rsidRPr="00FF5FAA">
              <w:rPr>
                <w:rFonts w:cs="Helvetica"/>
                <w:sz w:val="18"/>
              </w:rPr>
              <w:t>1</w:t>
            </w:r>
          </w:p>
        </w:tc>
        <w:tc>
          <w:tcPr>
            <w:tcW w:w="974" w:type="pct"/>
            <w:tcBorders>
              <w:top w:val="single" w:sz="4" w:space="0" w:color="auto"/>
            </w:tcBorders>
          </w:tcPr>
          <w:p w:rsidR="00042B08" w:rsidRPr="00FF5FAA" w:rsidRDefault="00042B08" w:rsidP="00256DD3">
            <w:pPr>
              <w:jc w:val="right"/>
              <w:cnfStyle w:val="000000100000" w:firstRow="0" w:lastRow="0" w:firstColumn="0" w:lastColumn="0" w:oddVBand="0" w:evenVBand="0" w:oddHBand="1" w:evenHBand="0" w:firstRowFirstColumn="0" w:firstRowLastColumn="0" w:lastRowFirstColumn="0" w:lastRowLastColumn="0"/>
              <w:rPr>
                <w:rFonts w:cs="Helvetica"/>
                <w:sz w:val="18"/>
              </w:rPr>
            </w:pPr>
            <w:r w:rsidRPr="00FF5FAA">
              <w:rPr>
                <w:rFonts w:cs="Helvetica"/>
                <w:sz w:val="18"/>
              </w:rPr>
              <w:t>1</w:t>
            </w:r>
          </w:p>
        </w:tc>
        <w:tc>
          <w:tcPr>
            <w:tcW w:w="692" w:type="pct"/>
            <w:tcBorders>
              <w:top w:val="single" w:sz="4" w:space="0" w:color="auto"/>
            </w:tcBorders>
          </w:tcPr>
          <w:p w:rsidR="00042B08" w:rsidRPr="00FF5FAA" w:rsidRDefault="00042B08" w:rsidP="00256DD3">
            <w:pPr>
              <w:jc w:val="right"/>
              <w:cnfStyle w:val="000000100000" w:firstRow="0" w:lastRow="0" w:firstColumn="0" w:lastColumn="0" w:oddVBand="0" w:evenVBand="0" w:oddHBand="1" w:evenHBand="0" w:firstRowFirstColumn="0" w:firstRowLastColumn="0" w:lastRowFirstColumn="0" w:lastRowLastColumn="0"/>
              <w:rPr>
                <w:rFonts w:cs="Helvetica"/>
                <w:sz w:val="18"/>
              </w:rPr>
            </w:pPr>
            <w:r w:rsidRPr="00FF5FAA">
              <w:rPr>
                <w:rFonts w:cs="Helvetica"/>
                <w:sz w:val="18"/>
              </w:rPr>
              <w:t>1.5</w:t>
            </w:r>
          </w:p>
        </w:tc>
        <w:tc>
          <w:tcPr>
            <w:tcW w:w="795" w:type="pct"/>
            <w:tcBorders>
              <w:top w:val="single" w:sz="4" w:space="0" w:color="auto"/>
            </w:tcBorders>
          </w:tcPr>
          <w:p w:rsidR="00042B08" w:rsidRPr="00FF5FAA" w:rsidRDefault="00042B08" w:rsidP="00256DD3">
            <w:pPr>
              <w:jc w:val="right"/>
              <w:cnfStyle w:val="000000100000" w:firstRow="0" w:lastRow="0" w:firstColumn="0" w:lastColumn="0" w:oddVBand="0" w:evenVBand="0" w:oddHBand="1" w:evenHBand="0" w:firstRowFirstColumn="0" w:firstRowLastColumn="0" w:lastRowFirstColumn="0" w:lastRowLastColumn="0"/>
              <w:rPr>
                <w:rFonts w:cs="Helvetica"/>
                <w:sz w:val="18"/>
              </w:rPr>
            </w:pPr>
            <w:r w:rsidRPr="00FF5FAA">
              <w:rPr>
                <w:rFonts w:cs="Helvetica"/>
                <w:sz w:val="18"/>
              </w:rPr>
              <w:t>2,076</w:t>
            </w:r>
          </w:p>
        </w:tc>
        <w:tc>
          <w:tcPr>
            <w:tcW w:w="936" w:type="pct"/>
            <w:tcBorders>
              <w:top w:val="single" w:sz="4" w:space="0" w:color="auto"/>
              <w:right w:val="single" w:sz="4" w:space="0" w:color="auto"/>
            </w:tcBorders>
          </w:tcPr>
          <w:p w:rsidR="00042B08" w:rsidRPr="00FF5FAA" w:rsidRDefault="00042B08" w:rsidP="00256DD3">
            <w:pPr>
              <w:jc w:val="right"/>
              <w:cnfStyle w:val="000000100000" w:firstRow="0" w:lastRow="0" w:firstColumn="0" w:lastColumn="0" w:oddVBand="0" w:evenVBand="0" w:oddHBand="1" w:evenHBand="0" w:firstRowFirstColumn="0" w:firstRowLastColumn="0" w:lastRowFirstColumn="0" w:lastRowLastColumn="0"/>
              <w:rPr>
                <w:rFonts w:cs="Helvetica"/>
                <w:sz w:val="18"/>
              </w:rPr>
            </w:pPr>
            <w:r w:rsidRPr="00FF5FAA">
              <w:rPr>
                <w:rFonts w:cs="Helvetica"/>
                <w:sz w:val="18"/>
              </w:rPr>
              <w:t>2,076</w:t>
            </w:r>
          </w:p>
        </w:tc>
      </w:tr>
      <w:tr w:rsidR="00042B08" w:rsidRPr="00FF5FAA" w:rsidTr="00256DD3">
        <w:trPr>
          <w:trHeight w:val="20"/>
        </w:trPr>
        <w:tc>
          <w:tcPr>
            <w:cnfStyle w:val="001000000000" w:firstRow="0" w:lastRow="0" w:firstColumn="1" w:lastColumn="0" w:oddVBand="0" w:evenVBand="0" w:oddHBand="0" w:evenHBand="0" w:firstRowFirstColumn="0" w:firstRowLastColumn="0" w:lastRowFirstColumn="0" w:lastRowLastColumn="0"/>
            <w:tcW w:w="1603" w:type="pct"/>
            <w:tcBorders>
              <w:left w:val="single" w:sz="4" w:space="0" w:color="auto"/>
            </w:tcBorders>
          </w:tcPr>
          <w:p w:rsidR="00042B08" w:rsidRPr="00FF5FAA" w:rsidRDefault="00042B08" w:rsidP="00256DD3">
            <w:pPr>
              <w:rPr>
                <w:rFonts w:cs="Helvetica"/>
                <w:sz w:val="18"/>
              </w:rPr>
            </w:pPr>
            <w:r w:rsidRPr="00FF5FAA">
              <w:rPr>
                <w:rFonts w:cs="Helvetica"/>
                <w:sz w:val="18"/>
              </w:rPr>
              <w:t>2-5</w:t>
            </w:r>
          </w:p>
        </w:tc>
        <w:tc>
          <w:tcPr>
            <w:tcW w:w="974" w:type="pct"/>
          </w:tcPr>
          <w:p w:rsidR="00042B08" w:rsidRPr="00FF5FAA" w:rsidRDefault="00042B08" w:rsidP="00256DD3">
            <w:pPr>
              <w:jc w:val="right"/>
              <w:cnfStyle w:val="000000000000" w:firstRow="0" w:lastRow="0" w:firstColumn="0" w:lastColumn="0" w:oddVBand="0" w:evenVBand="0" w:oddHBand="0" w:evenHBand="0" w:firstRowFirstColumn="0" w:firstRowLastColumn="0" w:lastRowFirstColumn="0" w:lastRowLastColumn="0"/>
              <w:rPr>
                <w:rFonts w:cs="Helvetica"/>
                <w:sz w:val="18"/>
              </w:rPr>
            </w:pPr>
            <w:r w:rsidRPr="00FF5FAA">
              <w:rPr>
                <w:rFonts w:cs="Helvetica"/>
                <w:sz w:val="18"/>
              </w:rPr>
              <w:t>3</w:t>
            </w:r>
          </w:p>
        </w:tc>
        <w:tc>
          <w:tcPr>
            <w:tcW w:w="692" w:type="pct"/>
          </w:tcPr>
          <w:p w:rsidR="00042B08" w:rsidRPr="00FF5FAA" w:rsidRDefault="00042B08" w:rsidP="00256DD3">
            <w:pPr>
              <w:jc w:val="right"/>
              <w:cnfStyle w:val="000000000000" w:firstRow="0" w:lastRow="0" w:firstColumn="0" w:lastColumn="0" w:oddVBand="0" w:evenVBand="0" w:oddHBand="0" w:evenHBand="0" w:firstRowFirstColumn="0" w:firstRowLastColumn="0" w:lastRowFirstColumn="0" w:lastRowLastColumn="0"/>
              <w:rPr>
                <w:rFonts w:cs="Helvetica"/>
                <w:sz w:val="18"/>
              </w:rPr>
            </w:pPr>
            <w:r w:rsidRPr="00FF5FAA">
              <w:rPr>
                <w:rFonts w:cs="Helvetica"/>
                <w:sz w:val="18"/>
              </w:rPr>
              <w:t>5</w:t>
            </w:r>
          </w:p>
        </w:tc>
        <w:tc>
          <w:tcPr>
            <w:tcW w:w="795" w:type="pct"/>
          </w:tcPr>
          <w:p w:rsidR="00042B08" w:rsidRPr="00FF5FAA" w:rsidRDefault="00042B08" w:rsidP="00256DD3">
            <w:pPr>
              <w:jc w:val="right"/>
              <w:cnfStyle w:val="000000000000" w:firstRow="0" w:lastRow="0" w:firstColumn="0" w:lastColumn="0" w:oddVBand="0" w:evenVBand="0" w:oddHBand="0" w:evenHBand="0" w:firstRowFirstColumn="0" w:firstRowLastColumn="0" w:lastRowFirstColumn="0" w:lastRowLastColumn="0"/>
              <w:rPr>
                <w:rFonts w:cs="Helvetica"/>
                <w:sz w:val="18"/>
              </w:rPr>
            </w:pPr>
            <w:r w:rsidRPr="00FF5FAA">
              <w:rPr>
                <w:rFonts w:cs="Helvetica"/>
                <w:sz w:val="18"/>
              </w:rPr>
              <w:t>9,494</w:t>
            </w:r>
          </w:p>
        </w:tc>
        <w:tc>
          <w:tcPr>
            <w:tcW w:w="936" w:type="pct"/>
            <w:tcBorders>
              <w:right w:val="single" w:sz="4" w:space="0" w:color="auto"/>
            </w:tcBorders>
          </w:tcPr>
          <w:p w:rsidR="00042B08" w:rsidRPr="00FF5FAA" w:rsidRDefault="00042B08" w:rsidP="00256DD3">
            <w:pPr>
              <w:jc w:val="right"/>
              <w:cnfStyle w:val="000000000000" w:firstRow="0" w:lastRow="0" w:firstColumn="0" w:lastColumn="0" w:oddVBand="0" w:evenVBand="0" w:oddHBand="0" w:evenHBand="0" w:firstRowFirstColumn="0" w:firstRowLastColumn="0" w:lastRowFirstColumn="0" w:lastRowLastColumn="0"/>
              <w:rPr>
                <w:rFonts w:cs="Helvetica"/>
                <w:sz w:val="18"/>
              </w:rPr>
            </w:pPr>
            <w:r w:rsidRPr="00FF5FAA">
              <w:rPr>
                <w:rFonts w:cs="Helvetica"/>
                <w:sz w:val="18"/>
              </w:rPr>
              <w:t>28,482</w:t>
            </w:r>
          </w:p>
        </w:tc>
      </w:tr>
      <w:tr w:rsidR="00042B08" w:rsidRPr="00FF5FAA" w:rsidTr="00256DD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03" w:type="pct"/>
            <w:tcBorders>
              <w:left w:val="single" w:sz="4" w:space="0" w:color="auto"/>
              <w:bottom w:val="single" w:sz="4" w:space="0" w:color="auto"/>
            </w:tcBorders>
          </w:tcPr>
          <w:p w:rsidR="00042B08" w:rsidRPr="00FF5FAA" w:rsidRDefault="00042B08" w:rsidP="00256DD3">
            <w:pPr>
              <w:rPr>
                <w:rFonts w:cs="Helvetica"/>
                <w:sz w:val="18"/>
              </w:rPr>
            </w:pPr>
            <w:r w:rsidRPr="00FF5FAA">
              <w:rPr>
                <w:rFonts w:cs="Helvetica"/>
                <w:sz w:val="18"/>
              </w:rPr>
              <w:t>5+</w:t>
            </w:r>
          </w:p>
        </w:tc>
        <w:tc>
          <w:tcPr>
            <w:tcW w:w="974" w:type="pct"/>
            <w:tcBorders>
              <w:bottom w:val="single" w:sz="4" w:space="0" w:color="auto"/>
            </w:tcBorders>
          </w:tcPr>
          <w:p w:rsidR="00042B08" w:rsidRPr="00FF5FAA" w:rsidRDefault="00042B08" w:rsidP="00256DD3">
            <w:pPr>
              <w:jc w:val="right"/>
              <w:cnfStyle w:val="000000100000" w:firstRow="0" w:lastRow="0" w:firstColumn="0" w:lastColumn="0" w:oddVBand="0" w:evenVBand="0" w:oddHBand="1" w:evenHBand="0" w:firstRowFirstColumn="0" w:firstRowLastColumn="0" w:lastRowFirstColumn="0" w:lastRowLastColumn="0"/>
              <w:rPr>
                <w:rFonts w:cs="Helvetica"/>
                <w:sz w:val="18"/>
              </w:rPr>
            </w:pPr>
            <w:r w:rsidRPr="00FF5FAA">
              <w:rPr>
                <w:rFonts w:cs="Helvetica"/>
                <w:sz w:val="18"/>
              </w:rPr>
              <w:t>5</w:t>
            </w:r>
          </w:p>
        </w:tc>
        <w:tc>
          <w:tcPr>
            <w:tcW w:w="692" w:type="pct"/>
            <w:tcBorders>
              <w:bottom w:val="single" w:sz="4" w:space="0" w:color="auto"/>
            </w:tcBorders>
          </w:tcPr>
          <w:p w:rsidR="00042B08" w:rsidRPr="00FF5FAA" w:rsidRDefault="00042B08" w:rsidP="00256DD3">
            <w:pPr>
              <w:jc w:val="right"/>
              <w:cnfStyle w:val="000000100000" w:firstRow="0" w:lastRow="0" w:firstColumn="0" w:lastColumn="0" w:oddVBand="0" w:evenVBand="0" w:oddHBand="1" w:evenHBand="0" w:firstRowFirstColumn="0" w:firstRowLastColumn="0" w:lastRowFirstColumn="0" w:lastRowLastColumn="0"/>
              <w:rPr>
                <w:rFonts w:cs="Helvetica"/>
                <w:sz w:val="18"/>
              </w:rPr>
            </w:pPr>
            <w:r w:rsidRPr="00FF5FAA">
              <w:rPr>
                <w:rFonts w:cs="Helvetica"/>
                <w:sz w:val="18"/>
              </w:rPr>
              <w:t>8</w:t>
            </w:r>
          </w:p>
        </w:tc>
        <w:tc>
          <w:tcPr>
            <w:tcW w:w="795" w:type="pct"/>
            <w:tcBorders>
              <w:bottom w:val="single" w:sz="4" w:space="0" w:color="auto"/>
            </w:tcBorders>
          </w:tcPr>
          <w:p w:rsidR="00042B08" w:rsidRPr="00FF5FAA" w:rsidRDefault="00042B08" w:rsidP="00256DD3">
            <w:pPr>
              <w:jc w:val="right"/>
              <w:cnfStyle w:val="000000100000" w:firstRow="0" w:lastRow="0" w:firstColumn="0" w:lastColumn="0" w:oddVBand="0" w:evenVBand="0" w:oddHBand="1" w:evenHBand="0" w:firstRowFirstColumn="0" w:firstRowLastColumn="0" w:lastRowFirstColumn="0" w:lastRowLastColumn="0"/>
              <w:rPr>
                <w:rFonts w:cs="Helvetica"/>
                <w:sz w:val="18"/>
              </w:rPr>
            </w:pPr>
            <w:r w:rsidRPr="00FF5FAA">
              <w:rPr>
                <w:rFonts w:cs="Helvetica"/>
                <w:sz w:val="18"/>
              </w:rPr>
              <w:t>212,699</w:t>
            </w:r>
          </w:p>
        </w:tc>
        <w:tc>
          <w:tcPr>
            <w:tcW w:w="936" w:type="pct"/>
            <w:tcBorders>
              <w:bottom w:val="single" w:sz="4" w:space="0" w:color="auto"/>
              <w:right w:val="single" w:sz="4" w:space="0" w:color="auto"/>
            </w:tcBorders>
          </w:tcPr>
          <w:p w:rsidR="00042B08" w:rsidRPr="00FF5FAA" w:rsidRDefault="00042B08" w:rsidP="00256DD3">
            <w:pPr>
              <w:jc w:val="right"/>
              <w:cnfStyle w:val="000000100000" w:firstRow="0" w:lastRow="0" w:firstColumn="0" w:lastColumn="0" w:oddVBand="0" w:evenVBand="0" w:oddHBand="1" w:evenHBand="0" w:firstRowFirstColumn="0" w:firstRowLastColumn="0" w:lastRowFirstColumn="0" w:lastRowLastColumn="0"/>
              <w:rPr>
                <w:rFonts w:cs="Helvetica"/>
                <w:sz w:val="18"/>
              </w:rPr>
            </w:pPr>
            <w:r w:rsidRPr="00FF5FAA">
              <w:rPr>
                <w:rFonts w:cs="Helvetica"/>
                <w:sz w:val="18"/>
              </w:rPr>
              <w:t>1,063,495</w:t>
            </w:r>
          </w:p>
        </w:tc>
      </w:tr>
    </w:tbl>
    <w:p w:rsidR="00042B08" w:rsidRPr="00FF5FAA" w:rsidRDefault="00042B08" w:rsidP="00042B08">
      <w:pPr>
        <w:spacing w:after="0" w:line="240" w:lineRule="auto"/>
        <w:rPr>
          <w:rFonts w:ascii="Helvetica" w:eastAsia="Calibri" w:hAnsi="Helvetica"/>
          <w:bCs/>
          <w:i/>
          <w:color w:val="000000"/>
          <w:sz w:val="16"/>
          <w:szCs w:val="16"/>
          <w:shd w:val="clear" w:color="auto" w:fill="FFFFFF"/>
          <w:lang w:eastAsia="en-AU"/>
        </w:rPr>
      </w:pPr>
      <w:r w:rsidRPr="00FF5FAA">
        <w:rPr>
          <w:rFonts w:ascii="Helvetica" w:eastAsia="Calibri" w:hAnsi="Helvetica" w:cs="Helvetica"/>
          <w:sz w:val="16"/>
          <w:szCs w:val="16"/>
          <w:lang w:eastAsia="en-AU"/>
        </w:rPr>
        <w:t>*</w:t>
      </w:r>
      <w:r w:rsidRPr="00FF5FAA">
        <w:rPr>
          <w:rFonts w:ascii="Helvetica" w:eastAsia="Calibri" w:hAnsi="Helvetica"/>
          <w:bCs/>
          <w:i/>
          <w:color w:val="000000"/>
          <w:sz w:val="16"/>
          <w:szCs w:val="16"/>
          <w:shd w:val="clear" w:color="auto" w:fill="FFFFFF"/>
          <w:lang w:eastAsia="en-AU"/>
        </w:rPr>
        <w:t xml:space="preserve"> AIHW, Australia’s mothers and babies annual report – in brief, 2014. Perinatal statistics series no. 32 cat no. PER87. Canberra</w:t>
      </w:r>
    </w:p>
    <w:p w:rsidR="00D219A9" w:rsidRDefault="00042B08" w:rsidP="00042B08">
      <w:pPr>
        <w:spacing w:before="120" w:after="120" w:line="240" w:lineRule="auto"/>
        <w:jc w:val="both"/>
        <w:rPr>
          <w:rFonts w:ascii="Helvetica" w:eastAsia="Calibri" w:hAnsi="Helvetica"/>
          <w:szCs w:val="22"/>
          <w:lang w:eastAsia="en-AU"/>
        </w:rPr>
      </w:pPr>
      <w:r w:rsidRPr="00FF5FAA">
        <w:rPr>
          <w:rFonts w:ascii="Helvetica" w:eastAsia="Calibri" w:hAnsi="Helvetica"/>
          <w:noProof/>
          <w:szCs w:val="22"/>
          <w:lang w:eastAsia="en-AU"/>
        </w:rPr>
        <w:drawing>
          <wp:inline distT="0" distB="0" distL="0" distR="0">
            <wp:extent cx="547200" cy="558000"/>
            <wp:effectExtent l="0" t="0" r="5715" b="0"/>
            <wp:docPr id="290" name="Picture 290" title="Header: Intrapartum C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47200" cy="558000"/>
                    </a:xfrm>
                    <a:prstGeom prst="rect">
                      <a:avLst/>
                    </a:prstGeom>
                    <a:noFill/>
                    <a:ln>
                      <a:noFill/>
                    </a:ln>
                  </pic:spPr>
                </pic:pic>
              </a:graphicData>
            </a:graphic>
          </wp:inline>
        </w:drawing>
      </w:r>
    </w:p>
    <w:p w:rsidR="00042B08" w:rsidRPr="003D217A" w:rsidRDefault="00042B08" w:rsidP="00042B08">
      <w:pPr>
        <w:spacing w:before="120" w:after="120" w:line="240" w:lineRule="auto"/>
        <w:jc w:val="both"/>
        <w:rPr>
          <w:rFonts w:eastAsia="Calibri" w:cs="Arial"/>
          <w:szCs w:val="22"/>
          <w:lang w:eastAsia="en-AU"/>
        </w:rPr>
      </w:pPr>
      <w:r w:rsidRPr="003D217A">
        <w:rPr>
          <w:rFonts w:eastAsia="Calibri" w:cs="Arial"/>
          <w:szCs w:val="22"/>
          <w:lang w:eastAsia="en-AU"/>
        </w:rPr>
        <w:t xml:space="preserve">There are a number of different models of care available to women which vary both among and within jurisdictions. There may also be variations within the implementation and delivery of each model which take account </w:t>
      </w:r>
      <w:r w:rsidR="009F4C78" w:rsidRPr="003D217A">
        <w:rPr>
          <w:rFonts w:eastAsia="Calibri" w:cs="Arial"/>
          <w:szCs w:val="22"/>
          <w:lang w:eastAsia="en-AU"/>
        </w:rPr>
        <w:t xml:space="preserve">of </w:t>
      </w:r>
      <w:r w:rsidRPr="003D217A">
        <w:rPr>
          <w:rFonts w:eastAsia="Calibri" w:cs="Arial"/>
          <w:szCs w:val="22"/>
          <w:lang w:eastAsia="en-AU"/>
        </w:rPr>
        <w:t xml:space="preserve">a number of factors, such as the available infrastructure, workforce, and geographic distribution of either the woman or care provider. While all these factors are considered, a simple calculation is often used to project the number of births in Australia: that is, using the historical ABS births (2006-2015) by individual ages (15-49 years) against the respective ages of the ABS projected population. </w:t>
      </w:r>
    </w:p>
    <w:p w:rsidR="00D219A9" w:rsidRDefault="00042B08" w:rsidP="00042B08">
      <w:pPr>
        <w:spacing w:before="120" w:after="120" w:line="240" w:lineRule="auto"/>
        <w:jc w:val="both"/>
        <w:rPr>
          <w:rFonts w:ascii="Helvetica" w:eastAsia="Calibri" w:hAnsi="Helvetica"/>
          <w:szCs w:val="22"/>
          <w:lang w:eastAsia="en-AU"/>
        </w:rPr>
      </w:pPr>
      <w:r w:rsidRPr="00FF5FAA">
        <w:rPr>
          <w:rFonts w:ascii="Helvetica" w:eastAsia="Calibri" w:hAnsi="Helvetica"/>
          <w:noProof/>
          <w:szCs w:val="22"/>
          <w:lang w:eastAsia="en-AU"/>
        </w:rPr>
        <w:drawing>
          <wp:inline distT="0" distB="0" distL="0" distR="0">
            <wp:extent cx="576000" cy="576000"/>
            <wp:effectExtent l="0" t="0" r="0" b="0"/>
            <wp:docPr id="21" name="Picture 21" title="Header: Postnatal C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76000" cy="576000"/>
                    </a:xfrm>
                    <a:prstGeom prst="rect">
                      <a:avLst/>
                    </a:prstGeom>
                    <a:noFill/>
                    <a:ln>
                      <a:noFill/>
                    </a:ln>
                  </pic:spPr>
                </pic:pic>
              </a:graphicData>
            </a:graphic>
          </wp:inline>
        </w:drawing>
      </w:r>
    </w:p>
    <w:p w:rsidR="00042B08" w:rsidRPr="003D217A" w:rsidRDefault="00042B08" w:rsidP="00042B08">
      <w:pPr>
        <w:spacing w:before="120" w:after="120" w:line="240" w:lineRule="auto"/>
        <w:jc w:val="both"/>
        <w:rPr>
          <w:rFonts w:eastAsia="Calibri" w:cs="Arial"/>
          <w:lang w:eastAsia="en-AU"/>
        </w:rPr>
      </w:pPr>
      <w:r w:rsidRPr="003D217A">
        <w:rPr>
          <w:rFonts w:eastAsia="Calibri" w:cs="Arial"/>
          <w:szCs w:val="22"/>
          <w:lang w:eastAsia="en-AU"/>
        </w:rPr>
        <w:t>While the length of postnatal stay does not factor in additional visits/contact with mothers and babies post birth, it gives an indication of the additional work that is carried out by a midwife that would not be accounted for after the actual birthing event. It is acknowledged that postnatal care doesn’t only take place in a hospital sett</w:t>
      </w:r>
      <w:r w:rsidR="001A1EA6" w:rsidRPr="003D217A">
        <w:rPr>
          <w:rFonts w:eastAsia="Calibri" w:cs="Arial"/>
          <w:szCs w:val="22"/>
          <w:lang w:eastAsia="en-AU"/>
        </w:rPr>
        <w:t>ing. Due to limited information</w:t>
      </w:r>
      <w:r w:rsidRPr="003D217A">
        <w:rPr>
          <w:rFonts w:eastAsia="Calibri" w:cs="Arial"/>
          <w:szCs w:val="22"/>
          <w:lang w:eastAsia="en-AU"/>
        </w:rPr>
        <w:t xml:space="preserve"> the length of postnatal stay data has been used as </w:t>
      </w:r>
      <w:r w:rsidR="009F4C78" w:rsidRPr="003D217A">
        <w:rPr>
          <w:rFonts w:eastAsia="Calibri" w:cs="Arial"/>
          <w:szCs w:val="22"/>
          <w:lang w:eastAsia="en-AU"/>
        </w:rPr>
        <w:t xml:space="preserve">a </w:t>
      </w:r>
      <w:r w:rsidRPr="003D217A">
        <w:rPr>
          <w:rFonts w:eastAsia="Calibri" w:cs="Arial"/>
          <w:szCs w:val="22"/>
          <w:lang w:eastAsia="en-AU"/>
        </w:rPr>
        <w:t xml:space="preserve">proxy measure to estimate a weighting that can be applied to the </w:t>
      </w:r>
      <w:r w:rsidR="004D53D1" w:rsidRPr="003D217A">
        <w:rPr>
          <w:rFonts w:eastAsia="Calibri" w:cs="Arial"/>
          <w:szCs w:val="22"/>
          <w:lang w:eastAsia="en-AU"/>
        </w:rPr>
        <w:t>continuity</w:t>
      </w:r>
      <w:r w:rsidRPr="003D217A">
        <w:rPr>
          <w:rFonts w:eastAsia="Calibri" w:cs="Arial"/>
          <w:szCs w:val="22"/>
          <w:lang w:eastAsia="en-AU"/>
        </w:rPr>
        <w:t xml:space="preserve"> of care. </w:t>
      </w:r>
      <w:r w:rsidRPr="003D217A">
        <w:rPr>
          <w:rFonts w:eastAsia="Calibri" w:cs="Arial"/>
          <w:lang w:eastAsia="en-AU"/>
        </w:rPr>
        <w:t xml:space="preserve">Similar assumptions were made in regard to the postnatal length of stay as with antenatal visits. In Figure </w:t>
      </w:r>
      <w:r w:rsidR="00AA3E45" w:rsidRPr="003D217A">
        <w:rPr>
          <w:rFonts w:eastAsia="Calibri" w:cs="Arial"/>
          <w:lang w:eastAsia="en-AU"/>
        </w:rPr>
        <w:t>22</w:t>
      </w:r>
      <w:r w:rsidRPr="003D217A">
        <w:rPr>
          <w:rFonts w:eastAsia="Calibri" w:cs="Arial"/>
          <w:lang w:eastAsia="en-AU"/>
        </w:rPr>
        <w:t xml:space="preserve"> the measure (mid-point) was used to determine an approximation of the number of days corresponding to the number of women staying in hospital. The hours were also an approximation of the hours attributed to postnatal care – it was held constant at 12 hours as the average length of stay has been </w:t>
      </w:r>
      <w:r w:rsidR="00AA3E45" w:rsidRPr="003D217A">
        <w:rPr>
          <w:rFonts w:eastAsia="Calibri" w:cs="Arial"/>
          <w:lang w:eastAsia="en-AU"/>
        </w:rPr>
        <w:t>three</w:t>
      </w:r>
      <w:r w:rsidRPr="003D217A">
        <w:rPr>
          <w:rFonts w:eastAsia="Calibri" w:cs="Arial"/>
          <w:lang w:eastAsia="en-AU"/>
        </w:rPr>
        <w:t xml:space="preserve"> days for a number of years. These hours will also be included in the weighting of a total birth episode. </w:t>
      </w:r>
    </w:p>
    <w:p w:rsidR="00042B08" w:rsidRPr="00FF5FAA" w:rsidRDefault="00042B08" w:rsidP="00042B08">
      <w:pPr>
        <w:pStyle w:val="Caption"/>
        <w:rPr>
          <w:rFonts w:ascii="Helvetica" w:eastAsia="Calibri" w:hAnsi="Helvetica"/>
          <w:b/>
          <w:bCs w:val="0"/>
          <w:szCs w:val="18"/>
          <w:lang w:eastAsia="en-AU"/>
        </w:rPr>
      </w:pPr>
      <w:bookmarkStart w:id="138" w:name="_Toc532473591"/>
      <w:bookmarkStart w:id="139" w:name="_Toc1722574"/>
      <w:bookmarkStart w:id="140" w:name="_Toc1724698"/>
      <w:bookmarkStart w:id="141" w:name="_Toc1725016"/>
      <w:r>
        <w:t xml:space="preserve">Figure </w:t>
      </w:r>
      <w:r w:rsidR="00AA3E45">
        <w:t>22</w:t>
      </w:r>
      <w:r>
        <w:t>: Postnatal Stay Measure</w:t>
      </w:r>
      <w:bookmarkEnd w:id="138"/>
      <w:bookmarkEnd w:id="139"/>
      <w:bookmarkEnd w:id="140"/>
      <w:bookmarkEnd w:id="141"/>
    </w:p>
    <w:tbl>
      <w:tblPr>
        <w:tblStyle w:val="MediumList13"/>
        <w:tblW w:w="4942" w:type="pct"/>
        <w:tblInd w:w="108" w:type="dxa"/>
        <w:tblLook w:val="04A0" w:firstRow="1" w:lastRow="0" w:firstColumn="1" w:lastColumn="0" w:noHBand="0" w:noVBand="1"/>
        <w:tblCaption w:val="Figure 22: Postnatal Stay Measure"/>
        <w:tblDescription w:val="Shows the length of postnatal stay.  Most women tend to stay 1-4 days with 2 and 3 days being the most common.  &#10;"/>
      </w:tblPr>
      <w:tblGrid>
        <w:gridCol w:w="1755"/>
        <w:gridCol w:w="1807"/>
        <w:gridCol w:w="1763"/>
        <w:gridCol w:w="1795"/>
        <w:gridCol w:w="1791"/>
      </w:tblGrid>
      <w:tr w:rsidR="00042B08" w:rsidRPr="00FF5FAA" w:rsidTr="00256DD3">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985" w:type="pct"/>
            <w:tcBorders>
              <w:top w:val="single" w:sz="4" w:space="0" w:color="auto"/>
              <w:left w:val="single" w:sz="4" w:space="0" w:color="auto"/>
              <w:bottom w:val="single" w:sz="4" w:space="0" w:color="auto"/>
            </w:tcBorders>
            <w:shd w:val="clear" w:color="auto" w:fill="7030A0"/>
            <w:hideMark/>
          </w:tcPr>
          <w:p w:rsidR="00042B08" w:rsidRPr="00FF5FAA" w:rsidRDefault="00FB2CD7" w:rsidP="00256DD3">
            <w:pPr>
              <w:rPr>
                <w:rFonts w:cs="Arial"/>
                <w:color w:val="FFFFFF"/>
                <w:sz w:val="18"/>
                <w:szCs w:val="18"/>
              </w:rPr>
            </w:pPr>
            <w:r>
              <w:rPr>
                <w:rFonts w:eastAsia="MS Mincho" w:cs="Helvetica"/>
                <w:color w:val="FFFFFF"/>
                <w:sz w:val="18"/>
                <w:szCs w:val="18"/>
              </w:rPr>
              <w:t>L</w:t>
            </w:r>
            <w:r w:rsidR="00042B08" w:rsidRPr="00FF5FAA">
              <w:rPr>
                <w:rFonts w:eastAsia="MS Mincho" w:cs="Helvetica"/>
                <w:color w:val="FFFFFF"/>
                <w:sz w:val="18"/>
                <w:szCs w:val="18"/>
              </w:rPr>
              <w:t>ength of postnatal stay</w:t>
            </w:r>
          </w:p>
        </w:tc>
        <w:tc>
          <w:tcPr>
            <w:tcW w:w="1014" w:type="pct"/>
            <w:tcBorders>
              <w:top w:val="single" w:sz="4" w:space="0" w:color="auto"/>
              <w:bottom w:val="single" w:sz="4" w:space="0" w:color="auto"/>
            </w:tcBorders>
            <w:shd w:val="clear" w:color="auto" w:fill="7030A0"/>
            <w:hideMark/>
          </w:tcPr>
          <w:p w:rsidR="00042B08" w:rsidRPr="00FF5FAA" w:rsidRDefault="00042B08" w:rsidP="00256DD3">
            <w:pPr>
              <w:jc w:val="right"/>
              <w:cnfStyle w:val="100000000000" w:firstRow="1" w:lastRow="0" w:firstColumn="0" w:lastColumn="0" w:oddVBand="0" w:evenVBand="0" w:oddHBand="0" w:evenHBand="0" w:firstRowFirstColumn="0" w:firstRowLastColumn="0" w:lastRowFirstColumn="0" w:lastRowLastColumn="0"/>
              <w:rPr>
                <w:rFonts w:cs="Arial"/>
                <w:b/>
                <w:color w:val="FFFFFF"/>
                <w:sz w:val="18"/>
                <w:szCs w:val="18"/>
              </w:rPr>
            </w:pPr>
            <w:r w:rsidRPr="00FF5FAA">
              <w:rPr>
                <w:rFonts w:eastAsia="MS Mincho" w:cs="Helvetica"/>
                <w:b/>
                <w:color w:val="FFFFFF"/>
                <w:sz w:val="18"/>
                <w:szCs w:val="18"/>
              </w:rPr>
              <w:t>Measure</w:t>
            </w:r>
          </w:p>
        </w:tc>
        <w:tc>
          <w:tcPr>
            <w:tcW w:w="989" w:type="pct"/>
            <w:tcBorders>
              <w:top w:val="single" w:sz="4" w:space="0" w:color="auto"/>
              <w:bottom w:val="single" w:sz="4" w:space="0" w:color="auto"/>
            </w:tcBorders>
            <w:shd w:val="clear" w:color="auto" w:fill="7030A0"/>
            <w:hideMark/>
          </w:tcPr>
          <w:p w:rsidR="00042B08" w:rsidRPr="00FF5FAA" w:rsidRDefault="00042B08" w:rsidP="00256DD3">
            <w:pPr>
              <w:jc w:val="right"/>
              <w:cnfStyle w:val="100000000000" w:firstRow="1" w:lastRow="0" w:firstColumn="0" w:lastColumn="0" w:oddVBand="0" w:evenVBand="0" w:oddHBand="0" w:evenHBand="0" w:firstRowFirstColumn="0" w:firstRowLastColumn="0" w:lastRowFirstColumn="0" w:lastRowLastColumn="0"/>
              <w:rPr>
                <w:rFonts w:cs="Arial"/>
                <w:b/>
                <w:color w:val="FFFFFF"/>
                <w:sz w:val="18"/>
                <w:szCs w:val="18"/>
              </w:rPr>
            </w:pPr>
            <w:r w:rsidRPr="00FF5FAA">
              <w:rPr>
                <w:rFonts w:eastAsia="MS Mincho" w:cs="Helvetica"/>
                <w:b/>
                <w:color w:val="FFFFFF"/>
                <w:sz w:val="18"/>
                <w:szCs w:val="18"/>
              </w:rPr>
              <w:t>Hours</w:t>
            </w:r>
          </w:p>
        </w:tc>
        <w:tc>
          <w:tcPr>
            <w:tcW w:w="1007" w:type="pct"/>
            <w:tcBorders>
              <w:top w:val="single" w:sz="4" w:space="0" w:color="auto"/>
              <w:bottom w:val="single" w:sz="4" w:space="0" w:color="auto"/>
            </w:tcBorders>
            <w:shd w:val="clear" w:color="auto" w:fill="7030A0"/>
            <w:hideMark/>
          </w:tcPr>
          <w:p w:rsidR="00042B08" w:rsidRPr="00FF5FAA" w:rsidRDefault="00042B08" w:rsidP="00256DD3">
            <w:pPr>
              <w:jc w:val="right"/>
              <w:cnfStyle w:val="100000000000" w:firstRow="1" w:lastRow="0" w:firstColumn="0" w:lastColumn="0" w:oddVBand="0" w:evenVBand="0" w:oddHBand="0" w:evenHBand="0" w:firstRowFirstColumn="0" w:firstRowLastColumn="0" w:lastRowFirstColumn="0" w:lastRowLastColumn="0"/>
              <w:rPr>
                <w:rFonts w:cs="Arial"/>
                <w:b/>
                <w:color w:val="FFFFFF"/>
                <w:sz w:val="18"/>
                <w:szCs w:val="18"/>
              </w:rPr>
            </w:pPr>
            <w:r w:rsidRPr="00FF5FAA">
              <w:rPr>
                <w:rFonts w:eastAsia="MS Mincho" w:cs="Helvetica"/>
                <w:b/>
                <w:color w:val="FFFFFF"/>
                <w:sz w:val="18"/>
                <w:szCs w:val="18"/>
              </w:rPr>
              <w:t>Number of women</w:t>
            </w:r>
          </w:p>
        </w:tc>
        <w:tc>
          <w:tcPr>
            <w:tcW w:w="1005" w:type="pct"/>
            <w:tcBorders>
              <w:top w:val="single" w:sz="4" w:space="0" w:color="auto"/>
              <w:bottom w:val="single" w:sz="4" w:space="0" w:color="auto"/>
              <w:right w:val="single" w:sz="4" w:space="0" w:color="auto"/>
            </w:tcBorders>
            <w:shd w:val="clear" w:color="auto" w:fill="7030A0"/>
            <w:hideMark/>
          </w:tcPr>
          <w:p w:rsidR="00042B08" w:rsidRPr="00FF5FAA" w:rsidRDefault="00042B08" w:rsidP="00256DD3">
            <w:pPr>
              <w:jc w:val="right"/>
              <w:cnfStyle w:val="100000000000" w:firstRow="1" w:lastRow="0" w:firstColumn="0" w:lastColumn="0" w:oddVBand="0" w:evenVBand="0" w:oddHBand="0" w:evenHBand="0" w:firstRowFirstColumn="0" w:firstRowLastColumn="0" w:lastRowFirstColumn="0" w:lastRowLastColumn="0"/>
              <w:rPr>
                <w:rFonts w:cs="Arial"/>
                <w:b/>
                <w:color w:val="FFFFFF"/>
                <w:sz w:val="18"/>
                <w:szCs w:val="18"/>
              </w:rPr>
            </w:pPr>
            <w:r w:rsidRPr="00FF5FAA">
              <w:rPr>
                <w:rFonts w:eastAsia="MS Mincho" w:cs="Helvetica"/>
                <w:b/>
                <w:color w:val="FFFFFF"/>
                <w:sz w:val="18"/>
                <w:szCs w:val="18"/>
              </w:rPr>
              <w:t>Number of days</w:t>
            </w:r>
          </w:p>
        </w:tc>
      </w:tr>
      <w:tr w:rsidR="00042B08" w:rsidRPr="00FF5FAA" w:rsidTr="00256DD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85" w:type="pct"/>
            <w:tcBorders>
              <w:top w:val="single" w:sz="4" w:space="0" w:color="auto"/>
              <w:left w:val="single" w:sz="4" w:space="0" w:color="auto"/>
            </w:tcBorders>
            <w:noWrap/>
            <w:hideMark/>
          </w:tcPr>
          <w:p w:rsidR="00042B08" w:rsidRPr="00FF5FAA" w:rsidRDefault="00042B08" w:rsidP="00256DD3">
            <w:pPr>
              <w:rPr>
                <w:rFonts w:cs="Arial"/>
                <w:sz w:val="18"/>
                <w:szCs w:val="18"/>
              </w:rPr>
            </w:pPr>
            <w:r w:rsidRPr="00FF5FAA">
              <w:rPr>
                <w:rFonts w:cs="Arial"/>
                <w:sz w:val="18"/>
                <w:szCs w:val="18"/>
              </w:rPr>
              <w:t>Less than 1 day</w:t>
            </w:r>
          </w:p>
        </w:tc>
        <w:tc>
          <w:tcPr>
            <w:tcW w:w="1014" w:type="pct"/>
            <w:tcBorders>
              <w:top w:val="single" w:sz="4" w:space="0" w:color="auto"/>
            </w:tcBorders>
            <w:noWrap/>
            <w:hideMark/>
          </w:tcPr>
          <w:p w:rsidR="00042B08" w:rsidRPr="00FF5FAA" w:rsidRDefault="00042B08" w:rsidP="00256DD3">
            <w:pPr>
              <w:jc w:val="right"/>
              <w:cnfStyle w:val="000000100000" w:firstRow="0" w:lastRow="0" w:firstColumn="0" w:lastColumn="0" w:oddVBand="0" w:evenVBand="0" w:oddHBand="1" w:evenHBand="0" w:firstRowFirstColumn="0" w:firstRowLastColumn="0" w:lastRowFirstColumn="0" w:lastRowLastColumn="0"/>
              <w:rPr>
                <w:rFonts w:cs="Arial"/>
                <w:sz w:val="18"/>
                <w:szCs w:val="18"/>
              </w:rPr>
            </w:pPr>
            <w:r w:rsidRPr="00FF5FAA">
              <w:rPr>
                <w:rFonts w:cs="Arial"/>
                <w:sz w:val="18"/>
                <w:szCs w:val="18"/>
              </w:rPr>
              <w:t>1</w:t>
            </w:r>
          </w:p>
        </w:tc>
        <w:tc>
          <w:tcPr>
            <w:tcW w:w="989" w:type="pct"/>
            <w:tcBorders>
              <w:top w:val="single" w:sz="4" w:space="0" w:color="auto"/>
            </w:tcBorders>
            <w:hideMark/>
          </w:tcPr>
          <w:p w:rsidR="00042B08" w:rsidRPr="00FF5FAA" w:rsidRDefault="00042B08" w:rsidP="00256DD3">
            <w:pPr>
              <w:jc w:val="right"/>
              <w:cnfStyle w:val="000000100000" w:firstRow="0" w:lastRow="0" w:firstColumn="0" w:lastColumn="0" w:oddVBand="0" w:evenVBand="0" w:oddHBand="1" w:evenHBand="0" w:firstRowFirstColumn="0" w:firstRowLastColumn="0" w:lastRowFirstColumn="0" w:lastRowLastColumn="0"/>
              <w:rPr>
                <w:rFonts w:cs="Arial"/>
                <w:sz w:val="18"/>
                <w:szCs w:val="18"/>
              </w:rPr>
            </w:pPr>
            <w:r w:rsidRPr="00FF5FAA">
              <w:rPr>
                <w:rFonts w:cs="Arial"/>
                <w:sz w:val="18"/>
                <w:szCs w:val="18"/>
              </w:rPr>
              <w:t>4</w:t>
            </w:r>
          </w:p>
        </w:tc>
        <w:tc>
          <w:tcPr>
            <w:tcW w:w="1007" w:type="pct"/>
            <w:tcBorders>
              <w:top w:val="single" w:sz="4" w:space="0" w:color="auto"/>
            </w:tcBorders>
            <w:hideMark/>
          </w:tcPr>
          <w:p w:rsidR="00042B08" w:rsidRPr="00FF5FAA" w:rsidRDefault="00042B08" w:rsidP="00256DD3">
            <w:pPr>
              <w:jc w:val="right"/>
              <w:cnfStyle w:val="000000100000" w:firstRow="0" w:lastRow="0" w:firstColumn="0" w:lastColumn="0" w:oddVBand="0" w:evenVBand="0" w:oddHBand="1" w:evenHBand="0" w:firstRowFirstColumn="0" w:firstRowLastColumn="0" w:lastRowFirstColumn="0" w:lastRowLastColumn="0"/>
              <w:rPr>
                <w:rFonts w:cs="Arial"/>
                <w:sz w:val="18"/>
                <w:szCs w:val="18"/>
              </w:rPr>
            </w:pPr>
            <w:r w:rsidRPr="00FF5FAA">
              <w:rPr>
                <w:rFonts w:cs="Helvetica"/>
                <w:sz w:val="18"/>
                <w:szCs w:val="18"/>
              </w:rPr>
              <w:t>10,572</w:t>
            </w:r>
          </w:p>
        </w:tc>
        <w:tc>
          <w:tcPr>
            <w:tcW w:w="1005" w:type="pct"/>
            <w:tcBorders>
              <w:top w:val="single" w:sz="4" w:space="0" w:color="auto"/>
              <w:right w:val="single" w:sz="4" w:space="0" w:color="auto"/>
            </w:tcBorders>
            <w:hideMark/>
          </w:tcPr>
          <w:p w:rsidR="00042B08" w:rsidRPr="00FF5FAA" w:rsidRDefault="00042B08" w:rsidP="00256DD3">
            <w:pPr>
              <w:jc w:val="right"/>
              <w:cnfStyle w:val="000000100000" w:firstRow="0" w:lastRow="0" w:firstColumn="0" w:lastColumn="0" w:oddVBand="0" w:evenVBand="0" w:oddHBand="1" w:evenHBand="0" w:firstRowFirstColumn="0" w:firstRowLastColumn="0" w:lastRowFirstColumn="0" w:lastRowLastColumn="0"/>
              <w:rPr>
                <w:rFonts w:cs="Arial"/>
                <w:sz w:val="18"/>
                <w:szCs w:val="18"/>
              </w:rPr>
            </w:pPr>
            <w:r w:rsidRPr="00FF5FAA">
              <w:rPr>
                <w:rFonts w:cs="Helvetica"/>
                <w:sz w:val="18"/>
                <w:szCs w:val="18"/>
              </w:rPr>
              <w:t>11,077</w:t>
            </w:r>
          </w:p>
        </w:tc>
      </w:tr>
      <w:tr w:rsidR="00042B08" w:rsidRPr="00FF5FAA" w:rsidTr="00256DD3">
        <w:trPr>
          <w:trHeight w:val="20"/>
        </w:trPr>
        <w:tc>
          <w:tcPr>
            <w:cnfStyle w:val="001000000000" w:firstRow="0" w:lastRow="0" w:firstColumn="1" w:lastColumn="0" w:oddVBand="0" w:evenVBand="0" w:oddHBand="0" w:evenHBand="0" w:firstRowFirstColumn="0" w:firstRowLastColumn="0" w:lastRowFirstColumn="0" w:lastRowLastColumn="0"/>
            <w:tcW w:w="985" w:type="pct"/>
            <w:tcBorders>
              <w:left w:val="single" w:sz="4" w:space="0" w:color="auto"/>
            </w:tcBorders>
            <w:noWrap/>
            <w:hideMark/>
          </w:tcPr>
          <w:p w:rsidR="00042B08" w:rsidRPr="00FF5FAA" w:rsidRDefault="00042B08" w:rsidP="00256DD3">
            <w:pPr>
              <w:rPr>
                <w:rFonts w:cs="Arial"/>
                <w:sz w:val="18"/>
                <w:szCs w:val="18"/>
              </w:rPr>
            </w:pPr>
            <w:r w:rsidRPr="00FF5FAA">
              <w:rPr>
                <w:rFonts w:cs="Arial"/>
                <w:sz w:val="18"/>
                <w:szCs w:val="18"/>
              </w:rPr>
              <w:t>1 day</w:t>
            </w:r>
          </w:p>
        </w:tc>
        <w:tc>
          <w:tcPr>
            <w:tcW w:w="1014" w:type="pct"/>
            <w:noWrap/>
            <w:hideMark/>
          </w:tcPr>
          <w:p w:rsidR="00042B08" w:rsidRPr="00FF5FAA" w:rsidRDefault="00042B08" w:rsidP="00256DD3">
            <w:pPr>
              <w:jc w:val="right"/>
              <w:cnfStyle w:val="000000000000" w:firstRow="0" w:lastRow="0" w:firstColumn="0" w:lastColumn="0" w:oddVBand="0" w:evenVBand="0" w:oddHBand="0" w:evenHBand="0" w:firstRowFirstColumn="0" w:firstRowLastColumn="0" w:lastRowFirstColumn="0" w:lastRowLastColumn="0"/>
              <w:rPr>
                <w:rFonts w:cs="Arial"/>
                <w:sz w:val="18"/>
                <w:szCs w:val="18"/>
              </w:rPr>
            </w:pPr>
            <w:r w:rsidRPr="00FF5FAA">
              <w:rPr>
                <w:rFonts w:cs="Arial"/>
                <w:sz w:val="18"/>
                <w:szCs w:val="18"/>
              </w:rPr>
              <w:t>1</w:t>
            </w:r>
          </w:p>
        </w:tc>
        <w:tc>
          <w:tcPr>
            <w:tcW w:w="989" w:type="pct"/>
            <w:hideMark/>
          </w:tcPr>
          <w:p w:rsidR="00042B08" w:rsidRPr="00FF5FAA" w:rsidRDefault="00042B08" w:rsidP="00256DD3">
            <w:pPr>
              <w:jc w:val="right"/>
              <w:cnfStyle w:val="000000000000" w:firstRow="0" w:lastRow="0" w:firstColumn="0" w:lastColumn="0" w:oddVBand="0" w:evenVBand="0" w:oddHBand="0" w:evenHBand="0" w:firstRowFirstColumn="0" w:firstRowLastColumn="0" w:lastRowFirstColumn="0" w:lastRowLastColumn="0"/>
              <w:rPr>
                <w:rFonts w:cs="Arial"/>
                <w:sz w:val="18"/>
                <w:szCs w:val="18"/>
              </w:rPr>
            </w:pPr>
            <w:r w:rsidRPr="00FF5FAA">
              <w:rPr>
                <w:rFonts w:cs="Helvetica"/>
                <w:sz w:val="18"/>
                <w:szCs w:val="18"/>
              </w:rPr>
              <w:t>4</w:t>
            </w:r>
          </w:p>
        </w:tc>
        <w:tc>
          <w:tcPr>
            <w:tcW w:w="1007" w:type="pct"/>
            <w:hideMark/>
          </w:tcPr>
          <w:p w:rsidR="00042B08" w:rsidRPr="00FF5FAA" w:rsidRDefault="00042B08" w:rsidP="00256DD3">
            <w:pPr>
              <w:jc w:val="right"/>
              <w:cnfStyle w:val="000000000000" w:firstRow="0" w:lastRow="0" w:firstColumn="0" w:lastColumn="0" w:oddVBand="0" w:evenVBand="0" w:oddHBand="0" w:evenHBand="0" w:firstRowFirstColumn="0" w:firstRowLastColumn="0" w:lastRowFirstColumn="0" w:lastRowLastColumn="0"/>
              <w:rPr>
                <w:rFonts w:cs="Arial"/>
                <w:sz w:val="18"/>
                <w:szCs w:val="18"/>
              </w:rPr>
            </w:pPr>
            <w:r w:rsidRPr="00FF5FAA">
              <w:rPr>
                <w:rFonts w:cs="Helvetica"/>
                <w:sz w:val="18"/>
                <w:szCs w:val="18"/>
              </w:rPr>
              <w:t>43,352</w:t>
            </w:r>
          </w:p>
        </w:tc>
        <w:tc>
          <w:tcPr>
            <w:tcW w:w="1005" w:type="pct"/>
            <w:tcBorders>
              <w:right w:val="single" w:sz="4" w:space="0" w:color="auto"/>
            </w:tcBorders>
            <w:hideMark/>
          </w:tcPr>
          <w:p w:rsidR="00042B08" w:rsidRPr="00FF5FAA" w:rsidRDefault="00042B08" w:rsidP="00256DD3">
            <w:pPr>
              <w:jc w:val="right"/>
              <w:cnfStyle w:val="000000000000" w:firstRow="0" w:lastRow="0" w:firstColumn="0" w:lastColumn="0" w:oddVBand="0" w:evenVBand="0" w:oddHBand="0" w:evenHBand="0" w:firstRowFirstColumn="0" w:firstRowLastColumn="0" w:lastRowFirstColumn="0" w:lastRowLastColumn="0"/>
              <w:rPr>
                <w:rFonts w:cs="Arial"/>
                <w:sz w:val="18"/>
                <w:szCs w:val="18"/>
              </w:rPr>
            </w:pPr>
            <w:r w:rsidRPr="00FF5FAA">
              <w:rPr>
                <w:rFonts w:cs="Helvetica"/>
                <w:sz w:val="18"/>
                <w:szCs w:val="18"/>
              </w:rPr>
              <w:t>46,044</w:t>
            </w:r>
          </w:p>
        </w:tc>
      </w:tr>
      <w:tr w:rsidR="00042B08" w:rsidRPr="00FF5FAA" w:rsidTr="00256DD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85" w:type="pct"/>
            <w:tcBorders>
              <w:left w:val="single" w:sz="4" w:space="0" w:color="auto"/>
            </w:tcBorders>
            <w:noWrap/>
            <w:hideMark/>
          </w:tcPr>
          <w:p w:rsidR="00042B08" w:rsidRPr="00FF5FAA" w:rsidRDefault="00042B08" w:rsidP="00256DD3">
            <w:pPr>
              <w:rPr>
                <w:rFonts w:cs="Arial"/>
                <w:sz w:val="18"/>
                <w:szCs w:val="18"/>
              </w:rPr>
            </w:pPr>
            <w:r w:rsidRPr="00FF5FAA">
              <w:rPr>
                <w:rFonts w:cs="Arial"/>
                <w:sz w:val="18"/>
                <w:szCs w:val="18"/>
              </w:rPr>
              <w:t>2 days</w:t>
            </w:r>
          </w:p>
        </w:tc>
        <w:tc>
          <w:tcPr>
            <w:tcW w:w="1014" w:type="pct"/>
            <w:noWrap/>
            <w:hideMark/>
          </w:tcPr>
          <w:p w:rsidR="00042B08" w:rsidRPr="00FF5FAA" w:rsidRDefault="00042B08" w:rsidP="00256DD3">
            <w:pPr>
              <w:jc w:val="right"/>
              <w:cnfStyle w:val="000000100000" w:firstRow="0" w:lastRow="0" w:firstColumn="0" w:lastColumn="0" w:oddVBand="0" w:evenVBand="0" w:oddHBand="1" w:evenHBand="0" w:firstRowFirstColumn="0" w:firstRowLastColumn="0" w:lastRowFirstColumn="0" w:lastRowLastColumn="0"/>
              <w:rPr>
                <w:rFonts w:cs="Arial"/>
                <w:sz w:val="18"/>
                <w:szCs w:val="18"/>
              </w:rPr>
            </w:pPr>
            <w:r w:rsidRPr="00FF5FAA">
              <w:rPr>
                <w:rFonts w:cs="Arial"/>
                <w:sz w:val="18"/>
                <w:szCs w:val="18"/>
              </w:rPr>
              <w:t>2</w:t>
            </w:r>
          </w:p>
        </w:tc>
        <w:tc>
          <w:tcPr>
            <w:tcW w:w="989" w:type="pct"/>
            <w:hideMark/>
          </w:tcPr>
          <w:p w:rsidR="00042B08" w:rsidRPr="00FF5FAA" w:rsidRDefault="00042B08" w:rsidP="00256DD3">
            <w:pPr>
              <w:jc w:val="right"/>
              <w:cnfStyle w:val="000000100000" w:firstRow="0" w:lastRow="0" w:firstColumn="0" w:lastColumn="0" w:oddVBand="0" w:evenVBand="0" w:oddHBand="1" w:evenHBand="0" w:firstRowFirstColumn="0" w:firstRowLastColumn="0" w:lastRowFirstColumn="0" w:lastRowLastColumn="0"/>
              <w:rPr>
                <w:rFonts w:cs="Helvetica"/>
                <w:sz w:val="18"/>
                <w:szCs w:val="18"/>
              </w:rPr>
            </w:pPr>
            <w:r w:rsidRPr="00FF5FAA">
              <w:rPr>
                <w:rFonts w:cs="Helvetica"/>
                <w:sz w:val="18"/>
                <w:szCs w:val="18"/>
              </w:rPr>
              <w:t>8</w:t>
            </w:r>
          </w:p>
        </w:tc>
        <w:tc>
          <w:tcPr>
            <w:tcW w:w="1007" w:type="pct"/>
            <w:hideMark/>
          </w:tcPr>
          <w:p w:rsidR="00042B08" w:rsidRPr="00FF5FAA" w:rsidRDefault="00042B08" w:rsidP="00256DD3">
            <w:pPr>
              <w:jc w:val="right"/>
              <w:cnfStyle w:val="000000100000" w:firstRow="0" w:lastRow="0" w:firstColumn="0" w:lastColumn="0" w:oddVBand="0" w:evenVBand="0" w:oddHBand="1" w:evenHBand="0" w:firstRowFirstColumn="0" w:firstRowLastColumn="0" w:lastRowFirstColumn="0" w:lastRowLastColumn="0"/>
              <w:rPr>
                <w:rFonts w:cs="Arial"/>
                <w:sz w:val="18"/>
                <w:szCs w:val="18"/>
              </w:rPr>
            </w:pPr>
            <w:r w:rsidRPr="00FF5FAA">
              <w:rPr>
                <w:rFonts w:cs="Helvetica"/>
                <w:sz w:val="18"/>
                <w:szCs w:val="18"/>
              </w:rPr>
              <w:t>66,868</w:t>
            </w:r>
          </w:p>
        </w:tc>
        <w:tc>
          <w:tcPr>
            <w:tcW w:w="1005" w:type="pct"/>
            <w:tcBorders>
              <w:right w:val="single" w:sz="4" w:space="0" w:color="auto"/>
            </w:tcBorders>
            <w:hideMark/>
          </w:tcPr>
          <w:p w:rsidR="00042B08" w:rsidRPr="00FF5FAA" w:rsidRDefault="00042B08" w:rsidP="00256DD3">
            <w:pPr>
              <w:jc w:val="right"/>
              <w:cnfStyle w:val="000000100000" w:firstRow="0" w:lastRow="0" w:firstColumn="0" w:lastColumn="0" w:oddVBand="0" w:evenVBand="0" w:oddHBand="1" w:evenHBand="0" w:firstRowFirstColumn="0" w:firstRowLastColumn="0" w:lastRowFirstColumn="0" w:lastRowLastColumn="0"/>
              <w:rPr>
                <w:rFonts w:cs="Arial"/>
                <w:sz w:val="18"/>
                <w:szCs w:val="18"/>
              </w:rPr>
            </w:pPr>
            <w:r w:rsidRPr="00FF5FAA">
              <w:rPr>
                <w:rFonts w:cs="Helvetica"/>
                <w:sz w:val="18"/>
                <w:szCs w:val="18"/>
              </w:rPr>
              <w:t>140,426</w:t>
            </w:r>
          </w:p>
        </w:tc>
      </w:tr>
      <w:tr w:rsidR="00042B08" w:rsidRPr="00FF5FAA" w:rsidTr="00256DD3">
        <w:trPr>
          <w:trHeight w:val="20"/>
        </w:trPr>
        <w:tc>
          <w:tcPr>
            <w:cnfStyle w:val="001000000000" w:firstRow="0" w:lastRow="0" w:firstColumn="1" w:lastColumn="0" w:oddVBand="0" w:evenVBand="0" w:oddHBand="0" w:evenHBand="0" w:firstRowFirstColumn="0" w:firstRowLastColumn="0" w:lastRowFirstColumn="0" w:lastRowLastColumn="0"/>
            <w:tcW w:w="985" w:type="pct"/>
            <w:tcBorders>
              <w:left w:val="single" w:sz="4" w:space="0" w:color="auto"/>
            </w:tcBorders>
            <w:noWrap/>
            <w:hideMark/>
          </w:tcPr>
          <w:p w:rsidR="00042B08" w:rsidRPr="00FF5FAA" w:rsidRDefault="00042B08" w:rsidP="00256DD3">
            <w:pPr>
              <w:rPr>
                <w:rFonts w:cs="Arial"/>
                <w:sz w:val="18"/>
                <w:szCs w:val="18"/>
              </w:rPr>
            </w:pPr>
            <w:r w:rsidRPr="00FF5FAA">
              <w:rPr>
                <w:rFonts w:cs="Arial"/>
                <w:sz w:val="18"/>
                <w:szCs w:val="18"/>
              </w:rPr>
              <w:t>3 days</w:t>
            </w:r>
          </w:p>
        </w:tc>
        <w:tc>
          <w:tcPr>
            <w:tcW w:w="1014" w:type="pct"/>
            <w:noWrap/>
            <w:hideMark/>
          </w:tcPr>
          <w:p w:rsidR="00042B08" w:rsidRPr="00FF5FAA" w:rsidRDefault="00042B08" w:rsidP="00256DD3">
            <w:pPr>
              <w:jc w:val="right"/>
              <w:cnfStyle w:val="000000000000" w:firstRow="0" w:lastRow="0" w:firstColumn="0" w:lastColumn="0" w:oddVBand="0" w:evenVBand="0" w:oddHBand="0" w:evenHBand="0" w:firstRowFirstColumn="0" w:firstRowLastColumn="0" w:lastRowFirstColumn="0" w:lastRowLastColumn="0"/>
              <w:rPr>
                <w:rFonts w:cs="Arial"/>
                <w:sz w:val="18"/>
                <w:szCs w:val="18"/>
              </w:rPr>
            </w:pPr>
            <w:r w:rsidRPr="00FF5FAA">
              <w:rPr>
                <w:rFonts w:cs="Arial"/>
                <w:sz w:val="18"/>
                <w:szCs w:val="18"/>
              </w:rPr>
              <w:t>3</w:t>
            </w:r>
          </w:p>
        </w:tc>
        <w:tc>
          <w:tcPr>
            <w:tcW w:w="989" w:type="pct"/>
            <w:hideMark/>
          </w:tcPr>
          <w:p w:rsidR="00042B08" w:rsidRPr="00FF5FAA" w:rsidRDefault="00042B08" w:rsidP="00256DD3">
            <w:pPr>
              <w:jc w:val="right"/>
              <w:cnfStyle w:val="000000000000" w:firstRow="0" w:lastRow="0" w:firstColumn="0" w:lastColumn="0" w:oddVBand="0" w:evenVBand="0" w:oddHBand="0" w:evenHBand="0" w:firstRowFirstColumn="0" w:firstRowLastColumn="0" w:lastRowFirstColumn="0" w:lastRowLastColumn="0"/>
              <w:rPr>
                <w:rFonts w:cs="Arial"/>
                <w:sz w:val="18"/>
                <w:szCs w:val="18"/>
              </w:rPr>
            </w:pPr>
            <w:r w:rsidRPr="00FF5FAA">
              <w:rPr>
                <w:rFonts w:cs="Helvetica"/>
                <w:sz w:val="18"/>
                <w:szCs w:val="18"/>
              </w:rPr>
              <w:t>12</w:t>
            </w:r>
          </w:p>
        </w:tc>
        <w:tc>
          <w:tcPr>
            <w:tcW w:w="1007" w:type="pct"/>
            <w:hideMark/>
          </w:tcPr>
          <w:p w:rsidR="00042B08" w:rsidRPr="00FF5FAA" w:rsidRDefault="00042B08" w:rsidP="00256DD3">
            <w:pPr>
              <w:jc w:val="right"/>
              <w:cnfStyle w:val="000000000000" w:firstRow="0" w:lastRow="0" w:firstColumn="0" w:lastColumn="0" w:oddVBand="0" w:evenVBand="0" w:oddHBand="0" w:evenHBand="0" w:firstRowFirstColumn="0" w:firstRowLastColumn="0" w:lastRowFirstColumn="0" w:lastRowLastColumn="0"/>
              <w:rPr>
                <w:rFonts w:cs="Arial"/>
                <w:sz w:val="18"/>
                <w:szCs w:val="18"/>
              </w:rPr>
            </w:pPr>
            <w:r w:rsidRPr="00FF5FAA">
              <w:rPr>
                <w:rFonts w:cs="Helvetica"/>
                <w:sz w:val="18"/>
                <w:szCs w:val="18"/>
              </w:rPr>
              <w:t>55,303</w:t>
            </w:r>
          </w:p>
        </w:tc>
        <w:tc>
          <w:tcPr>
            <w:tcW w:w="1005" w:type="pct"/>
            <w:tcBorders>
              <w:right w:val="single" w:sz="4" w:space="0" w:color="auto"/>
            </w:tcBorders>
            <w:hideMark/>
          </w:tcPr>
          <w:p w:rsidR="00042B08" w:rsidRPr="00FF5FAA" w:rsidRDefault="00042B08" w:rsidP="00256DD3">
            <w:pPr>
              <w:jc w:val="right"/>
              <w:cnfStyle w:val="000000000000" w:firstRow="0" w:lastRow="0" w:firstColumn="0" w:lastColumn="0" w:oddVBand="0" w:evenVBand="0" w:oddHBand="0" w:evenHBand="0" w:firstRowFirstColumn="0" w:firstRowLastColumn="0" w:lastRowFirstColumn="0" w:lastRowLastColumn="0"/>
              <w:rPr>
                <w:rFonts w:cs="Arial"/>
                <w:sz w:val="18"/>
                <w:szCs w:val="18"/>
              </w:rPr>
            </w:pPr>
            <w:r w:rsidRPr="00FF5FAA">
              <w:rPr>
                <w:rFonts w:cs="Helvetica"/>
                <w:sz w:val="18"/>
                <w:szCs w:val="18"/>
              </w:rPr>
              <w:t>187,689</w:t>
            </w:r>
          </w:p>
        </w:tc>
      </w:tr>
      <w:tr w:rsidR="00042B08" w:rsidRPr="00FF5FAA" w:rsidTr="00256DD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85" w:type="pct"/>
            <w:tcBorders>
              <w:left w:val="single" w:sz="4" w:space="0" w:color="auto"/>
            </w:tcBorders>
            <w:noWrap/>
            <w:hideMark/>
          </w:tcPr>
          <w:p w:rsidR="00042B08" w:rsidRPr="00FF5FAA" w:rsidRDefault="00042B08" w:rsidP="00256DD3">
            <w:pPr>
              <w:rPr>
                <w:rFonts w:cs="Arial"/>
                <w:sz w:val="18"/>
                <w:szCs w:val="18"/>
              </w:rPr>
            </w:pPr>
            <w:r w:rsidRPr="00FF5FAA">
              <w:rPr>
                <w:rFonts w:cs="Arial"/>
                <w:sz w:val="18"/>
                <w:szCs w:val="18"/>
              </w:rPr>
              <w:t>4 days</w:t>
            </w:r>
          </w:p>
        </w:tc>
        <w:tc>
          <w:tcPr>
            <w:tcW w:w="1014" w:type="pct"/>
            <w:noWrap/>
            <w:hideMark/>
          </w:tcPr>
          <w:p w:rsidR="00042B08" w:rsidRPr="00FF5FAA" w:rsidRDefault="00042B08" w:rsidP="00256DD3">
            <w:pPr>
              <w:jc w:val="right"/>
              <w:cnfStyle w:val="000000100000" w:firstRow="0" w:lastRow="0" w:firstColumn="0" w:lastColumn="0" w:oddVBand="0" w:evenVBand="0" w:oddHBand="1" w:evenHBand="0" w:firstRowFirstColumn="0" w:firstRowLastColumn="0" w:lastRowFirstColumn="0" w:lastRowLastColumn="0"/>
              <w:rPr>
                <w:rFonts w:cs="Arial"/>
                <w:sz w:val="18"/>
                <w:szCs w:val="18"/>
              </w:rPr>
            </w:pPr>
            <w:r w:rsidRPr="00FF5FAA">
              <w:rPr>
                <w:rFonts w:cs="Arial"/>
                <w:sz w:val="18"/>
                <w:szCs w:val="18"/>
              </w:rPr>
              <w:t>4</w:t>
            </w:r>
          </w:p>
        </w:tc>
        <w:tc>
          <w:tcPr>
            <w:tcW w:w="989" w:type="pct"/>
            <w:hideMark/>
          </w:tcPr>
          <w:p w:rsidR="00042B08" w:rsidRPr="00FF5FAA" w:rsidRDefault="00042B08" w:rsidP="00256DD3">
            <w:pPr>
              <w:jc w:val="right"/>
              <w:cnfStyle w:val="000000100000" w:firstRow="0" w:lastRow="0" w:firstColumn="0" w:lastColumn="0" w:oddVBand="0" w:evenVBand="0" w:oddHBand="1" w:evenHBand="0" w:firstRowFirstColumn="0" w:firstRowLastColumn="0" w:lastRowFirstColumn="0" w:lastRowLastColumn="0"/>
              <w:rPr>
                <w:rFonts w:cs="Arial"/>
                <w:sz w:val="18"/>
                <w:szCs w:val="18"/>
              </w:rPr>
            </w:pPr>
            <w:r w:rsidRPr="00FF5FAA">
              <w:rPr>
                <w:rFonts w:cs="Arial"/>
                <w:sz w:val="18"/>
                <w:szCs w:val="18"/>
              </w:rPr>
              <w:t>12</w:t>
            </w:r>
          </w:p>
        </w:tc>
        <w:tc>
          <w:tcPr>
            <w:tcW w:w="1007" w:type="pct"/>
            <w:hideMark/>
          </w:tcPr>
          <w:p w:rsidR="00042B08" w:rsidRPr="00FF5FAA" w:rsidRDefault="00042B08" w:rsidP="00256DD3">
            <w:pPr>
              <w:jc w:val="right"/>
              <w:cnfStyle w:val="000000100000" w:firstRow="0" w:lastRow="0" w:firstColumn="0" w:lastColumn="0" w:oddVBand="0" w:evenVBand="0" w:oddHBand="1" w:evenHBand="0" w:firstRowFirstColumn="0" w:firstRowLastColumn="0" w:lastRowFirstColumn="0" w:lastRowLastColumn="0"/>
              <w:rPr>
                <w:rFonts w:cs="Arial"/>
                <w:sz w:val="18"/>
                <w:szCs w:val="18"/>
              </w:rPr>
            </w:pPr>
            <w:r w:rsidRPr="00FF5FAA">
              <w:rPr>
                <w:rFonts w:cs="Arial"/>
                <w:sz w:val="18"/>
                <w:szCs w:val="18"/>
              </w:rPr>
              <w:t>48,203</w:t>
            </w:r>
          </w:p>
        </w:tc>
        <w:tc>
          <w:tcPr>
            <w:tcW w:w="1005" w:type="pct"/>
            <w:tcBorders>
              <w:right w:val="single" w:sz="4" w:space="0" w:color="auto"/>
            </w:tcBorders>
            <w:hideMark/>
          </w:tcPr>
          <w:p w:rsidR="00042B08" w:rsidRPr="00FF5FAA" w:rsidRDefault="00042B08" w:rsidP="00256DD3">
            <w:pPr>
              <w:jc w:val="right"/>
              <w:cnfStyle w:val="000000100000" w:firstRow="0" w:lastRow="0" w:firstColumn="0" w:lastColumn="0" w:oddVBand="0" w:evenVBand="0" w:oddHBand="1" w:evenHBand="0" w:firstRowFirstColumn="0" w:firstRowLastColumn="0" w:lastRowFirstColumn="0" w:lastRowLastColumn="0"/>
              <w:rPr>
                <w:rFonts w:cs="Arial"/>
                <w:sz w:val="18"/>
                <w:szCs w:val="18"/>
              </w:rPr>
            </w:pPr>
            <w:r w:rsidRPr="00FF5FAA">
              <w:rPr>
                <w:rFonts w:cs="Arial"/>
                <w:sz w:val="18"/>
                <w:szCs w:val="18"/>
              </w:rPr>
              <w:t>222,632</w:t>
            </w:r>
          </w:p>
        </w:tc>
      </w:tr>
      <w:tr w:rsidR="00042B08" w:rsidRPr="00FF5FAA" w:rsidTr="00256DD3">
        <w:trPr>
          <w:trHeight w:val="20"/>
        </w:trPr>
        <w:tc>
          <w:tcPr>
            <w:cnfStyle w:val="001000000000" w:firstRow="0" w:lastRow="0" w:firstColumn="1" w:lastColumn="0" w:oddVBand="0" w:evenVBand="0" w:oddHBand="0" w:evenHBand="0" w:firstRowFirstColumn="0" w:firstRowLastColumn="0" w:lastRowFirstColumn="0" w:lastRowLastColumn="0"/>
            <w:tcW w:w="985" w:type="pct"/>
            <w:tcBorders>
              <w:left w:val="single" w:sz="4" w:space="0" w:color="auto"/>
            </w:tcBorders>
            <w:noWrap/>
            <w:hideMark/>
          </w:tcPr>
          <w:p w:rsidR="00042B08" w:rsidRPr="00FF5FAA" w:rsidRDefault="00042B08" w:rsidP="00256DD3">
            <w:pPr>
              <w:rPr>
                <w:rFonts w:cs="Arial"/>
                <w:sz w:val="18"/>
                <w:szCs w:val="18"/>
              </w:rPr>
            </w:pPr>
            <w:r w:rsidRPr="00FF5FAA">
              <w:rPr>
                <w:rFonts w:cs="Arial"/>
                <w:sz w:val="18"/>
                <w:szCs w:val="18"/>
              </w:rPr>
              <w:t>5 days</w:t>
            </w:r>
          </w:p>
        </w:tc>
        <w:tc>
          <w:tcPr>
            <w:tcW w:w="1014" w:type="pct"/>
            <w:noWrap/>
            <w:hideMark/>
          </w:tcPr>
          <w:p w:rsidR="00042B08" w:rsidRPr="00FF5FAA" w:rsidRDefault="00042B08" w:rsidP="00256DD3">
            <w:pPr>
              <w:jc w:val="right"/>
              <w:cnfStyle w:val="000000000000" w:firstRow="0" w:lastRow="0" w:firstColumn="0" w:lastColumn="0" w:oddVBand="0" w:evenVBand="0" w:oddHBand="0" w:evenHBand="0" w:firstRowFirstColumn="0" w:firstRowLastColumn="0" w:lastRowFirstColumn="0" w:lastRowLastColumn="0"/>
              <w:rPr>
                <w:rFonts w:cs="Arial"/>
                <w:sz w:val="18"/>
                <w:szCs w:val="18"/>
              </w:rPr>
            </w:pPr>
            <w:r w:rsidRPr="00FF5FAA">
              <w:rPr>
                <w:rFonts w:cs="Arial"/>
                <w:sz w:val="18"/>
                <w:szCs w:val="18"/>
              </w:rPr>
              <w:t>5</w:t>
            </w:r>
          </w:p>
        </w:tc>
        <w:tc>
          <w:tcPr>
            <w:tcW w:w="989" w:type="pct"/>
            <w:hideMark/>
          </w:tcPr>
          <w:p w:rsidR="00042B08" w:rsidRPr="00FF5FAA" w:rsidRDefault="00042B08" w:rsidP="00256DD3">
            <w:pPr>
              <w:jc w:val="right"/>
              <w:cnfStyle w:val="000000000000" w:firstRow="0" w:lastRow="0" w:firstColumn="0" w:lastColumn="0" w:oddVBand="0" w:evenVBand="0" w:oddHBand="0" w:evenHBand="0" w:firstRowFirstColumn="0" w:firstRowLastColumn="0" w:lastRowFirstColumn="0" w:lastRowLastColumn="0"/>
              <w:rPr>
                <w:rFonts w:cs="Arial"/>
                <w:sz w:val="18"/>
                <w:szCs w:val="18"/>
              </w:rPr>
            </w:pPr>
            <w:r w:rsidRPr="00FF5FAA">
              <w:rPr>
                <w:rFonts w:cs="Arial"/>
                <w:sz w:val="18"/>
                <w:szCs w:val="18"/>
              </w:rPr>
              <w:t>12</w:t>
            </w:r>
          </w:p>
        </w:tc>
        <w:tc>
          <w:tcPr>
            <w:tcW w:w="1007" w:type="pct"/>
            <w:hideMark/>
          </w:tcPr>
          <w:p w:rsidR="00042B08" w:rsidRPr="00FF5FAA" w:rsidRDefault="00042B08" w:rsidP="00256DD3">
            <w:pPr>
              <w:jc w:val="right"/>
              <w:cnfStyle w:val="000000000000" w:firstRow="0" w:lastRow="0" w:firstColumn="0" w:lastColumn="0" w:oddVBand="0" w:evenVBand="0" w:oddHBand="0" w:evenHBand="0" w:firstRowFirstColumn="0" w:firstRowLastColumn="0" w:lastRowFirstColumn="0" w:lastRowLastColumn="0"/>
              <w:rPr>
                <w:rFonts w:cs="Arial"/>
                <w:sz w:val="18"/>
                <w:szCs w:val="18"/>
              </w:rPr>
            </w:pPr>
            <w:r w:rsidRPr="00FF5FAA">
              <w:rPr>
                <w:rFonts w:cs="Arial"/>
                <w:sz w:val="18"/>
                <w:szCs w:val="18"/>
              </w:rPr>
              <w:t>27,456</w:t>
            </w:r>
          </w:p>
        </w:tc>
        <w:tc>
          <w:tcPr>
            <w:tcW w:w="1005" w:type="pct"/>
            <w:tcBorders>
              <w:right w:val="single" w:sz="4" w:space="0" w:color="auto"/>
            </w:tcBorders>
            <w:hideMark/>
          </w:tcPr>
          <w:p w:rsidR="00042B08" w:rsidRPr="00FF5FAA" w:rsidRDefault="00042B08" w:rsidP="00256DD3">
            <w:pPr>
              <w:jc w:val="right"/>
              <w:cnfStyle w:val="000000000000" w:firstRow="0" w:lastRow="0" w:firstColumn="0" w:lastColumn="0" w:oddVBand="0" w:evenVBand="0" w:oddHBand="0" w:evenHBand="0" w:firstRowFirstColumn="0" w:firstRowLastColumn="0" w:lastRowFirstColumn="0" w:lastRowLastColumn="0"/>
              <w:rPr>
                <w:rFonts w:cs="Arial"/>
                <w:sz w:val="18"/>
                <w:szCs w:val="18"/>
              </w:rPr>
            </w:pPr>
            <w:r w:rsidRPr="00FF5FAA">
              <w:rPr>
                <w:rFonts w:cs="Arial"/>
                <w:sz w:val="18"/>
                <w:szCs w:val="18"/>
              </w:rPr>
              <w:t>164,050</w:t>
            </w:r>
          </w:p>
        </w:tc>
      </w:tr>
      <w:tr w:rsidR="00042B08" w:rsidRPr="00FF5FAA" w:rsidTr="00256DD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85" w:type="pct"/>
            <w:tcBorders>
              <w:left w:val="single" w:sz="4" w:space="0" w:color="auto"/>
            </w:tcBorders>
            <w:noWrap/>
            <w:hideMark/>
          </w:tcPr>
          <w:p w:rsidR="00042B08" w:rsidRPr="00FF5FAA" w:rsidRDefault="00042B08" w:rsidP="00256DD3">
            <w:pPr>
              <w:rPr>
                <w:rFonts w:cs="Arial"/>
                <w:sz w:val="18"/>
                <w:szCs w:val="18"/>
              </w:rPr>
            </w:pPr>
            <w:r w:rsidRPr="00FF5FAA">
              <w:rPr>
                <w:rFonts w:cs="Arial"/>
                <w:sz w:val="18"/>
                <w:szCs w:val="18"/>
              </w:rPr>
              <w:t>6 days</w:t>
            </w:r>
          </w:p>
        </w:tc>
        <w:tc>
          <w:tcPr>
            <w:tcW w:w="1014" w:type="pct"/>
            <w:noWrap/>
            <w:hideMark/>
          </w:tcPr>
          <w:p w:rsidR="00042B08" w:rsidRPr="00FF5FAA" w:rsidRDefault="00042B08" w:rsidP="00256DD3">
            <w:pPr>
              <w:jc w:val="right"/>
              <w:cnfStyle w:val="000000100000" w:firstRow="0" w:lastRow="0" w:firstColumn="0" w:lastColumn="0" w:oddVBand="0" w:evenVBand="0" w:oddHBand="1" w:evenHBand="0" w:firstRowFirstColumn="0" w:firstRowLastColumn="0" w:lastRowFirstColumn="0" w:lastRowLastColumn="0"/>
              <w:rPr>
                <w:rFonts w:cs="Arial"/>
                <w:sz w:val="18"/>
                <w:szCs w:val="18"/>
              </w:rPr>
            </w:pPr>
            <w:r w:rsidRPr="00FF5FAA">
              <w:rPr>
                <w:rFonts w:cs="Arial"/>
                <w:sz w:val="18"/>
                <w:szCs w:val="18"/>
              </w:rPr>
              <w:t>6</w:t>
            </w:r>
          </w:p>
        </w:tc>
        <w:tc>
          <w:tcPr>
            <w:tcW w:w="989" w:type="pct"/>
            <w:hideMark/>
          </w:tcPr>
          <w:p w:rsidR="00042B08" w:rsidRPr="00FF5FAA" w:rsidRDefault="00042B08" w:rsidP="00256DD3">
            <w:pPr>
              <w:jc w:val="right"/>
              <w:cnfStyle w:val="000000100000" w:firstRow="0" w:lastRow="0" w:firstColumn="0" w:lastColumn="0" w:oddVBand="0" w:evenVBand="0" w:oddHBand="1" w:evenHBand="0" w:firstRowFirstColumn="0" w:firstRowLastColumn="0" w:lastRowFirstColumn="0" w:lastRowLastColumn="0"/>
              <w:rPr>
                <w:rFonts w:cs="Arial"/>
                <w:sz w:val="18"/>
                <w:szCs w:val="18"/>
              </w:rPr>
            </w:pPr>
            <w:r w:rsidRPr="00FF5FAA">
              <w:rPr>
                <w:rFonts w:cs="Arial"/>
                <w:sz w:val="18"/>
                <w:szCs w:val="18"/>
              </w:rPr>
              <w:t>12</w:t>
            </w:r>
          </w:p>
        </w:tc>
        <w:tc>
          <w:tcPr>
            <w:tcW w:w="1007" w:type="pct"/>
            <w:hideMark/>
          </w:tcPr>
          <w:p w:rsidR="00042B08" w:rsidRPr="00FF5FAA" w:rsidRDefault="00042B08" w:rsidP="00256DD3">
            <w:pPr>
              <w:jc w:val="right"/>
              <w:cnfStyle w:val="000000100000" w:firstRow="0" w:lastRow="0" w:firstColumn="0" w:lastColumn="0" w:oddVBand="0" w:evenVBand="0" w:oddHBand="1" w:evenHBand="0" w:firstRowFirstColumn="0" w:firstRowLastColumn="0" w:lastRowFirstColumn="0" w:lastRowLastColumn="0"/>
              <w:rPr>
                <w:rFonts w:cs="Arial"/>
                <w:sz w:val="18"/>
                <w:szCs w:val="18"/>
              </w:rPr>
            </w:pPr>
            <w:r w:rsidRPr="00FF5FAA">
              <w:rPr>
                <w:rFonts w:cs="Arial"/>
                <w:sz w:val="18"/>
                <w:szCs w:val="18"/>
              </w:rPr>
              <w:t>6,249</w:t>
            </w:r>
          </w:p>
        </w:tc>
        <w:tc>
          <w:tcPr>
            <w:tcW w:w="1005" w:type="pct"/>
            <w:tcBorders>
              <w:right w:val="single" w:sz="4" w:space="0" w:color="auto"/>
            </w:tcBorders>
            <w:hideMark/>
          </w:tcPr>
          <w:p w:rsidR="00042B08" w:rsidRPr="00FF5FAA" w:rsidRDefault="00042B08" w:rsidP="00256DD3">
            <w:pPr>
              <w:jc w:val="right"/>
              <w:cnfStyle w:val="000000100000" w:firstRow="0" w:lastRow="0" w:firstColumn="0" w:lastColumn="0" w:oddVBand="0" w:evenVBand="0" w:oddHBand="1" w:evenHBand="0" w:firstRowFirstColumn="0" w:firstRowLastColumn="0" w:lastRowFirstColumn="0" w:lastRowLastColumn="0"/>
              <w:rPr>
                <w:rFonts w:cs="Arial"/>
                <w:sz w:val="18"/>
                <w:szCs w:val="18"/>
              </w:rPr>
            </w:pPr>
            <w:r w:rsidRPr="00FF5FAA">
              <w:rPr>
                <w:rFonts w:cs="Arial"/>
                <w:sz w:val="18"/>
                <w:szCs w:val="18"/>
              </w:rPr>
              <w:t>46,662</w:t>
            </w:r>
          </w:p>
        </w:tc>
      </w:tr>
      <w:tr w:rsidR="00042B08" w:rsidRPr="00FF5FAA" w:rsidTr="00256DD3">
        <w:trPr>
          <w:trHeight w:val="20"/>
        </w:trPr>
        <w:tc>
          <w:tcPr>
            <w:cnfStyle w:val="001000000000" w:firstRow="0" w:lastRow="0" w:firstColumn="1" w:lastColumn="0" w:oddVBand="0" w:evenVBand="0" w:oddHBand="0" w:evenHBand="0" w:firstRowFirstColumn="0" w:firstRowLastColumn="0" w:lastRowFirstColumn="0" w:lastRowLastColumn="0"/>
            <w:tcW w:w="985" w:type="pct"/>
            <w:tcBorders>
              <w:left w:val="single" w:sz="4" w:space="0" w:color="auto"/>
            </w:tcBorders>
            <w:noWrap/>
            <w:hideMark/>
          </w:tcPr>
          <w:p w:rsidR="00042B08" w:rsidRPr="00FF5FAA" w:rsidRDefault="00042B08" w:rsidP="00256DD3">
            <w:pPr>
              <w:rPr>
                <w:rFonts w:cs="Arial"/>
                <w:sz w:val="18"/>
                <w:szCs w:val="18"/>
              </w:rPr>
            </w:pPr>
            <w:r w:rsidRPr="00FF5FAA">
              <w:rPr>
                <w:rFonts w:cs="Arial"/>
                <w:sz w:val="18"/>
                <w:szCs w:val="18"/>
              </w:rPr>
              <w:t>7–13 days</w:t>
            </w:r>
          </w:p>
        </w:tc>
        <w:tc>
          <w:tcPr>
            <w:tcW w:w="1014" w:type="pct"/>
            <w:noWrap/>
            <w:hideMark/>
          </w:tcPr>
          <w:p w:rsidR="00042B08" w:rsidRPr="00FF5FAA" w:rsidRDefault="00042B08" w:rsidP="00256DD3">
            <w:pPr>
              <w:jc w:val="right"/>
              <w:cnfStyle w:val="000000000000" w:firstRow="0" w:lastRow="0" w:firstColumn="0" w:lastColumn="0" w:oddVBand="0" w:evenVBand="0" w:oddHBand="0" w:evenHBand="0" w:firstRowFirstColumn="0" w:firstRowLastColumn="0" w:lastRowFirstColumn="0" w:lastRowLastColumn="0"/>
              <w:rPr>
                <w:rFonts w:cs="Arial"/>
                <w:sz w:val="18"/>
                <w:szCs w:val="18"/>
              </w:rPr>
            </w:pPr>
            <w:r w:rsidRPr="00FF5FAA">
              <w:rPr>
                <w:rFonts w:cs="Arial"/>
                <w:sz w:val="18"/>
                <w:szCs w:val="18"/>
              </w:rPr>
              <w:t>7</w:t>
            </w:r>
          </w:p>
        </w:tc>
        <w:tc>
          <w:tcPr>
            <w:tcW w:w="989" w:type="pct"/>
            <w:hideMark/>
          </w:tcPr>
          <w:p w:rsidR="00042B08" w:rsidRPr="00FF5FAA" w:rsidRDefault="00042B08" w:rsidP="00256DD3">
            <w:pPr>
              <w:jc w:val="right"/>
              <w:cnfStyle w:val="000000000000" w:firstRow="0" w:lastRow="0" w:firstColumn="0" w:lastColumn="0" w:oddVBand="0" w:evenVBand="0" w:oddHBand="0" w:evenHBand="0" w:firstRowFirstColumn="0" w:firstRowLastColumn="0" w:lastRowFirstColumn="0" w:lastRowLastColumn="0"/>
              <w:rPr>
                <w:rFonts w:cs="Arial"/>
                <w:sz w:val="18"/>
                <w:szCs w:val="18"/>
              </w:rPr>
            </w:pPr>
            <w:r w:rsidRPr="00FF5FAA">
              <w:rPr>
                <w:rFonts w:cs="Arial"/>
                <w:sz w:val="18"/>
                <w:szCs w:val="18"/>
              </w:rPr>
              <w:t>12</w:t>
            </w:r>
          </w:p>
        </w:tc>
        <w:tc>
          <w:tcPr>
            <w:tcW w:w="1007" w:type="pct"/>
            <w:hideMark/>
          </w:tcPr>
          <w:p w:rsidR="00042B08" w:rsidRPr="00FF5FAA" w:rsidRDefault="00042B08" w:rsidP="00256DD3">
            <w:pPr>
              <w:jc w:val="right"/>
              <w:cnfStyle w:val="000000000000" w:firstRow="0" w:lastRow="0" w:firstColumn="0" w:lastColumn="0" w:oddVBand="0" w:evenVBand="0" w:oddHBand="0" w:evenHBand="0" w:firstRowFirstColumn="0" w:firstRowLastColumn="0" w:lastRowFirstColumn="0" w:lastRowLastColumn="0"/>
              <w:rPr>
                <w:rFonts w:cs="Arial"/>
                <w:sz w:val="18"/>
                <w:szCs w:val="18"/>
              </w:rPr>
            </w:pPr>
            <w:r w:rsidRPr="00FF5FAA">
              <w:rPr>
                <w:rFonts w:cs="Arial"/>
                <w:sz w:val="18"/>
                <w:szCs w:val="18"/>
              </w:rPr>
              <w:t>3,950</w:t>
            </w:r>
          </w:p>
        </w:tc>
        <w:tc>
          <w:tcPr>
            <w:tcW w:w="1005" w:type="pct"/>
            <w:tcBorders>
              <w:right w:val="single" w:sz="4" w:space="0" w:color="auto"/>
            </w:tcBorders>
            <w:hideMark/>
          </w:tcPr>
          <w:p w:rsidR="00042B08" w:rsidRPr="00FF5FAA" w:rsidRDefault="00042B08" w:rsidP="00256DD3">
            <w:pPr>
              <w:jc w:val="right"/>
              <w:cnfStyle w:val="000000000000" w:firstRow="0" w:lastRow="0" w:firstColumn="0" w:lastColumn="0" w:oddVBand="0" w:evenVBand="0" w:oddHBand="0" w:evenHBand="0" w:firstRowFirstColumn="0" w:firstRowLastColumn="0" w:lastRowFirstColumn="0" w:lastRowLastColumn="0"/>
              <w:rPr>
                <w:rFonts w:cs="Arial"/>
                <w:sz w:val="18"/>
                <w:szCs w:val="18"/>
              </w:rPr>
            </w:pPr>
            <w:r w:rsidRPr="00FF5FAA">
              <w:rPr>
                <w:rFonts w:cs="Arial"/>
                <w:sz w:val="18"/>
                <w:szCs w:val="18"/>
              </w:rPr>
              <w:t>35,070</w:t>
            </w:r>
          </w:p>
        </w:tc>
      </w:tr>
      <w:tr w:rsidR="00042B08" w:rsidRPr="00FF5FAA" w:rsidTr="00256DD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85" w:type="pct"/>
            <w:tcBorders>
              <w:left w:val="single" w:sz="4" w:space="0" w:color="auto"/>
              <w:bottom w:val="single" w:sz="4" w:space="0" w:color="auto"/>
            </w:tcBorders>
            <w:noWrap/>
            <w:hideMark/>
          </w:tcPr>
          <w:p w:rsidR="00042B08" w:rsidRPr="00FF5FAA" w:rsidRDefault="00042B08" w:rsidP="00256DD3">
            <w:pPr>
              <w:rPr>
                <w:rFonts w:cs="Arial"/>
                <w:sz w:val="18"/>
                <w:szCs w:val="18"/>
              </w:rPr>
            </w:pPr>
            <w:r w:rsidRPr="00FF5FAA">
              <w:rPr>
                <w:rFonts w:cs="Arial"/>
                <w:sz w:val="18"/>
                <w:szCs w:val="18"/>
              </w:rPr>
              <w:t>14 or more days</w:t>
            </w:r>
          </w:p>
        </w:tc>
        <w:tc>
          <w:tcPr>
            <w:tcW w:w="1014" w:type="pct"/>
            <w:tcBorders>
              <w:bottom w:val="single" w:sz="4" w:space="0" w:color="auto"/>
            </w:tcBorders>
            <w:noWrap/>
            <w:hideMark/>
          </w:tcPr>
          <w:p w:rsidR="00042B08" w:rsidRPr="00FF5FAA" w:rsidRDefault="00042B08" w:rsidP="00256DD3">
            <w:pPr>
              <w:jc w:val="right"/>
              <w:cnfStyle w:val="000000100000" w:firstRow="0" w:lastRow="0" w:firstColumn="0" w:lastColumn="0" w:oddVBand="0" w:evenVBand="0" w:oddHBand="1" w:evenHBand="0" w:firstRowFirstColumn="0" w:firstRowLastColumn="0" w:lastRowFirstColumn="0" w:lastRowLastColumn="0"/>
              <w:rPr>
                <w:rFonts w:cs="Arial"/>
                <w:sz w:val="18"/>
                <w:szCs w:val="18"/>
              </w:rPr>
            </w:pPr>
            <w:r w:rsidRPr="00FF5FAA">
              <w:rPr>
                <w:rFonts w:cs="Arial"/>
                <w:sz w:val="18"/>
                <w:szCs w:val="18"/>
              </w:rPr>
              <w:t>8</w:t>
            </w:r>
          </w:p>
        </w:tc>
        <w:tc>
          <w:tcPr>
            <w:tcW w:w="989" w:type="pct"/>
            <w:tcBorders>
              <w:bottom w:val="single" w:sz="4" w:space="0" w:color="auto"/>
            </w:tcBorders>
            <w:hideMark/>
          </w:tcPr>
          <w:p w:rsidR="00042B08" w:rsidRPr="00FF5FAA" w:rsidRDefault="00042B08" w:rsidP="00256DD3">
            <w:pPr>
              <w:jc w:val="right"/>
              <w:cnfStyle w:val="000000100000" w:firstRow="0" w:lastRow="0" w:firstColumn="0" w:lastColumn="0" w:oddVBand="0" w:evenVBand="0" w:oddHBand="1" w:evenHBand="0" w:firstRowFirstColumn="0" w:firstRowLastColumn="0" w:lastRowFirstColumn="0" w:lastRowLastColumn="0"/>
              <w:rPr>
                <w:rFonts w:cs="Arial"/>
                <w:sz w:val="18"/>
                <w:szCs w:val="18"/>
              </w:rPr>
            </w:pPr>
            <w:r w:rsidRPr="00FF5FAA">
              <w:rPr>
                <w:rFonts w:cs="Arial"/>
                <w:sz w:val="18"/>
                <w:szCs w:val="18"/>
              </w:rPr>
              <w:t>12</w:t>
            </w:r>
          </w:p>
        </w:tc>
        <w:tc>
          <w:tcPr>
            <w:tcW w:w="1007" w:type="pct"/>
            <w:tcBorders>
              <w:bottom w:val="single" w:sz="4" w:space="0" w:color="auto"/>
            </w:tcBorders>
            <w:hideMark/>
          </w:tcPr>
          <w:p w:rsidR="00042B08" w:rsidRPr="00FF5FAA" w:rsidRDefault="00042B08" w:rsidP="00256DD3">
            <w:pPr>
              <w:jc w:val="right"/>
              <w:cnfStyle w:val="000000100000" w:firstRow="0" w:lastRow="0" w:firstColumn="0" w:lastColumn="0" w:oddVBand="0" w:evenVBand="0" w:oddHBand="1" w:evenHBand="0" w:firstRowFirstColumn="0" w:firstRowLastColumn="0" w:lastRowFirstColumn="0" w:lastRowLastColumn="0"/>
              <w:rPr>
                <w:rFonts w:cs="Arial"/>
                <w:sz w:val="18"/>
                <w:szCs w:val="18"/>
              </w:rPr>
            </w:pPr>
            <w:r w:rsidRPr="00FF5FAA">
              <w:rPr>
                <w:rFonts w:cs="Arial"/>
                <w:sz w:val="18"/>
                <w:szCs w:val="18"/>
              </w:rPr>
              <w:t>384</w:t>
            </w:r>
          </w:p>
        </w:tc>
        <w:tc>
          <w:tcPr>
            <w:tcW w:w="1005" w:type="pct"/>
            <w:tcBorders>
              <w:bottom w:val="single" w:sz="4" w:space="0" w:color="auto"/>
              <w:right w:val="single" w:sz="4" w:space="0" w:color="auto"/>
            </w:tcBorders>
            <w:hideMark/>
          </w:tcPr>
          <w:p w:rsidR="00042B08" w:rsidRPr="00FF5FAA" w:rsidRDefault="00042B08" w:rsidP="00256DD3">
            <w:pPr>
              <w:jc w:val="right"/>
              <w:cnfStyle w:val="000000100000" w:firstRow="0" w:lastRow="0" w:firstColumn="0" w:lastColumn="0" w:oddVBand="0" w:evenVBand="0" w:oddHBand="1" w:evenHBand="0" w:firstRowFirstColumn="0" w:firstRowLastColumn="0" w:lastRowFirstColumn="0" w:lastRowLastColumn="0"/>
              <w:rPr>
                <w:rFonts w:cs="Arial"/>
                <w:sz w:val="18"/>
                <w:szCs w:val="18"/>
              </w:rPr>
            </w:pPr>
            <w:r w:rsidRPr="00FF5FAA">
              <w:rPr>
                <w:rFonts w:cs="Arial"/>
                <w:sz w:val="18"/>
                <w:szCs w:val="18"/>
              </w:rPr>
              <w:t>3,648</w:t>
            </w:r>
          </w:p>
        </w:tc>
      </w:tr>
    </w:tbl>
    <w:p w:rsidR="00042B08" w:rsidRPr="00FF5FAA" w:rsidRDefault="00042B08" w:rsidP="00042B08">
      <w:pPr>
        <w:spacing w:after="120" w:line="240" w:lineRule="auto"/>
        <w:rPr>
          <w:rFonts w:ascii="Helvetica" w:eastAsia="Calibri" w:hAnsi="Helvetica" w:cs="Helvetica"/>
          <w:lang w:eastAsia="en-AU"/>
        </w:rPr>
      </w:pPr>
      <w:r w:rsidRPr="00FF5FAA">
        <w:rPr>
          <w:rFonts w:ascii="Helvetica" w:eastAsia="Calibri" w:hAnsi="Helvetica"/>
          <w:bCs/>
          <w:i/>
          <w:color w:val="000000"/>
          <w:sz w:val="16"/>
          <w:szCs w:val="16"/>
          <w:shd w:val="clear" w:color="auto" w:fill="FFFFFF"/>
          <w:lang w:eastAsia="en-AU"/>
        </w:rPr>
        <w:t xml:space="preserve">AIHW, Australia’s mothers and </w:t>
      </w:r>
      <w:r w:rsidR="00D219A9" w:rsidRPr="00FF5FAA">
        <w:rPr>
          <w:rFonts w:ascii="Helvetica" w:eastAsia="Calibri" w:hAnsi="Helvetica"/>
          <w:bCs/>
          <w:i/>
          <w:color w:val="000000"/>
          <w:sz w:val="16"/>
          <w:szCs w:val="16"/>
          <w:shd w:val="clear" w:color="auto" w:fill="FFFFFF"/>
          <w:lang w:eastAsia="en-AU"/>
        </w:rPr>
        <w:t>babies’</w:t>
      </w:r>
      <w:r w:rsidRPr="00FF5FAA">
        <w:rPr>
          <w:rFonts w:ascii="Helvetica" w:eastAsia="Calibri" w:hAnsi="Helvetica"/>
          <w:bCs/>
          <w:i/>
          <w:color w:val="000000"/>
          <w:sz w:val="16"/>
          <w:szCs w:val="16"/>
          <w:shd w:val="clear" w:color="auto" w:fill="FFFFFF"/>
          <w:lang w:eastAsia="en-AU"/>
        </w:rPr>
        <w:t xml:space="preserve"> annual report – in brief, 2014. Perinatal statistics series no. 32 cat no. PER87. Canberra</w:t>
      </w:r>
    </w:p>
    <w:p w:rsidR="00D219A9" w:rsidRDefault="00042B08" w:rsidP="00042B08">
      <w:pPr>
        <w:spacing w:before="120" w:after="120" w:line="240" w:lineRule="auto"/>
        <w:jc w:val="both"/>
        <w:rPr>
          <w:rFonts w:ascii="Helvetica" w:eastAsia="Calibri" w:hAnsi="Helvetica"/>
          <w:szCs w:val="22"/>
          <w:lang w:eastAsia="en-AU"/>
        </w:rPr>
      </w:pPr>
      <w:r w:rsidRPr="00FF5FAA">
        <w:rPr>
          <w:rFonts w:ascii="Helvetica" w:eastAsia="Calibri" w:hAnsi="Helvetica"/>
          <w:noProof/>
          <w:szCs w:val="22"/>
          <w:lang w:eastAsia="en-AU"/>
        </w:rPr>
        <w:lastRenderedPageBreak/>
        <w:drawing>
          <wp:inline distT="0" distB="0" distL="0" distR="0">
            <wp:extent cx="540000" cy="554400"/>
            <wp:effectExtent l="0" t="0" r="0" b="0"/>
            <wp:docPr id="28" name="Picture 28" title="Header: Total birth episo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40000" cy="554400"/>
                    </a:xfrm>
                    <a:prstGeom prst="rect">
                      <a:avLst/>
                    </a:prstGeom>
                    <a:noFill/>
                    <a:ln>
                      <a:noFill/>
                    </a:ln>
                  </pic:spPr>
                </pic:pic>
              </a:graphicData>
            </a:graphic>
          </wp:inline>
        </w:drawing>
      </w:r>
    </w:p>
    <w:p w:rsidR="00042B08" w:rsidRPr="003D217A" w:rsidRDefault="00042B08" w:rsidP="00042B08">
      <w:pPr>
        <w:spacing w:before="120" w:after="120" w:line="240" w:lineRule="auto"/>
        <w:jc w:val="both"/>
        <w:rPr>
          <w:rFonts w:eastAsia="Calibri" w:cs="Arial"/>
          <w:szCs w:val="22"/>
          <w:lang w:eastAsia="en-AU"/>
        </w:rPr>
      </w:pPr>
      <w:r w:rsidRPr="003D217A">
        <w:rPr>
          <w:rFonts w:eastAsia="Calibri" w:cs="Arial"/>
          <w:szCs w:val="22"/>
          <w:lang w:eastAsia="en-AU"/>
        </w:rPr>
        <w:t>The result is the addition of each of these components to equate to a total birth episode. A total birth episode equates to total hours. These hours are then assigned to each component and wei</w:t>
      </w:r>
      <w:r w:rsidR="00D219A9" w:rsidRPr="003D217A">
        <w:rPr>
          <w:rFonts w:eastAsia="Calibri" w:cs="Arial"/>
          <w:szCs w:val="22"/>
          <w:lang w:eastAsia="en-AU"/>
        </w:rPr>
        <w:t xml:space="preserve">ghted accordingly. </w:t>
      </w:r>
    </w:p>
    <w:p w:rsidR="00042B08" w:rsidRPr="00FF5FAA" w:rsidRDefault="00042B08" w:rsidP="00042B08">
      <w:pPr>
        <w:pStyle w:val="Heading2"/>
        <w:rPr>
          <w:rFonts w:eastAsia="Calibri"/>
          <w:lang w:eastAsia="en-AU"/>
        </w:rPr>
      </w:pPr>
      <w:bookmarkStart w:id="142" w:name="_Toc10808406"/>
      <w:r w:rsidRPr="00FF5FAA">
        <w:rPr>
          <w:rFonts w:eastAsia="Calibri"/>
          <w:lang w:eastAsia="en-AU"/>
        </w:rPr>
        <w:t xml:space="preserve">Full </w:t>
      </w:r>
      <w:r w:rsidR="004D53D1">
        <w:rPr>
          <w:rFonts w:eastAsia="Calibri"/>
          <w:lang w:eastAsia="en-AU"/>
        </w:rPr>
        <w:t>continuity</w:t>
      </w:r>
      <w:r w:rsidRPr="00FF5FAA">
        <w:rPr>
          <w:rFonts w:eastAsia="Calibri"/>
          <w:lang w:eastAsia="en-AU"/>
        </w:rPr>
        <w:t xml:space="preserve"> of care</w:t>
      </w:r>
      <w:bookmarkEnd w:id="142"/>
    </w:p>
    <w:p w:rsidR="00042B08" w:rsidRPr="003D217A" w:rsidRDefault="00042B08" w:rsidP="00042B08">
      <w:pPr>
        <w:spacing w:after="0" w:line="240" w:lineRule="auto"/>
        <w:jc w:val="both"/>
        <w:rPr>
          <w:rFonts w:eastAsia="Calibri" w:cs="Arial"/>
          <w:szCs w:val="22"/>
          <w:lang w:eastAsia="en-AU"/>
        </w:rPr>
      </w:pPr>
      <w:r w:rsidRPr="003D217A">
        <w:rPr>
          <w:rFonts w:eastAsia="Calibri" w:cs="Arial"/>
          <w:szCs w:val="22"/>
          <w:lang w:eastAsia="en-AU"/>
        </w:rPr>
        <w:t xml:space="preserve">All antenatal, intrapartum and postnatal care is provided by midwives working within this care model. This care model may occur in the women’s home, birth centre or hospital setting. It was assumed that a normal birth equates to 42 hours per birth episode. This is in line with Birthrate plus ® (which estimates 40 hours) and advice from the </w:t>
      </w:r>
      <w:r w:rsidR="00AA3E45" w:rsidRPr="003D217A">
        <w:rPr>
          <w:rFonts w:eastAsia="Calibri" w:cs="Arial"/>
          <w:szCs w:val="22"/>
          <w:lang w:eastAsia="en-AU"/>
        </w:rPr>
        <w:t>T</w:t>
      </w:r>
      <w:r w:rsidRPr="003D217A">
        <w:rPr>
          <w:rFonts w:eastAsia="Calibri" w:cs="Arial"/>
          <w:szCs w:val="22"/>
          <w:lang w:eastAsia="en-AU"/>
        </w:rPr>
        <w:t xml:space="preserve">echnical </w:t>
      </w:r>
      <w:r w:rsidR="00AA3E45" w:rsidRPr="003D217A">
        <w:rPr>
          <w:rFonts w:eastAsia="Calibri" w:cs="Arial"/>
          <w:szCs w:val="22"/>
          <w:lang w:eastAsia="en-AU"/>
        </w:rPr>
        <w:t>A</w:t>
      </w:r>
      <w:r w:rsidRPr="003D217A">
        <w:rPr>
          <w:rFonts w:eastAsia="Calibri" w:cs="Arial"/>
          <w:szCs w:val="22"/>
          <w:lang w:eastAsia="en-AU"/>
        </w:rPr>
        <w:t xml:space="preserve">dvisory </w:t>
      </w:r>
      <w:r w:rsidR="00AA3E45" w:rsidRPr="003D217A">
        <w:rPr>
          <w:rFonts w:eastAsia="Calibri" w:cs="Arial"/>
          <w:szCs w:val="22"/>
          <w:lang w:eastAsia="en-AU"/>
        </w:rPr>
        <w:t>G</w:t>
      </w:r>
      <w:r w:rsidRPr="003D217A">
        <w:rPr>
          <w:rFonts w:eastAsia="Calibri" w:cs="Arial"/>
          <w:szCs w:val="22"/>
          <w:lang w:eastAsia="en-AU"/>
        </w:rPr>
        <w:t>roup</w:t>
      </w:r>
      <w:r w:rsidR="00AA3E45" w:rsidRPr="003D217A">
        <w:rPr>
          <w:rFonts w:eastAsia="Calibri" w:cs="Arial"/>
          <w:szCs w:val="22"/>
          <w:lang w:eastAsia="en-AU"/>
        </w:rPr>
        <w:t xml:space="preserve"> (</w:t>
      </w:r>
      <w:r w:rsidR="002570AB" w:rsidRPr="003D217A">
        <w:rPr>
          <w:rFonts w:eastAsia="Calibri" w:cs="Arial"/>
          <w:szCs w:val="22"/>
          <w:lang w:eastAsia="en-AU"/>
        </w:rPr>
        <w:t>M</w:t>
      </w:r>
      <w:r w:rsidR="00AA3E45" w:rsidRPr="003D217A">
        <w:rPr>
          <w:rFonts w:eastAsia="Calibri" w:cs="Arial"/>
          <w:szCs w:val="22"/>
          <w:lang w:eastAsia="en-AU"/>
        </w:rPr>
        <w:t>TAG)</w:t>
      </w:r>
      <w:r w:rsidRPr="003D217A">
        <w:rPr>
          <w:rFonts w:eastAsia="Calibri" w:cs="Arial"/>
          <w:szCs w:val="22"/>
          <w:lang w:eastAsia="en-AU"/>
        </w:rPr>
        <w:t xml:space="preserve">. Figure </w:t>
      </w:r>
      <w:r w:rsidR="00AA3E45" w:rsidRPr="003D217A">
        <w:rPr>
          <w:rFonts w:eastAsia="Calibri" w:cs="Arial"/>
          <w:szCs w:val="22"/>
          <w:lang w:eastAsia="en-AU"/>
        </w:rPr>
        <w:t>2</w:t>
      </w:r>
      <w:r w:rsidRPr="003D217A">
        <w:rPr>
          <w:rFonts w:eastAsia="Calibri" w:cs="Arial"/>
          <w:szCs w:val="22"/>
          <w:lang w:eastAsia="en-AU"/>
        </w:rPr>
        <w:t>3 shows the discrete weighting v</w:t>
      </w:r>
      <w:r w:rsidR="00D219A9" w:rsidRPr="003D217A">
        <w:rPr>
          <w:rFonts w:eastAsia="Calibri" w:cs="Arial"/>
          <w:szCs w:val="22"/>
          <w:lang w:eastAsia="en-AU"/>
        </w:rPr>
        <w:t xml:space="preserve">ariables and assumptions made. </w:t>
      </w:r>
    </w:p>
    <w:p w:rsidR="00042B08" w:rsidRDefault="00042B08" w:rsidP="00042B08">
      <w:pPr>
        <w:pStyle w:val="Caption"/>
      </w:pPr>
      <w:bookmarkStart w:id="143" w:name="_Toc532473592"/>
      <w:bookmarkStart w:id="144" w:name="_Toc1722575"/>
      <w:bookmarkStart w:id="145" w:name="_Toc1724699"/>
      <w:bookmarkStart w:id="146" w:name="_Toc1725017"/>
      <w:r>
        <w:t xml:space="preserve">Figure </w:t>
      </w:r>
      <w:r w:rsidR="00AA3E45">
        <w:t>23</w:t>
      </w:r>
      <w:r>
        <w:t xml:space="preserve">: Variables and assumptions used in the demand calculation of the full </w:t>
      </w:r>
      <w:r w:rsidR="004D53D1">
        <w:t>continuity</w:t>
      </w:r>
      <w:r>
        <w:t xml:space="preserve"> of care</w:t>
      </w:r>
      <w:bookmarkEnd w:id="143"/>
      <w:bookmarkEnd w:id="144"/>
      <w:bookmarkEnd w:id="145"/>
      <w:bookmarkEnd w:id="146"/>
    </w:p>
    <w:tbl>
      <w:tblPr>
        <w:tblStyle w:val="TableGrid"/>
        <w:tblW w:w="8471" w:type="dxa"/>
        <w:tblInd w:w="-5" w:type="dxa"/>
        <w:tblLook w:val="04A0" w:firstRow="1" w:lastRow="0" w:firstColumn="1" w:lastColumn="0" w:noHBand="0" w:noVBand="1"/>
        <w:tblCaption w:val="Figure 23: Variables and assumptions used in the demand calculation of the full continuity of care"/>
        <w:tblDescription w:val="Describes the variables and assumptions used in the demand calculation of the full continuity of care."/>
      </w:tblPr>
      <w:tblGrid>
        <w:gridCol w:w="1413"/>
        <w:gridCol w:w="1276"/>
        <w:gridCol w:w="2126"/>
        <w:gridCol w:w="3656"/>
      </w:tblGrid>
      <w:tr w:rsidR="00686D4C" w:rsidTr="005B3CAB">
        <w:trPr>
          <w:trHeight w:val="354"/>
          <w:tblHeader/>
        </w:trPr>
        <w:tc>
          <w:tcPr>
            <w:tcW w:w="1413" w:type="dxa"/>
            <w:tcBorders>
              <w:top w:val="single" w:sz="8" w:space="0" w:color="auto"/>
              <w:left w:val="single" w:sz="8" w:space="0" w:color="auto"/>
              <w:bottom w:val="single" w:sz="8" w:space="0" w:color="auto"/>
              <w:right w:val="single" w:sz="8" w:space="0" w:color="auto"/>
            </w:tcBorders>
            <w:shd w:val="clear" w:color="auto" w:fill="7030A0"/>
            <w:vAlign w:val="center"/>
          </w:tcPr>
          <w:p w:rsidR="00686D4C" w:rsidRPr="005F68BF" w:rsidRDefault="00686D4C" w:rsidP="00686D4C">
            <w:pPr>
              <w:rPr>
                <w:rFonts w:ascii="Calibri" w:hAnsi="Calibri"/>
                <w:b/>
                <w:bCs/>
                <w:color w:val="FFFFFF" w:themeColor="background1"/>
                <w:sz w:val="18"/>
                <w:szCs w:val="18"/>
              </w:rPr>
            </w:pPr>
            <w:r w:rsidRPr="005F68BF">
              <w:rPr>
                <w:b/>
                <w:bCs/>
                <w:color w:val="FFFFFF" w:themeColor="background1"/>
                <w:sz w:val="18"/>
                <w:szCs w:val="18"/>
              </w:rPr>
              <w:t>Data items</w:t>
            </w:r>
          </w:p>
        </w:tc>
        <w:tc>
          <w:tcPr>
            <w:tcW w:w="1276" w:type="dxa"/>
            <w:tcBorders>
              <w:top w:val="single" w:sz="8" w:space="0" w:color="auto"/>
              <w:left w:val="nil"/>
              <w:bottom w:val="single" w:sz="8" w:space="0" w:color="auto"/>
              <w:right w:val="single" w:sz="8" w:space="0" w:color="auto"/>
            </w:tcBorders>
            <w:shd w:val="clear" w:color="auto" w:fill="7030A0"/>
            <w:vAlign w:val="center"/>
          </w:tcPr>
          <w:p w:rsidR="00686D4C" w:rsidRPr="005F68BF" w:rsidRDefault="00686D4C" w:rsidP="00686D4C">
            <w:pPr>
              <w:rPr>
                <w:b/>
                <w:bCs/>
                <w:color w:val="FFFFFF" w:themeColor="background1"/>
                <w:sz w:val="18"/>
                <w:szCs w:val="18"/>
              </w:rPr>
            </w:pPr>
            <w:r w:rsidRPr="005F68BF">
              <w:rPr>
                <w:b/>
                <w:bCs/>
                <w:color w:val="FFFFFF" w:themeColor="background1"/>
                <w:sz w:val="18"/>
                <w:szCs w:val="18"/>
              </w:rPr>
              <w:t>Data source</w:t>
            </w:r>
          </w:p>
        </w:tc>
        <w:tc>
          <w:tcPr>
            <w:tcW w:w="2126" w:type="dxa"/>
            <w:tcBorders>
              <w:top w:val="single" w:sz="8" w:space="0" w:color="auto"/>
              <w:left w:val="nil"/>
              <w:bottom w:val="single" w:sz="8" w:space="0" w:color="auto"/>
              <w:right w:val="single" w:sz="8" w:space="0" w:color="auto"/>
            </w:tcBorders>
            <w:shd w:val="clear" w:color="auto" w:fill="7030A0"/>
            <w:vAlign w:val="center"/>
          </w:tcPr>
          <w:p w:rsidR="00686D4C" w:rsidRPr="005F68BF" w:rsidRDefault="00686D4C" w:rsidP="00686D4C">
            <w:pPr>
              <w:rPr>
                <w:b/>
                <w:bCs/>
                <w:color w:val="FFFFFF" w:themeColor="background1"/>
                <w:sz w:val="18"/>
                <w:szCs w:val="18"/>
              </w:rPr>
            </w:pPr>
            <w:r w:rsidRPr="005F68BF">
              <w:rPr>
                <w:b/>
                <w:bCs/>
                <w:color w:val="FFFFFF" w:themeColor="background1"/>
                <w:sz w:val="18"/>
                <w:szCs w:val="18"/>
              </w:rPr>
              <w:t>what data was used</w:t>
            </w:r>
          </w:p>
        </w:tc>
        <w:tc>
          <w:tcPr>
            <w:tcW w:w="3656" w:type="dxa"/>
            <w:tcBorders>
              <w:top w:val="single" w:sz="8" w:space="0" w:color="auto"/>
              <w:left w:val="nil"/>
              <w:bottom w:val="single" w:sz="8" w:space="0" w:color="auto"/>
              <w:right w:val="single" w:sz="8" w:space="0" w:color="auto"/>
            </w:tcBorders>
            <w:shd w:val="clear" w:color="auto" w:fill="7030A0"/>
            <w:vAlign w:val="center"/>
          </w:tcPr>
          <w:p w:rsidR="00686D4C" w:rsidRPr="005F68BF" w:rsidRDefault="00686D4C" w:rsidP="00686D4C">
            <w:pPr>
              <w:rPr>
                <w:b/>
                <w:bCs/>
                <w:color w:val="FFFFFF" w:themeColor="background1"/>
                <w:sz w:val="18"/>
                <w:szCs w:val="18"/>
              </w:rPr>
            </w:pPr>
            <w:r w:rsidRPr="005F68BF">
              <w:rPr>
                <w:b/>
                <w:bCs/>
                <w:color w:val="FFFFFF" w:themeColor="background1"/>
                <w:sz w:val="18"/>
                <w:szCs w:val="18"/>
              </w:rPr>
              <w:t>Assumption</w:t>
            </w:r>
          </w:p>
        </w:tc>
      </w:tr>
      <w:tr w:rsidR="00686D4C" w:rsidTr="005B3CAB">
        <w:tc>
          <w:tcPr>
            <w:tcW w:w="1413" w:type="dxa"/>
            <w:tcBorders>
              <w:top w:val="single" w:sz="8" w:space="0" w:color="auto"/>
              <w:left w:val="single" w:sz="8" w:space="0" w:color="auto"/>
              <w:bottom w:val="single" w:sz="8" w:space="0" w:color="auto"/>
              <w:right w:val="single" w:sz="8" w:space="0" w:color="auto"/>
            </w:tcBorders>
          </w:tcPr>
          <w:p w:rsidR="00686D4C" w:rsidRDefault="00686D4C" w:rsidP="00686D4C">
            <w:pPr>
              <w:rPr>
                <w:sz w:val="18"/>
                <w:szCs w:val="18"/>
              </w:rPr>
            </w:pPr>
            <w:r>
              <w:rPr>
                <w:sz w:val="18"/>
                <w:szCs w:val="18"/>
              </w:rPr>
              <w:t>Intra-partum Care</w:t>
            </w:r>
          </w:p>
        </w:tc>
        <w:tc>
          <w:tcPr>
            <w:tcW w:w="1276" w:type="dxa"/>
            <w:tcBorders>
              <w:top w:val="single" w:sz="8" w:space="0" w:color="auto"/>
              <w:left w:val="nil"/>
              <w:bottom w:val="single" w:sz="8" w:space="0" w:color="auto"/>
              <w:right w:val="single" w:sz="8" w:space="0" w:color="auto"/>
            </w:tcBorders>
          </w:tcPr>
          <w:p w:rsidR="00686D4C" w:rsidRDefault="00686D4C" w:rsidP="00686D4C">
            <w:pPr>
              <w:rPr>
                <w:sz w:val="18"/>
                <w:szCs w:val="18"/>
              </w:rPr>
            </w:pPr>
            <w:r>
              <w:rPr>
                <w:sz w:val="18"/>
                <w:szCs w:val="18"/>
              </w:rPr>
              <w:t>ABS/AIHW</w:t>
            </w:r>
          </w:p>
        </w:tc>
        <w:tc>
          <w:tcPr>
            <w:tcW w:w="2126" w:type="dxa"/>
            <w:tcBorders>
              <w:top w:val="single" w:sz="8" w:space="0" w:color="auto"/>
              <w:left w:val="nil"/>
              <w:bottom w:val="single" w:sz="8" w:space="0" w:color="auto"/>
              <w:right w:val="single" w:sz="8" w:space="0" w:color="auto"/>
            </w:tcBorders>
          </w:tcPr>
          <w:p w:rsidR="00686D4C" w:rsidRDefault="00686D4C" w:rsidP="00686D4C">
            <w:pPr>
              <w:rPr>
                <w:sz w:val="18"/>
                <w:szCs w:val="18"/>
              </w:rPr>
            </w:pPr>
            <w:r>
              <w:rPr>
                <w:sz w:val="18"/>
                <w:szCs w:val="18"/>
              </w:rPr>
              <w:t>The number of births (by facility type)</w:t>
            </w:r>
            <w:r>
              <w:rPr>
                <w:sz w:val="18"/>
                <w:szCs w:val="18"/>
              </w:rPr>
              <w:br/>
              <w:t>Population projections (series B)</w:t>
            </w:r>
          </w:p>
        </w:tc>
        <w:tc>
          <w:tcPr>
            <w:tcW w:w="3656" w:type="dxa"/>
            <w:tcBorders>
              <w:top w:val="single" w:sz="8" w:space="0" w:color="auto"/>
              <w:left w:val="nil"/>
              <w:bottom w:val="single" w:sz="8" w:space="0" w:color="auto"/>
              <w:right w:val="single" w:sz="8" w:space="0" w:color="auto"/>
            </w:tcBorders>
          </w:tcPr>
          <w:p w:rsidR="00686D4C" w:rsidRDefault="00686D4C" w:rsidP="00686D4C">
            <w:pPr>
              <w:rPr>
                <w:sz w:val="18"/>
                <w:szCs w:val="18"/>
              </w:rPr>
            </w:pPr>
            <w:r>
              <w:rPr>
                <w:sz w:val="18"/>
                <w:szCs w:val="18"/>
              </w:rPr>
              <w:t>The number of births projected out based on the population projections for the females aged 15-49</w:t>
            </w:r>
          </w:p>
        </w:tc>
      </w:tr>
      <w:tr w:rsidR="00686D4C" w:rsidTr="005B3CAB">
        <w:tc>
          <w:tcPr>
            <w:tcW w:w="1413" w:type="dxa"/>
            <w:tcBorders>
              <w:top w:val="single" w:sz="8" w:space="0" w:color="auto"/>
              <w:left w:val="single" w:sz="8" w:space="0" w:color="auto"/>
              <w:bottom w:val="single" w:sz="8" w:space="0" w:color="auto"/>
              <w:right w:val="single" w:sz="8" w:space="0" w:color="auto"/>
            </w:tcBorders>
          </w:tcPr>
          <w:p w:rsidR="00686D4C" w:rsidRDefault="00686D4C" w:rsidP="00686D4C">
            <w:pPr>
              <w:rPr>
                <w:sz w:val="18"/>
                <w:szCs w:val="18"/>
              </w:rPr>
            </w:pPr>
            <w:r>
              <w:rPr>
                <w:sz w:val="18"/>
                <w:szCs w:val="18"/>
              </w:rPr>
              <w:t>Antenatal Care</w:t>
            </w:r>
          </w:p>
        </w:tc>
        <w:tc>
          <w:tcPr>
            <w:tcW w:w="1276" w:type="dxa"/>
            <w:tcBorders>
              <w:top w:val="single" w:sz="8" w:space="0" w:color="auto"/>
              <w:left w:val="single" w:sz="8" w:space="0" w:color="auto"/>
              <w:bottom w:val="single" w:sz="8" w:space="0" w:color="auto"/>
              <w:right w:val="single" w:sz="8" w:space="0" w:color="auto"/>
            </w:tcBorders>
          </w:tcPr>
          <w:p w:rsidR="00686D4C" w:rsidRDefault="00686D4C" w:rsidP="00686D4C">
            <w:pPr>
              <w:rPr>
                <w:sz w:val="18"/>
                <w:szCs w:val="18"/>
              </w:rPr>
            </w:pPr>
            <w:r>
              <w:rPr>
                <w:sz w:val="18"/>
                <w:szCs w:val="18"/>
              </w:rPr>
              <w:t>NPNDS</w:t>
            </w:r>
          </w:p>
        </w:tc>
        <w:tc>
          <w:tcPr>
            <w:tcW w:w="2126" w:type="dxa"/>
            <w:tcBorders>
              <w:top w:val="single" w:sz="8" w:space="0" w:color="auto"/>
              <w:left w:val="single" w:sz="8" w:space="0" w:color="auto"/>
              <w:bottom w:val="single" w:sz="8" w:space="0" w:color="auto"/>
              <w:right w:val="single" w:sz="8" w:space="0" w:color="auto"/>
            </w:tcBorders>
          </w:tcPr>
          <w:p w:rsidR="00686D4C" w:rsidRDefault="00686D4C" w:rsidP="00686D4C">
            <w:pPr>
              <w:rPr>
                <w:sz w:val="18"/>
                <w:szCs w:val="18"/>
              </w:rPr>
            </w:pPr>
            <w:r>
              <w:rPr>
                <w:sz w:val="18"/>
                <w:szCs w:val="18"/>
              </w:rPr>
              <w:t>Women who gave birth by number of antenatal visits</w:t>
            </w:r>
          </w:p>
        </w:tc>
        <w:tc>
          <w:tcPr>
            <w:tcW w:w="3656" w:type="dxa"/>
            <w:tcBorders>
              <w:top w:val="single" w:sz="8" w:space="0" w:color="auto"/>
              <w:left w:val="single" w:sz="8" w:space="0" w:color="auto"/>
              <w:bottom w:val="single" w:sz="8" w:space="0" w:color="auto"/>
              <w:right w:val="single" w:sz="8" w:space="0" w:color="auto"/>
            </w:tcBorders>
          </w:tcPr>
          <w:p w:rsidR="00686D4C" w:rsidRDefault="00686D4C" w:rsidP="00686D4C">
            <w:pPr>
              <w:rPr>
                <w:sz w:val="18"/>
                <w:szCs w:val="18"/>
              </w:rPr>
            </w:pPr>
            <w:r>
              <w:rPr>
                <w:sz w:val="18"/>
                <w:szCs w:val="18"/>
              </w:rPr>
              <w:t>The number of women that indicated how many visits they attended were translated into the number of visits (i.e. in 2007 there were 4,494 women that had 2-4 antenatal visits resulting in 3x4,494=13,482 visits)</w:t>
            </w:r>
          </w:p>
        </w:tc>
      </w:tr>
      <w:tr w:rsidR="00686D4C" w:rsidTr="005B3CAB">
        <w:tc>
          <w:tcPr>
            <w:tcW w:w="1413" w:type="dxa"/>
            <w:tcBorders>
              <w:top w:val="single" w:sz="8" w:space="0" w:color="auto"/>
              <w:left w:val="single" w:sz="8" w:space="0" w:color="auto"/>
              <w:bottom w:val="single" w:sz="8" w:space="0" w:color="auto"/>
              <w:right w:val="single" w:sz="8" w:space="0" w:color="auto"/>
            </w:tcBorders>
          </w:tcPr>
          <w:p w:rsidR="00686D4C" w:rsidRDefault="00686D4C" w:rsidP="00686D4C">
            <w:pPr>
              <w:rPr>
                <w:sz w:val="18"/>
                <w:szCs w:val="18"/>
              </w:rPr>
            </w:pPr>
            <w:r>
              <w:rPr>
                <w:sz w:val="18"/>
                <w:szCs w:val="18"/>
              </w:rPr>
              <w:t>Postnatal Care</w:t>
            </w:r>
          </w:p>
        </w:tc>
        <w:tc>
          <w:tcPr>
            <w:tcW w:w="1276" w:type="dxa"/>
            <w:tcBorders>
              <w:top w:val="single" w:sz="8" w:space="0" w:color="auto"/>
              <w:left w:val="single" w:sz="8" w:space="0" w:color="auto"/>
              <w:bottom w:val="single" w:sz="8" w:space="0" w:color="auto"/>
              <w:right w:val="single" w:sz="8" w:space="0" w:color="auto"/>
            </w:tcBorders>
          </w:tcPr>
          <w:p w:rsidR="00686D4C" w:rsidRDefault="00686D4C" w:rsidP="00686D4C">
            <w:pPr>
              <w:rPr>
                <w:sz w:val="18"/>
                <w:szCs w:val="18"/>
              </w:rPr>
            </w:pPr>
            <w:r>
              <w:rPr>
                <w:sz w:val="18"/>
                <w:szCs w:val="18"/>
              </w:rPr>
              <w:t>NPNDS</w:t>
            </w:r>
          </w:p>
        </w:tc>
        <w:tc>
          <w:tcPr>
            <w:tcW w:w="2126" w:type="dxa"/>
            <w:tcBorders>
              <w:top w:val="single" w:sz="8" w:space="0" w:color="auto"/>
              <w:left w:val="single" w:sz="8" w:space="0" w:color="auto"/>
              <w:bottom w:val="single" w:sz="8" w:space="0" w:color="auto"/>
              <w:right w:val="single" w:sz="8" w:space="0" w:color="auto"/>
            </w:tcBorders>
          </w:tcPr>
          <w:p w:rsidR="00686D4C" w:rsidRDefault="00686D4C" w:rsidP="00686D4C">
            <w:pPr>
              <w:rPr>
                <w:sz w:val="18"/>
                <w:szCs w:val="18"/>
              </w:rPr>
            </w:pPr>
            <w:r>
              <w:rPr>
                <w:sz w:val="18"/>
                <w:szCs w:val="18"/>
              </w:rPr>
              <w:t>Women who gave birth in hospital by length of postnatal stay</w:t>
            </w:r>
          </w:p>
        </w:tc>
        <w:tc>
          <w:tcPr>
            <w:tcW w:w="3656" w:type="dxa"/>
            <w:tcBorders>
              <w:top w:val="single" w:sz="8" w:space="0" w:color="auto"/>
              <w:left w:val="single" w:sz="8" w:space="0" w:color="auto"/>
              <w:bottom w:val="single" w:sz="8" w:space="0" w:color="auto"/>
              <w:right w:val="single" w:sz="8" w:space="0" w:color="auto"/>
            </w:tcBorders>
          </w:tcPr>
          <w:p w:rsidR="00686D4C" w:rsidRDefault="00686D4C" w:rsidP="00686D4C">
            <w:pPr>
              <w:rPr>
                <w:sz w:val="18"/>
                <w:szCs w:val="18"/>
              </w:rPr>
            </w:pPr>
            <w:r>
              <w:rPr>
                <w:sz w:val="18"/>
                <w:szCs w:val="18"/>
              </w:rPr>
              <w:t>The number of women that indicated how many days their postnatal stay was, were translated into the number of days (i.e. in 2007 there were 54,340 women that had a postnatal stay of 2 days resulting in 2x54,340=108,680 days)</w:t>
            </w:r>
          </w:p>
        </w:tc>
      </w:tr>
    </w:tbl>
    <w:p w:rsidR="00885BE2" w:rsidRDefault="00885BE2" w:rsidP="00885BE2">
      <w:pPr>
        <w:pStyle w:val="Heading2"/>
        <w:rPr>
          <w:szCs w:val="22"/>
        </w:rPr>
      </w:pPr>
      <w:r>
        <w:t>Calculation</w:t>
      </w:r>
    </w:p>
    <w:p w:rsidR="00885BE2" w:rsidRPr="003D217A" w:rsidRDefault="00885BE2" w:rsidP="00885BE2">
      <w:pPr>
        <w:spacing w:after="120"/>
        <w:jc w:val="both"/>
        <w:rPr>
          <w:rFonts w:cs="Arial"/>
          <w:szCs w:val="22"/>
          <w:lang w:eastAsia="en-AU"/>
        </w:rPr>
      </w:pPr>
      <w:r w:rsidRPr="003D217A">
        <w:rPr>
          <w:rFonts w:cs="Arial"/>
          <w:szCs w:val="22"/>
          <w:lang w:eastAsia="en-AU"/>
        </w:rPr>
        <w:t xml:space="preserve">Based on feedback from the TAG it was advised that a birth episode was usually 42 hours with the breakdown of antenatal accounting for 38% (16 hours), labour 33% (14 hours) and postnatal 29% (12 hours). (Note this is also reasonably aligned with birthrate plus which estimates 40 hours) Based on these weightings the projections for each of the data items were weighted accordingly resulting in a demand (growth in midwifery) rate of </w:t>
      </w:r>
      <w:r w:rsidRPr="003D217A">
        <w:rPr>
          <w:rFonts w:cs="Arial"/>
          <w:b/>
          <w:bCs/>
          <w:szCs w:val="22"/>
          <w:u w:val="single"/>
          <w:lang w:eastAsia="en-AU"/>
        </w:rPr>
        <w:t>2.53</w:t>
      </w:r>
      <w:r w:rsidRPr="003D217A">
        <w:rPr>
          <w:rFonts w:cs="Arial"/>
          <w:szCs w:val="22"/>
          <w:lang w:eastAsia="en-AU"/>
        </w:rPr>
        <w:t xml:space="preserve"> per cent per annum. This will include comparisons to the ABS high and low fertility rates. </w:t>
      </w:r>
    </w:p>
    <w:p w:rsidR="0044098E" w:rsidRPr="00E85564" w:rsidRDefault="0044098E" w:rsidP="00C35325">
      <w:pPr>
        <w:pStyle w:val="Heading2"/>
      </w:pPr>
      <w:bookmarkStart w:id="147" w:name="_Toc506450006"/>
      <w:bookmarkStart w:id="148" w:name="_Toc10808407"/>
      <w:r w:rsidRPr="00E85564">
        <w:t>Data sources</w:t>
      </w:r>
      <w:bookmarkEnd w:id="147"/>
      <w:bookmarkEnd w:id="148"/>
    </w:p>
    <w:p w:rsidR="0044098E" w:rsidRPr="0044098E" w:rsidRDefault="0044098E" w:rsidP="0044098E">
      <w:pPr>
        <w:spacing w:after="120" w:line="240" w:lineRule="auto"/>
        <w:jc w:val="both"/>
        <w:rPr>
          <w:rFonts w:eastAsia="Calibri" w:cs="Arial"/>
          <w:szCs w:val="22"/>
          <w:lang w:eastAsia="en-AU"/>
        </w:rPr>
      </w:pPr>
      <w:r w:rsidRPr="0044098E">
        <w:rPr>
          <w:rFonts w:eastAsia="Calibri" w:cs="Arial"/>
          <w:szCs w:val="22"/>
          <w:lang w:eastAsia="en-AU"/>
        </w:rPr>
        <w:t>The main data sources that were considered were:</w:t>
      </w:r>
    </w:p>
    <w:p w:rsidR="009F4C78" w:rsidRDefault="0044098E" w:rsidP="002B7E32">
      <w:pPr>
        <w:numPr>
          <w:ilvl w:val="0"/>
          <w:numId w:val="18"/>
        </w:numPr>
        <w:spacing w:before="120" w:after="120" w:line="240" w:lineRule="auto"/>
        <w:ind w:left="357" w:hanging="357"/>
        <w:jc w:val="both"/>
        <w:rPr>
          <w:rFonts w:eastAsia="Calibri" w:cs="Arial"/>
          <w:szCs w:val="22"/>
          <w:lang w:eastAsia="en-AU"/>
        </w:rPr>
      </w:pPr>
      <w:r w:rsidRPr="0044098E">
        <w:rPr>
          <w:rFonts w:eastAsia="Calibri" w:cs="Arial"/>
          <w:szCs w:val="22"/>
          <w:lang w:eastAsia="en-AU"/>
        </w:rPr>
        <w:t xml:space="preserve">The </w:t>
      </w:r>
      <w:r w:rsidRPr="0044098E">
        <w:rPr>
          <w:rFonts w:eastAsia="Calibri" w:cs="Arial"/>
          <w:i/>
          <w:szCs w:val="22"/>
          <w:shd w:val="clear" w:color="auto" w:fill="FFFFFF"/>
          <w:lang w:eastAsia="en-AU"/>
        </w:rPr>
        <w:t>ABS 3301.0 – Births, Australia</w:t>
      </w:r>
      <w:r w:rsidRPr="0044098E">
        <w:rPr>
          <w:rFonts w:eastAsia="Calibri" w:cs="Arial"/>
          <w:szCs w:val="22"/>
          <w:shd w:val="clear" w:color="auto" w:fill="FFFFFF"/>
          <w:lang w:eastAsia="en-AU"/>
        </w:rPr>
        <w:t xml:space="preserve"> brings together statistics for live births and fertility in Australia. Data refer to births registered during each calendar year, unless otherwise stated. State or territory relates to the state or territory of usual residence, unless otherwise stated.</w:t>
      </w:r>
      <w:r w:rsidRPr="0044098E">
        <w:rPr>
          <w:rFonts w:eastAsia="Calibri" w:cs="Arial"/>
          <w:szCs w:val="22"/>
          <w:lang w:eastAsia="en-AU"/>
        </w:rPr>
        <w:t xml:space="preserve"> </w:t>
      </w:r>
    </w:p>
    <w:p w:rsidR="0044098E" w:rsidRPr="0044098E" w:rsidRDefault="0044098E" w:rsidP="009D4FCE">
      <w:pPr>
        <w:numPr>
          <w:ilvl w:val="0"/>
          <w:numId w:val="18"/>
        </w:numPr>
        <w:spacing w:before="120" w:after="120" w:line="240" w:lineRule="auto"/>
        <w:ind w:left="357" w:hanging="357"/>
        <w:jc w:val="both"/>
        <w:rPr>
          <w:rFonts w:eastAsia="Calibri" w:cs="Arial"/>
          <w:szCs w:val="22"/>
          <w:lang w:eastAsia="en-AU"/>
        </w:rPr>
      </w:pPr>
      <w:r w:rsidRPr="0044098E">
        <w:rPr>
          <w:rFonts w:eastAsia="Calibri" w:cs="Arial"/>
          <w:szCs w:val="22"/>
          <w:lang w:eastAsia="en-AU"/>
        </w:rPr>
        <w:t xml:space="preserve">The </w:t>
      </w:r>
      <w:r w:rsidRPr="0044098E">
        <w:rPr>
          <w:rFonts w:eastAsia="Calibri" w:cs="Arial"/>
          <w:i/>
          <w:szCs w:val="22"/>
          <w:lang w:eastAsia="en-AU"/>
        </w:rPr>
        <w:t>AIHW Australia’s mothers and babies’ annual reports</w:t>
      </w:r>
      <w:r w:rsidRPr="0044098E">
        <w:rPr>
          <w:rFonts w:eastAsia="Calibri" w:cs="Arial"/>
          <w:szCs w:val="22"/>
          <w:lang w:eastAsia="en-AU"/>
        </w:rPr>
        <w:t xml:space="preserve"> present key statistics and trends on pregnancy and childbirth of mothers, and the characteristics and outcomes of their babies. These reports use the National Perinatal Data Collection (NPDC), which commenced in 1991 and is a collaborative effort by the AIHW and the states and territories. Perinatal data are collected for each birth in each state and territory, and data most commonly entered by midwives. The data are collated by the relevant state or territory health departments and a standard de-identified extract is provided to the AIHW on an </w:t>
      </w:r>
      <w:r w:rsidRPr="0044098E">
        <w:rPr>
          <w:rFonts w:eastAsia="Calibri" w:cs="Arial"/>
          <w:szCs w:val="22"/>
          <w:lang w:eastAsia="en-AU"/>
        </w:rPr>
        <w:lastRenderedPageBreak/>
        <w:t>annual basis to form the NPDC</w:t>
      </w:r>
      <w:r w:rsidRPr="00826C99">
        <w:rPr>
          <w:rFonts w:eastAsia="Calibri" w:cs="Arial"/>
          <w:szCs w:val="22"/>
          <w:vertAlign w:val="superscript"/>
          <w:lang w:eastAsia="en-AU"/>
        </w:rPr>
        <w:footnoteReference w:id="6"/>
      </w:r>
      <w:r w:rsidRPr="0044098E">
        <w:rPr>
          <w:rFonts w:eastAsia="Calibri" w:cs="Arial"/>
          <w:szCs w:val="22"/>
          <w:lang w:eastAsia="en-AU"/>
        </w:rPr>
        <w:t xml:space="preserve">. There are 29 mandatory data elements for national reporting, which forms the Perinatal National Minimum Data Set, in addition to voluntary data items. </w:t>
      </w:r>
    </w:p>
    <w:p w:rsidR="0044098E" w:rsidRPr="0044098E" w:rsidRDefault="0044098E" w:rsidP="002B7E32">
      <w:pPr>
        <w:numPr>
          <w:ilvl w:val="0"/>
          <w:numId w:val="18"/>
        </w:numPr>
        <w:spacing w:before="120" w:after="120" w:line="240" w:lineRule="auto"/>
        <w:ind w:left="357" w:hanging="357"/>
        <w:jc w:val="both"/>
        <w:rPr>
          <w:rFonts w:eastAsia="Calibri" w:cs="Arial"/>
          <w:szCs w:val="22"/>
          <w:lang w:eastAsia="en-AU"/>
        </w:rPr>
      </w:pPr>
      <w:r w:rsidRPr="0044098E">
        <w:rPr>
          <w:rFonts w:eastAsia="Calibri" w:cs="Arial"/>
          <w:szCs w:val="22"/>
          <w:lang w:eastAsia="en-AU"/>
        </w:rPr>
        <w:t xml:space="preserve">The </w:t>
      </w:r>
      <w:r w:rsidRPr="0044098E">
        <w:rPr>
          <w:rFonts w:eastAsia="Calibri" w:cs="Arial"/>
          <w:i/>
          <w:szCs w:val="22"/>
          <w:lang w:eastAsia="en-AU"/>
        </w:rPr>
        <w:t>ABS 3222.0 Population projections</w:t>
      </w:r>
      <w:r w:rsidRPr="0044098E">
        <w:rPr>
          <w:rFonts w:eastAsia="Calibri" w:cs="Arial"/>
          <w:szCs w:val="22"/>
          <w:lang w:eastAsia="en-AU"/>
        </w:rPr>
        <w:t xml:space="preserve">, </w:t>
      </w:r>
      <w:r w:rsidRPr="0044098E">
        <w:rPr>
          <w:rFonts w:eastAsia="Calibri" w:cs="Arial"/>
          <w:szCs w:val="22"/>
          <w:shd w:val="clear" w:color="auto" w:fill="FFFFFF"/>
          <w:lang w:eastAsia="en-AU"/>
        </w:rPr>
        <w:t>are not predictions or forecasts but are simply illustrations of the growth and change in population which would occur if certain assumptions about future levels of fertility, mortality, internal migration and overseas migration were to prevail over the projection period. The assumptions incorporate recent trends indicative of increasing levels of fertility and net overseas migration for Australia.</w:t>
      </w:r>
      <w:r w:rsidRPr="0044098E">
        <w:rPr>
          <w:rFonts w:eastAsia="Calibri" w:cs="Arial"/>
          <w:szCs w:val="22"/>
          <w:lang w:eastAsia="en-AU"/>
        </w:rPr>
        <w:t xml:space="preserve"> </w:t>
      </w:r>
      <w:r w:rsidRPr="0044098E">
        <w:rPr>
          <w:rFonts w:eastAsia="Calibri" w:cs="Arial"/>
          <w:szCs w:val="22"/>
          <w:shd w:val="clear" w:color="auto" w:fill="FFFFFF"/>
          <w:lang w:eastAsia="en-AU"/>
        </w:rPr>
        <w:t xml:space="preserve">Series B largely reflects current trends in fertility, life expectancy at birth, net overseas migration and net interstate migration and is used for the basis of all the projections. </w:t>
      </w:r>
    </w:p>
    <w:p w:rsidR="0044098E" w:rsidRPr="00E85564" w:rsidRDefault="0044098E" w:rsidP="00E85564">
      <w:pPr>
        <w:pStyle w:val="Heading1"/>
      </w:pPr>
      <w:bookmarkStart w:id="149" w:name="_Toc506450007"/>
      <w:bookmarkStart w:id="150" w:name="_Toc10808408"/>
      <w:r w:rsidRPr="00E85564">
        <w:t>Current utilisation trends</w:t>
      </w:r>
      <w:bookmarkEnd w:id="149"/>
      <w:bookmarkEnd w:id="150"/>
      <w:r w:rsidRPr="00E85564">
        <w:t xml:space="preserve"> </w:t>
      </w:r>
    </w:p>
    <w:p w:rsidR="0044098E" w:rsidRPr="00E85564" w:rsidRDefault="0044098E" w:rsidP="00E85564">
      <w:pPr>
        <w:pStyle w:val="Heading2"/>
      </w:pPr>
      <w:bookmarkStart w:id="151" w:name="_Toc506450008"/>
      <w:bookmarkStart w:id="152" w:name="_Toc10808409"/>
      <w:r w:rsidRPr="00E85564">
        <w:t>Births</w:t>
      </w:r>
      <w:bookmarkEnd w:id="151"/>
      <w:bookmarkEnd w:id="152"/>
      <w:r w:rsidRPr="00E85564">
        <w:t xml:space="preserve"> </w:t>
      </w:r>
    </w:p>
    <w:p w:rsidR="009D4FCE" w:rsidRPr="0044098E" w:rsidRDefault="00995263" w:rsidP="009D4FCE">
      <w:pPr>
        <w:spacing w:after="120" w:line="240" w:lineRule="auto"/>
        <w:jc w:val="both"/>
        <w:rPr>
          <w:rFonts w:eastAsia="Calibri" w:cs="Arial"/>
          <w:szCs w:val="22"/>
          <w:lang w:eastAsia="en-AU"/>
        </w:rPr>
      </w:pPr>
      <w:r>
        <w:rPr>
          <w:rFonts w:eastAsia="Calibri" w:cs="Arial"/>
          <w:szCs w:val="22"/>
          <w:lang w:eastAsia="en-AU"/>
        </w:rPr>
        <w:t xml:space="preserve">Figure 24 </w:t>
      </w:r>
      <w:r w:rsidR="0044098E" w:rsidRPr="0044098E">
        <w:rPr>
          <w:rFonts w:eastAsia="Calibri" w:cs="Arial"/>
          <w:szCs w:val="22"/>
          <w:lang w:eastAsia="en-AU"/>
        </w:rPr>
        <w:t>reports the number of actual live births and fertility rate from the ABS. Additional detailed information about each birth is collected by midwives or other birth attendants from clinical and administrative records and information systems from states and territories.</w:t>
      </w:r>
    </w:p>
    <w:p w:rsidR="0044098E" w:rsidRPr="0044098E" w:rsidRDefault="0044098E" w:rsidP="0044098E">
      <w:pPr>
        <w:spacing w:after="0" w:line="240" w:lineRule="auto"/>
        <w:jc w:val="both"/>
        <w:rPr>
          <w:rFonts w:eastAsia="Calibri" w:cs="Arial"/>
          <w:szCs w:val="22"/>
          <w:lang w:eastAsia="en-AU"/>
        </w:rPr>
      </w:pPr>
      <w:r w:rsidRPr="0044098E">
        <w:rPr>
          <w:rFonts w:eastAsia="Calibri" w:cs="Arial"/>
          <w:szCs w:val="22"/>
          <w:lang w:eastAsia="en-AU"/>
        </w:rPr>
        <w:t>It should be noted that there are differences in the numbers of births reported due to definitional and time-point differences between the two data collections, and the availability/interpretation of data requested from various states and territories (see section 2.2.2 data sources for mor</w:t>
      </w:r>
      <w:r w:rsidR="009D4FCE">
        <w:rPr>
          <w:rFonts w:eastAsia="Calibri" w:cs="Arial"/>
          <w:szCs w:val="22"/>
          <w:lang w:eastAsia="en-AU"/>
        </w:rPr>
        <w:t xml:space="preserve">e information about the data). </w:t>
      </w:r>
    </w:p>
    <w:p w:rsidR="00F336DE" w:rsidRPr="00F336DE" w:rsidRDefault="00EB1AC2" w:rsidP="00F336DE">
      <w:pPr>
        <w:pStyle w:val="Caption"/>
      </w:pPr>
      <w:bookmarkStart w:id="153" w:name="_Toc532473576"/>
      <w:bookmarkStart w:id="154" w:name="_Toc1722576"/>
      <w:bookmarkStart w:id="155" w:name="_Toc1724700"/>
      <w:bookmarkStart w:id="156" w:name="_Toc1725018"/>
      <w:r w:rsidRPr="001F11F0">
        <w:t xml:space="preserve">Figure </w:t>
      </w:r>
      <w:r w:rsidR="002340BC" w:rsidRPr="001F11F0">
        <w:t>24</w:t>
      </w:r>
      <w:r w:rsidRPr="001F11F0">
        <w:t>: Women who gave birth, live births and ABS births, 2006-</w:t>
      </w:r>
      <w:bookmarkEnd w:id="153"/>
      <w:r w:rsidR="00D12BB1" w:rsidRPr="001F11F0">
        <w:t>2016</w:t>
      </w:r>
      <w:bookmarkEnd w:id="154"/>
      <w:bookmarkEnd w:id="155"/>
      <w:bookmarkEnd w:id="156"/>
    </w:p>
    <w:p w:rsidR="004876B4" w:rsidRDefault="00F336DE" w:rsidP="00F336DE">
      <w:pPr>
        <w:spacing w:after="120" w:line="240" w:lineRule="auto"/>
        <w:jc w:val="center"/>
        <w:rPr>
          <w:rFonts w:eastAsia="Calibri" w:cs="Arial"/>
          <w:bCs/>
          <w:i/>
          <w:noProof/>
          <w:color w:val="000000"/>
          <w:sz w:val="16"/>
          <w:szCs w:val="16"/>
          <w:shd w:val="clear" w:color="auto" w:fill="FFFFFF"/>
          <w:lang w:eastAsia="en-AU"/>
        </w:rPr>
      </w:pPr>
      <w:r>
        <w:rPr>
          <w:rFonts w:eastAsia="Calibri" w:cs="Arial"/>
          <w:bCs/>
          <w:i/>
          <w:noProof/>
          <w:color w:val="000000"/>
          <w:sz w:val="16"/>
          <w:szCs w:val="16"/>
          <w:shd w:val="clear" w:color="auto" w:fill="FFFFFF"/>
          <w:lang w:eastAsia="en-AU"/>
        </w:rPr>
        <w:drawing>
          <wp:inline distT="0" distB="0" distL="0" distR="0">
            <wp:extent cx="4817660" cy="1820704"/>
            <wp:effectExtent l="0" t="0" r="2540" b="8255"/>
            <wp:docPr id="48" name="Picture 48" descr="Shows for the period 2006 to 2016 the number of mothers, live births and ABS births increased.&#10;" title="Figure 24: Women who gave birth, live births and ABS births, 2006-2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87C40A4.tmp"/>
                    <pic:cNvPicPr/>
                  </pic:nvPicPr>
                  <pic:blipFill rotWithShape="1">
                    <a:blip r:embed="rId32">
                      <a:extLst>
                        <a:ext uri="{28A0092B-C50C-407E-A947-70E740481C1C}">
                          <a14:useLocalDpi xmlns:a14="http://schemas.microsoft.com/office/drawing/2010/main" val="0"/>
                        </a:ext>
                      </a:extLst>
                    </a:blip>
                    <a:srcRect l="12166" t="34362" r="32843" b="27037"/>
                    <a:stretch/>
                  </pic:blipFill>
                  <pic:spPr bwMode="auto">
                    <a:xfrm>
                      <a:off x="0" y="0"/>
                      <a:ext cx="4839715" cy="1829039"/>
                    </a:xfrm>
                    <a:prstGeom prst="rect">
                      <a:avLst/>
                    </a:prstGeom>
                    <a:ln>
                      <a:noFill/>
                    </a:ln>
                    <a:extLst>
                      <a:ext uri="{53640926-AAD7-44D8-BBD7-CCE9431645EC}">
                        <a14:shadowObscured xmlns:a14="http://schemas.microsoft.com/office/drawing/2010/main"/>
                      </a:ext>
                    </a:extLst>
                  </pic:spPr>
                </pic:pic>
              </a:graphicData>
            </a:graphic>
          </wp:inline>
        </w:drawing>
      </w:r>
    </w:p>
    <w:p w:rsidR="0044098E" w:rsidRPr="005142DA" w:rsidRDefault="008377F0" w:rsidP="005142DA">
      <w:pPr>
        <w:spacing w:after="120" w:line="240" w:lineRule="auto"/>
        <w:rPr>
          <w:rFonts w:eastAsia="Calibri" w:cs="Arial"/>
          <w:bCs/>
          <w:i/>
          <w:color w:val="000000"/>
          <w:sz w:val="16"/>
          <w:szCs w:val="16"/>
          <w:shd w:val="clear" w:color="auto" w:fill="FFFFFF"/>
          <w:lang w:eastAsia="en-AU"/>
        </w:rPr>
      </w:pPr>
      <w:r w:rsidRPr="005142DA">
        <w:rPr>
          <w:rFonts w:eastAsia="Calibri" w:cs="Arial"/>
          <w:bCs/>
          <w:i/>
          <w:color w:val="000000"/>
          <w:sz w:val="16"/>
          <w:szCs w:val="16"/>
          <w:shd w:val="clear" w:color="auto" w:fill="FFFFFF"/>
          <w:lang w:eastAsia="en-AU"/>
        </w:rPr>
        <w:t>AIHW National Perinatal Data Collection</w:t>
      </w:r>
      <w:r w:rsidR="00886A2F" w:rsidRPr="005142DA">
        <w:rPr>
          <w:rFonts w:eastAsia="Calibri" w:cs="Arial"/>
          <w:bCs/>
          <w:i/>
          <w:color w:val="000000"/>
          <w:sz w:val="16"/>
          <w:szCs w:val="16"/>
          <w:shd w:val="clear" w:color="auto" w:fill="FFFFFF"/>
          <w:lang w:eastAsia="en-AU"/>
        </w:rPr>
        <w:t xml:space="preserve">, </w:t>
      </w:r>
      <w:r w:rsidR="00D12BB1" w:rsidRPr="005142DA">
        <w:rPr>
          <w:rFonts w:eastAsia="Calibri" w:cs="Arial"/>
          <w:bCs/>
          <w:i/>
          <w:color w:val="000000"/>
          <w:sz w:val="16"/>
          <w:szCs w:val="16"/>
          <w:shd w:val="clear" w:color="auto" w:fill="FFFFFF"/>
          <w:lang w:eastAsia="en-AU"/>
        </w:rPr>
        <w:t>2016</w:t>
      </w:r>
      <w:r w:rsidR="005142DA">
        <w:rPr>
          <w:rFonts w:eastAsia="Calibri" w:cs="Arial"/>
          <w:bCs/>
          <w:i/>
          <w:color w:val="000000"/>
          <w:sz w:val="16"/>
          <w:szCs w:val="16"/>
          <w:shd w:val="clear" w:color="auto" w:fill="FFFFFF"/>
          <w:lang w:eastAsia="en-AU"/>
        </w:rPr>
        <w:t xml:space="preserve"> and </w:t>
      </w:r>
      <w:r w:rsidR="005142DA" w:rsidRPr="005142DA">
        <w:rPr>
          <w:rFonts w:eastAsia="Calibri" w:cs="Arial"/>
          <w:i/>
          <w:sz w:val="16"/>
          <w:szCs w:val="16"/>
          <w:lang w:eastAsia="en-AU"/>
        </w:rPr>
        <w:t xml:space="preserve">ABS </w:t>
      </w:r>
      <w:r w:rsidR="005142DA" w:rsidRPr="005142DA">
        <w:rPr>
          <w:rFonts w:eastAsia="Calibri" w:cs="Arial"/>
          <w:bCs/>
          <w:i/>
          <w:color w:val="000000"/>
          <w:sz w:val="16"/>
          <w:szCs w:val="16"/>
          <w:shd w:val="clear" w:color="auto" w:fill="FFFFFF"/>
          <w:lang w:eastAsia="en-AU"/>
        </w:rPr>
        <w:t>3301.0 - Births, Australia, 2017</w:t>
      </w:r>
    </w:p>
    <w:p w:rsidR="00E87126" w:rsidRDefault="009B7071" w:rsidP="005142DA">
      <w:pPr>
        <w:spacing w:after="0" w:line="240" w:lineRule="auto"/>
        <w:jc w:val="both"/>
        <w:rPr>
          <w:rFonts w:eastAsia="Calibri" w:cs="Arial"/>
          <w:szCs w:val="22"/>
          <w:lang w:eastAsia="en-AU"/>
        </w:rPr>
      </w:pPr>
      <w:r>
        <w:rPr>
          <w:rFonts w:eastAsia="Calibri" w:cs="Arial"/>
          <w:szCs w:val="22"/>
          <w:lang w:eastAsia="en-AU"/>
        </w:rPr>
        <w:t xml:space="preserve">Figure </w:t>
      </w:r>
      <w:r w:rsidR="006F5994">
        <w:rPr>
          <w:rFonts w:eastAsia="Calibri" w:cs="Arial"/>
          <w:szCs w:val="22"/>
          <w:lang w:eastAsia="en-AU"/>
        </w:rPr>
        <w:t>25</w:t>
      </w:r>
      <w:r w:rsidR="0044098E" w:rsidRPr="0044098E">
        <w:rPr>
          <w:rFonts w:eastAsia="Calibri" w:cs="Arial"/>
          <w:szCs w:val="22"/>
          <w:lang w:eastAsia="en-AU"/>
        </w:rPr>
        <w:t xml:space="preserve"> shows the number of births that occurred in Australia, along with the </w:t>
      </w:r>
      <w:r w:rsidR="005B0FAE">
        <w:rPr>
          <w:rFonts w:eastAsia="Calibri" w:cs="Arial"/>
          <w:szCs w:val="22"/>
          <w:lang w:eastAsia="en-AU"/>
        </w:rPr>
        <w:t>fertility rate from 2006 to 2017</w:t>
      </w:r>
      <w:r w:rsidR="0044098E" w:rsidRPr="0044098E">
        <w:rPr>
          <w:rFonts w:eastAsia="Calibri" w:cs="Arial"/>
          <w:szCs w:val="22"/>
          <w:lang w:eastAsia="en-AU"/>
        </w:rPr>
        <w:t>. The</w:t>
      </w:r>
      <w:r w:rsidR="005B0FAE">
        <w:rPr>
          <w:rFonts w:eastAsia="Calibri" w:cs="Arial"/>
          <w:szCs w:val="22"/>
          <w:lang w:eastAsia="en-AU"/>
        </w:rPr>
        <w:t xml:space="preserve"> average annual</w:t>
      </w:r>
      <w:r w:rsidR="0044098E" w:rsidRPr="0044098E">
        <w:rPr>
          <w:rFonts w:eastAsia="Calibri" w:cs="Arial"/>
          <w:szCs w:val="22"/>
          <w:lang w:eastAsia="en-AU"/>
        </w:rPr>
        <w:t xml:space="preserve"> growth in the number of births between 2006 and 201</w:t>
      </w:r>
      <w:r w:rsidR="005B0FAE">
        <w:rPr>
          <w:rFonts w:eastAsia="Calibri" w:cs="Arial"/>
          <w:szCs w:val="22"/>
          <w:lang w:eastAsia="en-AU"/>
        </w:rPr>
        <w:t>7</w:t>
      </w:r>
      <w:r w:rsidR="008377F0">
        <w:rPr>
          <w:rFonts w:eastAsia="Calibri" w:cs="Arial"/>
          <w:szCs w:val="22"/>
          <w:lang w:eastAsia="en-AU"/>
        </w:rPr>
        <w:t xml:space="preserve"> has been 1.2</w:t>
      </w:r>
      <w:r w:rsidR="0044098E" w:rsidRPr="0044098E">
        <w:rPr>
          <w:rFonts w:eastAsia="Calibri" w:cs="Arial"/>
          <w:szCs w:val="22"/>
          <w:lang w:eastAsia="en-AU"/>
        </w:rPr>
        <w:t xml:space="preserve"> per cent. When comparing states and territories; the largest growth occurred in </w:t>
      </w:r>
      <w:r w:rsidR="005B0FAE">
        <w:rPr>
          <w:rFonts w:eastAsia="Calibri" w:cs="Arial"/>
          <w:szCs w:val="22"/>
          <w:lang w:eastAsia="en-AU"/>
        </w:rPr>
        <w:t>A</w:t>
      </w:r>
      <w:r w:rsidR="006F5994">
        <w:rPr>
          <w:rFonts w:eastAsia="Calibri" w:cs="Arial"/>
          <w:szCs w:val="22"/>
          <w:lang w:eastAsia="en-AU"/>
        </w:rPr>
        <w:t xml:space="preserve">ustralian </w:t>
      </w:r>
      <w:r w:rsidR="005B0FAE">
        <w:rPr>
          <w:rFonts w:eastAsia="Calibri" w:cs="Arial"/>
          <w:szCs w:val="22"/>
          <w:lang w:eastAsia="en-AU"/>
        </w:rPr>
        <w:t>C</w:t>
      </w:r>
      <w:r w:rsidR="009F4C78">
        <w:rPr>
          <w:rFonts w:eastAsia="Calibri" w:cs="Arial"/>
          <w:szCs w:val="22"/>
          <w:lang w:eastAsia="en-AU"/>
        </w:rPr>
        <w:t>apita</w:t>
      </w:r>
      <w:r w:rsidR="006F5994">
        <w:rPr>
          <w:rFonts w:eastAsia="Calibri" w:cs="Arial"/>
          <w:szCs w:val="22"/>
          <w:lang w:eastAsia="en-AU"/>
        </w:rPr>
        <w:t xml:space="preserve">l </w:t>
      </w:r>
      <w:r w:rsidR="005B0FAE">
        <w:rPr>
          <w:rFonts w:eastAsia="Calibri" w:cs="Arial"/>
          <w:szCs w:val="22"/>
          <w:lang w:eastAsia="en-AU"/>
        </w:rPr>
        <w:t>T</w:t>
      </w:r>
      <w:r w:rsidR="006F5994">
        <w:rPr>
          <w:rFonts w:eastAsia="Calibri" w:cs="Arial"/>
          <w:szCs w:val="22"/>
          <w:lang w:eastAsia="en-AU"/>
        </w:rPr>
        <w:t>erritory</w:t>
      </w:r>
      <w:r w:rsidR="0044098E" w:rsidRPr="0044098E">
        <w:rPr>
          <w:rFonts w:eastAsia="Calibri" w:cs="Arial"/>
          <w:szCs w:val="22"/>
          <w:lang w:eastAsia="en-AU"/>
        </w:rPr>
        <w:t xml:space="preserve"> (</w:t>
      </w:r>
      <w:r w:rsidR="005B0FAE">
        <w:rPr>
          <w:rFonts w:eastAsia="Calibri" w:cs="Arial"/>
          <w:szCs w:val="22"/>
          <w:lang w:eastAsia="en-AU"/>
        </w:rPr>
        <w:t>3.0</w:t>
      </w:r>
      <w:r w:rsidR="0044098E" w:rsidRPr="0044098E">
        <w:rPr>
          <w:rFonts w:eastAsia="Calibri" w:cs="Arial"/>
          <w:szCs w:val="22"/>
          <w:lang w:eastAsia="en-AU"/>
        </w:rPr>
        <w:t xml:space="preserve"> per cent) and </w:t>
      </w:r>
      <w:r w:rsidR="005B0FAE">
        <w:rPr>
          <w:rFonts w:eastAsia="Calibri" w:cs="Arial"/>
          <w:szCs w:val="22"/>
          <w:lang w:eastAsia="en-AU"/>
        </w:rPr>
        <w:t>V</w:t>
      </w:r>
      <w:r w:rsidR="006F5994">
        <w:rPr>
          <w:rFonts w:eastAsia="Calibri" w:cs="Arial"/>
          <w:szCs w:val="22"/>
          <w:lang w:eastAsia="en-AU"/>
        </w:rPr>
        <w:t>ictoria</w:t>
      </w:r>
      <w:r w:rsidR="0044098E" w:rsidRPr="0044098E">
        <w:rPr>
          <w:rFonts w:eastAsia="Calibri" w:cs="Arial"/>
          <w:szCs w:val="22"/>
          <w:lang w:eastAsia="en-AU"/>
        </w:rPr>
        <w:t xml:space="preserve"> (2.1 per cent) while T</w:t>
      </w:r>
      <w:r w:rsidR="006F5994">
        <w:rPr>
          <w:rFonts w:eastAsia="Calibri" w:cs="Arial"/>
          <w:szCs w:val="22"/>
          <w:lang w:eastAsia="en-AU"/>
        </w:rPr>
        <w:t>asmania</w:t>
      </w:r>
      <w:r w:rsidR="0044098E" w:rsidRPr="0044098E">
        <w:rPr>
          <w:rFonts w:eastAsia="Calibri" w:cs="Arial"/>
          <w:szCs w:val="22"/>
          <w:lang w:eastAsia="en-AU"/>
        </w:rPr>
        <w:t xml:space="preserve"> saw a decline in the nu</w:t>
      </w:r>
      <w:r w:rsidR="005142DA">
        <w:rPr>
          <w:rFonts w:eastAsia="Calibri" w:cs="Arial"/>
          <w:szCs w:val="22"/>
          <w:lang w:eastAsia="en-AU"/>
        </w:rPr>
        <w:t>mber of births (-1.3 per cent).</w:t>
      </w:r>
    </w:p>
    <w:p w:rsidR="0044098E" w:rsidRPr="0044098E" w:rsidRDefault="00E87126" w:rsidP="00E87126">
      <w:pPr>
        <w:rPr>
          <w:rFonts w:eastAsia="Calibri" w:cs="Arial"/>
          <w:szCs w:val="22"/>
          <w:lang w:eastAsia="en-AU"/>
        </w:rPr>
      </w:pPr>
      <w:r>
        <w:rPr>
          <w:rFonts w:eastAsia="Calibri" w:cs="Arial"/>
          <w:szCs w:val="22"/>
          <w:lang w:eastAsia="en-AU"/>
        </w:rPr>
        <w:br w:type="page"/>
      </w:r>
    </w:p>
    <w:p w:rsidR="005F4AF5" w:rsidRDefault="00EB1AC2" w:rsidP="001F11F0">
      <w:pPr>
        <w:pStyle w:val="Caption"/>
      </w:pPr>
      <w:bookmarkStart w:id="157" w:name="_Toc532473577"/>
      <w:bookmarkStart w:id="158" w:name="_Toc1722577"/>
      <w:bookmarkStart w:id="159" w:name="_Toc1724701"/>
      <w:bookmarkStart w:id="160" w:name="_Toc1725019"/>
      <w:r w:rsidRPr="001F11F0">
        <w:lastRenderedPageBreak/>
        <w:t xml:space="preserve">Figure </w:t>
      </w:r>
      <w:r w:rsidR="002340BC" w:rsidRPr="001F11F0">
        <w:t>25</w:t>
      </w:r>
      <w:r w:rsidRPr="001F11F0">
        <w:t>: Number of Births and Fertility rate, 2006-201</w:t>
      </w:r>
      <w:bookmarkEnd w:id="157"/>
      <w:r w:rsidR="005B0FAE" w:rsidRPr="001F11F0">
        <w:t>7</w:t>
      </w:r>
      <w:bookmarkStart w:id="161" w:name="_Toc532473578"/>
      <w:bookmarkStart w:id="162" w:name="_Toc1722578"/>
      <w:bookmarkStart w:id="163" w:name="_Toc1724702"/>
      <w:bookmarkStart w:id="164" w:name="_Toc1725020"/>
      <w:bookmarkEnd w:id="158"/>
      <w:bookmarkEnd w:id="159"/>
      <w:bookmarkEnd w:id="160"/>
    </w:p>
    <w:p w:rsidR="005F4AF5" w:rsidRDefault="005F4AF5" w:rsidP="005F4AF5">
      <w:pPr>
        <w:pStyle w:val="Caption"/>
      </w:pPr>
      <w:r>
        <w:rPr>
          <w:noProof/>
          <w:lang w:eastAsia="en-AU"/>
        </w:rPr>
        <w:drawing>
          <wp:inline distT="0" distB="0" distL="0" distR="0">
            <wp:extent cx="5588758" cy="2960236"/>
            <wp:effectExtent l="0" t="0" r="0" b="0"/>
            <wp:docPr id="50" name="Picture 50" descr="Figure 25 shows the number of births that occurred in Australia, along with the fertility rate from 2006 to 2017. The average annual growth in the number of births between 2006 and 2017 has been 1.2 per cent. Since 2008 the fertility rate has steadily decreased." title="Figure 25: Number of Births and Fertility rate, 2006-2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87CD469.tmp"/>
                    <pic:cNvPicPr/>
                  </pic:nvPicPr>
                  <pic:blipFill rotWithShape="1">
                    <a:blip r:embed="rId33">
                      <a:extLst>
                        <a:ext uri="{28A0092B-C50C-407E-A947-70E740481C1C}">
                          <a14:useLocalDpi xmlns:a14="http://schemas.microsoft.com/office/drawing/2010/main" val="0"/>
                        </a:ext>
                      </a:extLst>
                    </a:blip>
                    <a:srcRect l="12422" t="32008" r="33984" b="15264"/>
                    <a:stretch/>
                  </pic:blipFill>
                  <pic:spPr bwMode="auto">
                    <a:xfrm>
                      <a:off x="0" y="0"/>
                      <a:ext cx="5609098" cy="2971010"/>
                    </a:xfrm>
                    <a:prstGeom prst="rect">
                      <a:avLst/>
                    </a:prstGeom>
                    <a:ln>
                      <a:noFill/>
                    </a:ln>
                    <a:extLst>
                      <a:ext uri="{53640926-AAD7-44D8-BBD7-CCE9431645EC}">
                        <a14:shadowObscured xmlns:a14="http://schemas.microsoft.com/office/drawing/2010/main"/>
                      </a:ext>
                    </a:extLst>
                  </pic:spPr>
                </pic:pic>
              </a:graphicData>
            </a:graphic>
          </wp:inline>
        </w:drawing>
      </w:r>
    </w:p>
    <w:p w:rsidR="00EB1AC2" w:rsidRPr="001F11F0" w:rsidRDefault="00EB1AC2" w:rsidP="001F11F0">
      <w:pPr>
        <w:pStyle w:val="Caption"/>
      </w:pPr>
      <w:r w:rsidRPr="001F11F0">
        <w:t xml:space="preserve">Figure </w:t>
      </w:r>
      <w:r w:rsidR="002340BC" w:rsidRPr="001F11F0">
        <w:t>26</w:t>
      </w:r>
      <w:r w:rsidRPr="001F11F0">
        <w:t>: Births by</w:t>
      </w:r>
      <w:bookmarkEnd w:id="161"/>
      <w:r w:rsidR="005F4AF5">
        <w:t xml:space="preserve"> state and territory</w:t>
      </w:r>
      <w:r w:rsidR="009C6D99" w:rsidRPr="001F11F0">
        <w:t>, 2006-2017</w:t>
      </w:r>
      <w:bookmarkEnd w:id="162"/>
      <w:bookmarkEnd w:id="163"/>
      <w:bookmarkEnd w:id="164"/>
    </w:p>
    <w:tbl>
      <w:tblPr>
        <w:tblStyle w:val="MediumList12"/>
        <w:tblW w:w="4831" w:type="pct"/>
        <w:tblInd w:w="108" w:type="dxa"/>
        <w:tblLook w:val="04A0" w:firstRow="1" w:lastRow="0" w:firstColumn="1" w:lastColumn="0" w:noHBand="0" w:noVBand="1"/>
        <w:tblCaption w:val="Figure 26: Births by jurisdiction, 2006-2017"/>
        <w:tblDescription w:val="Shows the number of births from 2006 to 2017 in each state and territory.&#10;&#10;When comparing states and territories; the largest growth occurred in the Australian Capital Territory (3.0 per cent) and Victoria (2.1 per cent) while Tasmania saw a decline in the number of births (-1.3 per cent)."/>
      </w:tblPr>
      <w:tblGrid>
        <w:gridCol w:w="1013"/>
        <w:gridCol w:w="999"/>
        <w:gridCol w:w="938"/>
        <w:gridCol w:w="975"/>
        <w:gridCol w:w="884"/>
        <w:gridCol w:w="884"/>
        <w:gridCol w:w="1069"/>
        <w:gridCol w:w="928"/>
        <w:gridCol w:w="1021"/>
      </w:tblGrid>
      <w:tr w:rsidR="005F4AF5" w:rsidRPr="005F4AF5" w:rsidTr="005F4AF5">
        <w:trPr>
          <w:cnfStyle w:val="100000000000" w:firstRow="1" w:lastRow="0" w:firstColumn="0" w:lastColumn="0" w:oddVBand="0" w:evenVBand="0" w:oddHBand="0" w:evenHBand="0" w:firstRowFirstColumn="0" w:firstRowLastColumn="0" w:lastRowFirstColumn="0" w:lastRowLastColumn="0"/>
          <w:trHeight w:val="270"/>
          <w:tblHeader/>
        </w:trPr>
        <w:tc>
          <w:tcPr>
            <w:cnfStyle w:val="001000000000" w:firstRow="0" w:lastRow="0" w:firstColumn="1" w:lastColumn="0" w:oddVBand="0" w:evenVBand="0" w:oddHBand="0" w:evenHBand="0" w:firstRowFirstColumn="0" w:firstRowLastColumn="0" w:lastRowFirstColumn="0" w:lastRowLastColumn="0"/>
            <w:tcW w:w="582" w:type="pct"/>
            <w:tcBorders>
              <w:top w:val="single" w:sz="4" w:space="0" w:color="auto"/>
              <w:left w:val="single" w:sz="4" w:space="0" w:color="auto"/>
            </w:tcBorders>
            <w:shd w:val="clear" w:color="auto" w:fill="7030A0"/>
            <w:noWrap/>
            <w:hideMark/>
          </w:tcPr>
          <w:p w:rsidR="0044098E" w:rsidRPr="005F4AF5" w:rsidRDefault="0044098E" w:rsidP="0044098E">
            <w:pPr>
              <w:rPr>
                <w:rFonts w:cs="Arial"/>
                <w:color w:val="FFFFFF" w:themeColor="background1"/>
                <w:sz w:val="20"/>
              </w:rPr>
            </w:pPr>
            <w:r w:rsidRPr="005F4AF5">
              <w:rPr>
                <w:rFonts w:cs="Arial"/>
                <w:color w:val="FFFFFF" w:themeColor="background1"/>
                <w:sz w:val="20"/>
              </w:rPr>
              <w:t>Region</w:t>
            </w:r>
          </w:p>
        </w:tc>
        <w:tc>
          <w:tcPr>
            <w:tcW w:w="574" w:type="pct"/>
            <w:tcBorders>
              <w:top w:val="single" w:sz="4" w:space="0" w:color="auto"/>
            </w:tcBorders>
            <w:shd w:val="clear" w:color="auto" w:fill="7030A0"/>
            <w:noWrap/>
            <w:hideMark/>
          </w:tcPr>
          <w:p w:rsidR="0044098E" w:rsidRPr="005F4AF5" w:rsidRDefault="0044098E" w:rsidP="009D4FCE">
            <w:pPr>
              <w:jc w:val="center"/>
              <w:cnfStyle w:val="100000000000" w:firstRow="1" w:lastRow="0" w:firstColumn="0" w:lastColumn="0" w:oddVBand="0" w:evenVBand="0" w:oddHBand="0" w:evenHBand="0" w:firstRowFirstColumn="0" w:firstRowLastColumn="0" w:lastRowFirstColumn="0" w:lastRowLastColumn="0"/>
              <w:rPr>
                <w:rFonts w:cs="Arial"/>
                <w:b/>
                <w:bCs/>
                <w:color w:val="FFFFFF" w:themeColor="background1"/>
                <w:sz w:val="20"/>
              </w:rPr>
            </w:pPr>
            <w:r w:rsidRPr="005F4AF5">
              <w:rPr>
                <w:rFonts w:cs="Arial"/>
                <w:b/>
                <w:bCs/>
                <w:color w:val="FFFFFF" w:themeColor="background1"/>
                <w:sz w:val="20"/>
              </w:rPr>
              <w:t>NSW</w:t>
            </w:r>
          </w:p>
        </w:tc>
        <w:tc>
          <w:tcPr>
            <w:tcW w:w="539" w:type="pct"/>
            <w:tcBorders>
              <w:top w:val="single" w:sz="4" w:space="0" w:color="auto"/>
            </w:tcBorders>
            <w:shd w:val="clear" w:color="auto" w:fill="7030A0"/>
            <w:noWrap/>
            <w:hideMark/>
          </w:tcPr>
          <w:p w:rsidR="0044098E" w:rsidRPr="005F4AF5" w:rsidRDefault="0044098E" w:rsidP="009D4FCE">
            <w:pPr>
              <w:jc w:val="center"/>
              <w:cnfStyle w:val="100000000000" w:firstRow="1" w:lastRow="0" w:firstColumn="0" w:lastColumn="0" w:oddVBand="0" w:evenVBand="0" w:oddHBand="0" w:evenHBand="0" w:firstRowFirstColumn="0" w:firstRowLastColumn="0" w:lastRowFirstColumn="0" w:lastRowLastColumn="0"/>
              <w:rPr>
                <w:rFonts w:cs="Arial"/>
                <w:b/>
                <w:bCs/>
                <w:color w:val="FFFFFF" w:themeColor="background1"/>
                <w:sz w:val="20"/>
              </w:rPr>
            </w:pPr>
            <w:r w:rsidRPr="005F4AF5">
              <w:rPr>
                <w:rFonts w:cs="Arial"/>
                <w:b/>
                <w:bCs/>
                <w:color w:val="FFFFFF" w:themeColor="background1"/>
                <w:sz w:val="20"/>
              </w:rPr>
              <w:t>VIC</w:t>
            </w:r>
          </w:p>
        </w:tc>
        <w:tc>
          <w:tcPr>
            <w:tcW w:w="560" w:type="pct"/>
            <w:tcBorders>
              <w:top w:val="single" w:sz="4" w:space="0" w:color="auto"/>
            </w:tcBorders>
            <w:shd w:val="clear" w:color="auto" w:fill="7030A0"/>
            <w:noWrap/>
            <w:hideMark/>
          </w:tcPr>
          <w:p w:rsidR="0044098E" w:rsidRPr="005F4AF5" w:rsidRDefault="0044098E" w:rsidP="009D4FCE">
            <w:pPr>
              <w:jc w:val="center"/>
              <w:cnfStyle w:val="100000000000" w:firstRow="1" w:lastRow="0" w:firstColumn="0" w:lastColumn="0" w:oddVBand="0" w:evenVBand="0" w:oddHBand="0" w:evenHBand="0" w:firstRowFirstColumn="0" w:firstRowLastColumn="0" w:lastRowFirstColumn="0" w:lastRowLastColumn="0"/>
              <w:rPr>
                <w:rFonts w:cs="Arial"/>
                <w:b/>
                <w:bCs/>
                <w:color w:val="FFFFFF" w:themeColor="background1"/>
                <w:sz w:val="20"/>
              </w:rPr>
            </w:pPr>
            <w:r w:rsidRPr="005F4AF5">
              <w:rPr>
                <w:rFonts w:cs="Arial"/>
                <w:b/>
                <w:bCs/>
                <w:color w:val="FFFFFF" w:themeColor="background1"/>
                <w:sz w:val="20"/>
              </w:rPr>
              <w:t>QLD</w:t>
            </w:r>
          </w:p>
        </w:tc>
        <w:tc>
          <w:tcPr>
            <w:tcW w:w="506" w:type="pct"/>
            <w:tcBorders>
              <w:top w:val="single" w:sz="4" w:space="0" w:color="auto"/>
            </w:tcBorders>
            <w:shd w:val="clear" w:color="auto" w:fill="7030A0"/>
            <w:noWrap/>
            <w:hideMark/>
          </w:tcPr>
          <w:p w:rsidR="0044098E" w:rsidRPr="005F4AF5" w:rsidRDefault="0044098E" w:rsidP="009D4FCE">
            <w:pPr>
              <w:jc w:val="center"/>
              <w:cnfStyle w:val="100000000000" w:firstRow="1" w:lastRow="0" w:firstColumn="0" w:lastColumn="0" w:oddVBand="0" w:evenVBand="0" w:oddHBand="0" w:evenHBand="0" w:firstRowFirstColumn="0" w:firstRowLastColumn="0" w:lastRowFirstColumn="0" w:lastRowLastColumn="0"/>
              <w:rPr>
                <w:rFonts w:cs="Arial"/>
                <w:b/>
                <w:bCs/>
                <w:color w:val="FFFFFF" w:themeColor="background1"/>
                <w:sz w:val="20"/>
              </w:rPr>
            </w:pPr>
            <w:r w:rsidRPr="005F4AF5">
              <w:rPr>
                <w:rFonts w:cs="Arial"/>
                <w:b/>
                <w:bCs/>
                <w:color w:val="FFFFFF" w:themeColor="background1"/>
                <w:sz w:val="20"/>
              </w:rPr>
              <w:t>SA</w:t>
            </w:r>
          </w:p>
        </w:tc>
        <w:tc>
          <w:tcPr>
            <w:tcW w:w="506" w:type="pct"/>
            <w:tcBorders>
              <w:top w:val="single" w:sz="4" w:space="0" w:color="auto"/>
            </w:tcBorders>
            <w:shd w:val="clear" w:color="auto" w:fill="7030A0"/>
            <w:noWrap/>
            <w:hideMark/>
          </w:tcPr>
          <w:p w:rsidR="0044098E" w:rsidRPr="005F4AF5" w:rsidRDefault="0044098E" w:rsidP="009D4FCE">
            <w:pPr>
              <w:jc w:val="center"/>
              <w:cnfStyle w:val="100000000000" w:firstRow="1" w:lastRow="0" w:firstColumn="0" w:lastColumn="0" w:oddVBand="0" w:evenVBand="0" w:oddHBand="0" w:evenHBand="0" w:firstRowFirstColumn="0" w:firstRowLastColumn="0" w:lastRowFirstColumn="0" w:lastRowLastColumn="0"/>
              <w:rPr>
                <w:rFonts w:cs="Arial"/>
                <w:b/>
                <w:bCs/>
                <w:color w:val="FFFFFF" w:themeColor="background1"/>
                <w:sz w:val="20"/>
              </w:rPr>
            </w:pPr>
            <w:r w:rsidRPr="005F4AF5">
              <w:rPr>
                <w:rFonts w:cs="Arial"/>
                <w:b/>
                <w:bCs/>
                <w:color w:val="FFFFFF" w:themeColor="background1"/>
                <w:sz w:val="20"/>
              </w:rPr>
              <w:t>WA</w:t>
            </w:r>
          </w:p>
        </w:tc>
        <w:tc>
          <w:tcPr>
            <w:tcW w:w="614" w:type="pct"/>
            <w:tcBorders>
              <w:top w:val="single" w:sz="4" w:space="0" w:color="auto"/>
            </w:tcBorders>
            <w:shd w:val="clear" w:color="auto" w:fill="7030A0"/>
            <w:noWrap/>
            <w:hideMark/>
          </w:tcPr>
          <w:p w:rsidR="0044098E" w:rsidRPr="005F4AF5" w:rsidRDefault="0044098E" w:rsidP="009D4FCE">
            <w:pPr>
              <w:jc w:val="center"/>
              <w:cnfStyle w:val="100000000000" w:firstRow="1" w:lastRow="0" w:firstColumn="0" w:lastColumn="0" w:oddVBand="0" w:evenVBand="0" w:oddHBand="0" w:evenHBand="0" w:firstRowFirstColumn="0" w:firstRowLastColumn="0" w:lastRowFirstColumn="0" w:lastRowLastColumn="0"/>
              <w:rPr>
                <w:rFonts w:cs="Arial"/>
                <w:b/>
                <w:bCs/>
                <w:color w:val="FFFFFF" w:themeColor="background1"/>
                <w:sz w:val="20"/>
              </w:rPr>
            </w:pPr>
            <w:r w:rsidRPr="005F4AF5">
              <w:rPr>
                <w:rFonts w:cs="Arial"/>
                <w:b/>
                <w:bCs/>
                <w:color w:val="FFFFFF" w:themeColor="background1"/>
                <w:sz w:val="20"/>
              </w:rPr>
              <w:t>TAS</w:t>
            </w:r>
          </w:p>
        </w:tc>
        <w:tc>
          <w:tcPr>
            <w:tcW w:w="533" w:type="pct"/>
            <w:tcBorders>
              <w:top w:val="single" w:sz="4" w:space="0" w:color="auto"/>
            </w:tcBorders>
            <w:shd w:val="clear" w:color="auto" w:fill="7030A0"/>
            <w:noWrap/>
            <w:hideMark/>
          </w:tcPr>
          <w:p w:rsidR="0044098E" w:rsidRPr="005F4AF5" w:rsidRDefault="0044098E" w:rsidP="009D4FCE">
            <w:pPr>
              <w:jc w:val="center"/>
              <w:cnfStyle w:val="100000000000" w:firstRow="1" w:lastRow="0" w:firstColumn="0" w:lastColumn="0" w:oddVBand="0" w:evenVBand="0" w:oddHBand="0" w:evenHBand="0" w:firstRowFirstColumn="0" w:firstRowLastColumn="0" w:lastRowFirstColumn="0" w:lastRowLastColumn="0"/>
              <w:rPr>
                <w:rFonts w:cs="Arial"/>
                <w:b/>
                <w:bCs/>
                <w:color w:val="FFFFFF" w:themeColor="background1"/>
                <w:sz w:val="20"/>
              </w:rPr>
            </w:pPr>
            <w:r w:rsidRPr="005F4AF5">
              <w:rPr>
                <w:rFonts w:cs="Arial"/>
                <w:b/>
                <w:bCs/>
                <w:color w:val="FFFFFF" w:themeColor="background1"/>
                <w:sz w:val="20"/>
              </w:rPr>
              <w:t>NT</w:t>
            </w:r>
          </w:p>
        </w:tc>
        <w:tc>
          <w:tcPr>
            <w:tcW w:w="587" w:type="pct"/>
            <w:tcBorders>
              <w:top w:val="single" w:sz="4" w:space="0" w:color="auto"/>
              <w:right w:val="single" w:sz="4" w:space="0" w:color="auto"/>
            </w:tcBorders>
            <w:shd w:val="clear" w:color="auto" w:fill="7030A0"/>
            <w:noWrap/>
            <w:hideMark/>
          </w:tcPr>
          <w:p w:rsidR="0044098E" w:rsidRPr="005F4AF5" w:rsidRDefault="0044098E" w:rsidP="009D4FCE">
            <w:pPr>
              <w:jc w:val="right"/>
              <w:cnfStyle w:val="100000000000" w:firstRow="1" w:lastRow="0" w:firstColumn="0" w:lastColumn="0" w:oddVBand="0" w:evenVBand="0" w:oddHBand="0" w:evenHBand="0" w:firstRowFirstColumn="0" w:firstRowLastColumn="0" w:lastRowFirstColumn="0" w:lastRowLastColumn="0"/>
              <w:rPr>
                <w:rFonts w:cs="Arial"/>
                <w:b/>
                <w:bCs/>
                <w:color w:val="FFFFFF" w:themeColor="background1"/>
                <w:sz w:val="20"/>
              </w:rPr>
            </w:pPr>
            <w:r w:rsidRPr="005F4AF5">
              <w:rPr>
                <w:rFonts w:cs="Arial"/>
                <w:b/>
                <w:bCs/>
                <w:color w:val="FFFFFF" w:themeColor="background1"/>
                <w:sz w:val="20"/>
              </w:rPr>
              <w:t>ACT</w:t>
            </w:r>
          </w:p>
        </w:tc>
      </w:tr>
      <w:tr w:rsidR="005B0FAE" w:rsidRPr="005B0FAE" w:rsidTr="005B0FAE">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582" w:type="pct"/>
            <w:tcBorders>
              <w:left w:val="single" w:sz="4" w:space="0" w:color="auto"/>
            </w:tcBorders>
            <w:noWrap/>
            <w:hideMark/>
          </w:tcPr>
          <w:p w:rsidR="005B0FAE" w:rsidRPr="005B0FAE" w:rsidRDefault="005B0FAE" w:rsidP="005B0FAE">
            <w:pPr>
              <w:rPr>
                <w:rFonts w:cs="Arial"/>
                <w:sz w:val="20"/>
              </w:rPr>
            </w:pPr>
            <w:r w:rsidRPr="005B0FAE">
              <w:rPr>
                <w:rFonts w:cs="Arial"/>
                <w:sz w:val="20"/>
              </w:rPr>
              <w:t>2006</w:t>
            </w:r>
          </w:p>
        </w:tc>
        <w:tc>
          <w:tcPr>
            <w:tcW w:w="574" w:type="pct"/>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92,188 </w:t>
            </w:r>
          </w:p>
        </w:tc>
        <w:tc>
          <w:tcPr>
            <w:tcW w:w="539" w:type="pct"/>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65,245 </w:t>
            </w:r>
          </w:p>
        </w:tc>
        <w:tc>
          <w:tcPr>
            <w:tcW w:w="560" w:type="pct"/>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52,695 </w:t>
            </w:r>
          </w:p>
        </w:tc>
        <w:tc>
          <w:tcPr>
            <w:tcW w:w="506" w:type="pct"/>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18,260 </w:t>
            </w:r>
          </w:p>
        </w:tc>
        <w:tc>
          <w:tcPr>
            <w:tcW w:w="506" w:type="pct"/>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27,777 </w:t>
            </w:r>
          </w:p>
        </w:tc>
        <w:tc>
          <w:tcPr>
            <w:tcW w:w="614" w:type="pct"/>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6,475 </w:t>
            </w:r>
          </w:p>
        </w:tc>
        <w:tc>
          <w:tcPr>
            <w:tcW w:w="533" w:type="pct"/>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3,696 </w:t>
            </w:r>
          </w:p>
        </w:tc>
        <w:tc>
          <w:tcPr>
            <w:tcW w:w="587" w:type="pct"/>
            <w:tcBorders>
              <w:right w:val="single" w:sz="4" w:space="0" w:color="auto"/>
            </w:tcBorders>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4,484 </w:t>
            </w:r>
          </w:p>
        </w:tc>
      </w:tr>
      <w:tr w:rsidR="005B0FAE" w:rsidRPr="005B0FAE" w:rsidTr="005B0FAE">
        <w:trPr>
          <w:trHeight w:val="270"/>
        </w:trPr>
        <w:tc>
          <w:tcPr>
            <w:cnfStyle w:val="001000000000" w:firstRow="0" w:lastRow="0" w:firstColumn="1" w:lastColumn="0" w:oddVBand="0" w:evenVBand="0" w:oddHBand="0" w:evenHBand="0" w:firstRowFirstColumn="0" w:firstRowLastColumn="0" w:lastRowFirstColumn="0" w:lastRowLastColumn="0"/>
            <w:tcW w:w="582" w:type="pct"/>
            <w:tcBorders>
              <w:left w:val="single" w:sz="4" w:space="0" w:color="auto"/>
            </w:tcBorders>
            <w:noWrap/>
            <w:hideMark/>
          </w:tcPr>
          <w:p w:rsidR="005B0FAE" w:rsidRPr="005B0FAE" w:rsidRDefault="005B0FAE" w:rsidP="005B0FAE">
            <w:pPr>
              <w:rPr>
                <w:rFonts w:cs="Arial"/>
                <w:sz w:val="20"/>
              </w:rPr>
            </w:pPr>
            <w:r w:rsidRPr="005B0FAE">
              <w:rPr>
                <w:rFonts w:cs="Arial"/>
                <w:sz w:val="20"/>
              </w:rPr>
              <w:t>2007</w:t>
            </w:r>
          </w:p>
        </w:tc>
        <w:tc>
          <w:tcPr>
            <w:tcW w:w="574" w:type="pct"/>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96,351 </w:t>
            </w:r>
          </w:p>
        </w:tc>
        <w:tc>
          <w:tcPr>
            <w:tcW w:w="539" w:type="pct"/>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70,325 </w:t>
            </w:r>
          </w:p>
        </w:tc>
        <w:tc>
          <w:tcPr>
            <w:tcW w:w="560" w:type="pct"/>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61,306 </w:t>
            </w:r>
          </w:p>
        </w:tc>
        <w:tc>
          <w:tcPr>
            <w:tcW w:w="506" w:type="pct"/>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19,666 </w:t>
            </w:r>
          </w:p>
        </w:tc>
        <w:tc>
          <w:tcPr>
            <w:tcW w:w="506" w:type="pct"/>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29,165 </w:t>
            </w:r>
          </w:p>
        </w:tc>
        <w:tc>
          <w:tcPr>
            <w:tcW w:w="614" w:type="pct"/>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6,663 </w:t>
            </w:r>
          </w:p>
        </w:tc>
        <w:tc>
          <w:tcPr>
            <w:tcW w:w="533" w:type="pct"/>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3,896 </w:t>
            </w:r>
          </w:p>
        </w:tc>
        <w:tc>
          <w:tcPr>
            <w:tcW w:w="587" w:type="pct"/>
            <w:tcBorders>
              <w:right w:val="single" w:sz="4" w:space="0" w:color="auto"/>
            </w:tcBorders>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4,757 </w:t>
            </w:r>
          </w:p>
        </w:tc>
      </w:tr>
      <w:tr w:rsidR="005B0FAE" w:rsidRPr="005B0FAE" w:rsidTr="005B0FAE">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582" w:type="pct"/>
            <w:tcBorders>
              <w:left w:val="single" w:sz="4" w:space="0" w:color="auto"/>
            </w:tcBorders>
            <w:noWrap/>
            <w:hideMark/>
          </w:tcPr>
          <w:p w:rsidR="005B0FAE" w:rsidRPr="005B0FAE" w:rsidRDefault="005B0FAE" w:rsidP="005B0FAE">
            <w:pPr>
              <w:rPr>
                <w:rFonts w:cs="Arial"/>
                <w:sz w:val="20"/>
              </w:rPr>
            </w:pPr>
            <w:r w:rsidRPr="005B0FAE">
              <w:rPr>
                <w:rFonts w:cs="Arial"/>
                <w:sz w:val="20"/>
              </w:rPr>
              <w:t>2008</w:t>
            </w:r>
          </w:p>
        </w:tc>
        <w:tc>
          <w:tcPr>
            <w:tcW w:w="574" w:type="pct"/>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100,276 </w:t>
            </w:r>
          </w:p>
        </w:tc>
        <w:tc>
          <w:tcPr>
            <w:tcW w:w="539" w:type="pct"/>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71,184 </w:t>
            </w:r>
          </w:p>
        </w:tc>
        <w:tc>
          <w:tcPr>
            <w:tcW w:w="560" w:type="pct"/>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63,168 </w:t>
            </w:r>
          </w:p>
        </w:tc>
        <w:tc>
          <w:tcPr>
            <w:tcW w:w="506" w:type="pct"/>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20,229 </w:t>
            </w:r>
          </w:p>
        </w:tc>
        <w:tc>
          <w:tcPr>
            <w:tcW w:w="506" w:type="pct"/>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31,851 </w:t>
            </w:r>
          </w:p>
        </w:tc>
        <w:tc>
          <w:tcPr>
            <w:tcW w:w="614" w:type="pct"/>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6,775 </w:t>
            </w:r>
          </w:p>
        </w:tc>
        <w:tc>
          <w:tcPr>
            <w:tcW w:w="533" w:type="pct"/>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3,944 </w:t>
            </w:r>
          </w:p>
        </w:tc>
        <w:tc>
          <w:tcPr>
            <w:tcW w:w="587" w:type="pct"/>
            <w:tcBorders>
              <w:right w:val="single" w:sz="4" w:space="0" w:color="auto"/>
            </w:tcBorders>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4,808 </w:t>
            </w:r>
          </w:p>
        </w:tc>
      </w:tr>
      <w:tr w:rsidR="005B0FAE" w:rsidRPr="005B0FAE" w:rsidTr="005B0FAE">
        <w:trPr>
          <w:trHeight w:val="270"/>
        </w:trPr>
        <w:tc>
          <w:tcPr>
            <w:cnfStyle w:val="001000000000" w:firstRow="0" w:lastRow="0" w:firstColumn="1" w:lastColumn="0" w:oddVBand="0" w:evenVBand="0" w:oddHBand="0" w:evenHBand="0" w:firstRowFirstColumn="0" w:firstRowLastColumn="0" w:lastRowFirstColumn="0" w:lastRowLastColumn="0"/>
            <w:tcW w:w="582" w:type="pct"/>
            <w:tcBorders>
              <w:left w:val="single" w:sz="4" w:space="0" w:color="auto"/>
            </w:tcBorders>
            <w:noWrap/>
            <w:hideMark/>
          </w:tcPr>
          <w:p w:rsidR="005B0FAE" w:rsidRPr="005B0FAE" w:rsidRDefault="005B0FAE" w:rsidP="005B0FAE">
            <w:pPr>
              <w:rPr>
                <w:rFonts w:cs="Arial"/>
                <w:sz w:val="20"/>
              </w:rPr>
            </w:pPr>
            <w:r w:rsidRPr="005B0FAE">
              <w:rPr>
                <w:rFonts w:cs="Arial"/>
                <w:sz w:val="20"/>
              </w:rPr>
              <w:t>2009</w:t>
            </w:r>
          </w:p>
        </w:tc>
        <w:tc>
          <w:tcPr>
            <w:tcW w:w="574" w:type="pct"/>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98,231 </w:t>
            </w:r>
          </w:p>
        </w:tc>
        <w:tc>
          <w:tcPr>
            <w:tcW w:w="539" w:type="pct"/>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70,928 </w:t>
            </w:r>
          </w:p>
        </w:tc>
        <w:tc>
          <w:tcPr>
            <w:tcW w:w="560" w:type="pct"/>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66,149 </w:t>
            </w:r>
          </w:p>
        </w:tc>
        <w:tc>
          <w:tcPr>
            <w:tcW w:w="506" w:type="pct"/>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19,735 </w:t>
            </w:r>
          </w:p>
        </w:tc>
        <w:tc>
          <w:tcPr>
            <w:tcW w:w="506" w:type="pct"/>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30,879 </w:t>
            </w:r>
          </w:p>
        </w:tc>
        <w:tc>
          <w:tcPr>
            <w:tcW w:w="614" w:type="pct"/>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6,627 </w:t>
            </w:r>
          </w:p>
        </w:tc>
        <w:tc>
          <w:tcPr>
            <w:tcW w:w="533" w:type="pct"/>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3,820 </w:t>
            </w:r>
          </w:p>
        </w:tc>
        <w:tc>
          <w:tcPr>
            <w:tcW w:w="587" w:type="pct"/>
            <w:tcBorders>
              <w:right w:val="single" w:sz="4" w:space="0" w:color="auto"/>
            </w:tcBorders>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4,860 </w:t>
            </w:r>
          </w:p>
        </w:tc>
      </w:tr>
      <w:tr w:rsidR="005B0FAE" w:rsidRPr="005B0FAE" w:rsidTr="005B0FAE">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582" w:type="pct"/>
            <w:tcBorders>
              <w:left w:val="single" w:sz="4" w:space="0" w:color="auto"/>
            </w:tcBorders>
            <w:noWrap/>
            <w:hideMark/>
          </w:tcPr>
          <w:p w:rsidR="005B0FAE" w:rsidRPr="005B0FAE" w:rsidRDefault="005B0FAE" w:rsidP="005B0FAE">
            <w:pPr>
              <w:rPr>
                <w:rFonts w:cs="Arial"/>
                <w:sz w:val="20"/>
              </w:rPr>
            </w:pPr>
            <w:r w:rsidRPr="005B0FAE">
              <w:rPr>
                <w:rFonts w:cs="Arial"/>
                <w:sz w:val="20"/>
              </w:rPr>
              <w:t>2010</w:t>
            </w:r>
          </w:p>
        </w:tc>
        <w:tc>
          <w:tcPr>
            <w:tcW w:w="574" w:type="pct"/>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101,266 </w:t>
            </w:r>
          </w:p>
        </w:tc>
        <w:tc>
          <w:tcPr>
            <w:tcW w:w="539" w:type="pct"/>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70,572 </w:t>
            </w:r>
          </w:p>
        </w:tc>
        <w:tc>
          <w:tcPr>
            <w:tcW w:w="560" w:type="pct"/>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64,523 </w:t>
            </w:r>
          </w:p>
        </w:tc>
        <w:tc>
          <w:tcPr>
            <w:tcW w:w="506" w:type="pct"/>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20,078 </w:t>
            </w:r>
          </w:p>
        </w:tc>
        <w:tc>
          <w:tcPr>
            <w:tcW w:w="506" w:type="pct"/>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31,424 </w:t>
            </w:r>
          </w:p>
        </w:tc>
        <w:tc>
          <w:tcPr>
            <w:tcW w:w="614" w:type="pct"/>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6,385 </w:t>
            </w:r>
          </w:p>
        </w:tc>
        <w:tc>
          <w:tcPr>
            <w:tcW w:w="533" w:type="pct"/>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3,899 </w:t>
            </w:r>
          </w:p>
        </w:tc>
        <w:tc>
          <w:tcPr>
            <w:tcW w:w="587" w:type="pct"/>
            <w:tcBorders>
              <w:right w:val="single" w:sz="4" w:space="0" w:color="auto"/>
            </w:tcBorders>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5,152 </w:t>
            </w:r>
          </w:p>
        </w:tc>
      </w:tr>
      <w:tr w:rsidR="005B0FAE" w:rsidRPr="005B0FAE" w:rsidTr="005B0FAE">
        <w:trPr>
          <w:trHeight w:val="270"/>
        </w:trPr>
        <w:tc>
          <w:tcPr>
            <w:cnfStyle w:val="001000000000" w:firstRow="0" w:lastRow="0" w:firstColumn="1" w:lastColumn="0" w:oddVBand="0" w:evenVBand="0" w:oddHBand="0" w:evenHBand="0" w:firstRowFirstColumn="0" w:firstRowLastColumn="0" w:lastRowFirstColumn="0" w:lastRowLastColumn="0"/>
            <w:tcW w:w="582" w:type="pct"/>
            <w:tcBorders>
              <w:left w:val="single" w:sz="4" w:space="0" w:color="auto"/>
            </w:tcBorders>
            <w:noWrap/>
            <w:hideMark/>
          </w:tcPr>
          <w:p w:rsidR="005B0FAE" w:rsidRPr="005B0FAE" w:rsidRDefault="005B0FAE" w:rsidP="005B0FAE">
            <w:pPr>
              <w:rPr>
                <w:rFonts w:cs="Arial"/>
                <w:sz w:val="20"/>
              </w:rPr>
            </w:pPr>
            <w:r w:rsidRPr="005B0FAE">
              <w:rPr>
                <w:rFonts w:cs="Arial"/>
                <w:sz w:val="20"/>
              </w:rPr>
              <w:t>2011</w:t>
            </w:r>
          </w:p>
        </w:tc>
        <w:tc>
          <w:tcPr>
            <w:tcW w:w="574" w:type="pct"/>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99,054 </w:t>
            </w:r>
          </w:p>
        </w:tc>
        <w:tc>
          <w:tcPr>
            <w:tcW w:w="539" w:type="pct"/>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71,444 </w:t>
            </w:r>
          </w:p>
        </w:tc>
        <w:tc>
          <w:tcPr>
            <w:tcW w:w="560" w:type="pct"/>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63,253 </w:t>
            </w:r>
          </w:p>
        </w:tc>
        <w:tc>
          <w:tcPr>
            <w:tcW w:w="506" w:type="pct"/>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19,892 </w:t>
            </w:r>
          </w:p>
        </w:tc>
        <w:tc>
          <w:tcPr>
            <w:tcW w:w="506" w:type="pct"/>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32,259 </w:t>
            </w:r>
          </w:p>
        </w:tc>
        <w:tc>
          <w:tcPr>
            <w:tcW w:w="614" w:type="pct"/>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6,608 </w:t>
            </w:r>
          </w:p>
        </w:tc>
        <w:tc>
          <w:tcPr>
            <w:tcW w:w="533" w:type="pct"/>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3,954 </w:t>
            </w:r>
          </w:p>
        </w:tc>
        <w:tc>
          <w:tcPr>
            <w:tcW w:w="587" w:type="pct"/>
            <w:tcBorders>
              <w:right w:val="single" w:sz="4" w:space="0" w:color="auto"/>
            </w:tcBorders>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5,121 </w:t>
            </w:r>
          </w:p>
        </w:tc>
      </w:tr>
      <w:tr w:rsidR="005B0FAE" w:rsidRPr="005B0FAE" w:rsidTr="005B0FAE">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582" w:type="pct"/>
            <w:tcBorders>
              <w:left w:val="single" w:sz="4" w:space="0" w:color="auto"/>
            </w:tcBorders>
            <w:noWrap/>
            <w:hideMark/>
          </w:tcPr>
          <w:p w:rsidR="005B0FAE" w:rsidRPr="005B0FAE" w:rsidRDefault="005B0FAE" w:rsidP="005B0FAE">
            <w:pPr>
              <w:rPr>
                <w:rFonts w:cs="Arial"/>
                <w:sz w:val="20"/>
              </w:rPr>
            </w:pPr>
            <w:r w:rsidRPr="005B0FAE">
              <w:rPr>
                <w:rFonts w:cs="Arial"/>
                <w:sz w:val="20"/>
              </w:rPr>
              <w:t>2012</w:t>
            </w:r>
          </w:p>
        </w:tc>
        <w:tc>
          <w:tcPr>
            <w:tcW w:w="574" w:type="pct"/>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98,508 </w:t>
            </w:r>
          </w:p>
        </w:tc>
        <w:tc>
          <w:tcPr>
            <w:tcW w:w="539" w:type="pct"/>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77,405 </w:t>
            </w:r>
          </w:p>
        </w:tc>
        <w:tc>
          <w:tcPr>
            <w:tcW w:w="560" w:type="pct"/>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63,837 </w:t>
            </w:r>
          </w:p>
        </w:tc>
        <w:tc>
          <w:tcPr>
            <w:tcW w:w="506" w:type="pct"/>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20,433 </w:t>
            </w:r>
          </w:p>
        </w:tc>
        <w:tc>
          <w:tcPr>
            <w:tcW w:w="506" w:type="pct"/>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33,627 </w:t>
            </w:r>
          </w:p>
        </w:tc>
        <w:tc>
          <w:tcPr>
            <w:tcW w:w="614" w:type="pct"/>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6,168 </w:t>
            </w:r>
          </w:p>
        </w:tc>
        <w:tc>
          <w:tcPr>
            <w:tcW w:w="533" w:type="pct"/>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4,104 </w:t>
            </w:r>
          </w:p>
        </w:tc>
        <w:tc>
          <w:tcPr>
            <w:tcW w:w="587" w:type="pct"/>
            <w:tcBorders>
              <w:right w:val="single" w:sz="4" w:space="0" w:color="auto"/>
            </w:tcBorders>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5,461 </w:t>
            </w:r>
          </w:p>
        </w:tc>
      </w:tr>
      <w:tr w:rsidR="005B0FAE" w:rsidRPr="005B0FAE" w:rsidTr="005B0FAE">
        <w:trPr>
          <w:trHeight w:val="270"/>
        </w:trPr>
        <w:tc>
          <w:tcPr>
            <w:cnfStyle w:val="001000000000" w:firstRow="0" w:lastRow="0" w:firstColumn="1" w:lastColumn="0" w:oddVBand="0" w:evenVBand="0" w:oddHBand="0" w:evenHBand="0" w:firstRowFirstColumn="0" w:firstRowLastColumn="0" w:lastRowFirstColumn="0" w:lastRowLastColumn="0"/>
            <w:tcW w:w="582" w:type="pct"/>
            <w:tcBorders>
              <w:left w:val="single" w:sz="4" w:space="0" w:color="auto"/>
            </w:tcBorders>
            <w:noWrap/>
            <w:hideMark/>
          </w:tcPr>
          <w:p w:rsidR="005B0FAE" w:rsidRPr="005B0FAE" w:rsidRDefault="005B0FAE" w:rsidP="005B0FAE">
            <w:pPr>
              <w:rPr>
                <w:rFonts w:cs="Arial"/>
                <w:sz w:val="20"/>
              </w:rPr>
            </w:pPr>
            <w:r w:rsidRPr="005B0FAE">
              <w:rPr>
                <w:rFonts w:cs="Arial"/>
                <w:sz w:val="20"/>
              </w:rPr>
              <w:t>2013</w:t>
            </w:r>
          </w:p>
        </w:tc>
        <w:tc>
          <w:tcPr>
            <w:tcW w:w="574" w:type="pct"/>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100,462 </w:t>
            </w:r>
          </w:p>
        </w:tc>
        <w:tc>
          <w:tcPr>
            <w:tcW w:w="539" w:type="pct"/>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73,969 </w:t>
            </w:r>
          </w:p>
        </w:tc>
        <w:tc>
          <w:tcPr>
            <w:tcW w:w="560" w:type="pct"/>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63,354 </w:t>
            </w:r>
          </w:p>
        </w:tc>
        <w:tc>
          <w:tcPr>
            <w:tcW w:w="506" w:type="pct"/>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20,090 </w:t>
            </w:r>
          </w:p>
        </w:tc>
        <w:tc>
          <w:tcPr>
            <w:tcW w:w="506" w:type="pct"/>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34,516 </w:t>
            </w:r>
          </w:p>
        </w:tc>
        <w:tc>
          <w:tcPr>
            <w:tcW w:w="614" w:type="pct"/>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6,049 </w:t>
            </w:r>
          </w:p>
        </w:tc>
        <w:tc>
          <w:tcPr>
            <w:tcW w:w="533" w:type="pct"/>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4,053 </w:t>
            </w:r>
          </w:p>
        </w:tc>
        <w:tc>
          <w:tcPr>
            <w:tcW w:w="587" w:type="pct"/>
            <w:tcBorders>
              <w:right w:val="single" w:sz="4" w:space="0" w:color="auto"/>
            </w:tcBorders>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5,545 </w:t>
            </w:r>
          </w:p>
        </w:tc>
      </w:tr>
      <w:tr w:rsidR="005B0FAE" w:rsidRPr="005B0FAE" w:rsidTr="005B0FAE">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582" w:type="pct"/>
            <w:tcBorders>
              <w:left w:val="single" w:sz="4" w:space="0" w:color="auto"/>
            </w:tcBorders>
            <w:noWrap/>
            <w:hideMark/>
          </w:tcPr>
          <w:p w:rsidR="005B0FAE" w:rsidRPr="005B0FAE" w:rsidRDefault="005B0FAE" w:rsidP="005B0FAE">
            <w:pPr>
              <w:rPr>
                <w:rFonts w:cs="Arial"/>
                <w:sz w:val="20"/>
              </w:rPr>
            </w:pPr>
            <w:r w:rsidRPr="005B0FAE">
              <w:rPr>
                <w:rFonts w:cs="Arial"/>
                <w:sz w:val="20"/>
              </w:rPr>
              <w:t>2014</w:t>
            </w:r>
          </w:p>
        </w:tc>
        <w:tc>
          <w:tcPr>
            <w:tcW w:w="574" w:type="pct"/>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91,074 </w:t>
            </w:r>
          </w:p>
        </w:tc>
        <w:tc>
          <w:tcPr>
            <w:tcW w:w="539" w:type="pct"/>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74,224 </w:t>
            </w:r>
          </w:p>
        </w:tc>
        <w:tc>
          <w:tcPr>
            <w:tcW w:w="560" w:type="pct"/>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63,066 </w:t>
            </w:r>
          </w:p>
        </w:tc>
        <w:tc>
          <w:tcPr>
            <w:tcW w:w="506" w:type="pct"/>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20,384 </w:t>
            </w:r>
          </w:p>
        </w:tc>
        <w:tc>
          <w:tcPr>
            <w:tcW w:w="506" w:type="pct"/>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35,403 </w:t>
            </w:r>
          </w:p>
        </w:tc>
        <w:tc>
          <w:tcPr>
            <w:tcW w:w="614" w:type="pct"/>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5,935 </w:t>
            </w:r>
          </w:p>
        </w:tc>
        <w:tc>
          <w:tcPr>
            <w:tcW w:w="533" w:type="pct"/>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4,026 </w:t>
            </w:r>
          </w:p>
        </w:tc>
        <w:tc>
          <w:tcPr>
            <w:tcW w:w="587" w:type="pct"/>
            <w:tcBorders>
              <w:right w:val="single" w:sz="4" w:space="0" w:color="auto"/>
            </w:tcBorders>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5,552 </w:t>
            </w:r>
          </w:p>
        </w:tc>
      </w:tr>
      <w:tr w:rsidR="005B0FAE" w:rsidRPr="005B0FAE" w:rsidTr="005B0FAE">
        <w:trPr>
          <w:trHeight w:val="270"/>
        </w:trPr>
        <w:tc>
          <w:tcPr>
            <w:cnfStyle w:val="001000000000" w:firstRow="0" w:lastRow="0" w:firstColumn="1" w:lastColumn="0" w:oddVBand="0" w:evenVBand="0" w:oddHBand="0" w:evenHBand="0" w:firstRowFirstColumn="0" w:firstRowLastColumn="0" w:lastRowFirstColumn="0" w:lastRowLastColumn="0"/>
            <w:tcW w:w="582" w:type="pct"/>
            <w:tcBorders>
              <w:left w:val="single" w:sz="4" w:space="0" w:color="auto"/>
            </w:tcBorders>
            <w:noWrap/>
            <w:hideMark/>
          </w:tcPr>
          <w:p w:rsidR="005B0FAE" w:rsidRPr="005B0FAE" w:rsidRDefault="005B0FAE" w:rsidP="005B0FAE">
            <w:pPr>
              <w:rPr>
                <w:rFonts w:cs="Arial"/>
                <w:sz w:val="20"/>
              </w:rPr>
            </w:pPr>
            <w:r w:rsidRPr="005B0FAE">
              <w:rPr>
                <w:rFonts w:cs="Arial"/>
                <w:sz w:val="20"/>
              </w:rPr>
              <w:t>2015</w:t>
            </w:r>
          </w:p>
        </w:tc>
        <w:tc>
          <w:tcPr>
            <w:tcW w:w="574" w:type="pct"/>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100,079 </w:t>
            </w:r>
          </w:p>
        </w:tc>
        <w:tc>
          <w:tcPr>
            <w:tcW w:w="539" w:type="pct"/>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73,568 </w:t>
            </w:r>
          </w:p>
        </w:tc>
        <w:tc>
          <w:tcPr>
            <w:tcW w:w="560" w:type="pct"/>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61,745 </w:t>
            </w:r>
          </w:p>
        </w:tc>
        <w:tc>
          <w:tcPr>
            <w:tcW w:w="506" w:type="pct"/>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19,587 </w:t>
            </w:r>
          </w:p>
        </w:tc>
        <w:tc>
          <w:tcPr>
            <w:tcW w:w="506" w:type="pct"/>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35,135 </w:t>
            </w:r>
          </w:p>
        </w:tc>
        <w:tc>
          <w:tcPr>
            <w:tcW w:w="614" w:type="pct"/>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5,680 </w:t>
            </w:r>
          </w:p>
        </w:tc>
        <w:tc>
          <w:tcPr>
            <w:tcW w:w="533" w:type="pct"/>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4,004 </w:t>
            </w:r>
          </w:p>
        </w:tc>
        <w:tc>
          <w:tcPr>
            <w:tcW w:w="587" w:type="pct"/>
            <w:tcBorders>
              <w:right w:val="single" w:sz="4" w:space="0" w:color="auto"/>
            </w:tcBorders>
            <w:noWrap/>
            <w:hideMark/>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5,542 </w:t>
            </w:r>
          </w:p>
        </w:tc>
      </w:tr>
      <w:tr w:rsidR="005B0FAE" w:rsidRPr="005B0FAE" w:rsidTr="005B0FAE">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582" w:type="pct"/>
            <w:tcBorders>
              <w:left w:val="single" w:sz="4" w:space="0" w:color="auto"/>
            </w:tcBorders>
            <w:noWrap/>
          </w:tcPr>
          <w:p w:rsidR="005B0FAE" w:rsidRPr="005B0FAE" w:rsidRDefault="0078723F" w:rsidP="005B0FAE">
            <w:pPr>
              <w:rPr>
                <w:rFonts w:cs="Arial"/>
                <w:sz w:val="20"/>
              </w:rPr>
            </w:pPr>
            <w:r>
              <w:rPr>
                <w:rFonts w:cs="Arial"/>
                <w:sz w:val="20"/>
              </w:rPr>
              <w:t>2016</w:t>
            </w:r>
          </w:p>
        </w:tc>
        <w:tc>
          <w:tcPr>
            <w:tcW w:w="574" w:type="pct"/>
            <w:noWrap/>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96,083 </w:t>
            </w:r>
          </w:p>
        </w:tc>
        <w:tc>
          <w:tcPr>
            <w:tcW w:w="539" w:type="pct"/>
            <w:noWrap/>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82,892 </w:t>
            </w:r>
          </w:p>
        </w:tc>
        <w:tc>
          <w:tcPr>
            <w:tcW w:w="560" w:type="pct"/>
            <w:noWrap/>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61,841 </w:t>
            </w:r>
          </w:p>
        </w:tc>
        <w:tc>
          <w:tcPr>
            <w:tcW w:w="506" w:type="pct"/>
            <w:noWrap/>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19,772 </w:t>
            </w:r>
          </w:p>
        </w:tc>
        <w:tc>
          <w:tcPr>
            <w:tcW w:w="506" w:type="pct"/>
            <w:noWrap/>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35,429 </w:t>
            </w:r>
          </w:p>
        </w:tc>
        <w:tc>
          <w:tcPr>
            <w:tcW w:w="614" w:type="pct"/>
            <w:noWrap/>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5,968 </w:t>
            </w:r>
          </w:p>
        </w:tc>
        <w:tc>
          <w:tcPr>
            <w:tcW w:w="533" w:type="pct"/>
            <w:noWrap/>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3,927 </w:t>
            </w:r>
          </w:p>
        </w:tc>
        <w:tc>
          <w:tcPr>
            <w:tcW w:w="587" w:type="pct"/>
            <w:tcBorders>
              <w:right w:val="single" w:sz="4" w:space="0" w:color="auto"/>
            </w:tcBorders>
            <w:noWrap/>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sz w:val="20"/>
              </w:rPr>
            </w:pPr>
            <w:r w:rsidRPr="005B0FAE">
              <w:rPr>
                <w:rFonts w:cs="Arial"/>
                <w:sz w:val="20"/>
              </w:rPr>
              <w:t xml:space="preserve"> 5,152 </w:t>
            </w:r>
          </w:p>
        </w:tc>
      </w:tr>
      <w:tr w:rsidR="005B0FAE" w:rsidRPr="005B0FAE" w:rsidTr="005B0FAE">
        <w:trPr>
          <w:trHeight w:val="270"/>
        </w:trPr>
        <w:tc>
          <w:tcPr>
            <w:cnfStyle w:val="001000000000" w:firstRow="0" w:lastRow="0" w:firstColumn="1" w:lastColumn="0" w:oddVBand="0" w:evenVBand="0" w:oddHBand="0" w:evenHBand="0" w:firstRowFirstColumn="0" w:firstRowLastColumn="0" w:lastRowFirstColumn="0" w:lastRowLastColumn="0"/>
            <w:tcW w:w="582" w:type="pct"/>
            <w:tcBorders>
              <w:left w:val="single" w:sz="4" w:space="0" w:color="auto"/>
            </w:tcBorders>
            <w:noWrap/>
          </w:tcPr>
          <w:p w:rsidR="005B0FAE" w:rsidRPr="005B0FAE" w:rsidRDefault="005B0FAE" w:rsidP="005B0FAE">
            <w:pPr>
              <w:rPr>
                <w:rFonts w:cs="Arial"/>
                <w:sz w:val="20"/>
              </w:rPr>
            </w:pPr>
            <w:r w:rsidRPr="005B0FAE">
              <w:rPr>
                <w:rFonts w:cs="Arial"/>
                <w:sz w:val="20"/>
              </w:rPr>
              <w:t>2017</w:t>
            </w:r>
          </w:p>
        </w:tc>
        <w:tc>
          <w:tcPr>
            <w:tcW w:w="574" w:type="pct"/>
            <w:noWrap/>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96,591 </w:t>
            </w:r>
          </w:p>
        </w:tc>
        <w:tc>
          <w:tcPr>
            <w:tcW w:w="539" w:type="pct"/>
            <w:noWrap/>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82,094 </w:t>
            </w:r>
          </w:p>
        </w:tc>
        <w:tc>
          <w:tcPr>
            <w:tcW w:w="560" w:type="pct"/>
            <w:noWrap/>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61,158 </w:t>
            </w:r>
          </w:p>
        </w:tc>
        <w:tc>
          <w:tcPr>
            <w:tcW w:w="506" w:type="pct"/>
            <w:noWrap/>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19,072 </w:t>
            </w:r>
          </w:p>
        </w:tc>
        <w:tc>
          <w:tcPr>
            <w:tcW w:w="506" w:type="pct"/>
            <w:noWrap/>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34,498 </w:t>
            </w:r>
          </w:p>
        </w:tc>
        <w:tc>
          <w:tcPr>
            <w:tcW w:w="614" w:type="pct"/>
            <w:noWrap/>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5,610 </w:t>
            </w:r>
          </w:p>
        </w:tc>
        <w:tc>
          <w:tcPr>
            <w:tcW w:w="533" w:type="pct"/>
            <w:noWrap/>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3,882 </w:t>
            </w:r>
          </w:p>
        </w:tc>
        <w:tc>
          <w:tcPr>
            <w:tcW w:w="587" w:type="pct"/>
            <w:tcBorders>
              <w:right w:val="single" w:sz="4" w:space="0" w:color="auto"/>
            </w:tcBorders>
            <w:noWrap/>
          </w:tcPr>
          <w:p w:rsidR="005B0FAE" w:rsidRPr="005B0FAE" w:rsidRDefault="005B0FAE" w:rsidP="005B0FAE">
            <w:pPr>
              <w:jc w:val="right"/>
              <w:cnfStyle w:val="000000000000" w:firstRow="0" w:lastRow="0" w:firstColumn="0" w:lastColumn="0" w:oddVBand="0" w:evenVBand="0" w:oddHBand="0" w:evenHBand="0" w:firstRowFirstColumn="0" w:firstRowLastColumn="0" w:lastRowFirstColumn="0" w:lastRowLastColumn="0"/>
              <w:rPr>
                <w:rFonts w:cs="Arial"/>
                <w:sz w:val="20"/>
              </w:rPr>
            </w:pPr>
            <w:r w:rsidRPr="005B0FAE">
              <w:rPr>
                <w:rFonts w:cs="Arial"/>
                <w:sz w:val="20"/>
              </w:rPr>
              <w:t xml:space="preserve"> 6,207 </w:t>
            </w:r>
          </w:p>
        </w:tc>
      </w:tr>
      <w:tr w:rsidR="005B0FAE" w:rsidRPr="005B0FAE" w:rsidTr="005B0FAE">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582" w:type="pct"/>
            <w:tcBorders>
              <w:left w:val="single" w:sz="4" w:space="0" w:color="auto"/>
              <w:bottom w:val="single" w:sz="4" w:space="0" w:color="auto"/>
            </w:tcBorders>
            <w:noWrap/>
            <w:hideMark/>
          </w:tcPr>
          <w:p w:rsidR="005B0FAE" w:rsidRPr="005B0FAE" w:rsidRDefault="005B0FAE" w:rsidP="005B0FAE">
            <w:pPr>
              <w:rPr>
                <w:rFonts w:cs="Arial"/>
                <w:i/>
                <w:sz w:val="20"/>
              </w:rPr>
            </w:pPr>
            <w:r w:rsidRPr="005B0FAE">
              <w:rPr>
                <w:rFonts w:cs="Arial"/>
                <w:i/>
                <w:sz w:val="20"/>
              </w:rPr>
              <w:t>Growth</w:t>
            </w:r>
          </w:p>
        </w:tc>
        <w:tc>
          <w:tcPr>
            <w:tcW w:w="574" w:type="pct"/>
            <w:tcBorders>
              <w:bottom w:val="single" w:sz="4" w:space="0" w:color="auto"/>
            </w:tcBorders>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i/>
                <w:sz w:val="20"/>
              </w:rPr>
            </w:pPr>
            <w:r w:rsidRPr="005B0FAE">
              <w:rPr>
                <w:rFonts w:cs="Arial"/>
                <w:i/>
                <w:sz w:val="20"/>
              </w:rPr>
              <w:t>0.43%</w:t>
            </w:r>
          </w:p>
        </w:tc>
        <w:tc>
          <w:tcPr>
            <w:tcW w:w="539" w:type="pct"/>
            <w:tcBorders>
              <w:bottom w:val="single" w:sz="4" w:space="0" w:color="auto"/>
            </w:tcBorders>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i/>
                <w:sz w:val="20"/>
              </w:rPr>
            </w:pPr>
            <w:r w:rsidRPr="005B0FAE">
              <w:rPr>
                <w:rFonts w:cs="Arial"/>
                <w:i/>
                <w:sz w:val="20"/>
              </w:rPr>
              <w:t>2.11%</w:t>
            </w:r>
          </w:p>
        </w:tc>
        <w:tc>
          <w:tcPr>
            <w:tcW w:w="560" w:type="pct"/>
            <w:tcBorders>
              <w:bottom w:val="single" w:sz="4" w:space="0" w:color="auto"/>
            </w:tcBorders>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i/>
                <w:sz w:val="20"/>
              </w:rPr>
            </w:pPr>
            <w:r w:rsidRPr="005B0FAE">
              <w:rPr>
                <w:rFonts w:cs="Arial"/>
                <w:i/>
                <w:sz w:val="20"/>
              </w:rPr>
              <w:t>1.36%</w:t>
            </w:r>
          </w:p>
        </w:tc>
        <w:tc>
          <w:tcPr>
            <w:tcW w:w="506" w:type="pct"/>
            <w:tcBorders>
              <w:bottom w:val="single" w:sz="4" w:space="0" w:color="auto"/>
            </w:tcBorders>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i/>
                <w:sz w:val="20"/>
              </w:rPr>
            </w:pPr>
            <w:r w:rsidRPr="005B0FAE">
              <w:rPr>
                <w:rFonts w:cs="Arial"/>
                <w:i/>
                <w:sz w:val="20"/>
              </w:rPr>
              <w:t>0.40%</w:t>
            </w:r>
          </w:p>
        </w:tc>
        <w:tc>
          <w:tcPr>
            <w:tcW w:w="506" w:type="pct"/>
            <w:tcBorders>
              <w:bottom w:val="single" w:sz="4" w:space="0" w:color="auto"/>
            </w:tcBorders>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i/>
                <w:sz w:val="20"/>
              </w:rPr>
            </w:pPr>
            <w:r w:rsidRPr="005B0FAE">
              <w:rPr>
                <w:rFonts w:cs="Arial"/>
                <w:i/>
                <w:sz w:val="20"/>
              </w:rPr>
              <w:t>1.99%</w:t>
            </w:r>
          </w:p>
        </w:tc>
        <w:tc>
          <w:tcPr>
            <w:tcW w:w="614" w:type="pct"/>
            <w:tcBorders>
              <w:bottom w:val="single" w:sz="4" w:space="0" w:color="auto"/>
            </w:tcBorders>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i/>
                <w:sz w:val="20"/>
              </w:rPr>
            </w:pPr>
            <w:r w:rsidRPr="005B0FAE">
              <w:rPr>
                <w:rFonts w:cs="Arial"/>
                <w:i/>
                <w:sz w:val="20"/>
              </w:rPr>
              <w:t>-1.30%</w:t>
            </w:r>
          </w:p>
        </w:tc>
        <w:tc>
          <w:tcPr>
            <w:tcW w:w="533" w:type="pct"/>
            <w:tcBorders>
              <w:bottom w:val="single" w:sz="4" w:space="0" w:color="auto"/>
            </w:tcBorders>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i/>
                <w:sz w:val="20"/>
              </w:rPr>
            </w:pPr>
            <w:r w:rsidRPr="005B0FAE">
              <w:rPr>
                <w:rFonts w:cs="Arial"/>
                <w:i/>
                <w:sz w:val="20"/>
              </w:rPr>
              <w:t>0.45%</w:t>
            </w:r>
          </w:p>
        </w:tc>
        <w:tc>
          <w:tcPr>
            <w:tcW w:w="587" w:type="pct"/>
            <w:tcBorders>
              <w:bottom w:val="single" w:sz="4" w:space="0" w:color="auto"/>
              <w:right w:val="single" w:sz="4" w:space="0" w:color="auto"/>
            </w:tcBorders>
            <w:noWrap/>
            <w:hideMark/>
          </w:tcPr>
          <w:p w:rsidR="005B0FAE" w:rsidRPr="005B0FAE" w:rsidRDefault="005B0FAE" w:rsidP="005B0FAE">
            <w:pPr>
              <w:jc w:val="right"/>
              <w:cnfStyle w:val="000000100000" w:firstRow="0" w:lastRow="0" w:firstColumn="0" w:lastColumn="0" w:oddVBand="0" w:evenVBand="0" w:oddHBand="1" w:evenHBand="0" w:firstRowFirstColumn="0" w:firstRowLastColumn="0" w:lastRowFirstColumn="0" w:lastRowLastColumn="0"/>
              <w:rPr>
                <w:rFonts w:cs="Arial"/>
                <w:i/>
                <w:sz w:val="20"/>
              </w:rPr>
            </w:pPr>
            <w:r w:rsidRPr="005B0FAE">
              <w:rPr>
                <w:rFonts w:cs="Arial"/>
                <w:i/>
                <w:sz w:val="20"/>
              </w:rPr>
              <w:t>3.00%</w:t>
            </w:r>
          </w:p>
        </w:tc>
      </w:tr>
    </w:tbl>
    <w:p w:rsidR="0044098E" w:rsidRPr="005142DA" w:rsidRDefault="0044098E" w:rsidP="00DA23C8">
      <w:pPr>
        <w:spacing w:after="120" w:line="240" w:lineRule="auto"/>
        <w:rPr>
          <w:rFonts w:eastAsia="Calibri" w:cs="Arial"/>
          <w:i/>
          <w:sz w:val="16"/>
          <w:szCs w:val="16"/>
          <w:lang w:eastAsia="en-AU"/>
        </w:rPr>
      </w:pPr>
      <w:r w:rsidRPr="005142DA">
        <w:rPr>
          <w:rFonts w:eastAsia="Calibri" w:cs="Arial"/>
          <w:i/>
          <w:sz w:val="16"/>
          <w:szCs w:val="16"/>
          <w:lang w:eastAsia="en-AU"/>
        </w:rPr>
        <w:t xml:space="preserve">ABS </w:t>
      </w:r>
      <w:r w:rsidRPr="005142DA">
        <w:rPr>
          <w:rFonts w:eastAsia="Calibri" w:cs="Arial"/>
          <w:bCs/>
          <w:i/>
          <w:color w:val="000000"/>
          <w:sz w:val="16"/>
          <w:szCs w:val="16"/>
          <w:shd w:val="clear" w:color="auto" w:fill="FFFFFF"/>
          <w:lang w:eastAsia="en-AU"/>
        </w:rPr>
        <w:t>3301.0 - Births, Australia, 201</w:t>
      </w:r>
      <w:r w:rsidR="005B0FAE" w:rsidRPr="005142DA">
        <w:rPr>
          <w:rFonts w:eastAsia="Calibri" w:cs="Arial"/>
          <w:bCs/>
          <w:i/>
          <w:color w:val="000000"/>
          <w:sz w:val="16"/>
          <w:szCs w:val="16"/>
          <w:shd w:val="clear" w:color="auto" w:fill="FFFFFF"/>
          <w:lang w:eastAsia="en-AU"/>
        </w:rPr>
        <w:t>7</w:t>
      </w:r>
    </w:p>
    <w:p w:rsidR="0044098E" w:rsidRPr="0044098E" w:rsidRDefault="0044098E" w:rsidP="0044098E">
      <w:pPr>
        <w:spacing w:after="0" w:line="240" w:lineRule="auto"/>
        <w:jc w:val="both"/>
        <w:rPr>
          <w:rFonts w:eastAsia="Calibri" w:cs="Arial"/>
          <w:szCs w:val="22"/>
          <w:lang w:eastAsia="en-AU"/>
        </w:rPr>
      </w:pPr>
      <w:r w:rsidRPr="0044098E">
        <w:rPr>
          <w:rFonts w:eastAsia="Calibri" w:cs="Arial"/>
          <w:szCs w:val="22"/>
          <w:lang w:eastAsia="en-AU"/>
        </w:rPr>
        <w:t xml:space="preserve">The total fertility rate as shown in </w:t>
      </w:r>
      <w:r w:rsidR="00DC2D0D">
        <w:rPr>
          <w:rFonts w:eastAsia="Calibri" w:cs="Arial"/>
          <w:szCs w:val="22"/>
          <w:lang w:eastAsia="en-AU"/>
        </w:rPr>
        <w:t>F</w:t>
      </w:r>
      <w:r w:rsidR="009B7071">
        <w:rPr>
          <w:rFonts w:eastAsia="Calibri" w:cs="Arial"/>
          <w:szCs w:val="22"/>
          <w:lang w:eastAsia="en-AU"/>
        </w:rPr>
        <w:t xml:space="preserve">igure </w:t>
      </w:r>
      <w:r w:rsidR="002570AB" w:rsidRPr="002570AB">
        <w:rPr>
          <w:rFonts w:eastAsia="Calibri" w:cs="Arial"/>
          <w:szCs w:val="22"/>
          <w:lang w:eastAsia="en-AU"/>
        </w:rPr>
        <w:t xml:space="preserve">27 </w:t>
      </w:r>
      <w:r w:rsidRPr="0044098E">
        <w:rPr>
          <w:rFonts w:eastAsia="Calibri" w:cs="Arial"/>
          <w:szCs w:val="22"/>
          <w:lang w:eastAsia="en-AU"/>
        </w:rPr>
        <w:t>relates to the average number of children that would be born to a woman over her life time as opposed to the annual number of births per 1,000 population. The data shows relatively stability over the last 10 years – with variation between 2.0 and 1.</w:t>
      </w:r>
      <w:r w:rsidR="00061596">
        <w:rPr>
          <w:rFonts w:eastAsia="Calibri" w:cs="Arial"/>
          <w:szCs w:val="22"/>
          <w:lang w:eastAsia="en-AU"/>
        </w:rPr>
        <w:t>7</w:t>
      </w:r>
      <w:r w:rsidRPr="0044098E">
        <w:rPr>
          <w:rFonts w:eastAsia="Calibri" w:cs="Arial"/>
          <w:szCs w:val="22"/>
          <w:lang w:eastAsia="en-AU"/>
        </w:rPr>
        <w:t>. Furthermore, the fertility rate by states and territories (</w:t>
      </w:r>
      <w:r w:rsidR="00B17D86">
        <w:rPr>
          <w:rFonts w:eastAsia="Calibri" w:cs="Arial"/>
          <w:szCs w:val="22"/>
          <w:lang w:eastAsia="en-AU"/>
        </w:rPr>
        <w:t xml:space="preserve">Figure </w:t>
      </w:r>
      <w:r w:rsidR="00241DC8">
        <w:rPr>
          <w:rFonts w:eastAsia="Calibri" w:cs="Arial"/>
          <w:szCs w:val="22"/>
          <w:lang w:eastAsia="en-AU"/>
        </w:rPr>
        <w:t>2</w:t>
      </w:r>
      <w:r w:rsidR="006F5994">
        <w:rPr>
          <w:rFonts w:eastAsia="Calibri" w:cs="Arial"/>
          <w:szCs w:val="22"/>
          <w:lang w:eastAsia="en-AU"/>
        </w:rPr>
        <w:t>7</w:t>
      </w:r>
      <w:r w:rsidRPr="0044098E">
        <w:rPr>
          <w:rFonts w:eastAsia="Calibri" w:cs="Arial"/>
          <w:szCs w:val="22"/>
          <w:lang w:eastAsia="en-AU"/>
        </w:rPr>
        <w:t xml:space="preserve">) indicates that there are a number of states and territories growing at a higher rate than the national average (Australia), most noticeably in </w:t>
      </w:r>
      <w:r w:rsidR="00E561A4">
        <w:rPr>
          <w:rFonts w:eastAsia="Calibri" w:cs="Arial"/>
          <w:szCs w:val="22"/>
          <w:lang w:eastAsia="en-AU"/>
        </w:rPr>
        <w:t>the N</w:t>
      </w:r>
      <w:r w:rsidR="006F5994">
        <w:rPr>
          <w:rFonts w:eastAsia="Calibri" w:cs="Arial"/>
          <w:szCs w:val="22"/>
          <w:lang w:eastAsia="en-AU"/>
        </w:rPr>
        <w:t>orthern Territory</w:t>
      </w:r>
      <w:r w:rsidRPr="0044098E">
        <w:rPr>
          <w:rFonts w:eastAsia="Calibri" w:cs="Arial"/>
          <w:szCs w:val="22"/>
          <w:lang w:eastAsia="en-AU"/>
        </w:rPr>
        <w:t xml:space="preserve">. </w:t>
      </w:r>
    </w:p>
    <w:p w:rsidR="00B17D86" w:rsidRDefault="00B17D86">
      <w:pPr>
        <w:rPr>
          <w:rFonts w:eastAsia="Calibri" w:cs="Arial"/>
          <w:szCs w:val="22"/>
          <w:lang w:eastAsia="en-AU"/>
        </w:rPr>
      </w:pPr>
      <w:r>
        <w:rPr>
          <w:rFonts w:eastAsia="Calibri" w:cs="Arial"/>
          <w:szCs w:val="22"/>
          <w:lang w:eastAsia="en-AU"/>
        </w:rPr>
        <w:br w:type="page"/>
      </w:r>
    </w:p>
    <w:p w:rsidR="00885BE2" w:rsidRPr="00885BE2" w:rsidRDefault="00EB1AC2" w:rsidP="00885BE2">
      <w:pPr>
        <w:pStyle w:val="Caption"/>
      </w:pPr>
      <w:bookmarkStart w:id="165" w:name="_Toc532473579"/>
      <w:bookmarkStart w:id="166" w:name="_Toc1722579"/>
      <w:bookmarkStart w:id="167" w:name="_Toc1724703"/>
      <w:bookmarkStart w:id="168" w:name="_Toc1725021"/>
      <w:r w:rsidRPr="001F11F0">
        <w:lastRenderedPageBreak/>
        <w:t>Figure</w:t>
      </w:r>
      <w:r w:rsidR="002340BC" w:rsidRPr="001F11F0">
        <w:t xml:space="preserve"> 27</w:t>
      </w:r>
      <w:r w:rsidRPr="001F11F0">
        <w:t>: Fertility rates (births per 1,000 population) by state and territory, 2006-201</w:t>
      </w:r>
      <w:bookmarkEnd w:id="165"/>
      <w:r w:rsidR="00061596" w:rsidRPr="001F11F0">
        <w:t>7</w:t>
      </w:r>
      <w:bookmarkEnd w:id="166"/>
      <w:bookmarkEnd w:id="167"/>
      <w:bookmarkEnd w:id="168"/>
    </w:p>
    <w:p w:rsidR="00885BE2" w:rsidRDefault="00885BE2" w:rsidP="00134B5F">
      <w:pPr>
        <w:spacing w:after="120" w:line="240" w:lineRule="auto"/>
        <w:jc w:val="center"/>
        <w:rPr>
          <w:rFonts w:eastAsia="Calibri" w:cs="Arial"/>
          <w:i/>
          <w:sz w:val="16"/>
          <w:szCs w:val="16"/>
          <w:lang w:eastAsia="en-AU"/>
        </w:rPr>
      </w:pPr>
      <w:r>
        <w:rPr>
          <w:rFonts w:eastAsia="Calibri" w:cs="Arial"/>
          <w:i/>
          <w:noProof/>
          <w:sz w:val="16"/>
          <w:szCs w:val="16"/>
          <w:lang w:eastAsia="en-AU"/>
        </w:rPr>
        <w:drawing>
          <wp:inline distT="0" distB="0" distL="0" distR="0">
            <wp:extent cx="4858603" cy="3133484"/>
            <wp:effectExtent l="0" t="0" r="0" b="0"/>
            <wp:docPr id="51" name="Picture 51" descr="Shows the fertility rates by state and territories for the period 2006 to 2017.  Since 2008 fertility rates have slightly decreased from 2 to 1.7 births per 1,000 population." title="Figure 27: Fertility rates (births per 1,000 population) by state and territory, 2006-2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87C184.tmp"/>
                    <pic:cNvPicPr/>
                  </pic:nvPicPr>
                  <pic:blipFill rotWithShape="1">
                    <a:blip r:embed="rId34">
                      <a:extLst>
                        <a:ext uri="{28A0092B-C50C-407E-A947-70E740481C1C}">
                          <a14:useLocalDpi xmlns:a14="http://schemas.microsoft.com/office/drawing/2010/main" val="0"/>
                        </a:ext>
                      </a:extLst>
                    </a:blip>
                    <a:srcRect l="12419" t="26124" r="33350" b="8912"/>
                    <a:stretch/>
                  </pic:blipFill>
                  <pic:spPr bwMode="auto">
                    <a:xfrm>
                      <a:off x="0" y="0"/>
                      <a:ext cx="4880062" cy="3147324"/>
                    </a:xfrm>
                    <a:prstGeom prst="rect">
                      <a:avLst/>
                    </a:prstGeom>
                    <a:ln>
                      <a:noFill/>
                    </a:ln>
                    <a:extLst>
                      <a:ext uri="{53640926-AAD7-44D8-BBD7-CCE9431645EC}">
                        <a14:shadowObscured xmlns:a14="http://schemas.microsoft.com/office/drawing/2010/main"/>
                      </a:ext>
                    </a:extLst>
                  </pic:spPr>
                </pic:pic>
              </a:graphicData>
            </a:graphic>
          </wp:inline>
        </w:drawing>
      </w:r>
    </w:p>
    <w:p w:rsidR="00B17D86" w:rsidRPr="005142DA" w:rsidRDefault="0044098E" w:rsidP="003423C0">
      <w:pPr>
        <w:spacing w:after="120" w:line="240" w:lineRule="auto"/>
        <w:rPr>
          <w:rFonts w:eastAsia="Calibri" w:cs="Arial"/>
          <w:bCs/>
          <w:i/>
          <w:color w:val="000000"/>
          <w:sz w:val="16"/>
          <w:szCs w:val="16"/>
          <w:shd w:val="clear" w:color="auto" w:fill="FFFFFF"/>
          <w:lang w:eastAsia="en-AU"/>
        </w:rPr>
      </w:pPr>
      <w:r w:rsidRPr="005142DA">
        <w:rPr>
          <w:rFonts w:eastAsia="Calibri" w:cs="Arial"/>
          <w:i/>
          <w:sz w:val="16"/>
          <w:szCs w:val="16"/>
          <w:lang w:eastAsia="en-AU"/>
        </w:rPr>
        <w:t xml:space="preserve">ABS </w:t>
      </w:r>
      <w:r w:rsidRPr="005142DA">
        <w:rPr>
          <w:rFonts w:eastAsia="Calibri" w:cs="Arial"/>
          <w:bCs/>
          <w:i/>
          <w:color w:val="000000"/>
          <w:sz w:val="16"/>
          <w:szCs w:val="16"/>
          <w:shd w:val="clear" w:color="auto" w:fill="FFFFFF"/>
          <w:lang w:eastAsia="en-AU"/>
        </w:rPr>
        <w:t xml:space="preserve">3301.0 - Births, Australia, </w:t>
      </w:r>
      <w:r w:rsidR="00061596" w:rsidRPr="005142DA">
        <w:rPr>
          <w:rFonts w:eastAsia="Calibri" w:cs="Arial"/>
          <w:bCs/>
          <w:i/>
          <w:color w:val="000000"/>
          <w:sz w:val="16"/>
          <w:szCs w:val="16"/>
          <w:shd w:val="clear" w:color="auto" w:fill="FFFFFF"/>
          <w:lang w:eastAsia="en-AU"/>
        </w:rPr>
        <w:t>2017</w:t>
      </w:r>
    </w:p>
    <w:p w:rsidR="0044098E" w:rsidRPr="0044098E" w:rsidRDefault="0044098E" w:rsidP="003423C0">
      <w:pPr>
        <w:spacing w:after="0" w:line="240" w:lineRule="auto"/>
        <w:jc w:val="both"/>
        <w:rPr>
          <w:rFonts w:eastAsia="Calibri" w:cs="Arial"/>
          <w:szCs w:val="22"/>
          <w:lang w:eastAsia="en-AU"/>
        </w:rPr>
      </w:pPr>
      <w:r w:rsidRPr="0044098E">
        <w:rPr>
          <w:rFonts w:eastAsia="Calibri" w:cs="Arial"/>
          <w:szCs w:val="22"/>
          <w:lang w:eastAsia="en-AU"/>
        </w:rPr>
        <w:t>The average age of women who gave birth co</w:t>
      </w:r>
      <w:r w:rsidR="009C0853">
        <w:rPr>
          <w:rFonts w:eastAsia="Calibri" w:cs="Arial"/>
          <w:szCs w:val="22"/>
          <w:lang w:eastAsia="en-AU"/>
        </w:rPr>
        <w:t xml:space="preserve">ntinues to increase </w:t>
      </w:r>
      <w:r w:rsidR="009B14A1">
        <w:rPr>
          <w:rFonts w:eastAsia="Calibri" w:cs="Arial"/>
          <w:szCs w:val="22"/>
          <w:lang w:eastAsia="en-AU"/>
        </w:rPr>
        <w:t>at</w:t>
      </w:r>
      <w:r w:rsidR="009C0853">
        <w:rPr>
          <w:rFonts w:eastAsia="Calibri" w:cs="Arial"/>
          <w:szCs w:val="22"/>
          <w:lang w:eastAsia="en-AU"/>
        </w:rPr>
        <w:t xml:space="preserve"> 30.5</w:t>
      </w:r>
      <w:r w:rsidRPr="0044098E">
        <w:rPr>
          <w:rFonts w:eastAsia="Calibri" w:cs="Arial"/>
          <w:szCs w:val="22"/>
          <w:lang w:eastAsia="en-AU"/>
        </w:rPr>
        <w:t xml:space="preserve"> years in </w:t>
      </w:r>
      <w:r w:rsidR="00202BC1">
        <w:rPr>
          <w:rFonts w:eastAsia="Calibri" w:cs="Arial"/>
          <w:szCs w:val="22"/>
          <w:lang w:eastAsia="en-AU"/>
        </w:rPr>
        <w:t>2017</w:t>
      </w:r>
      <w:r w:rsidRPr="0044098E">
        <w:rPr>
          <w:rFonts w:eastAsia="Calibri" w:cs="Arial"/>
          <w:szCs w:val="22"/>
          <w:lang w:eastAsia="en-AU"/>
        </w:rPr>
        <w:t xml:space="preserve"> compared</w:t>
      </w:r>
      <w:r w:rsidR="00D07144">
        <w:rPr>
          <w:rFonts w:eastAsia="Calibri" w:cs="Arial"/>
          <w:szCs w:val="22"/>
          <w:lang w:eastAsia="en-AU"/>
        </w:rPr>
        <w:t xml:space="preserve"> </w:t>
      </w:r>
      <w:r w:rsidR="00241DC8">
        <w:rPr>
          <w:rFonts w:eastAsia="Calibri" w:cs="Arial"/>
          <w:szCs w:val="22"/>
          <w:lang w:eastAsia="en-AU"/>
        </w:rPr>
        <w:t>to 29.8 years in 2006 (Figure 2</w:t>
      </w:r>
      <w:r w:rsidR="006F5994">
        <w:rPr>
          <w:rFonts w:eastAsia="Calibri" w:cs="Arial"/>
          <w:szCs w:val="22"/>
          <w:lang w:eastAsia="en-AU"/>
        </w:rPr>
        <w:t>8</w:t>
      </w:r>
      <w:r w:rsidR="003423C0">
        <w:rPr>
          <w:rFonts w:eastAsia="Calibri" w:cs="Arial"/>
          <w:szCs w:val="22"/>
          <w:lang w:eastAsia="en-AU"/>
        </w:rPr>
        <w:t xml:space="preserve">). </w:t>
      </w:r>
    </w:p>
    <w:p w:rsidR="00EB1AC2" w:rsidRPr="00477A29" w:rsidRDefault="00EB1AC2" w:rsidP="00477A29">
      <w:pPr>
        <w:pStyle w:val="Caption"/>
      </w:pPr>
      <w:bookmarkStart w:id="169" w:name="_Toc532473580"/>
      <w:bookmarkStart w:id="170" w:name="_Toc1722580"/>
      <w:bookmarkStart w:id="171" w:name="_Toc1724704"/>
      <w:bookmarkStart w:id="172" w:name="_Toc1725022"/>
      <w:r w:rsidRPr="00477A29">
        <w:t>Figure</w:t>
      </w:r>
      <w:r w:rsidR="00477A29" w:rsidRPr="00477A29">
        <w:t xml:space="preserve"> 28</w:t>
      </w:r>
      <w:r w:rsidRPr="00477A29">
        <w:t xml:space="preserve">: Average age of women, 2006 to </w:t>
      </w:r>
      <w:bookmarkEnd w:id="169"/>
      <w:r w:rsidR="00D12BB1" w:rsidRPr="00477A29">
        <w:t>2016</w:t>
      </w:r>
      <w:bookmarkEnd w:id="170"/>
      <w:bookmarkEnd w:id="171"/>
      <w:bookmarkEnd w:id="172"/>
    </w:p>
    <w:p w:rsidR="0044098E" w:rsidRPr="0044098E" w:rsidRDefault="009C0853" w:rsidP="0044098E">
      <w:pPr>
        <w:keepNext/>
        <w:spacing w:after="0" w:line="240" w:lineRule="auto"/>
        <w:rPr>
          <w:rFonts w:eastAsia="Calibri" w:cs="Arial"/>
          <w:szCs w:val="22"/>
          <w:lang w:eastAsia="en-AU"/>
        </w:rPr>
      </w:pPr>
      <w:r w:rsidRPr="009C0853">
        <w:rPr>
          <w:rFonts w:eastAsia="Calibri" w:cs="Arial"/>
          <w:noProof/>
          <w:szCs w:val="22"/>
          <w:lang w:eastAsia="en-AU"/>
        </w:rPr>
        <w:drawing>
          <wp:inline distT="0" distB="0" distL="0" distR="0" wp14:anchorId="01614943" wp14:editId="0C4446B7">
            <wp:extent cx="5385435" cy="1351065"/>
            <wp:effectExtent l="0" t="0" r="5715" b="1905"/>
            <wp:docPr id="24" name="Picture 24" descr="Figure 28 shows the average age of women who gave birth continues to increase at 30.5 years in 2016 compared to 29.8 years in 2006." title="Figure 28: Average age of women, 2006 to 2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385435" cy="1351065"/>
                    </a:xfrm>
                    <a:prstGeom prst="rect">
                      <a:avLst/>
                    </a:prstGeom>
                    <a:noFill/>
                    <a:ln>
                      <a:noFill/>
                    </a:ln>
                  </pic:spPr>
                </pic:pic>
              </a:graphicData>
            </a:graphic>
          </wp:inline>
        </w:drawing>
      </w:r>
    </w:p>
    <w:p w:rsidR="00DB626D" w:rsidRPr="005142DA" w:rsidRDefault="0044098E" w:rsidP="00DA23C8">
      <w:pPr>
        <w:spacing w:after="120" w:line="240" w:lineRule="auto"/>
        <w:rPr>
          <w:rFonts w:eastAsia="Calibri" w:cs="Arial"/>
          <w:bCs/>
          <w:i/>
          <w:color w:val="000000"/>
          <w:sz w:val="16"/>
          <w:szCs w:val="16"/>
          <w:shd w:val="clear" w:color="auto" w:fill="FFFFFF"/>
          <w:lang w:eastAsia="en-AU"/>
        </w:rPr>
      </w:pPr>
      <w:r w:rsidRPr="005142DA">
        <w:rPr>
          <w:rFonts w:eastAsia="Calibri" w:cs="Arial"/>
          <w:bCs/>
          <w:i/>
          <w:color w:val="000000"/>
          <w:sz w:val="16"/>
          <w:szCs w:val="16"/>
          <w:shd w:val="clear" w:color="auto" w:fill="FFFFFF"/>
          <w:lang w:eastAsia="en-AU"/>
        </w:rPr>
        <w:t xml:space="preserve">AIHW, Australia’s mothers and </w:t>
      </w:r>
      <w:r w:rsidR="00DA23C8" w:rsidRPr="005142DA">
        <w:rPr>
          <w:rFonts w:eastAsia="Calibri" w:cs="Arial"/>
          <w:bCs/>
          <w:i/>
          <w:color w:val="000000"/>
          <w:sz w:val="16"/>
          <w:szCs w:val="16"/>
          <w:shd w:val="clear" w:color="auto" w:fill="FFFFFF"/>
          <w:lang w:eastAsia="en-AU"/>
        </w:rPr>
        <w:t>babies’</w:t>
      </w:r>
      <w:r w:rsidRPr="005142DA">
        <w:rPr>
          <w:rFonts w:eastAsia="Calibri" w:cs="Arial"/>
          <w:bCs/>
          <w:i/>
          <w:color w:val="000000"/>
          <w:sz w:val="16"/>
          <w:szCs w:val="16"/>
          <w:shd w:val="clear" w:color="auto" w:fill="FFFFFF"/>
          <w:lang w:eastAsia="en-AU"/>
        </w:rPr>
        <w:t xml:space="preserve"> annual report – in brie</w:t>
      </w:r>
      <w:r w:rsidR="000908BD" w:rsidRPr="005142DA">
        <w:rPr>
          <w:rFonts w:eastAsia="Calibri" w:cs="Arial"/>
          <w:bCs/>
          <w:i/>
          <w:color w:val="000000"/>
          <w:sz w:val="16"/>
          <w:szCs w:val="16"/>
          <w:shd w:val="clear" w:color="auto" w:fill="FFFFFF"/>
          <w:lang w:eastAsia="en-AU"/>
        </w:rPr>
        <w:t>f</w:t>
      </w:r>
      <w:r w:rsidR="009C0853" w:rsidRPr="005142DA">
        <w:rPr>
          <w:rFonts w:eastAsia="Calibri" w:cs="Arial"/>
          <w:bCs/>
          <w:i/>
          <w:color w:val="000000"/>
          <w:sz w:val="16"/>
          <w:szCs w:val="16"/>
          <w:shd w:val="clear" w:color="auto" w:fill="FFFFFF"/>
          <w:lang w:eastAsia="en-AU"/>
        </w:rPr>
        <w:t xml:space="preserve">, </w:t>
      </w:r>
      <w:r w:rsidR="00D12BB1" w:rsidRPr="005142DA">
        <w:rPr>
          <w:rFonts w:eastAsia="Calibri" w:cs="Arial"/>
          <w:bCs/>
          <w:i/>
          <w:color w:val="000000"/>
          <w:sz w:val="16"/>
          <w:szCs w:val="16"/>
          <w:shd w:val="clear" w:color="auto" w:fill="FFFFFF"/>
          <w:lang w:eastAsia="en-AU"/>
        </w:rPr>
        <w:t>2016</w:t>
      </w:r>
      <w:r w:rsidRPr="005142DA">
        <w:rPr>
          <w:rFonts w:eastAsia="Calibri" w:cs="Arial"/>
          <w:bCs/>
          <w:i/>
          <w:color w:val="000000"/>
          <w:sz w:val="16"/>
          <w:szCs w:val="16"/>
          <w:shd w:val="clear" w:color="auto" w:fill="FFFFFF"/>
          <w:lang w:eastAsia="en-AU"/>
        </w:rPr>
        <w:t>. Pe</w:t>
      </w:r>
      <w:r w:rsidR="009C0853" w:rsidRPr="005142DA">
        <w:rPr>
          <w:rFonts w:eastAsia="Calibri" w:cs="Arial"/>
          <w:bCs/>
          <w:i/>
          <w:color w:val="000000"/>
          <w:sz w:val="16"/>
          <w:szCs w:val="16"/>
          <w:shd w:val="clear" w:color="auto" w:fill="FFFFFF"/>
          <w:lang w:eastAsia="en-AU"/>
        </w:rPr>
        <w:t>rinatal statistics series no. 34 cat no. PER97</w:t>
      </w:r>
      <w:r w:rsidR="00DA23C8" w:rsidRPr="005142DA">
        <w:rPr>
          <w:rFonts w:eastAsia="Calibri" w:cs="Arial"/>
          <w:bCs/>
          <w:i/>
          <w:color w:val="000000"/>
          <w:sz w:val="16"/>
          <w:szCs w:val="16"/>
          <w:shd w:val="clear" w:color="auto" w:fill="FFFFFF"/>
          <w:lang w:eastAsia="en-AU"/>
        </w:rPr>
        <w:t>. Canberra</w:t>
      </w:r>
    </w:p>
    <w:p w:rsidR="00752C2D" w:rsidRPr="0044098E" w:rsidRDefault="006A21CD" w:rsidP="0044098E">
      <w:pPr>
        <w:spacing w:after="0" w:line="240" w:lineRule="auto"/>
        <w:jc w:val="both"/>
        <w:rPr>
          <w:rFonts w:eastAsia="Calibri" w:cs="Arial"/>
          <w:szCs w:val="22"/>
          <w:lang w:eastAsia="en-AU"/>
        </w:rPr>
      </w:pPr>
      <w:r>
        <w:rPr>
          <w:rFonts w:eastAsia="Calibri" w:cs="Arial"/>
          <w:szCs w:val="22"/>
          <w:lang w:eastAsia="en-AU"/>
        </w:rPr>
        <w:t xml:space="preserve">Figure 29 shows </w:t>
      </w:r>
      <w:r w:rsidR="0044098E" w:rsidRPr="0044098E">
        <w:rPr>
          <w:rFonts w:eastAsia="Calibri" w:cs="Arial"/>
          <w:szCs w:val="22"/>
          <w:lang w:eastAsia="en-AU"/>
        </w:rPr>
        <w:t>the women who gave birth, the vast majority gave birth in a hospital setting (97 per cent) followed by 2 per cent of women that gave birth at a birthin</w:t>
      </w:r>
      <w:r w:rsidR="00244CAD">
        <w:rPr>
          <w:rFonts w:eastAsia="Calibri" w:cs="Arial"/>
          <w:szCs w:val="22"/>
          <w:lang w:eastAsia="en-AU"/>
        </w:rPr>
        <w:t>g centre and 0.3</w:t>
      </w:r>
      <w:r w:rsidR="0044098E" w:rsidRPr="0044098E">
        <w:rPr>
          <w:rFonts w:eastAsia="Calibri" w:cs="Arial"/>
          <w:szCs w:val="22"/>
          <w:lang w:eastAsia="en-AU"/>
        </w:rPr>
        <w:t xml:space="preserve"> per cent who gave birth at home. </w:t>
      </w:r>
    </w:p>
    <w:p w:rsidR="00134B5F" w:rsidRPr="00EC6435" w:rsidRDefault="00EB1AC2" w:rsidP="00EC6435">
      <w:pPr>
        <w:pStyle w:val="Caption"/>
      </w:pPr>
      <w:bookmarkStart w:id="173" w:name="_Toc532473581"/>
      <w:bookmarkStart w:id="174" w:name="_Toc1725023"/>
      <w:bookmarkStart w:id="175" w:name="_Toc1722581"/>
      <w:bookmarkStart w:id="176" w:name="_Toc1724705"/>
      <w:r w:rsidRPr="00C97607">
        <w:t xml:space="preserve">Figure </w:t>
      </w:r>
      <w:r w:rsidR="002340BC" w:rsidRPr="00C97607">
        <w:t>29</w:t>
      </w:r>
      <w:r w:rsidRPr="00C97607">
        <w:t>: Women who gave birth, by location of birth</w:t>
      </w:r>
      <w:bookmarkEnd w:id="173"/>
      <w:bookmarkEnd w:id="174"/>
      <w:r w:rsidR="0044098E" w:rsidRPr="00752C2D">
        <w:t xml:space="preserve">  </w:t>
      </w:r>
      <w:bookmarkEnd w:id="175"/>
      <w:bookmarkEnd w:id="176"/>
    </w:p>
    <w:p w:rsidR="00134B5F" w:rsidRDefault="00134B5F" w:rsidP="00EC6435">
      <w:pPr>
        <w:spacing w:after="0" w:line="240" w:lineRule="auto"/>
        <w:jc w:val="center"/>
        <w:rPr>
          <w:rFonts w:eastAsia="Calibri" w:cs="Arial"/>
          <w:bCs/>
          <w:i/>
          <w:color w:val="000000"/>
          <w:sz w:val="16"/>
          <w:szCs w:val="16"/>
          <w:shd w:val="clear" w:color="auto" w:fill="FFFFFF"/>
          <w:lang w:eastAsia="en-AU"/>
        </w:rPr>
      </w:pPr>
      <w:r>
        <w:rPr>
          <w:rFonts w:eastAsia="Calibri" w:cs="Arial"/>
          <w:bCs/>
          <w:i/>
          <w:noProof/>
          <w:color w:val="000000"/>
          <w:sz w:val="16"/>
          <w:szCs w:val="16"/>
          <w:shd w:val="clear" w:color="auto" w:fill="FFFFFF"/>
          <w:lang w:eastAsia="en-AU"/>
        </w:rPr>
        <w:drawing>
          <wp:inline distT="0" distB="0" distL="0" distR="0">
            <wp:extent cx="3853543" cy="1958945"/>
            <wp:effectExtent l="0" t="0" r="0" b="3810"/>
            <wp:docPr id="52" name="Picture 52" descr="Shows the number of women who gave birth by location of birth.  Most births occured in hospital settings (97%), followed by 2 per cent of women that gave birth at a birthing centre and 0.3 per cent who gave birth at home. " title="Figure 29: Women who gave birth, by location of bir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87CC8E2.tmp"/>
                    <pic:cNvPicPr/>
                  </pic:nvPicPr>
                  <pic:blipFill rotWithShape="1">
                    <a:blip r:embed="rId36" cstate="print">
                      <a:extLst>
                        <a:ext uri="{28A0092B-C50C-407E-A947-70E740481C1C}">
                          <a14:useLocalDpi xmlns:a14="http://schemas.microsoft.com/office/drawing/2010/main" val="0"/>
                        </a:ext>
                      </a:extLst>
                    </a:blip>
                    <a:srcRect l="12418" t="36245" r="34237" b="13387"/>
                    <a:stretch/>
                  </pic:blipFill>
                  <pic:spPr bwMode="auto">
                    <a:xfrm>
                      <a:off x="0" y="0"/>
                      <a:ext cx="3883876" cy="1974365"/>
                    </a:xfrm>
                    <a:prstGeom prst="rect">
                      <a:avLst/>
                    </a:prstGeom>
                    <a:ln>
                      <a:noFill/>
                    </a:ln>
                    <a:extLst>
                      <a:ext uri="{53640926-AAD7-44D8-BBD7-CCE9431645EC}">
                        <a14:shadowObscured xmlns:a14="http://schemas.microsoft.com/office/drawing/2010/main"/>
                      </a:ext>
                    </a:extLst>
                  </pic:spPr>
                </pic:pic>
              </a:graphicData>
            </a:graphic>
          </wp:inline>
        </w:drawing>
      </w:r>
    </w:p>
    <w:p w:rsidR="0044098E" w:rsidRPr="005142DA" w:rsidRDefault="0044098E" w:rsidP="0044098E">
      <w:pPr>
        <w:spacing w:after="0" w:line="240" w:lineRule="auto"/>
        <w:rPr>
          <w:rFonts w:eastAsia="Calibri" w:cs="Arial"/>
          <w:bCs/>
          <w:i/>
          <w:color w:val="000000"/>
          <w:sz w:val="16"/>
          <w:szCs w:val="16"/>
          <w:shd w:val="clear" w:color="auto" w:fill="FFFFFF"/>
          <w:lang w:eastAsia="en-AU"/>
        </w:rPr>
      </w:pPr>
      <w:r w:rsidRPr="005142DA">
        <w:rPr>
          <w:rFonts w:eastAsia="Calibri" w:cs="Arial"/>
          <w:bCs/>
          <w:i/>
          <w:color w:val="000000"/>
          <w:sz w:val="16"/>
          <w:szCs w:val="16"/>
          <w:shd w:val="clear" w:color="auto" w:fill="FFFFFF"/>
          <w:lang w:eastAsia="en-AU"/>
        </w:rPr>
        <w:t>AIHW, Australia’s mothers and babie</w:t>
      </w:r>
      <w:r w:rsidR="00244CAD" w:rsidRPr="005142DA">
        <w:rPr>
          <w:rFonts w:eastAsia="Calibri" w:cs="Arial"/>
          <w:bCs/>
          <w:i/>
          <w:color w:val="000000"/>
          <w:sz w:val="16"/>
          <w:szCs w:val="16"/>
          <w:shd w:val="clear" w:color="auto" w:fill="FFFFFF"/>
          <w:lang w:eastAsia="en-AU"/>
        </w:rPr>
        <w:t xml:space="preserve">s annual report – in brief, </w:t>
      </w:r>
      <w:r w:rsidR="00D12BB1" w:rsidRPr="005142DA">
        <w:rPr>
          <w:rFonts w:eastAsia="Calibri" w:cs="Arial"/>
          <w:bCs/>
          <w:i/>
          <w:color w:val="000000"/>
          <w:sz w:val="16"/>
          <w:szCs w:val="16"/>
          <w:shd w:val="clear" w:color="auto" w:fill="FFFFFF"/>
          <w:lang w:eastAsia="en-AU"/>
        </w:rPr>
        <w:t>2016</w:t>
      </w:r>
      <w:r w:rsidRPr="005142DA">
        <w:rPr>
          <w:rFonts w:eastAsia="Calibri" w:cs="Arial"/>
          <w:bCs/>
          <w:i/>
          <w:color w:val="000000"/>
          <w:sz w:val="16"/>
          <w:szCs w:val="16"/>
          <w:shd w:val="clear" w:color="auto" w:fill="FFFFFF"/>
          <w:lang w:eastAsia="en-AU"/>
        </w:rPr>
        <w:t>. Pe</w:t>
      </w:r>
      <w:r w:rsidR="005142DA">
        <w:rPr>
          <w:rFonts w:eastAsia="Calibri" w:cs="Arial"/>
          <w:bCs/>
          <w:i/>
          <w:color w:val="000000"/>
          <w:sz w:val="16"/>
          <w:szCs w:val="16"/>
          <w:shd w:val="clear" w:color="auto" w:fill="FFFFFF"/>
          <w:lang w:eastAsia="en-AU"/>
        </w:rPr>
        <w:t>rinatal statistics series no.</w:t>
      </w:r>
      <w:r w:rsidR="00244CAD" w:rsidRPr="005142DA">
        <w:rPr>
          <w:rFonts w:eastAsia="Calibri" w:cs="Arial"/>
          <w:bCs/>
          <w:i/>
          <w:color w:val="000000"/>
          <w:sz w:val="16"/>
          <w:szCs w:val="16"/>
          <w:shd w:val="clear" w:color="auto" w:fill="FFFFFF"/>
          <w:lang w:eastAsia="en-AU"/>
        </w:rPr>
        <w:t>34</w:t>
      </w:r>
      <w:r w:rsidRPr="005142DA">
        <w:rPr>
          <w:rFonts w:eastAsia="Calibri" w:cs="Arial"/>
          <w:bCs/>
          <w:i/>
          <w:color w:val="000000"/>
          <w:sz w:val="16"/>
          <w:szCs w:val="16"/>
          <w:shd w:val="clear" w:color="auto" w:fill="FFFFFF"/>
          <w:lang w:eastAsia="en-AU"/>
        </w:rPr>
        <w:t xml:space="preserve"> cat no. PER</w:t>
      </w:r>
      <w:r w:rsidR="00244CAD" w:rsidRPr="005142DA">
        <w:rPr>
          <w:rFonts w:eastAsia="Calibri" w:cs="Arial"/>
          <w:bCs/>
          <w:i/>
          <w:color w:val="000000"/>
          <w:sz w:val="16"/>
          <w:szCs w:val="16"/>
          <w:shd w:val="clear" w:color="auto" w:fill="FFFFFF"/>
          <w:lang w:eastAsia="en-AU"/>
        </w:rPr>
        <w:t>9</w:t>
      </w:r>
      <w:r w:rsidRPr="005142DA">
        <w:rPr>
          <w:rFonts w:eastAsia="Calibri" w:cs="Arial"/>
          <w:bCs/>
          <w:i/>
          <w:color w:val="000000"/>
          <w:sz w:val="16"/>
          <w:szCs w:val="16"/>
          <w:shd w:val="clear" w:color="auto" w:fill="FFFFFF"/>
          <w:lang w:eastAsia="en-AU"/>
        </w:rPr>
        <w:t>7. Canberra</w:t>
      </w:r>
    </w:p>
    <w:p w:rsidR="00826C99" w:rsidRPr="0044098E" w:rsidRDefault="00826C99" w:rsidP="0044098E">
      <w:pPr>
        <w:spacing w:after="0" w:line="240" w:lineRule="auto"/>
        <w:rPr>
          <w:rFonts w:eastAsia="Calibri" w:cs="Arial"/>
          <w:bCs/>
          <w:i/>
          <w:color w:val="000000"/>
          <w:szCs w:val="22"/>
          <w:shd w:val="clear" w:color="auto" w:fill="FFFFFF"/>
          <w:lang w:eastAsia="en-AU"/>
        </w:rPr>
      </w:pPr>
    </w:p>
    <w:p w:rsidR="005E7E94" w:rsidRDefault="0044098E" w:rsidP="005E7E94">
      <w:pPr>
        <w:spacing w:line="240" w:lineRule="auto"/>
        <w:rPr>
          <w:lang w:eastAsia="en-AU"/>
        </w:rPr>
      </w:pPr>
      <w:r w:rsidRPr="0044098E">
        <w:rPr>
          <w:rFonts w:eastAsia="Calibri" w:cs="Arial"/>
          <w:szCs w:val="22"/>
          <w:lang w:eastAsia="en-AU"/>
        </w:rPr>
        <w:lastRenderedPageBreak/>
        <w:t xml:space="preserve">The number of births can be further disaggregated into </w:t>
      </w:r>
      <w:r w:rsidR="002B3F61">
        <w:rPr>
          <w:rFonts w:eastAsia="Calibri" w:cs="Arial"/>
          <w:szCs w:val="22"/>
          <w:lang w:eastAsia="en-AU"/>
        </w:rPr>
        <w:t>the different methods of birth.</w:t>
      </w:r>
      <w:r w:rsidRPr="0044098E">
        <w:rPr>
          <w:rFonts w:eastAsia="Calibri" w:cs="Arial"/>
          <w:szCs w:val="22"/>
          <w:lang w:eastAsia="en-AU"/>
        </w:rPr>
        <w:fldChar w:fldCharType="begin"/>
      </w:r>
      <w:r w:rsidRPr="0044098E">
        <w:rPr>
          <w:rFonts w:eastAsia="Calibri" w:cs="Arial"/>
          <w:szCs w:val="22"/>
          <w:lang w:eastAsia="en-AU"/>
        </w:rPr>
        <w:instrText xml:space="preserve"> REF _Ref482105301 \h  \* MERGEFORMAT </w:instrText>
      </w:r>
      <w:r w:rsidRPr="0044098E">
        <w:rPr>
          <w:rFonts w:eastAsia="Calibri" w:cs="Arial"/>
          <w:szCs w:val="22"/>
          <w:lang w:eastAsia="en-AU"/>
        </w:rPr>
      </w:r>
      <w:r w:rsidRPr="0044098E">
        <w:rPr>
          <w:rFonts w:eastAsia="Calibri" w:cs="Arial"/>
          <w:szCs w:val="22"/>
          <w:lang w:eastAsia="en-AU"/>
        </w:rPr>
        <w:fldChar w:fldCharType="separate"/>
      </w:r>
      <w:r w:rsidR="005E7E94">
        <w:rPr>
          <w:lang w:eastAsia="en-AU"/>
        </w:rPr>
        <w:t xml:space="preserve"> </w:t>
      </w:r>
    </w:p>
    <w:p w:rsidR="00F5653E" w:rsidRDefault="0044098E" w:rsidP="009D4FCE">
      <w:pPr>
        <w:spacing w:before="120" w:after="120" w:line="240" w:lineRule="auto"/>
        <w:jc w:val="both"/>
        <w:rPr>
          <w:lang w:eastAsia="en-AU"/>
        </w:rPr>
      </w:pPr>
      <w:r w:rsidRPr="0044098E">
        <w:rPr>
          <w:rFonts w:eastAsia="Calibri" w:cs="Arial"/>
          <w:szCs w:val="22"/>
          <w:lang w:eastAsia="en-AU"/>
        </w:rPr>
        <w:fldChar w:fldCharType="end"/>
      </w:r>
      <w:r w:rsidR="00A8161E">
        <w:rPr>
          <w:rFonts w:eastAsia="Calibri" w:cs="Arial"/>
          <w:szCs w:val="22"/>
          <w:lang w:eastAsia="en-AU"/>
        </w:rPr>
        <w:t xml:space="preserve">Figure </w:t>
      </w:r>
      <w:r w:rsidR="006F5994">
        <w:rPr>
          <w:rFonts w:eastAsia="Calibri" w:cs="Arial"/>
          <w:szCs w:val="22"/>
          <w:lang w:eastAsia="en-AU"/>
        </w:rPr>
        <w:t>30</w:t>
      </w:r>
      <w:r w:rsidR="009B7071">
        <w:rPr>
          <w:rFonts w:eastAsia="Calibri" w:cs="Arial"/>
          <w:szCs w:val="22"/>
          <w:lang w:eastAsia="en-AU"/>
        </w:rPr>
        <w:t xml:space="preserve"> </w:t>
      </w:r>
      <w:r w:rsidRPr="0044098E">
        <w:rPr>
          <w:rFonts w:eastAsia="Calibri" w:cs="Arial"/>
          <w:szCs w:val="22"/>
          <w:lang w:eastAsia="en-AU"/>
        </w:rPr>
        <w:t>shows the number of births within hospital settings; where on average 71 per cent of births occurred in a public hospital. The vast majority of public hospital births were spontaneous vaginal births (almost 60 per cent) followed by caesarean sections (29 per cent) and forceps and vacuum extraction accounted for 11 per cent of all public hospital births. The private hospital births accounted for 29 per cent of all births, and within this setting there was an almost even split between spontaneous vaginal births and caesarean sections with 42 and 43 per cent respectively. The number of caesarean sections has grown more in the public sector in the last eight years at 2.8 per cent compared to 1.3 per cent in the private sector. Overall the percentage of caesarean sections account for 34 per cent of all births in 2014 compared to 32 per cent in 2006.</w:t>
      </w:r>
      <w:bookmarkStart w:id="177" w:name="_Ref482105301"/>
      <w:bookmarkStart w:id="178" w:name="_Toc506450040"/>
      <w:r w:rsidR="009D4FCE">
        <w:rPr>
          <w:lang w:eastAsia="en-AU"/>
        </w:rPr>
        <w:t xml:space="preserve"> </w:t>
      </w:r>
    </w:p>
    <w:p w:rsidR="002745A7" w:rsidRPr="002745A7" w:rsidRDefault="00EB1AC2" w:rsidP="002745A7">
      <w:pPr>
        <w:pStyle w:val="Caption"/>
      </w:pPr>
      <w:bookmarkStart w:id="179" w:name="_Toc532473582"/>
      <w:bookmarkStart w:id="180" w:name="_Toc1722582"/>
      <w:bookmarkStart w:id="181" w:name="_Toc1724706"/>
      <w:bookmarkStart w:id="182" w:name="_Toc1725024"/>
      <w:bookmarkEnd w:id="177"/>
      <w:bookmarkEnd w:id="178"/>
      <w:r w:rsidRPr="00477A29">
        <w:t xml:space="preserve">Figure </w:t>
      </w:r>
      <w:r w:rsidR="002340BC" w:rsidRPr="00477A29">
        <w:t>30</w:t>
      </w:r>
      <w:r w:rsidRPr="00477A29">
        <w:t>: Women who gave birth in hospital by method of birth, hospital sector</w:t>
      </w:r>
      <w:bookmarkEnd w:id="179"/>
      <w:bookmarkEnd w:id="180"/>
      <w:bookmarkEnd w:id="181"/>
      <w:bookmarkEnd w:id="182"/>
    </w:p>
    <w:p w:rsidR="002745A7" w:rsidRDefault="002745A7" w:rsidP="002745A7">
      <w:pPr>
        <w:spacing w:after="120" w:line="240" w:lineRule="auto"/>
        <w:jc w:val="center"/>
        <w:rPr>
          <w:rFonts w:eastAsia="Calibri" w:cs="Arial"/>
          <w:bCs/>
          <w:i/>
          <w:color w:val="000000"/>
          <w:sz w:val="16"/>
          <w:szCs w:val="16"/>
          <w:shd w:val="clear" w:color="auto" w:fill="FFFFFF"/>
          <w:lang w:eastAsia="en-AU"/>
        </w:rPr>
      </w:pPr>
      <w:r>
        <w:rPr>
          <w:rFonts w:eastAsia="Calibri" w:cs="Arial"/>
          <w:bCs/>
          <w:i/>
          <w:noProof/>
          <w:color w:val="000000"/>
          <w:sz w:val="16"/>
          <w:szCs w:val="16"/>
          <w:shd w:val="clear" w:color="auto" w:fill="FFFFFF"/>
          <w:lang w:eastAsia="en-AU"/>
        </w:rPr>
        <w:drawing>
          <wp:inline distT="0" distB="0" distL="0" distR="0">
            <wp:extent cx="4490808" cy="2499360"/>
            <wp:effectExtent l="0" t="0" r="5080" b="0"/>
            <wp:docPr id="5" name="Picture 5" descr="Shows the number of births within hospital settings; where on average 71 per cent of births occurred in a public hospital. The vast majority of public hospital births were spontaneous vaginal births (almost 60 per cent) followed by caesarean sections (29 per cent) and forceps and vacuum extraction accounted for 11 per cent of all public hospital births. The private hospital births accounted for 29 per cent of all births, and within this setting there was an almost even split between spontaneous vaginal births and caesarean sections with 42 and 43 per cent respectively." title="Figure 30: Women who gave birth in hospital by method of birth, hospital sec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18D4B2.tmp"/>
                    <pic:cNvPicPr/>
                  </pic:nvPicPr>
                  <pic:blipFill rotWithShape="1">
                    <a:blip r:embed="rId37">
                      <a:extLst>
                        <a:ext uri="{28A0092B-C50C-407E-A947-70E740481C1C}">
                          <a14:useLocalDpi xmlns:a14="http://schemas.microsoft.com/office/drawing/2010/main" val="0"/>
                        </a:ext>
                      </a:extLst>
                    </a:blip>
                    <a:srcRect l="20437" t="30444" r="30591" b="19586"/>
                    <a:stretch/>
                  </pic:blipFill>
                  <pic:spPr bwMode="auto">
                    <a:xfrm>
                      <a:off x="0" y="0"/>
                      <a:ext cx="4498469" cy="2503624"/>
                    </a:xfrm>
                    <a:prstGeom prst="rect">
                      <a:avLst/>
                    </a:prstGeom>
                    <a:ln>
                      <a:noFill/>
                    </a:ln>
                    <a:extLst>
                      <a:ext uri="{53640926-AAD7-44D8-BBD7-CCE9431645EC}">
                        <a14:shadowObscured xmlns:a14="http://schemas.microsoft.com/office/drawing/2010/main"/>
                      </a:ext>
                    </a:extLst>
                  </pic:spPr>
                </pic:pic>
              </a:graphicData>
            </a:graphic>
          </wp:inline>
        </w:drawing>
      </w:r>
    </w:p>
    <w:p w:rsidR="0044098E" w:rsidRPr="005142DA" w:rsidRDefault="004234F0" w:rsidP="003423C0">
      <w:pPr>
        <w:spacing w:after="120" w:line="240" w:lineRule="auto"/>
        <w:rPr>
          <w:rFonts w:eastAsia="Calibri" w:cs="Arial"/>
          <w:bCs/>
          <w:i/>
          <w:color w:val="000000"/>
          <w:sz w:val="16"/>
          <w:szCs w:val="16"/>
          <w:shd w:val="clear" w:color="auto" w:fill="FFFFFF"/>
          <w:lang w:eastAsia="en-AU"/>
        </w:rPr>
      </w:pPr>
      <w:r w:rsidRPr="005142DA">
        <w:rPr>
          <w:rFonts w:eastAsia="Calibri" w:cs="Arial"/>
          <w:bCs/>
          <w:i/>
          <w:color w:val="000000"/>
          <w:sz w:val="16"/>
          <w:szCs w:val="16"/>
          <w:shd w:val="clear" w:color="auto" w:fill="FFFFFF"/>
          <w:lang w:eastAsia="en-AU"/>
        </w:rPr>
        <w:t xml:space="preserve">AIHW, Australia’s mothers and babies annual report – in brief, </w:t>
      </w:r>
      <w:r w:rsidR="00D12BB1" w:rsidRPr="005142DA">
        <w:rPr>
          <w:rFonts w:eastAsia="Calibri" w:cs="Arial"/>
          <w:bCs/>
          <w:i/>
          <w:color w:val="000000"/>
          <w:sz w:val="16"/>
          <w:szCs w:val="16"/>
          <w:shd w:val="clear" w:color="auto" w:fill="FFFFFF"/>
          <w:lang w:eastAsia="en-AU"/>
        </w:rPr>
        <w:t>2016</w:t>
      </w:r>
      <w:r w:rsidRPr="005142DA">
        <w:rPr>
          <w:rFonts w:eastAsia="Calibri" w:cs="Arial"/>
          <w:bCs/>
          <w:i/>
          <w:color w:val="000000"/>
          <w:sz w:val="16"/>
          <w:szCs w:val="16"/>
          <w:shd w:val="clear" w:color="auto" w:fill="FFFFFF"/>
          <w:lang w:eastAsia="en-AU"/>
        </w:rPr>
        <w:t>. Perinatal statistics series no. 34 cat no. PER9</w:t>
      </w:r>
      <w:r w:rsidR="003423C0" w:rsidRPr="005142DA">
        <w:rPr>
          <w:rFonts w:eastAsia="Calibri" w:cs="Arial"/>
          <w:bCs/>
          <w:i/>
          <w:color w:val="000000"/>
          <w:sz w:val="16"/>
          <w:szCs w:val="16"/>
          <w:shd w:val="clear" w:color="auto" w:fill="FFFFFF"/>
          <w:lang w:eastAsia="en-AU"/>
        </w:rPr>
        <w:t>7. Canberra</w:t>
      </w:r>
    </w:p>
    <w:p w:rsidR="005D2B69" w:rsidRPr="0044098E" w:rsidRDefault="0044098E" w:rsidP="0044098E">
      <w:pPr>
        <w:spacing w:after="0" w:line="240" w:lineRule="auto"/>
        <w:jc w:val="both"/>
        <w:rPr>
          <w:rFonts w:eastAsia="Calibri" w:cs="Arial"/>
          <w:szCs w:val="22"/>
          <w:lang w:eastAsia="en-AU"/>
        </w:rPr>
      </w:pPr>
      <w:r w:rsidRPr="0044098E">
        <w:rPr>
          <w:rFonts w:eastAsia="Calibri" w:cs="Arial"/>
          <w:szCs w:val="22"/>
          <w:lang w:eastAsia="en-AU"/>
        </w:rPr>
        <w:t xml:space="preserve">Since 2006 there </w:t>
      </w:r>
      <w:r w:rsidR="00A8161E">
        <w:rPr>
          <w:rFonts w:eastAsia="Calibri" w:cs="Arial"/>
          <w:szCs w:val="22"/>
          <w:lang w:eastAsia="en-AU"/>
        </w:rPr>
        <w:t xml:space="preserve">has </w:t>
      </w:r>
      <w:r w:rsidRPr="0044098E">
        <w:rPr>
          <w:rFonts w:eastAsia="Calibri" w:cs="Arial"/>
          <w:szCs w:val="22"/>
          <w:lang w:eastAsia="en-AU"/>
        </w:rPr>
        <w:t>been over 700 home births each year</w:t>
      </w:r>
      <w:r w:rsidR="00A8161E">
        <w:rPr>
          <w:rFonts w:eastAsia="Calibri" w:cs="Arial"/>
          <w:szCs w:val="22"/>
          <w:lang w:eastAsia="en-AU"/>
        </w:rPr>
        <w:t>. P</w:t>
      </w:r>
      <w:r w:rsidRPr="0044098E">
        <w:rPr>
          <w:rFonts w:eastAsia="Calibri" w:cs="Arial"/>
          <w:szCs w:val="22"/>
          <w:lang w:eastAsia="en-AU"/>
        </w:rPr>
        <w:t xml:space="preserve">roportionally this only equates </w:t>
      </w:r>
      <w:r w:rsidRPr="00317489">
        <w:rPr>
          <w:rFonts w:eastAsia="Calibri" w:cs="Arial"/>
          <w:szCs w:val="22"/>
          <w:lang w:eastAsia="en-AU"/>
        </w:rPr>
        <w:t>to 0.</w:t>
      </w:r>
      <w:r w:rsidR="006F5994" w:rsidRPr="00317489">
        <w:rPr>
          <w:rFonts w:eastAsia="Calibri" w:cs="Arial"/>
          <w:szCs w:val="22"/>
          <w:lang w:eastAsia="en-AU"/>
        </w:rPr>
        <w:t>3</w:t>
      </w:r>
      <w:r w:rsidRPr="0044098E">
        <w:rPr>
          <w:rFonts w:eastAsia="Calibri" w:cs="Arial"/>
          <w:szCs w:val="22"/>
          <w:lang w:eastAsia="en-AU"/>
        </w:rPr>
        <w:t xml:space="preserve"> per cent of the total number of births. Home births mostly occur in major cities and rarel</w:t>
      </w:r>
      <w:r w:rsidR="000908BD">
        <w:rPr>
          <w:rFonts w:eastAsia="Calibri" w:cs="Arial"/>
          <w:szCs w:val="22"/>
          <w:lang w:eastAsia="en-AU"/>
        </w:rPr>
        <w:t>y</w:t>
      </w:r>
      <w:r w:rsidR="009B7071">
        <w:rPr>
          <w:rFonts w:eastAsia="Calibri" w:cs="Arial"/>
          <w:szCs w:val="22"/>
          <w:lang w:eastAsia="en-AU"/>
        </w:rPr>
        <w:t xml:space="preserve"> in very remote areas (Figure</w:t>
      </w:r>
      <w:r w:rsidR="00826015">
        <w:rPr>
          <w:rFonts w:eastAsia="Calibri" w:cs="Arial"/>
          <w:szCs w:val="22"/>
          <w:lang w:eastAsia="en-AU"/>
        </w:rPr>
        <w:t xml:space="preserve"> </w:t>
      </w:r>
      <w:r w:rsidR="006F5994">
        <w:rPr>
          <w:rFonts w:eastAsia="Calibri" w:cs="Arial"/>
          <w:szCs w:val="22"/>
          <w:lang w:eastAsia="en-AU"/>
        </w:rPr>
        <w:t>31</w:t>
      </w:r>
      <w:r w:rsidR="003423C0">
        <w:rPr>
          <w:rFonts w:eastAsia="Calibri" w:cs="Arial"/>
          <w:szCs w:val="22"/>
          <w:lang w:eastAsia="en-AU"/>
        </w:rPr>
        <w:t>).</w:t>
      </w:r>
    </w:p>
    <w:p w:rsidR="00EC6435" w:rsidRPr="00EC6435" w:rsidRDefault="00EB1AC2" w:rsidP="00EC6435">
      <w:pPr>
        <w:pStyle w:val="Caption"/>
      </w:pPr>
      <w:bookmarkStart w:id="183" w:name="_Toc532473583"/>
      <w:bookmarkStart w:id="184" w:name="_Toc1722583"/>
      <w:bookmarkStart w:id="185" w:name="_Toc1724707"/>
      <w:bookmarkStart w:id="186" w:name="_Toc1725025"/>
      <w:r w:rsidRPr="00477A29">
        <w:t xml:space="preserve">Figure </w:t>
      </w:r>
      <w:r w:rsidR="002340BC" w:rsidRPr="00477A29">
        <w:t>31</w:t>
      </w:r>
      <w:r w:rsidRPr="00477A29">
        <w:t>: Women who gave birth at home by location</w:t>
      </w:r>
      <w:bookmarkEnd w:id="183"/>
      <w:bookmarkEnd w:id="184"/>
      <w:bookmarkEnd w:id="185"/>
      <w:bookmarkEnd w:id="186"/>
    </w:p>
    <w:p w:rsidR="005142DA" w:rsidRDefault="00EC6435" w:rsidP="00EC6435">
      <w:pPr>
        <w:spacing w:after="0" w:line="240" w:lineRule="auto"/>
        <w:jc w:val="center"/>
        <w:rPr>
          <w:rFonts w:eastAsia="Calibri" w:cs="Arial"/>
          <w:szCs w:val="22"/>
          <w:lang w:eastAsia="en-AU"/>
        </w:rPr>
      </w:pPr>
      <w:r>
        <w:rPr>
          <w:rFonts w:eastAsia="Calibri" w:cs="Arial"/>
          <w:noProof/>
          <w:szCs w:val="22"/>
          <w:lang w:eastAsia="en-AU"/>
        </w:rPr>
        <w:drawing>
          <wp:inline distT="0" distB="0" distL="0" distR="0">
            <wp:extent cx="4541855" cy="2375223"/>
            <wp:effectExtent l="0" t="0" r="0" b="6350"/>
            <wp:docPr id="1" name="Picture 1" descr="Shows women who gave birth at home tended to be located in major cities followed by inner regional areas.&#10;" title="Figure 31: Women who gave birth at home by lo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18FDB.tmp"/>
                    <pic:cNvPicPr/>
                  </pic:nvPicPr>
                  <pic:blipFill rotWithShape="1">
                    <a:blip r:embed="rId38">
                      <a:extLst>
                        <a:ext uri="{28A0092B-C50C-407E-A947-70E740481C1C}">
                          <a14:useLocalDpi xmlns:a14="http://schemas.microsoft.com/office/drawing/2010/main" val="0"/>
                        </a:ext>
                      </a:extLst>
                    </a:blip>
                    <a:srcRect l="20349" t="33009" r="24154" b="13782"/>
                    <a:stretch/>
                  </pic:blipFill>
                  <pic:spPr bwMode="auto">
                    <a:xfrm>
                      <a:off x="0" y="0"/>
                      <a:ext cx="4551285" cy="2380155"/>
                    </a:xfrm>
                    <a:prstGeom prst="rect">
                      <a:avLst/>
                    </a:prstGeom>
                    <a:ln>
                      <a:noFill/>
                    </a:ln>
                    <a:extLst>
                      <a:ext uri="{53640926-AAD7-44D8-BBD7-CCE9431645EC}">
                        <a14:shadowObscured xmlns:a14="http://schemas.microsoft.com/office/drawing/2010/main"/>
                      </a:ext>
                    </a:extLst>
                  </pic:spPr>
                </pic:pic>
              </a:graphicData>
            </a:graphic>
          </wp:inline>
        </w:drawing>
      </w:r>
    </w:p>
    <w:p w:rsidR="00486E0D" w:rsidRPr="005142DA" w:rsidRDefault="00486E0D" w:rsidP="00486E0D">
      <w:pPr>
        <w:spacing w:after="0" w:line="240" w:lineRule="auto"/>
        <w:rPr>
          <w:rFonts w:eastAsia="Calibri" w:cs="Arial"/>
          <w:bCs/>
          <w:i/>
          <w:color w:val="000000"/>
          <w:sz w:val="16"/>
          <w:szCs w:val="16"/>
          <w:shd w:val="clear" w:color="auto" w:fill="FFFFFF"/>
          <w:lang w:eastAsia="en-AU"/>
        </w:rPr>
      </w:pPr>
      <w:bookmarkStart w:id="187" w:name="_Toc506450009"/>
      <w:r w:rsidRPr="005142DA">
        <w:rPr>
          <w:rFonts w:eastAsia="Calibri" w:cs="Arial"/>
          <w:bCs/>
          <w:i/>
          <w:color w:val="000000"/>
          <w:sz w:val="16"/>
          <w:szCs w:val="16"/>
          <w:shd w:val="clear" w:color="auto" w:fill="FFFFFF"/>
          <w:lang w:eastAsia="en-AU"/>
        </w:rPr>
        <w:t xml:space="preserve">AIHW, Australia’s mothers and babies annual report – in brief, </w:t>
      </w:r>
      <w:r w:rsidR="00D12BB1" w:rsidRPr="005142DA">
        <w:rPr>
          <w:rFonts w:eastAsia="Calibri" w:cs="Arial"/>
          <w:bCs/>
          <w:i/>
          <w:color w:val="000000"/>
          <w:sz w:val="16"/>
          <w:szCs w:val="16"/>
          <w:shd w:val="clear" w:color="auto" w:fill="FFFFFF"/>
          <w:lang w:eastAsia="en-AU"/>
        </w:rPr>
        <w:t>2016</w:t>
      </w:r>
      <w:r w:rsidRPr="005142DA">
        <w:rPr>
          <w:rFonts w:eastAsia="Calibri" w:cs="Arial"/>
          <w:bCs/>
          <w:i/>
          <w:color w:val="000000"/>
          <w:sz w:val="16"/>
          <w:szCs w:val="16"/>
          <w:shd w:val="clear" w:color="auto" w:fill="FFFFFF"/>
          <w:lang w:eastAsia="en-AU"/>
        </w:rPr>
        <w:t>. Perinatal statistics series no. 34 cat no. PER97. Canberra</w:t>
      </w:r>
    </w:p>
    <w:p w:rsidR="0044098E" w:rsidRPr="00E85564" w:rsidRDefault="0044098E" w:rsidP="00E85564">
      <w:pPr>
        <w:pStyle w:val="Heading2"/>
      </w:pPr>
      <w:bookmarkStart w:id="188" w:name="_Toc10808410"/>
      <w:r w:rsidRPr="00E85564">
        <w:lastRenderedPageBreak/>
        <w:t>Antenatal attendances</w:t>
      </w:r>
      <w:bookmarkEnd w:id="187"/>
      <w:bookmarkEnd w:id="188"/>
    </w:p>
    <w:p w:rsidR="009D0037" w:rsidRPr="009F4C78" w:rsidRDefault="0044098E" w:rsidP="000908BD">
      <w:pPr>
        <w:spacing w:before="120" w:after="120" w:line="240" w:lineRule="auto"/>
        <w:jc w:val="both"/>
        <w:rPr>
          <w:rFonts w:eastAsia="Calibri" w:cs="Arial"/>
          <w:szCs w:val="22"/>
          <w:shd w:val="clear" w:color="auto" w:fill="FFFFFF"/>
          <w:lang w:eastAsia="en-AU"/>
        </w:rPr>
      </w:pPr>
      <w:r w:rsidRPr="009F4C78">
        <w:rPr>
          <w:rFonts w:eastAsia="Calibri" w:cs="Arial"/>
          <w:szCs w:val="22"/>
          <w:shd w:val="clear" w:color="auto" w:fill="FFFFFF"/>
          <w:lang w:eastAsia="en-AU"/>
        </w:rPr>
        <w:t>Antenatal care is a critical opportunity for health providers to deliver care, support and information to pregnant women. This includes</w:t>
      </w:r>
      <w:r w:rsidR="009D0037" w:rsidRPr="009F4C78">
        <w:rPr>
          <w:rFonts w:eastAsia="Calibri" w:cs="Arial"/>
          <w:szCs w:val="22"/>
          <w:shd w:val="clear" w:color="auto" w:fill="FFFFFF"/>
          <w:lang w:eastAsia="en-AU"/>
        </w:rPr>
        <w:t>:</w:t>
      </w:r>
    </w:p>
    <w:p w:rsidR="009D0037" w:rsidRPr="009F4C78" w:rsidRDefault="0044098E" w:rsidP="002B7E32">
      <w:pPr>
        <w:pStyle w:val="ListParagraph"/>
        <w:numPr>
          <w:ilvl w:val="0"/>
          <w:numId w:val="24"/>
        </w:numPr>
        <w:ind w:left="567"/>
        <w:rPr>
          <w:rFonts w:eastAsia="Calibri" w:cs="Arial"/>
          <w:szCs w:val="22"/>
          <w:shd w:val="clear" w:color="auto" w:fill="FFFFFF"/>
          <w:lang w:eastAsia="en-AU"/>
        </w:rPr>
      </w:pPr>
      <w:r w:rsidRPr="009F4C78">
        <w:rPr>
          <w:rFonts w:eastAsia="Calibri" w:cs="Arial"/>
          <w:szCs w:val="22"/>
          <w:shd w:val="clear" w:color="auto" w:fill="FFFFFF"/>
          <w:lang w:eastAsia="en-AU"/>
        </w:rPr>
        <w:t>promoting a healthy lifestyle</w:t>
      </w:r>
      <w:r w:rsidR="009D0037" w:rsidRPr="009F4C78">
        <w:rPr>
          <w:rFonts w:eastAsia="Calibri" w:cs="Arial"/>
          <w:szCs w:val="22"/>
          <w:shd w:val="clear" w:color="auto" w:fill="FFFFFF"/>
          <w:lang w:eastAsia="en-AU"/>
        </w:rPr>
        <w:t>;</w:t>
      </w:r>
    </w:p>
    <w:p w:rsidR="009D0037" w:rsidRPr="009F4C78" w:rsidRDefault="009D0037" w:rsidP="002B7E32">
      <w:pPr>
        <w:pStyle w:val="ListParagraph"/>
        <w:numPr>
          <w:ilvl w:val="0"/>
          <w:numId w:val="24"/>
        </w:numPr>
        <w:ind w:left="567"/>
        <w:rPr>
          <w:rFonts w:eastAsia="Calibri" w:cs="Arial"/>
          <w:szCs w:val="22"/>
          <w:shd w:val="clear" w:color="auto" w:fill="FFFFFF"/>
          <w:lang w:eastAsia="en-AU"/>
        </w:rPr>
      </w:pPr>
      <w:r w:rsidRPr="009F4C78">
        <w:rPr>
          <w:rFonts w:eastAsia="Calibri" w:cs="Arial"/>
          <w:szCs w:val="22"/>
          <w:shd w:val="clear" w:color="auto" w:fill="FFFFFF"/>
          <w:lang w:eastAsia="en-AU"/>
        </w:rPr>
        <w:t xml:space="preserve">promoting </w:t>
      </w:r>
      <w:r w:rsidR="0044098E" w:rsidRPr="009F4C78">
        <w:rPr>
          <w:rFonts w:eastAsia="Calibri" w:cs="Arial"/>
          <w:szCs w:val="22"/>
          <w:shd w:val="clear" w:color="auto" w:fill="FFFFFF"/>
          <w:lang w:eastAsia="en-AU"/>
        </w:rPr>
        <w:t>good nutrition;</w:t>
      </w:r>
    </w:p>
    <w:p w:rsidR="009D0037" w:rsidRPr="009F4C78" w:rsidRDefault="0044098E" w:rsidP="002B7E32">
      <w:pPr>
        <w:pStyle w:val="ListParagraph"/>
        <w:numPr>
          <w:ilvl w:val="0"/>
          <w:numId w:val="24"/>
        </w:numPr>
        <w:ind w:left="567"/>
        <w:rPr>
          <w:rFonts w:eastAsia="Calibri" w:cs="Arial"/>
          <w:szCs w:val="22"/>
          <w:shd w:val="clear" w:color="auto" w:fill="FFFFFF"/>
          <w:lang w:eastAsia="en-AU"/>
        </w:rPr>
      </w:pPr>
      <w:r w:rsidRPr="009F4C78">
        <w:rPr>
          <w:rFonts w:eastAsia="Calibri" w:cs="Arial"/>
          <w:szCs w:val="22"/>
          <w:shd w:val="clear" w:color="auto" w:fill="FFFFFF"/>
          <w:lang w:eastAsia="en-AU"/>
        </w:rPr>
        <w:t xml:space="preserve">detecting and preventing diseases; </w:t>
      </w:r>
    </w:p>
    <w:p w:rsidR="009D0037" w:rsidRPr="009F4C78" w:rsidRDefault="0044098E" w:rsidP="002B7E32">
      <w:pPr>
        <w:pStyle w:val="ListParagraph"/>
        <w:numPr>
          <w:ilvl w:val="0"/>
          <w:numId w:val="24"/>
        </w:numPr>
        <w:ind w:left="567"/>
        <w:rPr>
          <w:rFonts w:eastAsia="Calibri" w:cs="Arial"/>
          <w:szCs w:val="22"/>
          <w:shd w:val="clear" w:color="auto" w:fill="FFFFFF"/>
          <w:lang w:eastAsia="en-AU"/>
        </w:rPr>
      </w:pPr>
      <w:r w:rsidRPr="009F4C78">
        <w:rPr>
          <w:rFonts w:eastAsia="Calibri" w:cs="Arial"/>
          <w:szCs w:val="22"/>
          <w:shd w:val="clear" w:color="auto" w:fill="FFFFFF"/>
          <w:lang w:eastAsia="en-AU"/>
        </w:rPr>
        <w:t xml:space="preserve">providing family planning counselling; and </w:t>
      </w:r>
    </w:p>
    <w:p w:rsidR="0044098E" w:rsidRPr="009F4C78" w:rsidRDefault="0044098E" w:rsidP="002B7E32">
      <w:pPr>
        <w:pStyle w:val="ListParagraph"/>
        <w:numPr>
          <w:ilvl w:val="0"/>
          <w:numId w:val="24"/>
        </w:numPr>
        <w:ind w:left="567"/>
        <w:rPr>
          <w:rFonts w:eastAsia="Calibri" w:cs="Arial"/>
          <w:szCs w:val="22"/>
          <w:shd w:val="clear" w:color="auto" w:fill="FFFFFF"/>
          <w:lang w:eastAsia="en-AU"/>
        </w:rPr>
      </w:pPr>
      <w:r w:rsidRPr="009F4C78">
        <w:rPr>
          <w:rFonts w:eastAsia="Calibri" w:cs="Arial"/>
          <w:szCs w:val="22"/>
          <w:shd w:val="clear" w:color="auto" w:fill="FFFFFF"/>
          <w:lang w:eastAsia="en-AU"/>
        </w:rPr>
        <w:t>supporting women who may be experiencing intimate partner violence.</w:t>
      </w:r>
    </w:p>
    <w:p w:rsidR="0044098E" w:rsidRPr="009C6D99" w:rsidRDefault="0044098E" w:rsidP="000908BD">
      <w:pPr>
        <w:spacing w:before="120" w:after="120" w:line="240" w:lineRule="auto"/>
        <w:jc w:val="both"/>
        <w:rPr>
          <w:rFonts w:eastAsia="Calibri" w:cs="Arial"/>
          <w:szCs w:val="22"/>
          <w:lang w:eastAsia="en-AU"/>
        </w:rPr>
      </w:pPr>
      <w:r w:rsidRPr="009C6D99">
        <w:rPr>
          <w:rFonts w:eastAsia="Calibri" w:cs="Arial"/>
          <w:szCs w:val="22"/>
          <w:lang w:eastAsia="en-AU"/>
        </w:rPr>
        <w:t xml:space="preserve">As indicated in the </w:t>
      </w:r>
      <w:r w:rsidR="006F5994" w:rsidRPr="00160CA5">
        <w:rPr>
          <w:rFonts w:eastAsia="Calibri" w:cs="Arial"/>
          <w:szCs w:val="22"/>
          <w:lang w:eastAsia="en-AU"/>
        </w:rPr>
        <w:t xml:space="preserve">AIHW </w:t>
      </w:r>
      <w:r w:rsidRPr="00160CA5">
        <w:rPr>
          <w:rFonts w:eastAsia="Calibri" w:cs="Arial"/>
          <w:i/>
          <w:szCs w:val="22"/>
          <w:lang w:eastAsia="en-AU"/>
        </w:rPr>
        <w:t>Aust</w:t>
      </w:r>
      <w:r w:rsidR="00486E0D" w:rsidRPr="00160CA5">
        <w:rPr>
          <w:rFonts w:eastAsia="Calibri" w:cs="Arial"/>
          <w:i/>
          <w:szCs w:val="22"/>
          <w:lang w:eastAsia="en-AU"/>
        </w:rPr>
        <w:t>ralia’s mothers and babies</w:t>
      </w:r>
      <w:r w:rsidR="00160CA5" w:rsidRPr="00160CA5">
        <w:rPr>
          <w:rFonts w:eastAsia="Calibri" w:cs="Arial"/>
          <w:i/>
          <w:szCs w:val="22"/>
          <w:lang w:eastAsia="en-AU"/>
        </w:rPr>
        <w:t xml:space="preserve"> annual report –in brief, 2016</w:t>
      </w:r>
      <w:r w:rsidRPr="009C6D99">
        <w:rPr>
          <w:rFonts w:eastAsia="Calibri" w:cs="Arial"/>
          <w:i/>
          <w:szCs w:val="22"/>
          <w:lang w:eastAsia="en-AU"/>
        </w:rPr>
        <w:t>,</w:t>
      </w:r>
      <w:r w:rsidRPr="009C6D99">
        <w:rPr>
          <w:rFonts w:eastAsia="Calibri" w:cs="Arial"/>
          <w:szCs w:val="22"/>
          <w:lang w:eastAsia="en-AU"/>
        </w:rPr>
        <w:t xml:space="preserve"> antenatal care is associated with positive maternal and child health outcomes – the likelihood of receiving effective health intervention is increased through antenatal </w:t>
      </w:r>
      <w:r w:rsidR="009F4C78">
        <w:rPr>
          <w:rFonts w:eastAsia="Calibri" w:cs="Arial"/>
          <w:szCs w:val="22"/>
          <w:lang w:eastAsia="en-AU"/>
        </w:rPr>
        <w:t>visits. The World Health Organiz</w:t>
      </w:r>
      <w:r w:rsidRPr="009C6D99">
        <w:rPr>
          <w:rFonts w:eastAsia="Calibri" w:cs="Arial"/>
          <w:szCs w:val="22"/>
          <w:lang w:eastAsia="en-AU"/>
        </w:rPr>
        <w:t xml:space="preserve">ation (WHO) recommends that women receive antenatal care at least four times during pregnancy. The </w:t>
      </w:r>
      <w:r w:rsidRPr="009C6D99">
        <w:rPr>
          <w:rFonts w:eastAsia="Calibri" w:cs="Arial"/>
          <w:i/>
          <w:iCs/>
          <w:szCs w:val="22"/>
          <w:lang w:eastAsia="en-AU"/>
        </w:rPr>
        <w:t xml:space="preserve">Clinical Practice Guidelines: Pregnancy Care </w:t>
      </w:r>
      <w:r w:rsidRPr="009C6D99">
        <w:rPr>
          <w:rFonts w:eastAsia="Calibri" w:cs="Arial"/>
          <w:szCs w:val="22"/>
          <w:lang w:eastAsia="en-AU"/>
        </w:rPr>
        <w:t>recommend that the first antenatal visit occurs within the first 10 weeks of pregnancy and that first-time mothers with uncomplicat</w:t>
      </w:r>
      <w:r w:rsidR="009F4C78">
        <w:rPr>
          <w:rFonts w:eastAsia="Calibri" w:cs="Arial"/>
          <w:szCs w:val="22"/>
          <w:lang w:eastAsia="en-AU"/>
        </w:rPr>
        <w:t>ed pregnancy attend 10 visits (seven</w:t>
      </w:r>
      <w:r w:rsidRPr="009C6D99">
        <w:rPr>
          <w:rFonts w:eastAsia="Calibri" w:cs="Arial"/>
          <w:szCs w:val="22"/>
          <w:lang w:eastAsia="en-AU"/>
        </w:rPr>
        <w:t xml:space="preserve"> visits for subsequent uncomplicated pregnancies)</w:t>
      </w:r>
      <w:r w:rsidRPr="009C6D99">
        <w:rPr>
          <w:rFonts w:eastAsia="Calibri" w:cs="Arial"/>
          <w:szCs w:val="22"/>
          <w:vertAlign w:val="superscript"/>
          <w:lang w:eastAsia="en-AU"/>
        </w:rPr>
        <w:footnoteReference w:id="7"/>
      </w:r>
      <w:r w:rsidR="002B3F61">
        <w:rPr>
          <w:rFonts w:eastAsia="Calibri" w:cs="Arial"/>
          <w:szCs w:val="22"/>
          <w:lang w:eastAsia="en-AU"/>
        </w:rPr>
        <w:t>.</w:t>
      </w:r>
    </w:p>
    <w:p w:rsidR="009F4C78" w:rsidRDefault="0044098E" w:rsidP="000908BD">
      <w:pPr>
        <w:spacing w:before="120" w:after="120" w:line="240" w:lineRule="auto"/>
        <w:jc w:val="both"/>
        <w:rPr>
          <w:rFonts w:eastAsia="Calibri" w:cs="Arial"/>
          <w:szCs w:val="22"/>
          <w:lang w:eastAsia="en-AU"/>
        </w:rPr>
      </w:pPr>
      <w:r w:rsidRPr="009C6D99">
        <w:rPr>
          <w:rFonts w:eastAsia="Calibri" w:cs="Arial"/>
          <w:szCs w:val="22"/>
          <w:lang w:eastAsia="en-AU"/>
        </w:rPr>
        <w:t xml:space="preserve">Data from the AIHW NPDC shows that on average, between 2007 and 2014, 97 per cent of women attended at least one antenatal visit during pregnancy.  </w:t>
      </w:r>
      <w:r w:rsidR="00A0127D">
        <w:rPr>
          <w:rFonts w:eastAsia="Calibri" w:cs="Arial"/>
          <w:szCs w:val="22"/>
          <w:lang w:eastAsia="en-AU"/>
        </w:rPr>
        <w:t>M</w:t>
      </w:r>
      <w:r w:rsidRPr="009C6D99">
        <w:rPr>
          <w:rFonts w:eastAsia="Calibri" w:cs="Arial"/>
          <w:szCs w:val="22"/>
          <w:lang w:eastAsia="en-AU"/>
        </w:rPr>
        <w:t>ost women (91.5 per cent) attended five or more visits</w:t>
      </w:r>
      <w:r w:rsidR="00A0127D">
        <w:rPr>
          <w:rFonts w:eastAsia="Calibri" w:cs="Arial"/>
          <w:szCs w:val="22"/>
          <w:lang w:eastAsia="en-AU"/>
        </w:rPr>
        <w:t xml:space="preserve"> with only 0.8 per cent attending one visit only</w:t>
      </w:r>
      <w:r w:rsidRPr="009C6D99">
        <w:rPr>
          <w:rFonts w:eastAsia="Calibri" w:cs="Arial"/>
          <w:szCs w:val="22"/>
          <w:lang w:eastAsia="en-AU"/>
        </w:rPr>
        <w:t xml:space="preserve">. In 2014, 62 per cent of women were within their first trimester at their first antenatal visit. </w:t>
      </w:r>
    </w:p>
    <w:p w:rsidR="0044098E" w:rsidRPr="00E85564" w:rsidRDefault="0044098E" w:rsidP="00E85564">
      <w:pPr>
        <w:pStyle w:val="Heading2"/>
      </w:pPr>
      <w:bookmarkStart w:id="189" w:name="_Toc506450010"/>
      <w:bookmarkStart w:id="190" w:name="_Toc10808411"/>
      <w:r w:rsidRPr="00E85564">
        <w:t>Postnatal</w:t>
      </w:r>
      <w:bookmarkEnd w:id="189"/>
      <w:bookmarkEnd w:id="190"/>
      <w:r w:rsidRPr="00E85564">
        <w:t xml:space="preserve"> </w:t>
      </w:r>
    </w:p>
    <w:p w:rsidR="0044098E" w:rsidRPr="0044098E" w:rsidRDefault="009F4C78" w:rsidP="00986025">
      <w:pPr>
        <w:spacing w:before="120" w:after="120" w:line="240" w:lineRule="auto"/>
        <w:jc w:val="both"/>
        <w:rPr>
          <w:rFonts w:eastAsia="Calibri" w:cs="Arial"/>
          <w:szCs w:val="22"/>
          <w:lang w:eastAsia="en-AU"/>
        </w:rPr>
      </w:pPr>
      <w:r>
        <w:rPr>
          <w:rFonts w:eastAsia="Calibri" w:cs="Arial"/>
          <w:szCs w:val="22"/>
          <w:lang w:eastAsia="en-AU"/>
        </w:rPr>
        <w:t>The World Health Organiz</w:t>
      </w:r>
      <w:r w:rsidR="0044098E" w:rsidRPr="0044098E">
        <w:rPr>
          <w:rFonts w:eastAsia="Calibri" w:cs="Arial"/>
          <w:szCs w:val="22"/>
          <w:lang w:eastAsia="en-AU"/>
        </w:rPr>
        <w:t>ation notes that the period soon after childbirth poses substantial health risks for both the mother and the newborn infant. Yet the postnatal period receives less attention from health care providers than pregnancy and childbirth. Models of postnatal care have changed little since first developed a century ago.</w:t>
      </w:r>
    </w:p>
    <w:p w:rsidR="0044098E" w:rsidRPr="0044098E" w:rsidRDefault="004056B4" w:rsidP="00986025">
      <w:pPr>
        <w:spacing w:before="120" w:after="120" w:line="240" w:lineRule="auto"/>
        <w:jc w:val="both"/>
        <w:rPr>
          <w:rFonts w:eastAsia="Calibri" w:cs="Arial"/>
          <w:szCs w:val="22"/>
          <w:lang w:eastAsia="en-AU"/>
        </w:rPr>
      </w:pPr>
      <w:r>
        <w:rPr>
          <w:rFonts w:eastAsia="Calibri" w:cs="Arial"/>
          <w:szCs w:val="22"/>
          <w:lang w:eastAsia="en-AU"/>
        </w:rPr>
        <w:t>P</w:t>
      </w:r>
      <w:r w:rsidR="0044098E" w:rsidRPr="0044098E">
        <w:rPr>
          <w:rFonts w:eastAsia="Calibri" w:cs="Arial"/>
          <w:szCs w:val="22"/>
          <w:lang w:eastAsia="en-AU"/>
        </w:rPr>
        <w:t xml:space="preserve">ostnatal care </w:t>
      </w:r>
      <w:r>
        <w:rPr>
          <w:rFonts w:eastAsia="Calibri" w:cs="Arial"/>
          <w:szCs w:val="22"/>
          <w:lang w:eastAsia="en-AU"/>
        </w:rPr>
        <w:t>aims</w:t>
      </w:r>
      <w:r w:rsidR="0044098E" w:rsidRPr="0044098E">
        <w:rPr>
          <w:rFonts w:eastAsia="Calibri" w:cs="Arial"/>
          <w:szCs w:val="22"/>
          <w:lang w:eastAsia="en-AU"/>
        </w:rPr>
        <w:t xml:space="preserve"> to maintain and promote the health of the </w:t>
      </w:r>
      <w:r>
        <w:rPr>
          <w:rFonts w:eastAsia="Calibri" w:cs="Arial"/>
          <w:szCs w:val="22"/>
          <w:lang w:eastAsia="en-AU"/>
        </w:rPr>
        <w:t>mother</w:t>
      </w:r>
      <w:r w:rsidR="0044098E" w:rsidRPr="0044098E">
        <w:rPr>
          <w:rFonts w:eastAsia="Calibri" w:cs="Arial"/>
          <w:szCs w:val="22"/>
          <w:lang w:eastAsia="en-AU"/>
        </w:rPr>
        <w:t xml:space="preserve"> and baby, and to foster an environment that offers help and support to the extended family and community for a wide range of related health and social needs. These needs can involve physical and mental health as well as social and cultural issues that can affect health and wellbeing</w:t>
      </w:r>
      <w:r w:rsidR="0044098E" w:rsidRPr="00826C99">
        <w:rPr>
          <w:rFonts w:eastAsia="Calibri" w:cs="Arial"/>
          <w:szCs w:val="22"/>
          <w:vertAlign w:val="superscript"/>
          <w:lang w:eastAsia="en-AU"/>
        </w:rPr>
        <w:footnoteReference w:id="8"/>
      </w:r>
      <w:r w:rsidR="0044098E" w:rsidRPr="0044098E">
        <w:rPr>
          <w:rFonts w:eastAsia="Calibri" w:cs="Arial"/>
          <w:szCs w:val="22"/>
          <w:lang w:eastAsia="en-AU"/>
        </w:rPr>
        <w:t xml:space="preserve">. The NPDC indicates the mean length of postnatal hospital stay was three days for all types of birth </w:t>
      </w:r>
      <w:r w:rsidR="009B7071">
        <w:rPr>
          <w:rFonts w:eastAsia="Calibri" w:cs="Arial"/>
          <w:szCs w:val="22"/>
          <w:lang w:eastAsia="en-AU"/>
        </w:rPr>
        <w:t xml:space="preserve">between 2006 and </w:t>
      </w:r>
      <w:r w:rsidR="00202BC1">
        <w:rPr>
          <w:rFonts w:eastAsia="Calibri" w:cs="Arial"/>
          <w:szCs w:val="22"/>
          <w:lang w:eastAsia="en-AU"/>
        </w:rPr>
        <w:t>2017</w:t>
      </w:r>
      <w:r w:rsidR="009B7071">
        <w:rPr>
          <w:rFonts w:eastAsia="Calibri" w:cs="Arial"/>
          <w:szCs w:val="22"/>
          <w:lang w:eastAsia="en-AU"/>
        </w:rPr>
        <w:t xml:space="preserve"> (Figure </w:t>
      </w:r>
      <w:r w:rsidR="001410E9">
        <w:rPr>
          <w:rFonts w:eastAsia="Calibri" w:cs="Arial"/>
          <w:szCs w:val="22"/>
          <w:lang w:eastAsia="en-AU"/>
        </w:rPr>
        <w:t>32</w:t>
      </w:r>
      <w:r w:rsidR="0044098E" w:rsidRPr="0044098E">
        <w:rPr>
          <w:rFonts w:eastAsia="Calibri" w:cs="Arial"/>
          <w:szCs w:val="22"/>
          <w:lang w:eastAsia="en-AU"/>
        </w:rPr>
        <w:t xml:space="preserve">). </w:t>
      </w:r>
    </w:p>
    <w:p w:rsidR="00C7029A" w:rsidRPr="00C7029A" w:rsidRDefault="00EB1AC2" w:rsidP="00C7029A">
      <w:pPr>
        <w:pStyle w:val="Caption"/>
      </w:pPr>
      <w:bookmarkStart w:id="191" w:name="_Toc532473584"/>
      <w:bookmarkStart w:id="192" w:name="_Toc1722584"/>
      <w:bookmarkStart w:id="193" w:name="_Toc1724708"/>
      <w:bookmarkStart w:id="194" w:name="_Toc1725026"/>
      <w:r w:rsidRPr="00477A29">
        <w:t xml:space="preserve">Figure </w:t>
      </w:r>
      <w:r w:rsidR="002340BC" w:rsidRPr="00477A29">
        <w:t>32</w:t>
      </w:r>
      <w:r w:rsidRPr="00477A29">
        <w:t>: Women who g</w:t>
      </w:r>
      <w:r w:rsidR="007B1DB6">
        <w:t>ave birth in hospital by length</w:t>
      </w:r>
      <w:r w:rsidRPr="00477A29">
        <w:t xml:space="preserve"> of postnatal stay</w:t>
      </w:r>
      <w:bookmarkEnd w:id="191"/>
      <w:bookmarkEnd w:id="192"/>
      <w:bookmarkEnd w:id="193"/>
      <w:bookmarkEnd w:id="194"/>
    </w:p>
    <w:p w:rsidR="00C7029A" w:rsidRDefault="00C7029A" w:rsidP="00C7029A">
      <w:pPr>
        <w:spacing w:after="0" w:line="240" w:lineRule="auto"/>
        <w:jc w:val="center"/>
        <w:rPr>
          <w:rFonts w:eastAsia="Calibri" w:cs="Arial"/>
          <w:bCs/>
          <w:i/>
          <w:color w:val="000000"/>
          <w:sz w:val="16"/>
          <w:szCs w:val="16"/>
          <w:shd w:val="clear" w:color="auto" w:fill="FFFFFF"/>
          <w:lang w:eastAsia="en-AU"/>
        </w:rPr>
      </w:pPr>
      <w:r>
        <w:rPr>
          <w:rFonts w:eastAsia="Calibri" w:cs="Arial"/>
          <w:bCs/>
          <w:i/>
          <w:noProof/>
          <w:color w:val="000000"/>
          <w:sz w:val="16"/>
          <w:szCs w:val="16"/>
          <w:shd w:val="clear" w:color="auto" w:fill="FFFFFF"/>
          <w:lang w:eastAsia="en-AU"/>
        </w:rPr>
        <w:drawing>
          <wp:inline distT="0" distB="0" distL="0" distR="0">
            <wp:extent cx="4631559" cy="2125227"/>
            <wp:effectExtent l="0" t="0" r="0" b="8890"/>
            <wp:docPr id="4" name="Picture 4" descr="Shows women who gave birth in hospital by length of postnatal stay.  The mean length of postnatal hospital stay was three days for all types of birth between 2006 and 2017.&#10;" title="Figure 32: Women who gave birth in hospital by length of postnatal st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1891F.tmp"/>
                    <pic:cNvPicPr/>
                  </pic:nvPicPr>
                  <pic:blipFill rotWithShape="1">
                    <a:blip r:embed="rId39">
                      <a:extLst>
                        <a:ext uri="{28A0092B-C50C-407E-A947-70E740481C1C}">
                          <a14:useLocalDpi xmlns:a14="http://schemas.microsoft.com/office/drawing/2010/main" val="0"/>
                        </a:ext>
                      </a:extLst>
                    </a:blip>
                    <a:srcRect l="20154" t="37799" r="23501" b="14801"/>
                    <a:stretch/>
                  </pic:blipFill>
                  <pic:spPr bwMode="auto">
                    <a:xfrm>
                      <a:off x="0" y="0"/>
                      <a:ext cx="4644078" cy="2130971"/>
                    </a:xfrm>
                    <a:prstGeom prst="rect">
                      <a:avLst/>
                    </a:prstGeom>
                    <a:ln>
                      <a:noFill/>
                    </a:ln>
                    <a:extLst>
                      <a:ext uri="{53640926-AAD7-44D8-BBD7-CCE9431645EC}">
                        <a14:shadowObscured xmlns:a14="http://schemas.microsoft.com/office/drawing/2010/main"/>
                      </a:ext>
                    </a:extLst>
                  </pic:spPr>
                </pic:pic>
              </a:graphicData>
            </a:graphic>
          </wp:inline>
        </w:drawing>
      </w:r>
    </w:p>
    <w:p w:rsidR="00D444AE" w:rsidRPr="005142DA" w:rsidRDefault="00D444AE" w:rsidP="00D444AE">
      <w:pPr>
        <w:spacing w:after="0" w:line="240" w:lineRule="auto"/>
        <w:rPr>
          <w:rFonts w:eastAsia="Calibri" w:cs="Arial"/>
          <w:bCs/>
          <w:i/>
          <w:color w:val="000000"/>
          <w:sz w:val="16"/>
          <w:szCs w:val="16"/>
          <w:shd w:val="clear" w:color="auto" w:fill="FFFFFF"/>
          <w:lang w:eastAsia="en-AU"/>
        </w:rPr>
      </w:pPr>
      <w:r w:rsidRPr="005142DA">
        <w:rPr>
          <w:rFonts w:eastAsia="Calibri" w:cs="Arial"/>
          <w:bCs/>
          <w:i/>
          <w:color w:val="000000"/>
          <w:sz w:val="16"/>
          <w:szCs w:val="16"/>
          <w:shd w:val="clear" w:color="auto" w:fill="FFFFFF"/>
          <w:lang w:eastAsia="en-AU"/>
        </w:rPr>
        <w:t xml:space="preserve">Australia’s mothers and babies annual report – in brief, </w:t>
      </w:r>
      <w:r w:rsidR="00D12BB1" w:rsidRPr="005142DA">
        <w:rPr>
          <w:rFonts w:eastAsia="Calibri" w:cs="Arial"/>
          <w:bCs/>
          <w:i/>
          <w:color w:val="000000"/>
          <w:sz w:val="16"/>
          <w:szCs w:val="16"/>
          <w:shd w:val="clear" w:color="auto" w:fill="FFFFFF"/>
          <w:lang w:eastAsia="en-AU"/>
        </w:rPr>
        <w:t>2016</w:t>
      </w:r>
      <w:r w:rsidRPr="005142DA">
        <w:rPr>
          <w:rFonts w:eastAsia="Calibri" w:cs="Arial"/>
          <w:bCs/>
          <w:i/>
          <w:color w:val="000000"/>
          <w:sz w:val="16"/>
          <w:szCs w:val="16"/>
          <w:shd w:val="clear" w:color="auto" w:fill="FFFFFF"/>
          <w:lang w:eastAsia="en-AU"/>
        </w:rPr>
        <w:t>. Perinatal statistics series no. 34 cat no. PER97. Canberra</w:t>
      </w:r>
    </w:p>
    <w:p w:rsidR="0044098E" w:rsidRPr="005142DA" w:rsidRDefault="0044098E" w:rsidP="003423C0">
      <w:pPr>
        <w:spacing w:after="0" w:line="240" w:lineRule="auto"/>
        <w:rPr>
          <w:rFonts w:eastAsia="Calibri" w:cs="Arial"/>
          <w:bCs/>
          <w:i/>
          <w:color w:val="000000"/>
          <w:sz w:val="16"/>
          <w:szCs w:val="16"/>
          <w:shd w:val="clear" w:color="auto" w:fill="FFFFFF"/>
          <w:lang w:eastAsia="en-AU"/>
        </w:rPr>
      </w:pPr>
      <w:r w:rsidRPr="005142DA">
        <w:rPr>
          <w:rFonts w:eastAsia="Calibri" w:cs="Arial"/>
          <w:bCs/>
          <w:i/>
          <w:color w:val="000000"/>
          <w:sz w:val="16"/>
          <w:szCs w:val="16"/>
          <w:shd w:val="clear" w:color="auto" w:fill="FFFFFF"/>
          <w:lang w:eastAsia="en-AU"/>
        </w:rPr>
        <w:t>Not stated is not included.</w:t>
      </w:r>
    </w:p>
    <w:p w:rsidR="00B740AD" w:rsidRPr="00F47E14" w:rsidRDefault="00B740AD" w:rsidP="00F47E14">
      <w:pPr>
        <w:pStyle w:val="Heading1"/>
      </w:pPr>
      <w:bookmarkStart w:id="195" w:name="_Toc10808412"/>
      <w:r w:rsidRPr="00F47E14">
        <w:lastRenderedPageBreak/>
        <w:t>Scenarios</w:t>
      </w:r>
      <w:bookmarkEnd w:id="195"/>
    </w:p>
    <w:p w:rsidR="006F2EBA" w:rsidRDefault="00B740AD" w:rsidP="00173D83">
      <w:pPr>
        <w:spacing w:before="120" w:after="120" w:line="240" w:lineRule="auto"/>
        <w:jc w:val="both"/>
        <w:rPr>
          <w:rFonts w:eastAsia="Calibri" w:cs="Arial"/>
          <w:szCs w:val="22"/>
          <w:lang w:eastAsia="x-none"/>
        </w:rPr>
      </w:pPr>
      <w:r w:rsidRPr="00826C99">
        <w:rPr>
          <w:rFonts w:eastAsia="Calibri" w:cs="Arial"/>
          <w:szCs w:val="22"/>
          <w:lang w:eastAsia="x-none"/>
        </w:rPr>
        <w:t>Scenario modelling is used to demonstrate the impact of potential policy options on future workforce supply and demand. The method use</w:t>
      </w:r>
      <w:r w:rsidR="006F2EBA">
        <w:rPr>
          <w:rFonts w:eastAsia="Calibri" w:cs="Arial"/>
          <w:szCs w:val="22"/>
          <w:lang w:eastAsia="x-none"/>
        </w:rPr>
        <w:t>s</w:t>
      </w:r>
      <w:r w:rsidRPr="00826C99">
        <w:rPr>
          <w:rFonts w:eastAsia="Calibri" w:cs="Arial"/>
          <w:szCs w:val="22"/>
          <w:lang w:eastAsia="x-none"/>
        </w:rPr>
        <w:t xml:space="preserve"> a </w:t>
      </w:r>
      <w:r w:rsidR="00646921">
        <w:rPr>
          <w:rFonts w:eastAsia="Calibri" w:cs="Arial"/>
          <w:szCs w:val="22"/>
          <w:lang w:eastAsia="x-none"/>
        </w:rPr>
        <w:t xml:space="preserve">baseline </w:t>
      </w:r>
      <w:r w:rsidR="00460E93">
        <w:rPr>
          <w:rFonts w:eastAsia="Calibri" w:cs="Arial"/>
          <w:szCs w:val="22"/>
          <w:lang w:eastAsia="x-none"/>
        </w:rPr>
        <w:t>scenario,</w:t>
      </w:r>
      <w:r w:rsidRPr="00826C99">
        <w:rPr>
          <w:rFonts w:eastAsia="Calibri" w:cs="Arial"/>
          <w:szCs w:val="22"/>
          <w:lang w:eastAsia="x-none"/>
        </w:rPr>
        <w:t xml:space="preserve"> where current trends are assumed to</w:t>
      </w:r>
      <w:r w:rsidR="009F4C78">
        <w:rPr>
          <w:rFonts w:eastAsia="Calibri" w:cs="Arial"/>
          <w:szCs w:val="22"/>
          <w:lang w:eastAsia="x-none"/>
        </w:rPr>
        <w:t xml:space="preserve"> continue into the future, and </w:t>
      </w:r>
      <w:r w:rsidRPr="00826C99">
        <w:rPr>
          <w:rFonts w:eastAsia="Calibri" w:cs="Arial"/>
          <w:szCs w:val="22"/>
          <w:lang w:eastAsia="x-none"/>
        </w:rPr>
        <w:t>this</w:t>
      </w:r>
      <w:r w:rsidR="006F2EBA">
        <w:rPr>
          <w:rFonts w:eastAsia="Calibri" w:cs="Arial"/>
          <w:szCs w:val="22"/>
          <w:lang w:eastAsia="x-none"/>
        </w:rPr>
        <w:t xml:space="preserve"> is</w:t>
      </w:r>
      <w:r w:rsidRPr="00826C99">
        <w:rPr>
          <w:rFonts w:eastAsia="Calibri" w:cs="Arial"/>
          <w:szCs w:val="22"/>
          <w:lang w:eastAsia="x-none"/>
        </w:rPr>
        <w:t xml:space="preserve"> compare</w:t>
      </w:r>
      <w:r w:rsidR="006F2EBA">
        <w:rPr>
          <w:rFonts w:eastAsia="Calibri" w:cs="Arial"/>
          <w:szCs w:val="22"/>
          <w:lang w:eastAsia="x-none"/>
        </w:rPr>
        <w:t>d</w:t>
      </w:r>
      <w:r w:rsidR="007D607B">
        <w:rPr>
          <w:rFonts w:eastAsia="Calibri" w:cs="Arial"/>
          <w:szCs w:val="22"/>
          <w:lang w:eastAsia="x-none"/>
        </w:rPr>
        <w:t xml:space="preserve"> </w:t>
      </w:r>
      <w:r w:rsidR="006F2EBA">
        <w:rPr>
          <w:rFonts w:eastAsia="Calibri" w:cs="Arial"/>
          <w:szCs w:val="22"/>
          <w:lang w:eastAsia="x-none"/>
        </w:rPr>
        <w:t>to</w:t>
      </w:r>
      <w:r w:rsidRPr="00826C99">
        <w:rPr>
          <w:rFonts w:eastAsia="Calibri" w:cs="Arial"/>
          <w:szCs w:val="22"/>
          <w:lang w:eastAsia="x-none"/>
        </w:rPr>
        <w:t xml:space="preserve"> a range of alternative scenarios. </w:t>
      </w:r>
    </w:p>
    <w:p w:rsidR="00F0661C" w:rsidRDefault="005645EF" w:rsidP="00F0661C">
      <w:pPr>
        <w:widowControl w:val="0"/>
        <w:autoSpaceDE w:val="0"/>
        <w:autoSpaceDN w:val="0"/>
        <w:adjustRightInd w:val="0"/>
        <w:spacing w:before="120" w:after="120" w:line="240" w:lineRule="auto"/>
        <w:jc w:val="both"/>
        <w:rPr>
          <w:rFonts w:eastAsia="Calibri" w:cs="Arial"/>
          <w:szCs w:val="22"/>
          <w:lang w:eastAsia="x-none"/>
        </w:rPr>
      </w:pPr>
      <w:r>
        <w:rPr>
          <w:rFonts w:eastAsia="Calibri" w:cs="Arial"/>
          <w:szCs w:val="22"/>
          <w:lang w:eastAsia="x-none"/>
        </w:rPr>
        <w:t xml:space="preserve">In this report the baseline scenario is called the </w:t>
      </w:r>
      <w:r w:rsidR="004D53D1">
        <w:rPr>
          <w:rFonts w:eastAsia="Calibri" w:cs="Arial"/>
          <w:szCs w:val="22"/>
          <w:lang w:eastAsia="x-none"/>
        </w:rPr>
        <w:t>continuity</w:t>
      </w:r>
      <w:r>
        <w:rPr>
          <w:rFonts w:eastAsia="Calibri" w:cs="Arial"/>
          <w:szCs w:val="22"/>
          <w:lang w:eastAsia="x-none"/>
        </w:rPr>
        <w:t xml:space="preserve"> of care (baseline) scenario. </w:t>
      </w:r>
      <w:r w:rsidR="00B740AD" w:rsidRPr="00826C99">
        <w:rPr>
          <w:rFonts w:eastAsia="Calibri" w:cs="Arial"/>
          <w:szCs w:val="22"/>
          <w:lang w:eastAsia="x-none"/>
        </w:rPr>
        <w:t xml:space="preserve">The alternative scenarios are generated by altering </w:t>
      </w:r>
      <w:r w:rsidR="00F31D7F">
        <w:rPr>
          <w:rFonts w:eastAsia="Calibri" w:cs="Arial"/>
          <w:szCs w:val="22"/>
          <w:lang w:eastAsia="x-none"/>
        </w:rPr>
        <w:t xml:space="preserve">input </w:t>
      </w:r>
      <w:r w:rsidR="00B740AD" w:rsidRPr="00826C99">
        <w:rPr>
          <w:rFonts w:eastAsia="Calibri" w:cs="Arial"/>
          <w:szCs w:val="22"/>
          <w:lang w:eastAsia="x-none"/>
        </w:rPr>
        <w:t>parameters in the model</w:t>
      </w:r>
      <w:r w:rsidR="007D607B">
        <w:rPr>
          <w:rFonts w:eastAsia="Calibri" w:cs="Arial"/>
          <w:szCs w:val="22"/>
          <w:lang w:eastAsia="x-none"/>
        </w:rPr>
        <w:t xml:space="preserve">. </w:t>
      </w:r>
      <w:r w:rsidR="00B740AD" w:rsidRPr="00826C99">
        <w:rPr>
          <w:rFonts w:eastAsia="Calibri" w:cs="Arial"/>
          <w:szCs w:val="22"/>
          <w:lang w:eastAsia="x-none"/>
        </w:rPr>
        <w:t xml:space="preserve">The impact of these scenarios is measured by comparing their workforce projection results with the </w:t>
      </w:r>
      <w:r w:rsidR="004D53D1">
        <w:rPr>
          <w:rFonts w:eastAsia="Calibri" w:cs="Arial"/>
          <w:szCs w:val="22"/>
          <w:lang w:eastAsia="x-none"/>
        </w:rPr>
        <w:t>continuity</w:t>
      </w:r>
      <w:r w:rsidR="00646921">
        <w:rPr>
          <w:rFonts w:eastAsia="Calibri" w:cs="Arial"/>
          <w:szCs w:val="22"/>
          <w:lang w:eastAsia="x-none"/>
        </w:rPr>
        <w:t xml:space="preserve"> of care (</w:t>
      </w:r>
      <w:r w:rsidR="00B740AD" w:rsidRPr="00826C99">
        <w:rPr>
          <w:rFonts w:eastAsia="Calibri" w:cs="Arial"/>
          <w:szCs w:val="22"/>
          <w:lang w:eastAsia="x-none"/>
        </w:rPr>
        <w:t>baseline</w:t>
      </w:r>
      <w:r w:rsidR="00646921">
        <w:rPr>
          <w:rFonts w:eastAsia="Calibri" w:cs="Arial"/>
          <w:szCs w:val="22"/>
          <w:lang w:eastAsia="x-none"/>
        </w:rPr>
        <w:t>)</w:t>
      </w:r>
      <w:r w:rsidR="00B740AD" w:rsidRPr="00826C99">
        <w:rPr>
          <w:rFonts w:eastAsia="Calibri" w:cs="Arial"/>
          <w:szCs w:val="22"/>
          <w:lang w:eastAsia="x-none"/>
        </w:rPr>
        <w:t xml:space="preserve"> scenario</w:t>
      </w:r>
      <w:r w:rsidR="007D607B">
        <w:rPr>
          <w:rFonts w:eastAsia="Calibri" w:cs="Arial"/>
          <w:szCs w:val="22"/>
          <w:lang w:eastAsia="x-none"/>
        </w:rPr>
        <w:t xml:space="preserve">. </w:t>
      </w:r>
    </w:p>
    <w:p w:rsidR="007D607B" w:rsidRDefault="00B740AD">
      <w:pPr>
        <w:widowControl w:val="0"/>
        <w:autoSpaceDE w:val="0"/>
        <w:autoSpaceDN w:val="0"/>
        <w:adjustRightInd w:val="0"/>
        <w:spacing w:before="120" w:after="120" w:line="240" w:lineRule="auto"/>
        <w:jc w:val="both"/>
        <w:rPr>
          <w:rFonts w:eastAsia="Calibri" w:cs="Arial"/>
          <w:szCs w:val="22"/>
          <w:lang w:eastAsia="x-none"/>
        </w:rPr>
      </w:pPr>
      <w:r w:rsidRPr="00826C99">
        <w:rPr>
          <w:rFonts w:eastAsia="Calibri" w:cs="Arial"/>
          <w:szCs w:val="22"/>
          <w:lang w:eastAsia="x-none"/>
        </w:rPr>
        <w:t>It is important to note th</w:t>
      </w:r>
      <w:r w:rsidR="00F0661C">
        <w:rPr>
          <w:rFonts w:eastAsia="Calibri" w:cs="Arial"/>
          <w:szCs w:val="22"/>
          <w:lang w:eastAsia="x-none"/>
        </w:rPr>
        <w:t>at both the baseline and</w:t>
      </w:r>
      <w:r w:rsidRPr="00826C99">
        <w:rPr>
          <w:rFonts w:eastAsia="Calibri" w:cs="Arial"/>
          <w:szCs w:val="22"/>
          <w:lang w:eastAsia="x-none"/>
        </w:rPr>
        <w:t xml:space="preserve"> </w:t>
      </w:r>
      <w:r w:rsidR="00F0661C">
        <w:rPr>
          <w:rFonts w:eastAsia="Calibri" w:cs="Arial"/>
          <w:szCs w:val="22"/>
          <w:lang w:eastAsia="x-none"/>
        </w:rPr>
        <w:t xml:space="preserve">alternative </w:t>
      </w:r>
      <w:r w:rsidRPr="00826C99">
        <w:rPr>
          <w:rFonts w:eastAsia="Calibri" w:cs="Arial"/>
          <w:szCs w:val="22"/>
          <w:lang w:eastAsia="x-none"/>
        </w:rPr>
        <w:t xml:space="preserve">scenarios are not predictions of what will happen </w:t>
      </w:r>
      <w:r w:rsidR="00F0661C">
        <w:rPr>
          <w:rFonts w:eastAsia="Calibri" w:cs="Arial"/>
          <w:szCs w:val="22"/>
          <w:lang w:eastAsia="x-none"/>
        </w:rPr>
        <w:t xml:space="preserve">in the future </w:t>
      </w:r>
      <w:r w:rsidRPr="00826C99">
        <w:rPr>
          <w:rFonts w:eastAsia="Calibri" w:cs="Arial"/>
          <w:szCs w:val="22"/>
          <w:lang w:eastAsia="x-none"/>
        </w:rPr>
        <w:t>over the period to 2030</w:t>
      </w:r>
      <w:r w:rsidR="00F0661C">
        <w:rPr>
          <w:rFonts w:eastAsia="Calibri" w:cs="Arial"/>
          <w:szCs w:val="22"/>
          <w:lang w:eastAsia="x-none"/>
        </w:rPr>
        <w:t xml:space="preserve">. The baseline </w:t>
      </w:r>
      <w:r w:rsidR="00F0661C" w:rsidRPr="00826C99">
        <w:rPr>
          <w:rFonts w:eastAsia="Calibri" w:cs="Arial"/>
          <w:szCs w:val="22"/>
          <w:lang w:eastAsia="x-none"/>
        </w:rPr>
        <w:t>should be interpreted as a ‘do nothing’ scenario, which assumes known policy settings are held constant</w:t>
      </w:r>
      <w:r w:rsidR="00F0661C">
        <w:rPr>
          <w:rFonts w:eastAsia="Calibri" w:cs="Arial"/>
          <w:szCs w:val="22"/>
          <w:lang w:eastAsia="x-none"/>
        </w:rPr>
        <w:t>, and the alternative scenarios</w:t>
      </w:r>
      <w:r w:rsidRPr="00826C99">
        <w:rPr>
          <w:rFonts w:eastAsia="Calibri" w:cs="Arial"/>
          <w:szCs w:val="22"/>
          <w:lang w:eastAsia="x-none"/>
        </w:rPr>
        <w:t xml:space="preserve"> provide an estimate of a likely outcome given the set of conditions upon which it is based. </w:t>
      </w:r>
    </w:p>
    <w:p w:rsidR="00B740AD" w:rsidRPr="00826C99" w:rsidRDefault="00F0661C" w:rsidP="00160CA5">
      <w:pPr>
        <w:widowControl w:val="0"/>
        <w:autoSpaceDE w:val="0"/>
        <w:autoSpaceDN w:val="0"/>
        <w:adjustRightInd w:val="0"/>
        <w:spacing w:before="120" w:after="120" w:line="240" w:lineRule="auto"/>
        <w:jc w:val="both"/>
        <w:rPr>
          <w:rFonts w:eastAsia="Times New Roman" w:cs="Arial"/>
          <w:color w:val="000000"/>
          <w:szCs w:val="22"/>
        </w:rPr>
      </w:pPr>
      <w:r>
        <w:rPr>
          <w:rFonts w:eastAsia="Calibri" w:cs="Arial"/>
          <w:szCs w:val="22"/>
          <w:lang w:eastAsia="x-none"/>
        </w:rPr>
        <w:t xml:space="preserve">Two </w:t>
      </w:r>
      <w:r w:rsidRPr="00826C99">
        <w:rPr>
          <w:rFonts w:eastAsia="Calibri" w:cs="Arial"/>
          <w:szCs w:val="22"/>
          <w:lang w:eastAsia="x-none"/>
        </w:rPr>
        <w:t xml:space="preserve">alternative scenarios were developed for this midwifery analysis. </w:t>
      </w:r>
      <w:r w:rsidR="00B740AD" w:rsidRPr="00826C99">
        <w:rPr>
          <w:rFonts w:eastAsia="Calibri" w:cs="Arial"/>
          <w:szCs w:val="22"/>
          <w:lang w:eastAsia="x-none"/>
        </w:rPr>
        <w:t>The</w:t>
      </w:r>
      <w:r>
        <w:rPr>
          <w:rFonts w:eastAsia="Calibri" w:cs="Arial"/>
          <w:szCs w:val="22"/>
          <w:lang w:eastAsia="x-none"/>
        </w:rPr>
        <w:t xml:space="preserve">y were </w:t>
      </w:r>
      <w:r w:rsidR="00B740AD" w:rsidRPr="00826C99">
        <w:rPr>
          <w:rFonts w:eastAsia="Calibri" w:cs="Arial"/>
          <w:szCs w:val="22"/>
          <w:lang w:eastAsia="x-none"/>
        </w:rPr>
        <w:t xml:space="preserve">based on considerations of workforce implications and potential policy options </w:t>
      </w:r>
      <w:r w:rsidR="001410E9">
        <w:rPr>
          <w:rFonts w:eastAsia="Calibri" w:cs="Arial"/>
          <w:szCs w:val="22"/>
          <w:lang w:eastAsia="x-none"/>
        </w:rPr>
        <w:t>that could be</w:t>
      </w:r>
      <w:r w:rsidR="00B740AD" w:rsidRPr="00826C99">
        <w:rPr>
          <w:rFonts w:eastAsia="Calibri" w:cs="Arial"/>
          <w:szCs w:val="22"/>
          <w:lang w:eastAsia="x-none"/>
        </w:rPr>
        <w:t xml:space="preserve"> consider</w:t>
      </w:r>
      <w:r w:rsidR="001410E9">
        <w:rPr>
          <w:rFonts w:eastAsia="Calibri" w:cs="Arial"/>
          <w:szCs w:val="22"/>
          <w:lang w:eastAsia="x-none"/>
        </w:rPr>
        <w:t>ed</w:t>
      </w:r>
      <w:r w:rsidR="00B740AD" w:rsidRPr="00826C99">
        <w:rPr>
          <w:rFonts w:eastAsia="Calibri" w:cs="Arial"/>
          <w:szCs w:val="22"/>
          <w:lang w:eastAsia="x-none"/>
        </w:rPr>
        <w:t xml:space="preserve"> by Government, industry and education sectors. </w:t>
      </w:r>
      <w:r w:rsidR="00B740AD" w:rsidRPr="00826C99">
        <w:rPr>
          <w:rFonts w:eastAsia="Times New Roman" w:cs="Arial"/>
          <w:color w:val="000000"/>
          <w:szCs w:val="22"/>
        </w:rPr>
        <w:t xml:space="preserve">The scenarios modelled were selected to reflect </w:t>
      </w:r>
      <w:r w:rsidR="005D2B69">
        <w:rPr>
          <w:rFonts w:eastAsia="Times New Roman" w:cs="Arial"/>
          <w:color w:val="000000"/>
          <w:szCs w:val="22"/>
        </w:rPr>
        <w:t>factors</w:t>
      </w:r>
      <w:r w:rsidR="00B740AD" w:rsidRPr="00826C99">
        <w:rPr>
          <w:rFonts w:eastAsia="Times New Roman" w:cs="Arial"/>
          <w:color w:val="000000"/>
          <w:szCs w:val="22"/>
        </w:rPr>
        <w:t xml:space="preserve"> identified during co</w:t>
      </w:r>
      <w:r w:rsidR="005D2B69">
        <w:rPr>
          <w:rFonts w:eastAsia="Times New Roman" w:cs="Arial"/>
          <w:color w:val="000000"/>
          <w:szCs w:val="22"/>
        </w:rPr>
        <w:t xml:space="preserve">nsultation with the </w:t>
      </w:r>
      <w:r w:rsidR="009F4C78" w:rsidRPr="002570AB">
        <w:rPr>
          <w:rFonts w:eastAsia="Times New Roman" w:cs="Arial"/>
          <w:color w:val="000000"/>
          <w:szCs w:val="22"/>
        </w:rPr>
        <w:t>M</w:t>
      </w:r>
      <w:r w:rsidR="005D2B69" w:rsidRPr="002570AB">
        <w:rPr>
          <w:rFonts w:eastAsia="Times New Roman" w:cs="Arial"/>
          <w:color w:val="000000"/>
          <w:szCs w:val="22"/>
        </w:rPr>
        <w:t>TAG</w:t>
      </w:r>
      <w:r w:rsidR="00B740AD" w:rsidRPr="002570AB">
        <w:rPr>
          <w:rFonts w:eastAsia="Times New Roman" w:cs="Arial"/>
          <w:color w:val="000000"/>
          <w:szCs w:val="22"/>
        </w:rPr>
        <w:t>,</w:t>
      </w:r>
      <w:r w:rsidR="00B740AD" w:rsidRPr="00826C99">
        <w:rPr>
          <w:rFonts w:eastAsia="Times New Roman" w:cs="Arial"/>
          <w:color w:val="000000"/>
          <w:szCs w:val="22"/>
        </w:rPr>
        <w:t xml:space="preserve"> and they represent potential policy alternatives to influence the future midwifery workforce. </w:t>
      </w:r>
    </w:p>
    <w:p w:rsidR="00B740AD" w:rsidRPr="00A93607" w:rsidDel="006F2EBA" w:rsidRDefault="004D53D1" w:rsidP="00E85564">
      <w:pPr>
        <w:pStyle w:val="Heading2"/>
      </w:pPr>
      <w:bookmarkStart w:id="196" w:name="_Toc10808413"/>
      <w:r>
        <w:t>Continuity</w:t>
      </w:r>
      <w:r w:rsidR="00646921" w:rsidDel="006F2EBA">
        <w:t xml:space="preserve"> of care (baseline) scenario</w:t>
      </w:r>
      <w:bookmarkEnd w:id="196"/>
      <w:r w:rsidR="00646921" w:rsidDel="006F2EBA">
        <w:t xml:space="preserve"> </w:t>
      </w:r>
    </w:p>
    <w:p w:rsidR="00B740AD" w:rsidRPr="00826C99" w:rsidRDefault="00B740AD" w:rsidP="00B740AD">
      <w:pPr>
        <w:spacing w:after="0" w:line="240" w:lineRule="auto"/>
        <w:jc w:val="both"/>
        <w:rPr>
          <w:rFonts w:eastAsia="Calibri" w:cs="Arial"/>
          <w:szCs w:val="22"/>
          <w:lang w:val="en-US"/>
        </w:rPr>
      </w:pPr>
      <w:r w:rsidRPr="00826C99">
        <w:rPr>
          <w:rFonts w:eastAsia="Calibri" w:cs="Arial"/>
          <w:szCs w:val="22"/>
          <w:lang w:val="en-US"/>
        </w:rPr>
        <w:t xml:space="preserve">The </w:t>
      </w:r>
      <w:r w:rsidR="004D53D1">
        <w:rPr>
          <w:rFonts w:eastAsia="Calibri" w:cs="Arial"/>
          <w:szCs w:val="22"/>
          <w:lang w:val="en-US"/>
        </w:rPr>
        <w:t>continuity</w:t>
      </w:r>
      <w:r w:rsidR="00646921">
        <w:rPr>
          <w:rFonts w:eastAsia="Calibri" w:cs="Arial"/>
          <w:szCs w:val="22"/>
          <w:lang w:val="en-US"/>
        </w:rPr>
        <w:t xml:space="preserve"> of care (baseline) </w:t>
      </w:r>
      <w:r w:rsidR="00460E93">
        <w:rPr>
          <w:rFonts w:eastAsia="Calibri" w:cs="Arial"/>
          <w:szCs w:val="22"/>
          <w:lang w:val="en-US"/>
        </w:rPr>
        <w:t>scenario</w:t>
      </w:r>
      <w:r w:rsidR="006F2EBA">
        <w:rPr>
          <w:rFonts w:eastAsia="Calibri" w:cs="Arial"/>
          <w:szCs w:val="22"/>
          <w:lang w:val="en-US"/>
        </w:rPr>
        <w:t xml:space="preserve"> -</w:t>
      </w:r>
      <w:r w:rsidRPr="00826C99">
        <w:rPr>
          <w:rFonts w:eastAsia="Calibri" w:cs="Arial"/>
          <w:szCs w:val="22"/>
          <w:lang w:val="en-US"/>
        </w:rPr>
        <w:t xml:space="preserve"> the ‘do nothing’ scenario for the midwifery workforce</w:t>
      </w:r>
      <w:r w:rsidR="006F2EBA">
        <w:rPr>
          <w:rFonts w:eastAsia="Calibri" w:cs="Arial"/>
          <w:szCs w:val="22"/>
          <w:lang w:val="en-US"/>
        </w:rPr>
        <w:t xml:space="preserve"> -</w:t>
      </w:r>
      <w:r w:rsidRPr="00826C99">
        <w:rPr>
          <w:rFonts w:eastAsia="Calibri" w:cs="Arial"/>
          <w:szCs w:val="22"/>
          <w:lang w:val="en-US"/>
        </w:rPr>
        <w:t xml:space="preserve"> assumes known policy settings are held constant as their future levels cannot be predicted. This allows an assessment of the effects of other changes, which may impact the workforce. </w:t>
      </w:r>
      <w:r w:rsidR="00FF66B1">
        <w:rPr>
          <w:rFonts w:eastAsia="Calibri" w:cs="Arial"/>
          <w:szCs w:val="22"/>
          <w:lang w:val="en-US"/>
        </w:rPr>
        <w:t xml:space="preserve">This scenario uses the </w:t>
      </w:r>
      <w:r w:rsidR="004D53D1">
        <w:rPr>
          <w:rFonts w:eastAsia="Calibri" w:cs="Arial"/>
          <w:szCs w:val="22"/>
          <w:lang w:val="en-US"/>
        </w:rPr>
        <w:t>continuity</w:t>
      </w:r>
      <w:r w:rsidR="00FF66B1">
        <w:rPr>
          <w:rFonts w:eastAsia="Calibri" w:cs="Arial"/>
          <w:szCs w:val="22"/>
          <w:lang w:val="en-US"/>
        </w:rPr>
        <w:t xml:space="preserve"> of care demand rate, at 2.53% in 2017.</w:t>
      </w:r>
    </w:p>
    <w:p w:rsidR="00B740AD" w:rsidRPr="00826C99" w:rsidRDefault="00B740AD" w:rsidP="00E85564">
      <w:pPr>
        <w:pStyle w:val="Heading2"/>
        <w:rPr>
          <w:rFonts w:eastAsia="Calibri"/>
        </w:rPr>
      </w:pPr>
      <w:bookmarkStart w:id="197" w:name="_Toc10808414"/>
      <w:r w:rsidRPr="00A93607">
        <w:rPr>
          <w:rFonts w:eastAsia="Calibri"/>
        </w:rPr>
        <w:t>Population growth</w:t>
      </w:r>
      <w:bookmarkEnd w:id="197"/>
    </w:p>
    <w:p w:rsidR="00B740AD" w:rsidRPr="00826C99" w:rsidRDefault="00B740AD" w:rsidP="00B740AD">
      <w:pPr>
        <w:spacing w:after="0" w:line="240" w:lineRule="auto"/>
        <w:jc w:val="both"/>
        <w:rPr>
          <w:rFonts w:eastAsia="Calibri" w:cs="Arial"/>
          <w:szCs w:val="22"/>
          <w:lang w:eastAsia="x-none"/>
        </w:rPr>
      </w:pPr>
      <w:r w:rsidRPr="00826C99">
        <w:rPr>
          <w:rFonts w:eastAsia="Calibri" w:cs="Arial"/>
          <w:szCs w:val="22"/>
          <w:lang w:eastAsia="x-none"/>
        </w:rPr>
        <w:t>This scenario models the impact of growth in demand matching population growth</w:t>
      </w:r>
      <w:r w:rsidR="00FB4BE9">
        <w:rPr>
          <w:rFonts w:eastAsia="Calibri" w:cs="Arial"/>
          <w:szCs w:val="22"/>
          <w:lang w:eastAsia="x-none"/>
        </w:rPr>
        <w:t xml:space="preserve"> of females aged 15-49 years</w:t>
      </w:r>
      <w:r w:rsidRPr="00826C99">
        <w:rPr>
          <w:rFonts w:eastAsia="Calibri" w:cs="Arial"/>
          <w:szCs w:val="22"/>
          <w:lang w:eastAsia="x-none"/>
        </w:rPr>
        <w:t>, at 1.6 per cent for 2017</w:t>
      </w:r>
      <w:r w:rsidRPr="00826C99">
        <w:rPr>
          <w:rFonts w:eastAsia="Calibri" w:cs="Arial"/>
          <w:szCs w:val="22"/>
          <w:vertAlign w:val="superscript"/>
          <w:lang w:eastAsia="x-none"/>
        </w:rPr>
        <w:footnoteReference w:id="9"/>
      </w:r>
      <w:r w:rsidRPr="00826C99">
        <w:rPr>
          <w:rFonts w:eastAsia="Calibri" w:cs="Arial"/>
          <w:szCs w:val="22"/>
          <w:lang w:eastAsia="x-none"/>
        </w:rPr>
        <w:t xml:space="preserve">. This scenario is a lower demand rate than the </w:t>
      </w:r>
      <w:r w:rsidR="004D53D1">
        <w:rPr>
          <w:rFonts w:eastAsia="Calibri" w:cs="Arial"/>
          <w:szCs w:val="22"/>
          <w:lang w:eastAsia="x-none"/>
        </w:rPr>
        <w:t>continuity</w:t>
      </w:r>
      <w:r w:rsidR="00646921">
        <w:rPr>
          <w:rFonts w:eastAsia="Calibri" w:cs="Arial"/>
          <w:szCs w:val="22"/>
          <w:lang w:eastAsia="x-none"/>
        </w:rPr>
        <w:t xml:space="preserve"> of care (baseline) scenario</w:t>
      </w:r>
      <w:r w:rsidR="00FF66B1">
        <w:rPr>
          <w:rFonts w:eastAsia="Calibri" w:cs="Arial"/>
          <w:szCs w:val="22"/>
          <w:lang w:eastAsia="x-none"/>
        </w:rPr>
        <w:t>.</w:t>
      </w:r>
    </w:p>
    <w:p w:rsidR="00B740AD" w:rsidRPr="00A93607" w:rsidRDefault="00B740AD" w:rsidP="00E85564">
      <w:pPr>
        <w:pStyle w:val="Heading2"/>
      </w:pPr>
      <w:bookmarkStart w:id="198" w:name="_Toc10808415"/>
      <w:r w:rsidRPr="00A93607">
        <w:t>Increased hours worked</w:t>
      </w:r>
      <w:bookmarkEnd w:id="198"/>
    </w:p>
    <w:p w:rsidR="00B740AD" w:rsidRPr="00826C99" w:rsidRDefault="00B740AD" w:rsidP="005142DA">
      <w:pPr>
        <w:spacing w:after="120" w:line="240" w:lineRule="auto"/>
        <w:jc w:val="both"/>
        <w:rPr>
          <w:rFonts w:eastAsia="Times New Roman" w:cs="Arial"/>
          <w:color w:val="000000"/>
          <w:szCs w:val="22"/>
        </w:rPr>
      </w:pPr>
      <w:r w:rsidRPr="00826C99">
        <w:rPr>
          <w:rFonts w:eastAsia="Times New Roman" w:cs="Arial"/>
          <w:color w:val="000000"/>
          <w:szCs w:val="22"/>
        </w:rPr>
        <w:t>The midwifery workforce reports low hours worked within midwifery; these hours were 2</w:t>
      </w:r>
      <w:r w:rsidR="00FF66B1">
        <w:rPr>
          <w:rFonts w:eastAsia="Times New Roman" w:cs="Arial"/>
          <w:color w:val="000000"/>
          <w:szCs w:val="22"/>
        </w:rPr>
        <w:t>5</w:t>
      </w:r>
      <w:r w:rsidRPr="00826C99">
        <w:rPr>
          <w:rFonts w:eastAsia="Times New Roman" w:cs="Arial"/>
          <w:color w:val="000000"/>
          <w:szCs w:val="22"/>
        </w:rPr>
        <w:t>.</w:t>
      </w:r>
      <w:r w:rsidR="00FF66B1">
        <w:rPr>
          <w:rFonts w:eastAsia="Times New Roman" w:cs="Arial"/>
          <w:color w:val="000000"/>
          <w:szCs w:val="22"/>
        </w:rPr>
        <w:t>7</w:t>
      </w:r>
      <w:r w:rsidRPr="00826C99">
        <w:rPr>
          <w:rFonts w:eastAsia="Times New Roman" w:cs="Arial"/>
          <w:color w:val="000000"/>
          <w:szCs w:val="22"/>
        </w:rPr>
        <w:t xml:space="preserve"> hours per week in 2017</w:t>
      </w:r>
      <w:r w:rsidR="00D622ED">
        <w:rPr>
          <w:rFonts w:eastAsia="Times New Roman" w:cs="Arial"/>
          <w:color w:val="000000"/>
          <w:szCs w:val="22"/>
        </w:rPr>
        <w:t xml:space="preserve">, however </w:t>
      </w:r>
      <w:r w:rsidR="00F0661C">
        <w:rPr>
          <w:rFonts w:eastAsia="Times New Roman" w:cs="Arial"/>
          <w:color w:val="000000"/>
          <w:szCs w:val="22"/>
        </w:rPr>
        <w:t xml:space="preserve">one </w:t>
      </w:r>
      <w:r w:rsidR="00D622ED">
        <w:rPr>
          <w:rFonts w:eastAsia="Times New Roman" w:cs="Arial"/>
          <w:color w:val="000000"/>
          <w:szCs w:val="22"/>
        </w:rPr>
        <w:t>FTE is 38 hours per week</w:t>
      </w:r>
      <w:r w:rsidRPr="00826C99">
        <w:rPr>
          <w:rFonts w:eastAsia="Times New Roman" w:cs="Arial"/>
          <w:color w:val="000000"/>
          <w:szCs w:val="22"/>
        </w:rPr>
        <w:t>. In the modelling the hours worked is one of the most sensitive variables</w:t>
      </w:r>
      <w:r w:rsidR="00D622ED">
        <w:rPr>
          <w:rFonts w:eastAsia="Times New Roman" w:cs="Arial"/>
          <w:color w:val="000000"/>
          <w:szCs w:val="22"/>
        </w:rPr>
        <w:t>.</w:t>
      </w:r>
      <w:r w:rsidRPr="00826C99">
        <w:rPr>
          <w:rFonts w:eastAsia="Times New Roman" w:cs="Arial"/>
          <w:color w:val="000000"/>
          <w:szCs w:val="22"/>
        </w:rPr>
        <w:t xml:space="preserve"> The impact of low hours worked, essentially mean</w:t>
      </w:r>
      <w:r w:rsidR="001A1EA6">
        <w:rPr>
          <w:rFonts w:eastAsia="Times New Roman" w:cs="Arial"/>
          <w:color w:val="000000"/>
          <w:szCs w:val="22"/>
        </w:rPr>
        <w:t>s that for every position (FTE),</w:t>
      </w:r>
      <w:r w:rsidRPr="00826C99">
        <w:rPr>
          <w:rFonts w:eastAsia="Times New Roman" w:cs="Arial"/>
          <w:color w:val="000000"/>
          <w:szCs w:val="22"/>
        </w:rPr>
        <w:t xml:space="preserve"> close to two midwives (in terms of headcount) i</w:t>
      </w:r>
      <w:r w:rsidR="005142DA">
        <w:rPr>
          <w:rFonts w:eastAsia="Times New Roman" w:cs="Arial"/>
          <w:color w:val="000000"/>
          <w:szCs w:val="22"/>
        </w:rPr>
        <w:t xml:space="preserve">s required to fill a position. </w:t>
      </w:r>
    </w:p>
    <w:p w:rsidR="00B740AD" w:rsidRDefault="00B740AD" w:rsidP="00FF66B1">
      <w:pPr>
        <w:spacing w:after="0" w:line="240" w:lineRule="auto"/>
        <w:jc w:val="both"/>
        <w:rPr>
          <w:rFonts w:eastAsia="Times New Roman" w:cs="Arial"/>
          <w:color w:val="000000"/>
          <w:szCs w:val="22"/>
        </w:rPr>
      </w:pPr>
      <w:r w:rsidRPr="00826C99">
        <w:rPr>
          <w:rFonts w:eastAsia="Times New Roman" w:cs="Arial"/>
          <w:color w:val="000000"/>
          <w:szCs w:val="22"/>
        </w:rPr>
        <w:t xml:space="preserve">This scenario attempts to increase the hours of midwives to 30 hours per week (an increase of </w:t>
      </w:r>
      <w:r w:rsidR="00FF66B1">
        <w:rPr>
          <w:rFonts w:eastAsia="Times New Roman" w:cs="Arial"/>
          <w:color w:val="000000"/>
          <w:szCs w:val="22"/>
        </w:rPr>
        <w:t>4.</w:t>
      </w:r>
      <w:r w:rsidR="00FB4BE9">
        <w:rPr>
          <w:rFonts w:eastAsia="Times New Roman" w:cs="Arial"/>
          <w:color w:val="000000"/>
          <w:szCs w:val="22"/>
        </w:rPr>
        <w:t>5</w:t>
      </w:r>
      <w:r w:rsidRPr="00826C99">
        <w:rPr>
          <w:rFonts w:eastAsia="Times New Roman" w:cs="Arial"/>
          <w:color w:val="000000"/>
          <w:szCs w:val="22"/>
        </w:rPr>
        <w:t xml:space="preserve"> hours per week or an approximate additional early or late shift per </w:t>
      </w:r>
      <w:r w:rsidR="00FF66B1">
        <w:rPr>
          <w:rFonts w:eastAsia="Times New Roman" w:cs="Arial"/>
          <w:color w:val="000000"/>
          <w:szCs w:val="22"/>
        </w:rPr>
        <w:t>fortnight</w:t>
      </w:r>
      <w:r w:rsidRPr="00826C99">
        <w:rPr>
          <w:rFonts w:eastAsia="Times New Roman" w:cs="Arial"/>
          <w:color w:val="000000"/>
          <w:szCs w:val="22"/>
          <w:vertAlign w:val="superscript"/>
        </w:rPr>
        <w:footnoteReference w:id="10"/>
      </w:r>
      <w:r w:rsidRPr="00826C99">
        <w:rPr>
          <w:rFonts w:eastAsia="Times New Roman" w:cs="Arial"/>
          <w:color w:val="000000"/>
          <w:szCs w:val="22"/>
        </w:rPr>
        <w:t xml:space="preserve">). This scenario is a response to the recency of practice registration standard, where increasing the hours of a midwife will ensure midwives are maintaining their recency of practice within the midwifery sphere and not moving into nursing only. </w:t>
      </w:r>
      <w:r w:rsidR="00FF66B1">
        <w:rPr>
          <w:rFonts w:eastAsia="Calibri" w:cs="Arial"/>
          <w:szCs w:val="22"/>
          <w:lang w:val="en-US"/>
        </w:rPr>
        <w:t xml:space="preserve">This scenario uses the </w:t>
      </w:r>
      <w:r w:rsidR="004D53D1">
        <w:rPr>
          <w:rFonts w:eastAsia="Calibri" w:cs="Arial"/>
          <w:szCs w:val="22"/>
          <w:lang w:val="en-US"/>
        </w:rPr>
        <w:t>continuity</w:t>
      </w:r>
      <w:r w:rsidR="00FF66B1">
        <w:rPr>
          <w:rFonts w:eastAsia="Calibri" w:cs="Arial"/>
          <w:szCs w:val="22"/>
          <w:lang w:val="en-US"/>
        </w:rPr>
        <w:t xml:space="preserve"> of care demand rate, at 2.53% in 2017.</w:t>
      </w:r>
    </w:p>
    <w:p w:rsidR="00B740AD" w:rsidRPr="00E85564" w:rsidRDefault="00B740AD" w:rsidP="00E85564">
      <w:pPr>
        <w:pStyle w:val="Heading1"/>
      </w:pPr>
      <w:bookmarkStart w:id="199" w:name="_Toc10808416"/>
      <w:r w:rsidRPr="00E85564">
        <w:lastRenderedPageBreak/>
        <w:t>Results</w:t>
      </w:r>
      <w:bookmarkEnd w:id="199"/>
    </w:p>
    <w:p w:rsidR="00B740AD" w:rsidRPr="00826C99" w:rsidRDefault="00B740AD" w:rsidP="00A93607">
      <w:pPr>
        <w:spacing w:before="120" w:after="120" w:line="240" w:lineRule="auto"/>
        <w:jc w:val="both"/>
        <w:rPr>
          <w:rFonts w:eastAsia="Times New Roman" w:cs="Arial"/>
          <w:color w:val="000000"/>
          <w:szCs w:val="22"/>
        </w:rPr>
      </w:pPr>
      <w:r w:rsidRPr="00826C99">
        <w:rPr>
          <w:rFonts w:eastAsia="Times New Roman" w:cs="Arial"/>
          <w:color w:val="000000"/>
          <w:szCs w:val="22"/>
        </w:rPr>
        <w:t xml:space="preserve">The impact of these scenarios is measured by comparing their workforce projection results with the </w:t>
      </w:r>
      <w:r w:rsidR="004D53D1">
        <w:rPr>
          <w:rFonts w:eastAsia="Times New Roman" w:cs="Arial"/>
          <w:color w:val="000000"/>
          <w:szCs w:val="22"/>
        </w:rPr>
        <w:t>continuity</w:t>
      </w:r>
      <w:r w:rsidR="00646921">
        <w:rPr>
          <w:rFonts w:eastAsia="Times New Roman" w:cs="Arial"/>
          <w:color w:val="000000"/>
          <w:szCs w:val="22"/>
        </w:rPr>
        <w:t xml:space="preserve"> of care (baseline) </w:t>
      </w:r>
      <w:r w:rsidR="000F4834">
        <w:rPr>
          <w:rFonts w:eastAsia="Times New Roman" w:cs="Arial"/>
          <w:color w:val="000000"/>
          <w:szCs w:val="22"/>
        </w:rPr>
        <w:t xml:space="preserve">scenario </w:t>
      </w:r>
      <w:r w:rsidR="000F4834" w:rsidRPr="00826C99">
        <w:rPr>
          <w:rFonts w:eastAsia="Times New Roman" w:cs="Arial"/>
          <w:color w:val="000000"/>
          <w:szCs w:val="22"/>
        </w:rPr>
        <w:t>–</w:t>
      </w:r>
      <w:r w:rsidRPr="00826C99">
        <w:rPr>
          <w:rFonts w:eastAsia="Times New Roman" w:cs="Arial"/>
          <w:color w:val="000000"/>
          <w:szCs w:val="22"/>
        </w:rPr>
        <w:t xml:space="preserve"> a technical construct where current trends are assumed to continue into the future. This allows an assessment of the effects of other changes, which may impact the workforce.</w:t>
      </w:r>
      <w:r w:rsidRPr="00826C99">
        <w:rPr>
          <w:rFonts w:eastAsia="Calibri" w:cs="Arial"/>
          <w:color w:val="1F497D"/>
          <w:szCs w:val="22"/>
        </w:rPr>
        <w:t xml:space="preserve"> </w:t>
      </w:r>
    </w:p>
    <w:p w:rsidR="00B740AD" w:rsidRPr="00826C99" w:rsidRDefault="00E847AA" w:rsidP="00A93607">
      <w:pPr>
        <w:spacing w:before="120" w:after="120" w:line="240" w:lineRule="auto"/>
        <w:jc w:val="both"/>
        <w:rPr>
          <w:rFonts w:eastAsia="Times New Roman" w:cs="Arial"/>
          <w:color w:val="000000"/>
          <w:szCs w:val="22"/>
        </w:rPr>
      </w:pPr>
      <w:r>
        <w:rPr>
          <w:rFonts w:eastAsia="Times New Roman" w:cs="Arial"/>
          <w:color w:val="000000"/>
          <w:szCs w:val="22"/>
        </w:rPr>
        <w:t xml:space="preserve">Figure </w:t>
      </w:r>
      <w:r w:rsidR="001410E9">
        <w:rPr>
          <w:rFonts w:eastAsia="Times New Roman" w:cs="Arial"/>
          <w:color w:val="000000"/>
          <w:szCs w:val="22"/>
        </w:rPr>
        <w:t>33</w:t>
      </w:r>
      <w:r w:rsidR="00B740AD" w:rsidRPr="00826C99">
        <w:rPr>
          <w:rFonts w:eastAsia="Times New Roman" w:cs="Arial"/>
          <w:color w:val="000000"/>
          <w:szCs w:val="22"/>
        </w:rPr>
        <w:t xml:space="preserve"> provides a summary of the scenario modelling results. The intention of the scenarios presented is to illustrate workforce policy alternatives and their effects. It is recognised that the scenarios presented are not directly representative of real life policies. </w:t>
      </w:r>
    </w:p>
    <w:p w:rsidR="00B740AD" w:rsidRPr="00826C99" w:rsidRDefault="00B740AD" w:rsidP="00A93607">
      <w:pPr>
        <w:spacing w:before="120" w:after="120" w:line="240" w:lineRule="auto"/>
        <w:jc w:val="both"/>
        <w:rPr>
          <w:rFonts w:eastAsia="Times New Roman" w:cs="Arial"/>
          <w:color w:val="000000"/>
          <w:szCs w:val="22"/>
        </w:rPr>
      </w:pPr>
      <w:r w:rsidRPr="00826C99">
        <w:rPr>
          <w:rFonts w:eastAsia="Times New Roman" w:cs="Arial"/>
          <w:color w:val="000000"/>
          <w:szCs w:val="22"/>
        </w:rPr>
        <w:t xml:space="preserve">The </w:t>
      </w:r>
      <w:r w:rsidR="004D53D1">
        <w:rPr>
          <w:rFonts w:eastAsia="Times New Roman" w:cs="Arial"/>
          <w:color w:val="000000"/>
          <w:szCs w:val="22"/>
        </w:rPr>
        <w:t>continuity</w:t>
      </w:r>
      <w:r w:rsidR="00646921">
        <w:rPr>
          <w:rFonts w:eastAsia="Times New Roman" w:cs="Arial"/>
          <w:color w:val="000000"/>
          <w:szCs w:val="22"/>
        </w:rPr>
        <w:t xml:space="preserve"> of care (baseline) </w:t>
      </w:r>
      <w:r w:rsidR="000F4834">
        <w:rPr>
          <w:rFonts w:eastAsia="Times New Roman" w:cs="Arial"/>
          <w:color w:val="000000"/>
          <w:szCs w:val="22"/>
        </w:rPr>
        <w:t xml:space="preserve">scenario </w:t>
      </w:r>
      <w:r w:rsidR="000F4834" w:rsidRPr="00826C99">
        <w:rPr>
          <w:rFonts w:eastAsia="Times New Roman" w:cs="Arial"/>
          <w:color w:val="000000"/>
          <w:szCs w:val="22"/>
        </w:rPr>
        <w:t>assumes</w:t>
      </w:r>
      <w:r w:rsidRPr="00826C99">
        <w:rPr>
          <w:rFonts w:eastAsia="Times New Roman" w:cs="Arial"/>
          <w:color w:val="000000"/>
          <w:szCs w:val="22"/>
        </w:rPr>
        <w:t xml:space="preserve"> that nothing changes and </w:t>
      </w:r>
      <w:r w:rsidR="001A1EA6">
        <w:rPr>
          <w:rFonts w:eastAsia="Times New Roman" w:cs="Arial"/>
          <w:color w:val="000000"/>
          <w:szCs w:val="22"/>
        </w:rPr>
        <w:t>trends continue as they are:</w:t>
      </w:r>
      <w:r w:rsidRPr="00826C99">
        <w:rPr>
          <w:rFonts w:eastAsia="Times New Roman" w:cs="Arial"/>
          <w:color w:val="000000"/>
          <w:szCs w:val="22"/>
        </w:rPr>
        <w:t xml:space="preserve"> it shows the </w:t>
      </w:r>
      <w:r w:rsidR="00E847AA">
        <w:rPr>
          <w:rFonts w:eastAsia="Times New Roman" w:cs="Arial"/>
          <w:color w:val="000000"/>
          <w:szCs w:val="22"/>
        </w:rPr>
        <w:t>supply of</w:t>
      </w:r>
      <w:r w:rsidR="00E847AA" w:rsidRPr="00826C99">
        <w:rPr>
          <w:rFonts w:eastAsia="Times New Roman" w:cs="Arial"/>
          <w:color w:val="000000"/>
          <w:szCs w:val="22"/>
        </w:rPr>
        <w:t xml:space="preserve"> </w:t>
      </w:r>
      <w:r w:rsidRPr="00826C99">
        <w:rPr>
          <w:rFonts w:eastAsia="Times New Roman" w:cs="Arial"/>
          <w:color w:val="000000"/>
          <w:szCs w:val="22"/>
        </w:rPr>
        <w:t xml:space="preserve">midwives is projected to </w:t>
      </w:r>
      <w:r w:rsidR="00E847AA">
        <w:rPr>
          <w:rFonts w:eastAsia="Times New Roman" w:cs="Arial"/>
          <w:color w:val="000000"/>
          <w:szCs w:val="22"/>
        </w:rPr>
        <w:t>be in balance with demand</w:t>
      </w:r>
      <w:r w:rsidRPr="00826C99">
        <w:rPr>
          <w:rFonts w:eastAsia="Times New Roman" w:cs="Arial"/>
          <w:color w:val="000000"/>
          <w:szCs w:val="22"/>
        </w:rPr>
        <w:t xml:space="preserve"> in 2030. As previously </w:t>
      </w:r>
      <w:r w:rsidR="001410E9">
        <w:rPr>
          <w:rFonts w:eastAsia="Times New Roman" w:cs="Arial"/>
          <w:color w:val="000000"/>
          <w:szCs w:val="22"/>
        </w:rPr>
        <w:t>indicated</w:t>
      </w:r>
      <w:r w:rsidRPr="00826C99">
        <w:rPr>
          <w:rFonts w:eastAsia="Times New Roman" w:cs="Arial"/>
          <w:color w:val="000000"/>
          <w:szCs w:val="22"/>
        </w:rPr>
        <w:t xml:space="preserve"> the hours worked is a sensitive variable in the model given that the model converts the headcount to FTE</w:t>
      </w:r>
      <w:r w:rsidR="00266A88">
        <w:rPr>
          <w:rFonts w:eastAsia="Times New Roman" w:cs="Arial"/>
          <w:color w:val="000000"/>
          <w:szCs w:val="22"/>
        </w:rPr>
        <w:t>, as such,</w:t>
      </w:r>
      <w:r w:rsidRPr="00826C99">
        <w:rPr>
          <w:rFonts w:eastAsia="Times New Roman" w:cs="Arial"/>
          <w:color w:val="000000"/>
          <w:szCs w:val="22"/>
        </w:rPr>
        <w:t xml:space="preserve"> </w:t>
      </w:r>
      <w:r w:rsidR="00266A88">
        <w:rPr>
          <w:rFonts w:eastAsia="Times New Roman" w:cs="Arial"/>
          <w:color w:val="000000"/>
          <w:szCs w:val="22"/>
        </w:rPr>
        <w:t>i</w:t>
      </w:r>
      <w:r w:rsidRPr="00826C99">
        <w:rPr>
          <w:rFonts w:eastAsia="Times New Roman" w:cs="Arial"/>
          <w:color w:val="000000"/>
          <w:szCs w:val="22"/>
        </w:rPr>
        <w:t xml:space="preserve">n the scenario where hours are increased this significantly impacts the outcomes of the results. </w:t>
      </w:r>
    </w:p>
    <w:p w:rsidR="00B740AD" w:rsidRPr="00826C99" w:rsidRDefault="004200DE" w:rsidP="00A93607">
      <w:pPr>
        <w:spacing w:before="120" w:after="120" w:line="240" w:lineRule="auto"/>
        <w:jc w:val="both"/>
        <w:rPr>
          <w:rFonts w:eastAsia="Times New Roman" w:cs="Arial"/>
          <w:color w:val="000000"/>
          <w:szCs w:val="22"/>
        </w:rPr>
      </w:pPr>
      <w:r>
        <w:rPr>
          <w:rFonts w:eastAsia="Times New Roman" w:cs="Arial"/>
          <w:color w:val="000000"/>
          <w:szCs w:val="22"/>
        </w:rPr>
        <w:t xml:space="preserve">All </w:t>
      </w:r>
      <w:r w:rsidR="00B740AD" w:rsidRPr="00826C99">
        <w:rPr>
          <w:rFonts w:eastAsia="Times New Roman" w:cs="Arial"/>
          <w:color w:val="000000"/>
          <w:szCs w:val="22"/>
        </w:rPr>
        <w:t>scenarios present a change in either the hours of the midwives</w:t>
      </w:r>
      <w:r>
        <w:rPr>
          <w:rFonts w:eastAsia="Times New Roman" w:cs="Arial"/>
          <w:color w:val="000000"/>
          <w:szCs w:val="22"/>
        </w:rPr>
        <w:t xml:space="preserve"> or the demand for midwives</w:t>
      </w:r>
      <w:r w:rsidR="001410E9">
        <w:rPr>
          <w:rFonts w:eastAsia="Times New Roman" w:cs="Arial"/>
          <w:color w:val="000000"/>
          <w:szCs w:val="22"/>
        </w:rPr>
        <w:t>.</w:t>
      </w:r>
      <w:r w:rsidR="00AD7801">
        <w:rPr>
          <w:rFonts w:eastAsia="Times New Roman" w:cs="Arial"/>
          <w:color w:val="000000"/>
          <w:szCs w:val="22"/>
        </w:rPr>
        <w:t xml:space="preserve"> </w:t>
      </w:r>
      <w:r w:rsidR="001410E9">
        <w:rPr>
          <w:rFonts w:eastAsia="Times New Roman" w:cs="Arial"/>
          <w:color w:val="000000"/>
          <w:szCs w:val="22"/>
        </w:rPr>
        <w:t>N</w:t>
      </w:r>
      <w:r w:rsidR="0046043D">
        <w:rPr>
          <w:rFonts w:eastAsia="Times New Roman" w:cs="Arial"/>
          <w:color w:val="000000"/>
          <w:szCs w:val="22"/>
        </w:rPr>
        <w:t>o</w:t>
      </w:r>
      <w:r>
        <w:rPr>
          <w:rFonts w:eastAsia="Times New Roman" w:cs="Arial"/>
          <w:color w:val="000000"/>
          <w:szCs w:val="22"/>
        </w:rPr>
        <w:t xml:space="preserve"> change </w:t>
      </w:r>
      <w:r w:rsidR="001410E9">
        <w:rPr>
          <w:rFonts w:eastAsia="Times New Roman" w:cs="Arial"/>
          <w:color w:val="000000"/>
          <w:szCs w:val="22"/>
        </w:rPr>
        <w:t xml:space="preserve">in </w:t>
      </w:r>
      <w:r>
        <w:rPr>
          <w:rFonts w:eastAsia="Times New Roman" w:cs="Arial"/>
          <w:color w:val="000000"/>
          <w:szCs w:val="22"/>
        </w:rPr>
        <w:t>the number of midwives has been modelled</w:t>
      </w:r>
      <w:r w:rsidR="00E037F6">
        <w:rPr>
          <w:rFonts w:eastAsia="Times New Roman" w:cs="Arial"/>
          <w:color w:val="000000"/>
          <w:szCs w:val="22"/>
        </w:rPr>
        <w:t>.</w:t>
      </w:r>
      <w:r w:rsidR="00AD7801">
        <w:rPr>
          <w:rFonts w:eastAsia="Times New Roman" w:cs="Arial"/>
          <w:color w:val="000000"/>
          <w:szCs w:val="22"/>
        </w:rPr>
        <w:t xml:space="preserve"> </w:t>
      </w:r>
      <w:r w:rsidR="00E037F6">
        <w:rPr>
          <w:rFonts w:eastAsia="Times New Roman" w:cs="Arial"/>
          <w:color w:val="000000"/>
          <w:szCs w:val="22"/>
        </w:rPr>
        <w:t>T</w:t>
      </w:r>
      <w:r w:rsidR="00B740AD" w:rsidRPr="00826C99">
        <w:rPr>
          <w:rFonts w:eastAsia="Times New Roman" w:cs="Arial"/>
          <w:color w:val="000000"/>
          <w:szCs w:val="22"/>
        </w:rPr>
        <w:t>herefore the demand</w:t>
      </w:r>
      <w:r>
        <w:rPr>
          <w:rFonts w:eastAsia="Times New Roman" w:cs="Arial"/>
          <w:color w:val="000000"/>
          <w:szCs w:val="22"/>
        </w:rPr>
        <w:t xml:space="preserve"> headcount</w:t>
      </w:r>
      <w:r w:rsidR="00B740AD" w:rsidRPr="00826C99">
        <w:rPr>
          <w:rFonts w:eastAsia="Times New Roman" w:cs="Arial"/>
          <w:color w:val="000000"/>
          <w:szCs w:val="22"/>
        </w:rPr>
        <w:t xml:space="preserve"> appears to change for </w:t>
      </w:r>
      <w:r w:rsidR="00A93607">
        <w:rPr>
          <w:rFonts w:eastAsia="Times New Roman" w:cs="Arial"/>
          <w:color w:val="000000"/>
          <w:szCs w:val="22"/>
        </w:rPr>
        <w:t>each scenario</w:t>
      </w:r>
      <w:r>
        <w:rPr>
          <w:rFonts w:eastAsia="Times New Roman" w:cs="Arial"/>
          <w:color w:val="000000"/>
          <w:szCs w:val="22"/>
        </w:rPr>
        <w:t xml:space="preserve"> but the supply headcount remains the same</w:t>
      </w:r>
      <w:r w:rsidR="00A93607">
        <w:rPr>
          <w:rFonts w:eastAsia="Times New Roman" w:cs="Arial"/>
          <w:color w:val="000000"/>
          <w:szCs w:val="22"/>
        </w:rPr>
        <w:t xml:space="preserve">. </w:t>
      </w:r>
      <w:r w:rsidR="00E037F6">
        <w:rPr>
          <w:rFonts w:eastAsia="Times New Roman" w:cs="Arial"/>
          <w:color w:val="000000"/>
          <w:szCs w:val="22"/>
        </w:rPr>
        <w:t>Figure 33</w:t>
      </w:r>
      <w:r w:rsidR="0040478E">
        <w:rPr>
          <w:rFonts w:eastAsia="Times New Roman" w:cs="Arial"/>
          <w:color w:val="000000"/>
          <w:szCs w:val="22"/>
        </w:rPr>
        <w:t xml:space="preserve"> summarises</w:t>
      </w:r>
      <w:r w:rsidR="00B740AD" w:rsidRPr="00826C99">
        <w:rPr>
          <w:rFonts w:eastAsia="Times New Roman" w:cs="Arial"/>
          <w:color w:val="000000"/>
          <w:szCs w:val="22"/>
        </w:rPr>
        <w:t xml:space="preserve"> the </w:t>
      </w:r>
      <w:r w:rsidR="001C5C07" w:rsidRPr="00826C99">
        <w:rPr>
          <w:rFonts w:eastAsia="Times New Roman" w:cs="Arial"/>
          <w:color w:val="000000"/>
          <w:szCs w:val="22"/>
        </w:rPr>
        <w:t>scenarios</w:t>
      </w:r>
      <w:r w:rsidR="00B740AD" w:rsidRPr="00826C99">
        <w:rPr>
          <w:rFonts w:eastAsia="Times New Roman" w:cs="Arial"/>
          <w:color w:val="000000"/>
          <w:szCs w:val="22"/>
        </w:rPr>
        <w:t xml:space="preserve"> compared to </w:t>
      </w:r>
      <w:r w:rsidR="004D53D1">
        <w:rPr>
          <w:rFonts w:eastAsia="Times New Roman" w:cs="Arial"/>
          <w:color w:val="000000"/>
          <w:szCs w:val="22"/>
        </w:rPr>
        <w:t>continuity</w:t>
      </w:r>
      <w:r>
        <w:rPr>
          <w:rFonts w:eastAsia="Times New Roman" w:cs="Arial"/>
          <w:color w:val="000000"/>
          <w:szCs w:val="22"/>
        </w:rPr>
        <w:t xml:space="preserve"> of care (</w:t>
      </w:r>
      <w:r w:rsidR="00B740AD" w:rsidRPr="00826C99">
        <w:rPr>
          <w:rFonts w:eastAsia="Times New Roman" w:cs="Arial"/>
          <w:color w:val="000000"/>
          <w:szCs w:val="22"/>
        </w:rPr>
        <w:t>baseline</w:t>
      </w:r>
      <w:r>
        <w:rPr>
          <w:rFonts w:eastAsia="Times New Roman" w:cs="Arial"/>
          <w:color w:val="000000"/>
          <w:szCs w:val="22"/>
        </w:rPr>
        <w:t>) scenario</w:t>
      </w:r>
      <w:r w:rsidR="00B740AD" w:rsidRPr="00826C99">
        <w:rPr>
          <w:rFonts w:eastAsia="Times New Roman" w:cs="Arial"/>
          <w:color w:val="000000"/>
          <w:szCs w:val="22"/>
        </w:rPr>
        <w:t xml:space="preserve">. </w:t>
      </w:r>
    </w:p>
    <w:p w:rsidR="00D57C8A" w:rsidRPr="00826C99" w:rsidRDefault="00D57C8A" w:rsidP="00D57C8A">
      <w:pPr>
        <w:pStyle w:val="Caption"/>
      </w:pPr>
      <w:bookmarkStart w:id="200" w:name="_Toc532473585"/>
      <w:bookmarkStart w:id="201" w:name="_Toc1722585"/>
      <w:bookmarkStart w:id="202" w:name="_Toc1724709"/>
      <w:bookmarkStart w:id="203" w:name="_Toc1725027"/>
      <w:r>
        <w:t xml:space="preserve">Figure </w:t>
      </w:r>
      <w:r w:rsidR="006F5994">
        <w:t>33</w:t>
      </w:r>
      <w:r>
        <w:t>: Scenario Summary</w:t>
      </w:r>
      <w:bookmarkEnd w:id="200"/>
      <w:bookmarkEnd w:id="201"/>
      <w:bookmarkEnd w:id="202"/>
      <w:bookmarkEnd w:id="203"/>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igure 33: Scenario Summary"/>
        <w:tblDescription w:val="Provides a summary of the scenario modelling results compared to continuity of care (baseline) scenario. The intention of the scenarios presented is to illustrate workforce policy alternatives and their effects."/>
      </w:tblPr>
      <w:tblGrid>
        <w:gridCol w:w="2095"/>
        <w:gridCol w:w="1013"/>
        <w:gridCol w:w="1244"/>
        <w:gridCol w:w="1181"/>
        <w:gridCol w:w="1121"/>
        <w:gridCol w:w="1191"/>
        <w:gridCol w:w="1181"/>
      </w:tblGrid>
      <w:tr w:rsidR="00860B5C" w:rsidTr="00F92344">
        <w:trPr>
          <w:tblHeader/>
        </w:trPr>
        <w:tc>
          <w:tcPr>
            <w:tcW w:w="1161" w:type="pct"/>
            <w:tcBorders>
              <w:top w:val="single" w:sz="18" w:space="0" w:color="auto"/>
              <w:bottom w:val="single" w:sz="18" w:space="0" w:color="auto"/>
            </w:tcBorders>
            <w:shd w:val="clear" w:color="auto" w:fill="7030A0"/>
          </w:tcPr>
          <w:p w:rsidR="009448A4" w:rsidRPr="00860B5C" w:rsidRDefault="009448A4" w:rsidP="009448A4">
            <w:pPr>
              <w:jc w:val="both"/>
              <w:rPr>
                <w:rFonts w:cs="Arial"/>
                <w:b/>
                <w:color w:val="FFFFFF" w:themeColor="background1"/>
                <w:szCs w:val="22"/>
              </w:rPr>
            </w:pPr>
            <w:r w:rsidRPr="00860B5C">
              <w:rPr>
                <w:rFonts w:cs="Arial"/>
                <w:b/>
                <w:color w:val="FFFFFF" w:themeColor="background1"/>
                <w:szCs w:val="22"/>
              </w:rPr>
              <w:t>Year</w:t>
            </w:r>
          </w:p>
        </w:tc>
        <w:tc>
          <w:tcPr>
            <w:tcW w:w="561" w:type="pct"/>
            <w:tcBorders>
              <w:top w:val="single" w:sz="18" w:space="0" w:color="auto"/>
              <w:bottom w:val="single" w:sz="18" w:space="0" w:color="auto"/>
            </w:tcBorders>
            <w:shd w:val="clear" w:color="auto" w:fill="7030A0"/>
          </w:tcPr>
          <w:p w:rsidR="009448A4" w:rsidRPr="00860B5C" w:rsidRDefault="009448A4" w:rsidP="009448A4">
            <w:pPr>
              <w:jc w:val="both"/>
              <w:rPr>
                <w:rFonts w:cs="Arial"/>
                <w:b/>
                <w:color w:val="FFFFFF" w:themeColor="background1"/>
                <w:szCs w:val="22"/>
              </w:rPr>
            </w:pPr>
          </w:p>
        </w:tc>
        <w:tc>
          <w:tcPr>
            <w:tcW w:w="689" w:type="pct"/>
            <w:tcBorders>
              <w:top w:val="single" w:sz="18" w:space="0" w:color="auto"/>
              <w:bottom w:val="single" w:sz="18" w:space="0" w:color="auto"/>
            </w:tcBorders>
            <w:shd w:val="clear" w:color="auto" w:fill="7030A0"/>
          </w:tcPr>
          <w:p w:rsidR="009448A4" w:rsidRPr="00860B5C" w:rsidRDefault="009448A4" w:rsidP="009448A4">
            <w:pPr>
              <w:jc w:val="both"/>
              <w:rPr>
                <w:rFonts w:cs="Arial"/>
                <w:b/>
                <w:color w:val="FFFFFF" w:themeColor="background1"/>
                <w:szCs w:val="22"/>
              </w:rPr>
            </w:pPr>
            <w:r w:rsidRPr="00860B5C">
              <w:rPr>
                <w:rFonts w:cs="Arial"/>
                <w:b/>
                <w:color w:val="FFFFFF" w:themeColor="background1"/>
                <w:szCs w:val="22"/>
              </w:rPr>
              <w:t>2021</w:t>
            </w:r>
          </w:p>
        </w:tc>
        <w:tc>
          <w:tcPr>
            <w:tcW w:w="654" w:type="pct"/>
            <w:tcBorders>
              <w:top w:val="single" w:sz="18" w:space="0" w:color="auto"/>
              <w:bottom w:val="single" w:sz="18" w:space="0" w:color="auto"/>
            </w:tcBorders>
            <w:shd w:val="clear" w:color="auto" w:fill="7030A0"/>
          </w:tcPr>
          <w:p w:rsidR="009448A4" w:rsidRPr="00860B5C" w:rsidRDefault="009448A4" w:rsidP="009448A4">
            <w:pPr>
              <w:jc w:val="both"/>
              <w:rPr>
                <w:rFonts w:cs="Arial"/>
                <w:b/>
                <w:color w:val="FFFFFF" w:themeColor="background1"/>
                <w:szCs w:val="22"/>
              </w:rPr>
            </w:pPr>
          </w:p>
        </w:tc>
        <w:tc>
          <w:tcPr>
            <w:tcW w:w="621" w:type="pct"/>
            <w:tcBorders>
              <w:top w:val="single" w:sz="18" w:space="0" w:color="auto"/>
              <w:bottom w:val="single" w:sz="18" w:space="0" w:color="auto"/>
            </w:tcBorders>
            <w:shd w:val="clear" w:color="auto" w:fill="7030A0"/>
          </w:tcPr>
          <w:p w:rsidR="009448A4" w:rsidRPr="00860B5C" w:rsidRDefault="009448A4" w:rsidP="009448A4">
            <w:pPr>
              <w:jc w:val="both"/>
              <w:rPr>
                <w:rFonts w:cs="Arial"/>
                <w:b/>
                <w:color w:val="FFFFFF" w:themeColor="background1"/>
                <w:szCs w:val="22"/>
              </w:rPr>
            </w:pPr>
          </w:p>
        </w:tc>
        <w:tc>
          <w:tcPr>
            <w:tcW w:w="660" w:type="pct"/>
            <w:tcBorders>
              <w:top w:val="single" w:sz="18" w:space="0" w:color="auto"/>
              <w:bottom w:val="single" w:sz="18" w:space="0" w:color="auto"/>
            </w:tcBorders>
            <w:shd w:val="clear" w:color="auto" w:fill="7030A0"/>
          </w:tcPr>
          <w:p w:rsidR="009448A4" w:rsidRPr="00860B5C" w:rsidRDefault="009448A4" w:rsidP="009448A4">
            <w:pPr>
              <w:jc w:val="both"/>
              <w:rPr>
                <w:rFonts w:cs="Arial"/>
                <w:b/>
                <w:color w:val="FFFFFF" w:themeColor="background1"/>
                <w:szCs w:val="22"/>
              </w:rPr>
            </w:pPr>
            <w:r w:rsidRPr="00860B5C">
              <w:rPr>
                <w:rFonts w:cs="Arial"/>
                <w:b/>
                <w:color w:val="FFFFFF" w:themeColor="background1"/>
                <w:szCs w:val="22"/>
              </w:rPr>
              <w:t>2030</w:t>
            </w:r>
          </w:p>
        </w:tc>
        <w:tc>
          <w:tcPr>
            <w:tcW w:w="654" w:type="pct"/>
            <w:tcBorders>
              <w:top w:val="single" w:sz="18" w:space="0" w:color="auto"/>
              <w:bottom w:val="single" w:sz="18" w:space="0" w:color="auto"/>
            </w:tcBorders>
            <w:shd w:val="clear" w:color="auto" w:fill="7030A0"/>
          </w:tcPr>
          <w:p w:rsidR="009448A4" w:rsidRPr="00860B5C" w:rsidRDefault="009448A4" w:rsidP="009448A4">
            <w:pPr>
              <w:jc w:val="both"/>
              <w:rPr>
                <w:rFonts w:cs="Arial"/>
                <w:b/>
                <w:color w:val="FFFFFF" w:themeColor="background1"/>
                <w:szCs w:val="22"/>
              </w:rPr>
            </w:pPr>
          </w:p>
        </w:tc>
      </w:tr>
      <w:tr w:rsidR="00F75567" w:rsidTr="00F92344">
        <w:trPr>
          <w:tblHeader/>
        </w:trPr>
        <w:tc>
          <w:tcPr>
            <w:tcW w:w="1161" w:type="pct"/>
            <w:tcBorders>
              <w:top w:val="single" w:sz="18" w:space="0" w:color="auto"/>
            </w:tcBorders>
            <w:shd w:val="clear" w:color="auto" w:fill="7030A0"/>
          </w:tcPr>
          <w:p w:rsidR="009448A4" w:rsidRPr="00860B5C" w:rsidRDefault="009448A4" w:rsidP="009448A4">
            <w:pPr>
              <w:jc w:val="both"/>
              <w:rPr>
                <w:rFonts w:cs="Arial"/>
                <w:color w:val="FFFFFF" w:themeColor="background1"/>
                <w:szCs w:val="22"/>
              </w:rPr>
            </w:pPr>
            <w:r w:rsidRPr="00860B5C">
              <w:rPr>
                <w:rFonts w:cs="Arial"/>
                <w:color w:val="FFFFFF" w:themeColor="background1"/>
                <w:szCs w:val="22"/>
              </w:rPr>
              <w:t>Scenario’s</w:t>
            </w:r>
          </w:p>
        </w:tc>
        <w:tc>
          <w:tcPr>
            <w:tcW w:w="561" w:type="pct"/>
            <w:tcBorders>
              <w:top w:val="single" w:sz="18" w:space="0" w:color="auto"/>
            </w:tcBorders>
            <w:shd w:val="clear" w:color="auto" w:fill="D8D8D8"/>
          </w:tcPr>
          <w:p w:rsidR="009448A4" w:rsidRPr="009448A4" w:rsidRDefault="009448A4" w:rsidP="009448A4">
            <w:pPr>
              <w:jc w:val="both"/>
              <w:rPr>
                <w:rFonts w:cs="Arial"/>
                <w:b/>
                <w:color w:val="000000"/>
                <w:szCs w:val="22"/>
              </w:rPr>
            </w:pPr>
            <w:r w:rsidRPr="009448A4">
              <w:rPr>
                <w:rFonts w:cs="Arial"/>
                <w:b/>
                <w:color w:val="000000"/>
                <w:szCs w:val="22"/>
              </w:rPr>
              <w:t>Supply</w:t>
            </w:r>
          </w:p>
        </w:tc>
        <w:tc>
          <w:tcPr>
            <w:tcW w:w="689" w:type="pct"/>
            <w:tcBorders>
              <w:top w:val="single" w:sz="18" w:space="0" w:color="auto"/>
            </w:tcBorders>
            <w:shd w:val="clear" w:color="auto" w:fill="D8D8D8"/>
          </w:tcPr>
          <w:p w:rsidR="009448A4" w:rsidRPr="009448A4" w:rsidRDefault="009448A4" w:rsidP="009448A4">
            <w:pPr>
              <w:jc w:val="both"/>
              <w:rPr>
                <w:rFonts w:cs="Arial"/>
                <w:b/>
                <w:color w:val="000000"/>
                <w:szCs w:val="22"/>
              </w:rPr>
            </w:pPr>
            <w:r w:rsidRPr="009448A4">
              <w:rPr>
                <w:rFonts w:cs="Arial"/>
                <w:b/>
                <w:color w:val="000000"/>
                <w:szCs w:val="22"/>
              </w:rPr>
              <w:t>Demand</w:t>
            </w:r>
          </w:p>
        </w:tc>
        <w:tc>
          <w:tcPr>
            <w:tcW w:w="654" w:type="pct"/>
            <w:tcBorders>
              <w:top w:val="single" w:sz="18" w:space="0" w:color="auto"/>
            </w:tcBorders>
            <w:shd w:val="clear" w:color="auto" w:fill="D8D8D8"/>
          </w:tcPr>
          <w:p w:rsidR="009448A4" w:rsidRPr="009448A4" w:rsidRDefault="009448A4" w:rsidP="009448A4">
            <w:pPr>
              <w:jc w:val="both"/>
              <w:rPr>
                <w:rFonts w:cs="Arial"/>
                <w:b/>
                <w:color w:val="000000"/>
                <w:szCs w:val="22"/>
              </w:rPr>
            </w:pPr>
            <w:r w:rsidRPr="009448A4">
              <w:rPr>
                <w:rFonts w:cs="Arial"/>
                <w:b/>
                <w:color w:val="000000"/>
                <w:szCs w:val="22"/>
              </w:rPr>
              <w:t>Balance</w:t>
            </w:r>
          </w:p>
        </w:tc>
        <w:tc>
          <w:tcPr>
            <w:tcW w:w="621" w:type="pct"/>
            <w:tcBorders>
              <w:top w:val="single" w:sz="18" w:space="0" w:color="auto"/>
            </w:tcBorders>
            <w:shd w:val="clear" w:color="auto" w:fill="D8D8D8"/>
          </w:tcPr>
          <w:p w:rsidR="009448A4" w:rsidRPr="009448A4" w:rsidRDefault="009448A4" w:rsidP="009448A4">
            <w:pPr>
              <w:jc w:val="both"/>
              <w:rPr>
                <w:rFonts w:cs="Arial"/>
                <w:b/>
                <w:color w:val="000000"/>
                <w:szCs w:val="22"/>
              </w:rPr>
            </w:pPr>
            <w:r w:rsidRPr="009448A4">
              <w:rPr>
                <w:rFonts w:cs="Arial"/>
                <w:b/>
                <w:color w:val="000000"/>
                <w:szCs w:val="22"/>
              </w:rPr>
              <w:t>Supply</w:t>
            </w:r>
          </w:p>
        </w:tc>
        <w:tc>
          <w:tcPr>
            <w:tcW w:w="660" w:type="pct"/>
            <w:tcBorders>
              <w:top w:val="single" w:sz="18" w:space="0" w:color="auto"/>
            </w:tcBorders>
            <w:shd w:val="clear" w:color="auto" w:fill="D8D8D8"/>
          </w:tcPr>
          <w:p w:rsidR="009448A4" w:rsidRPr="009448A4" w:rsidRDefault="009448A4" w:rsidP="009448A4">
            <w:pPr>
              <w:jc w:val="both"/>
              <w:rPr>
                <w:rFonts w:cs="Arial"/>
                <w:b/>
                <w:color w:val="000000"/>
                <w:szCs w:val="22"/>
              </w:rPr>
            </w:pPr>
            <w:r w:rsidRPr="009448A4">
              <w:rPr>
                <w:rFonts w:cs="Arial"/>
                <w:b/>
                <w:color w:val="000000"/>
                <w:szCs w:val="22"/>
              </w:rPr>
              <w:t>Demand</w:t>
            </w:r>
          </w:p>
        </w:tc>
        <w:tc>
          <w:tcPr>
            <w:tcW w:w="654" w:type="pct"/>
            <w:tcBorders>
              <w:top w:val="single" w:sz="18" w:space="0" w:color="auto"/>
            </w:tcBorders>
            <w:shd w:val="clear" w:color="auto" w:fill="D8D8D8"/>
          </w:tcPr>
          <w:p w:rsidR="009448A4" w:rsidRPr="009448A4" w:rsidRDefault="009448A4" w:rsidP="009448A4">
            <w:pPr>
              <w:jc w:val="both"/>
              <w:rPr>
                <w:rFonts w:cs="Arial"/>
                <w:b/>
                <w:color w:val="000000"/>
                <w:szCs w:val="22"/>
              </w:rPr>
            </w:pPr>
            <w:r w:rsidRPr="009448A4">
              <w:rPr>
                <w:rFonts w:cs="Arial"/>
                <w:b/>
                <w:color w:val="000000"/>
                <w:szCs w:val="22"/>
              </w:rPr>
              <w:t>Balance</w:t>
            </w:r>
          </w:p>
        </w:tc>
      </w:tr>
      <w:tr w:rsidR="009448A4" w:rsidTr="00F92344">
        <w:tc>
          <w:tcPr>
            <w:tcW w:w="1161" w:type="pct"/>
            <w:shd w:val="clear" w:color="auto" w:fill="7030A0"/>
          </w:tcPr>
          <w:p w:rsidR="009448A4" w:rsidRPr="00860B5C" w:rsidRDefault="009448A4" w:rsidP="009448A4">
            <w:pPr>
              <w:pStyle w:val="ListParagraph"/>
              <w:numPr>
                <w:ilvl w:val="0"/>
                <w:numId w:val="59"/>
              </w:numPr>
              <w:spacing w:before="0" w:after="0"/>
              <w:rPr>
                <w:rFonts w:cs="Arial"/>
                <w:color w:val="FFFFFF" w:themeColor="background1"/>
                <w:szCs w:val="22"/>
              </w:rPr>
            </w:pPr>
            <w:r w:rsidRPr="00860B5C">
              <w:rPr>
                <w:rFonts w:cs="Arial"/>
                <w:color w:val="FFFFFF" w:themeColor="background1"/>
              </w:rPr>
              <w:t>CoC (Baseline)</w:t>
            </w:r>
          </w:p>
        </w:tc>
        <w:tc>
          <w:tcPr>
            <w:tcW w:w="561" w:type="pct"/>
          </w:tcPr>
          <w:p w:rsidR="009448A4" w:rsidRDefault="009448A4" w:rsidP="009448A4">
            <w:pPr>
              <w:jc w:val="both"/>
              <w:rPr>
                <w:rFonts w:cs="Arial"/>
                <w:color w:val="000000"/>
                <w:szCs w:val="22"/>
              </w:rPr>
            </w:pPr>
            <w:r>
              <w:rPr>
                <w:rFonts w:cs="Arial"/>
                <w:color w:val="000000"/>
                <w:szCs w:val="22"/>
              </w:rPr>
              <w:t>23,206</w:t>
            </w:r>
          </w:p>
        </w:tc>
        <w:tc>
          <w:tcPr>
            <w:tcW w:w="689" w:type="pct"/>
          </w:tcPr>
          <w:p w:rsidR="009448A4" w:rsidRDefault="009448A4" w:rsidP="009448A4">
            <w:pPr>
              <w:jc w:val="both"/>
              <w:rPr>
                <w:rFonts w:cs="Arial"/>
                <w:color w:val="000000"/>
                <w:szCs w:val="22"/>
              </w:rPr>
            </w:pPr>
            <w:r>
              <w:rPr>
                <w:rFonts w:cs="Arial"/>
                <w:color w:val="000000"/>
                <w:szCs w:val="22"/>
              </w:rPr>
              <w:t>23,072</w:t>
            </w:r>
          </w:p>
        </w:tc>
        <w:tc>
          <w:tcPr>
            <w:tcW w:w="654" w:type="pct"/>
          </w:tcPr>
          <w:p w:rsidR="009448A4" w:rsidRDefault="009448A4" w:rsidP="009448A4">
            <w:pPr>
              <w:jc w:val="both"/>
              <w:rPr>
                <w:rFonts w:cs="Arial"/>
                <w:color w:val="000000"/>
                <w:szCs w:val="22"/>
              </w:rPr>
            </w:pPr>
            <w:r>
              <w:rPr>
                <w:rFonts w:cs="Arial"/>
                <w:color w:val="000000"/>
                <w:szCs w:val="22"/>
              </w:rPr>
              <w:t>134</w:t>
            </w:r>
          </w:p>
        </w:tc>
        <w:tc>
          <w:tcPr>
            <w:tcW w:w="621" w:type="pct"/>
          </w:tcPr>
          <w:p w:rsidR="009448A4" w:rsidRDefault="009448A4" w:rsidP="009448A4">
            <w:pPr>
              <w:jc w:val="both"/>
              <w:rPr>
                <w:rFonts w:cs="Arial"/>
                <w:color w:val="000000"/>
                <w:szCs w:val="22"/>
              </w:rPr>
            </w:pPr>
            <w:r>
              <w:rPr>
                <w:rFonts w:cs="Arial"/>
                <w:color w:val="000000"/>
                <w:szCs w:val="22"/>
              </w:rPr>
              <w:t>28,205</w:t>
            </w:r>
          </w:p>
        </w:tc>
        <w:tc>
          <w:tcPr>
            <w:tcW w:w="660" w:type="pct"/>
          </w:tcPr>
          <w:p w:rsidR="009448A4" w:rsidRDefault="009448A4" w:rsidP="009448A4">
            <w:pPr>
              <w:jc w:val="both"/>
              <w:rPr>
                <w:rFonts w:cs="Arial"/>
                <w:color w:val="000000"/>
                <w:szCs w:val="22"/>
              </w:rPr>
            </w:pPr>
            <w:r>
              <w:rPr>
                <w:rFonts w:cs="Arial"/>
                <w:color w:val="000000"/>
                <w:szCs w:val="22"/>
              </w:rPr>
              <w:t>27,385</w:t>
            </w:r>
          </w:p>
        </w:tc>
        <w:tc>
          <w:tcPr>
            <w:tcW w:w="654" w:type="pct"/>
          </w:tcPr>
          <w:p w:rsidR="009448A4" w:rsidRDefault="009448A4" w:rsidP="009448A4">
            <w:pPr>
              <w:jc w:val="both"/>
              <w:rPr>
                <w:rFonts w:cs="Arial"/>
                <w:color w:val="000000"/>
                <w:szCs w:val="22"/>
              </w:rPr>
            </w:pPr>
            <w:r>
              <w:rPr>
                <w:rFonts w:cs="Arial"/>
                <w:color w:val="000000"/>
                <w:szCs w:val="22"/>
              </w:rPr>
              <w:t>820</w:t>
            </w:r>
          </w:p>
        </w:tc>
      </w:tr>
      <w:tr w:rsidR="00F75567" w:rsidTr="00F92344">
        <w:tc>
          <w:tcPr>
            <w:tcW w:w="1161" w:type="pct"/>
            <w:shd w:val="clear" w:color="auto" w:fill="7030A0"/>
          </w:tcPr>
          <w:p w:rsidR="009448A4" w:rsidRPr="00860B5C" w:rsidRDefault="009448A4" w:rsidP="009448A4">
            <w:pPr>
              <w:pStyle w:val="ListParagraph"/>
              <w:numPr>
                <w:ilvl w:val="0"/>
                <w:numId w:val="59"/>
              </w:numPr>
              <w:spacing w:before="0" w:after="0"/>
              <w:rPr>
                <w:rFonts w:cs="Arial"/>
                <w:color w:val="FFFFFF" w:themeColor="background1"/>
                <w:szCs w:val="22"/>
              </w:rPr>
            </w:pPr>
            <w:r w:rsidRPr="00860B5C">
              <w:rPr>
                <w:rFonts w:cs="Arial"/>
                <w:color w:val="FFFFFF" w:themeColor="background1"/>
                <w:szCs w:val="22"/>
              </w:rPr>
              <w:t>Population growth</w:t>
            </w:r>
          </w:p>
        </w:tc>
        <w:tc>
          <w:tcPr>
            <w:tcW w:w="561" w:type="pct"/>
            <w:shd w:val="clear" w:color="auto" w:fill="D8D8D8"/>
          </w:tcPr>
          <w:p w:rsidR="009448A4" w:rsidRDefault="009448A4" w:rsidP="009448A4">
            <w:pPr>
              <w:jc w:val="both"/>
              <w:rPr>
                <w:rFonts w:cs="Arial"/>
                <w:color w:val="000000"/>
                <w:szCs w:val="22"/>
              </w:rPr>
            </w:pPr>
            <w:r>
              <w:rPr>
                <w:rFonts w:cs="Arial"/>
                <w:color w:val="000000"/>
                <w:szCs w:val="22"/>
              </w:rPr>
              <w:t>23,206</w:t>
            </w:r>
          </w:p>
        </w:tc>
        <w:tc>
          <w:tcPr>
            <w:tcW w:w="689" w:type="pct"/>
            <w:shd w:val="clear" w:color="auto" w:fill="D8D8D8"/>
          </w:tcPr>
          <w:p w:rsidR="009448A4" w:rsidRDefault="009448A4" w:rsidP="009448A4">
            <w:pPr>
              <w:jc w:val="both"/>
              <w:rPr>
                <w:rFonts w:cs="Arial"/>
                <w:color w:val="000000"/>
                <w:szCs w:val="22"/>
              </w:rPr>
            </w:pPr>
            <w:r>
              <w:rPr>
                <w:rFonts w:cs="Arial"/>
                <w:color w:val="000000"/>
                <w:szCs w:val="22"/>
              </w:rPr>
              <w:t>22,317</w:t>
            </w:r>
          </w:p>
        </w:tc>
        <w:tc>
          <w:tcPr>
            <w:tcW w:w="654" w:type="pct"/>
            <w:shd w:val="clear" w:color="auto" w:fill="D8D8D8"/>
          </w:tcPr>
          <w:p w:rsidR="009448A4" w:rsidRDefault="009448A4" w:rsidP="009448A4">
            <w:pPr>
              <w:jc w:val="both"/>
              <w:rPr>
                <w:rFonts w:cs="Arial"/>
                <w:color w:val="000000"/>
                <w:szCs w:val="22"/>
              </w:rPr>
            </w:pPr>
            <w:r>
              <w:rPr>
                <w:rFonts w:cs="Arial"/>
                <w:color w:val="000000"/>
                <w:szCs w:val="22"/>
              </w:rPr>
              <w:t>889</w:t>
            </w:r>
          </w:p>
        </w:tc>
        <w:tc>
          <w:tcPr>
            <w:tcW w:w="621" w:type="pct"/>
            <w:shd w:val="clear" w:color="auto" w:fill="D8D8D8"/>
          </w:tcPr>
          <w:p w:rsidR="009448A4" w:rsidRDefault="009448A4" w:rsidP="009448A4">
            <w:pPr>
              <w:jc w:val="both"/>
              <w:rPr>
                <w:rFonts w:cs="Arial"/>
                <w:color w:val="000000"/>
                <w:szCs w:val="22"/>
              </w:rPr>
            </w:pPr>
            <w:r>
              <w:rPr>
                <w:rFonts w:cs="Arial"/>
                <w:color w:val="000000"/>
                <w:szCs w:val="22"/>
              </w:rPr>
              <w:t>28,205</w:t>
            </w:r>
          </w:p>
        </w:tc>
        <w:tc>
          <w:tcPr>
            <w:tcW w:w="660" w:type="pct"/>
            <w:shd w:val="clear" w:color="auto" w:fill="D8D8D8"/>
          </w:tcPr>
          <w:p w:rsidR="009448A4" w:rsidRDefault="009448A4" w:rsidP="009448A4">
            <w:pPr>
              <w:jc w:val="both"/>
              <w:rPr>
                <w:rFonts w:cs="Arial"/>
                <w:color w:val="000000"/>
                <w:szCs w:val="22"/>
              </w:rPr>
            </w:pPr>
            <w:r>
              <w:rPr>
                <w:rFonts w:cs="Arial"/>
                <w:color w:val="000000"/>
                <w:szCs w:val="22"/>
              </w:rPr>
              <w:t>24,967</w:t>
            </w:r>
          </w:p>
        </w:tc>
        <w:tc>
          <w:tcPr>
            <w:tcW w:w="654" w:type="pct"/>
            <w:shd w:val="clear" w:color="auto" w:fill="D8D8D8"/>
          </w:tcPr>
          <w:p w:rsidR="009448A4" w:rsidRDefault="009448A4" w:rsidP="009448A4">
            <w:pPr>
              <w:jc w:val="both"/>
              <w:rPr>
                <w:rFonts w:cs="Arial"/>
                <w:color w:val="000000"/>
                <w:szCs w:val="22"/>
              </w:rPr>
            </w:pPr>
            <w:r>
              <w:rPr>
                <w:rFonts w:cs="Arial"/>
                <w:color w:val="000000"/>
                <w:szCs w:val="22"/>
              </w:rPr>
              <w:t>3,238</w:t>
            </w:r>
          </w:p>
        </w:tc>
      </w:tr>
      <w:tr w:rsidR="009448A4" w:rsidTr="00F92344">
        <w:tc>
          <w:tcPr>
            <w:tcW w:w="1161" w:type="pct"/>
            <w:tcBorders>
              <w:bottom w:val="single" w:sz="18" w:space="0" w:color="auto"/>
            </w:tcBorders>
            <w:shd w:val="clear" w:color="auto" w:fill="7030A0"/>
          </w:tcPr>
          <w:p w:rsidR="009448A4" w:rsidRPr="00860B5C" w:rsidRDefault="009448A4" w:rsidP="009448A4">
            <w:pPr>
              <w:pStyle w:val="ListParagraph"/>
              <w:numPr>
                <w:ilvl w:val="0"/>
                <w:numId w:val="59"/>
              </w:numPr>
              <w:spacing w:before="0" w:after="0"/>
              <w:rPr>
                <w:rFonts w:cs="Arial"/>
                <w:color w:val="FFFFFF" w:themeColor="background1"/>
                <w:szCs w:val="22"/>
              </w:rPr>
            </w:pPr>
            <w:r w:rsidRPr="00860B5C">
              <w:rPr>
                <w:rFonts w:cs="Arial"/>
                <w:color w:val="FFFFFF" w:themeColor="background1"/>
                <w:szCs w:val="22"/>
              </w:rPr>
              <w:t>Increased hours worked</w:t>
            </w:r>
          </w:p>
        </w:tc>
        <w:tc>
          <w:tcPr>
            <w:tcW w:w="561" w:type="pct"/>
            <w:tcBorders>
              <w:bottom w:val="single" w:sz="18" w:space="0" w:color="auto"/>
            </w:tcBorders>
          </w:tcPr>
          <w:p w:rsidR="009448A4" w:rsidRDefault="009448A4" w:rsidP="009448A4">
            <w:pPr>
              <w:jc w:val="both"/>
              <w:rPr>
                <w:rFonts w:cs="Arial"/>
                <w:color w:val="000000"/>
                <w:szCs w:val="22"/>
              </w:rPr>
            </w:pPr>
            <w:r>
              <w:rPr>
                <w:rFonts w:cs="Arial"/>
                <w:color w:val="000000"/>
                <w:szCs w:val="22"/>
              </w:rPr>
              <w:t>23,206</w:t>
            </w:r>
          </w:p>
        </w:tc>
        <w:tc>
          <w:tcPr>
            <w:tcW w:w="689" w:type="pct"/>
            <w:tcBorders>
              <w:bottom w:val="single" w:sz="18" w:space="0" w:color="auto"/>
            </w:tcBorders>
          </w:tcPr>
          <w:p w:rsidR="009448A4" w:rsidRDefault="009448A4" w:rsidP="009448A4">
            <w:pPr>
              <w:jc w:val="both"/>
              <w:rPr>
                <w:rFonts w:cs="Arial"/>
                <w:color w:val="000000"/>
                <w:szCs w:val="22"/>
              </w:rPr>
            </w:pPr>
            <w:r>
              <w:rPr>
                <w:rFonts w:cs="Arial"/>
                <w:color w:val="000000"/>
                <w:szCs w:val="22"/>
              </w:rPr>
              <w:t>20,012</w:t>
            </w:r>
          </w:p>
        </w:tc>
        <w:tc>
          <w:tcPr>
            <w:tcW w:w="654" w:type="pct"/>
            <w:tcBorders>
              <w:bottom w:val="single" w:sz="18" w:space="0" w:color="auto"/>
            </w:tcBorders>
          </w:tcPr>
          <w:p w:rsidR="009448A4" w:rsidRDefault="009448A4" w:rsidP="009448A4">
            <w:pPr>
              <w:jc w:val="both"/>
              <w:rPr>
                <w:rFonts w:cs="Arial"/>
                <w:color w:val="000000"/>
                <w:szCs w:val="22"/>
              </w:rPr>
            </w:pPr>
            <w:r>
              <w:rPr>
                <w:rFonts w:cs="Arial"/>
                <w:color w:val="000000"/>
                <w:szCs w:val="22"/>
              </w:rPr>
              <w:t>3,194</w:t>
            </w:r>
          </w:p>
        </w:tc>
        <w:tc>
          <w:tcPr>
            <w:tcW w:w="621" w:type="pct"/>
            <w:tcBorders>
              <w:bottom w:val="single" w:sz="18" w:space="0" w:color="auto"/>
            </w:tcBorders>
          </w:tcPr>
          <w:p w:rsidR="009448A4" w:rsidRDefault="009448A4" w:rsidP="009448A4">
            <w:pPr>
              <w:jc w:val="both"/>
              <w:rPr>
                <w:rFonts w:cs="Arial"/>
                <w:color w:val="000000"/>
                <w:szCs w:val="22"/>
              </w:rPr>
            </w:pPr>
            <w:r>
              <w:rPr>
                <w:rFonts w:cs="Arial"/>
                <w:color w:val="000000"/>
                <w:szCs w:val="22"/>
              </w:rPr>
              <w:t>28,205</w:t>
            </w:r>
          </w:p>
        </w:tc>
        <w:tc>
          <w:tcPr>
            <w:tcW w:w="660" w:type="pct"/>
            <w:tcBorders>
              <w:bottom w:val="single" w:sz="18" w:space="0" w:color="auto"/>
            </w:tcBorders>
          </w:tcPr>
          <w:p w:rsidR="009448A4" w:rsidRDefault="009448A4" w:rsidP="009448A4">
            <w:pPr>
              <w:jc w:val="both"/>
              <w:rPr>
                <w:rFonts w:cs="Arial"/>
                <w:color w:val="000000"/>
                <w:szCs w:val="22"/>
              </w:rPr>
            </w:pPr>
            <w:r>
              <w:rPr>
                <w:rFonts w:cs="Arial"/>
                <w:color w:val="000000"/>
                <w:szCs w:val="22"/>
              </w:rPr>
              <w:t>23,830</w:t>
            </w:r>
          </w:p>
        </w:tc>
        <w:tc>
          <w:tcPr>
            <w:tcW w:w="654" w:type="pct"/>
            <w:tcBorders>
              <w:bottom w:val="single" w:sz="18" w:space="0" w:color="auto"/>
            </w:tcBorders>
          </w:tcPr>
          <w:p w:rsidR="009448A4" w:rsidRDefault="009448A4" w:rsidP="009448A4">
            <w:pPr>
              <w:jc w:val="both"/>
              <w:rPr>
                <w:rFonts w:cs="Arial"/>
                <w:color w:val="000000"/>
                <w:szCs w:val="22"/>
              </w:rPr>
            </w:pPr>
            <w:r>
              <w:rPr>
                <w:rFonts w:cs="Arial"/>
                <w:color w:val="000000"/>
                <w:szCs w:val="22"/>
              </w:rPr>
              <w:t>4,376</w:t>
            </w:r>
          </w:p>
        </w:tc>
      </w:tr>
    </w:tbl>
    <w:p w:rsidR="00B740AD" w:rsidRPr="00826C99" w:rsidRDefault="009B7071" w:rsidP="00DE7963">
      <w:pPr>
        <w:spacing w:before="240" w:after="120" w:line="240" w:lineRule="auto"/>
        <w:jc w:val="both"/>
        <w:rPr>
          <w:rFonts w:eastAsia="Times New Roman" w:cs="Arial"/>
          <w:color w:val="000000"/>
          <w:szCs w:val="22"/>
        </w:rPr>
      </w:pPr>
      <w:r>
        <w:rPr>
          <w:rFonts w:eastAsia="Times New Roman" w:cs="Arial"/>
          <w:color w:val="000000"/>
          <w:szCs w:val="22"/>
        </w:rPr>
        <w:t xml:space="preserve">Figures </w:t>
      </w:r>
      <w:r w:rsidR="00E037F6">
        <w:rPr>
          <w:rFonts w:eastAsia="Times New Roman" w:cs="Arial"/>
          <w:color w:val="000000"/>
          <w:szCs w:val="22"/>
        </w:rPr>
        <w:t>34</w:t>
      </w:r>
      <w:r w:rsidR="00D12BB1">
        <w:rPr>
          <w:rFonts w:eastAsia="Times New Roman" w:cs="Arial"/>
          <w:color w:val="000000"/>
          <w:szCs w:val="22"/>
        </w:rPr>
        <w:t xml:space="preserve">, </w:t>
      </w:r>
      <w:r w:rsidR="00E037F6">
        <w:rPr>
          <w:rFonts w:eastAsia="Times New Roman" w:cs="Arial"/>
          <w:color w:val="000000"/>
          <w:szCs w:val="22"/>
        </w:rPr>
        <w:t>35</w:t>
      </w:r>
      <w:r>
        <w:rPr>
          <w:rFonts w:eastAsia="Times New Roman" w:cs="Arial"/>
          <w:color w:val="000000"/>
          <w:szCs w:val="22"/>
        </w:rPr>
        <w:t xml:space="preserve"> and 3</w:t>
      </w:r>
      <w:r w:rsidR="00E037F6">
        <w:rPr>
          <w:rFonts w:eastAsia="Times New Roman" w:cs="Arial"/>
          <w:color w:val="000000"/>
          <w:szCs w:val="22"/>
        </w:rPr>
        <w:t>6</w:t>
      </w:r>
      <w:r w:rsidR="00B740AD" w:rsidRPr="00826C99">
        <w:rPr>
          <w:rFonts w:eastAsia="Times New Roman" w:cs="Arial"/>
          <w:color w:val="000000"/>
          <w:szCs w:val="22"/>
        </w:rPr>
        <w:t xml:space="preserve"> present the detailed results of the midwifery workforce planning scenario projections. In each table, the scenario provides the supply and demand for the midwifery workforce across a number of years.</w:t>
      </w:r>
    </w:p>
    <w:p w:rsidR="00B740AD" w:rsidRPr="00A93607" w:rsidRDefault="004D53D1" w:rsidP="00E85564">
      <w:pPr>
        <w:pStyle w:val="Heading2"/>
      </w:pPr>
      <w:bookmarkStart w:id="204" w:name="_Toc10808417"/>
      <w:r>
        <w:t>Continuity</w:t>
      </w:r>
      <w:r w:rsidR="00646921">
        <w:t xml:space="preserve"> of care (baseline) scenario </w:t>
      </w:r>
      <w:r w:rsidR="00A37254">
        <w:t>- Results</w:t>
      </w:r>
      <w:bookmarkEnd w:id="204"/>
    </w:p>
    <w:p w:rsidR="00B740AD" w:rsidRDefault="00B740AD" w:rsidP="00E037F6">
      <w:pPr>
        <w:spacing w:before="120" w:after="120" w:line="240" w:lineRule="auto"/>
        <w:jc w:val="both"/>
        <w:rPr>
          <w:rFonts w:eastAsia="Times New Roman" w:cs="Arial"/>
          <w:color w:val="000000"/>
          <w:szCs w:val="22"/>
        </w:rPr>
      </w:pPr>
      <w:r w:rsidRPr="00826C99">
        <w:rPr>
          <w:rFonts w:eastAsia="Times New Roman" w:cs="Arial"/>
          <w:color w:val="000000"/>
          <w:szCs w:val="22"/>
        </w:rPr>
        <w:t xml:space="preserve">Over the projection period the midwifery workforce is in balance (±3 per cent) across all the years in the table below. </w:t>
      </w:r>
    </w:p>
    <w:p w:rsidR="00F373AA" w:rsidRDefault="00F373AA" w:rsidP="00E037F6">
      <w:pPr>
        <w:spacing w:before="120" w:after="120" w:line="240" w:lineRule="auto"/>
        <w:jc w:val="both"/>
        <w:rPr>
          <w:rFonts w:eastAsia="Times New Roman" w:cs="Arial"/>
          <w:color w:val="000000"/>
          <w:szCs w:val="22"/>
        </w:rPr>
      </w:pPr>
      <w:r>
        <w:rPr>
          <w:rFonts w:eastAsia="Times New Roman" w:cs="Arial"/>
          <w:color w:val="000000"/>
          <w:szCs w:val="22"/>
        </w:rPr>
        <w:t>In this scenario</w:t>
      </w:r>
      <w:r w:rsidR="00FB4BE9">
        <w:rPr>
          <w:rFonts w:eastAsia="Times New Roman" w:cs="Arial"/>
          <w:color w:val="000000"/>
          <w:szCs w:val="22"/>
        </w:rPr>
        <w:t>,</w:t>
      </w:r>
      <w:r>
        <w:rPr>
          <w:rFonts w:eastAsia="Times New Roman" w:cs="Arial"/>
          <w:color w:val="000000"/>
          <w:szCs w:val="22"/>
        </w:rPr>
        <w:t xml:space="preserve"> the </w:t>
      </w:r>
      <w:r w:rsidR="00160CA5">
        <w:rPr>
          <w:rFonts w:eastAsia="Times New Roman" w:cs="Arial"/>
          <w:color w:val="000000"/>
          <w:szCs w:val="22"/>
        </w:rPr>
        <w:t xml:space="preserve">supply </w:t>
      </w:r>
      <w:r>
        <w:rPr>
          <w:rFonts w:eastAsia="Times New Roman" w:cs="Arial"/>
          <w:color w:val="000000"/>
          <w:szCs w:val="22"/>
        </w:rPr>
        <w:t xml:space="preserve">headcount </w:t>
      </w:r>
      <w:r w:rsidR="00160CA5">
        <w:rPr>
          <w:rFonts w:eastAsia="Times New Roman" w:cs="Arial"/>
          <w:color w:val="000000"/>
          <w:szCs w:val="22"/>
        </w:rPr>
        <w:t>for</w:t>
      </w:r>
      <w:r>
        <w:rPr>
          <w:rFonts w:eastAsia="Times New Roman" w:cs="Arial"/>
          <w:color w:val="000000"/>
          <w:szCs w:val="22"/>
        </w:rPr>
        <w:t xml:space="preserve"> midwives increases </w:t>
      </w:r>
      <w:r w:rsidR="00FB4BE9">
        <w:rPr>
          <w:rFonts w:eastAsia="Times New Roman" w:cs="Arial"/>
          <w:color w:val="000000"/>
          <w:szCs w:val="22"/>
        </w:rPr>
        <w:t>based on</w:t>
      </w:r>
      <w:r>
        <w:rPr>
          <w:rFonts w:eastAsia="Times New Roman" w:cs="Arial"/>
          <w:color w:val="000000"/>
          <w:szCs w:val="22"/>
        </w:rPr>
        <w:t xml:space="preserve"> the inflows and exits from the workforce (new graduates, migration, exits). This is converted to a supply FTE based on the average hours worked</w:t>
      </w:r>
      <w:r w:rsidR="005B028C">
        <w:rPr>
          <w:rFonts w:eastAsia="Times New Roman" w:cs="Arial"/>
          <w:color w:val="000000"/>
          <w:szCs w:val="22"/>
        </w:rPr>
        <w:t xml:space="preserve"> (25.66 hours in 2017 </w:t>
      </w:r>
      <w:r w:rsidR="00FB4BE9">
        <w:rPr>
          <w:rFonts w:eastAsia="Times New Roman" w:cs="Arial"/>
          <w:color w:val="000000"/>
          <w:szCs w:val="22"/>
        </w:rPr>
        <w:t>up to</w:t>
      </w:r>
      <w:r w:rsidR="005B028C">
        <w:rPr>
          <w:rFonts w:eastAsia="Times New Roman" w:cs="Arial"/>
          <w:color w:val="000000"/>
          <w:szCs w:val="22"/>
        </w:rPr>
        <w:t xml:space="preserve"> 26.25 hours by 2030)</w:t>
      </w:r>
      <w:r w:rsidR="009F4C78">
        <w:rPr>
          <w:rFonts w:eastAsia="Times New Roman" w:cs="Arial"/>
          <w:color w:val="000000"/>
          <w:szCs w:val="22"/>
        </w:rPr>
        <w:t>.</w:t>
      </w:r>
    </w:p>
    <w:p w:rsidR="005B028C" w:rsidRPr="00E037F6" w:rsidRDefault="005B028C" w:rsidP="00E037F6">
      <w:pPr>
        <w:spacing w:before="120" w:after="120" w:line="240" w:lineRule="auto"/>
        <w:jc w:val="both"/>
        <w:rPr>
          <w:rFonts w:eastAsia="Times New Roman" w:cs="Arial"/>
          <w:color w:val="000000"/>
          <w:szCs w:val="22"/>
        </w:rPr>
      </w:pPr>
      <w:r>
        <w:rPr>
          <w:rFonts w:eastAsia="Times New Roman" w:cs="Arial"/>
          <w:color w:val="000000"/>
          <w:szCs w:val="22"/>
        </w:rPr>
        <w:t xml:space="preserve">The demand FTE for midwives increases based on the </w:t>
      </w:r>
      <w:r w:rsidR="004D53D1">
        <w:rPr>
          <w:rFonts w:eastAsia="Times New Roman" w:cs="Arial"/>
          <w:color w:val="000000"/>
          <w:szCs w:val="22"/>
        </w:rPr>
        <w:t>continuity</w:t>
      </w:r>
      <w:r>
        <w:rPr>
          <w:rFonts w:eastAsia="Times New Roman" w:cs="Arial"/>
          <w:color w:val="000000"/>
          <w:szCs w:val="22"/>
        </w:rPr>
        <w:t xml:space="preserve"> of care demand. The demand FTE is converted to a demand headcount based on the average hours worked (25.66 hours in 2017</w:t>
      </w:r>
      <w:r w:rsidR="00FB4BE9">
        <w:rPr>
          <w:rFonts w:eastAsia="Times New Roman" w:cs="Arial"/>
          <w:color w:val="000000"/>
          <w:szCs w:val="22"/>
        </w:rPr>
        <w:t xml:space="preserve"> up to </w:t>
      </w:r>
      <w:r>
        <w:rPr>
          <w:rFonts w:eastAsia="Times New Roman" w:cs="Arial"/>
          <w:color w:val="000000"/>
          <w:szCs w:val="22"/>
        </w:rPr>
        <w:t>26.25 hours by 2030).</w:t>
      </w:r>
    </w:p>
    <w:p w:rsidR="00752C2D" w:rsidRPr="00E87126" w:rsidRDefault="00183EB2" w:rsidP="00E87126">
      <w:pPr>
        <w:rPr>
          <w:rFonts w:eastAsia="Times New Roman"/>
          <w:bCs/>
          <w:i/>
          <w:color w:val="954ECA"/>
          <w:sz w:val="20"/>
          <w:szCs w:val="20"/>
        </w:rPr>
      </w:pPr>
      <w:bookmarkStart w:id="205" w:name="_Toc532473586"/>
      <w:bookmarkStart w:id="206" w:name="_Toc1722586"/>
      <w:bookmarkStart w:id="207" w:name="_Toc1724710"/>
      <w:bookmarkStart w:id="208" w:name="_Toc1725028"/>
      <w:r>
        <w:br w:type="page"/>
      </w:r>
    </w:p>
    <w:p w:rsidR="00D57C8A" w:rsidRDefault="00D57C8A" w:rsidP="00D57C8A">
      <w:pPr>
        <w:pStyle w:val="Caption"/>
      </w:pPr>
      <w:r>
        <w:lastRenderedPageBreak/>
        <w:t xml:space="preserve">Figure </w:t>
      </w:r>
      <w:r w:rsidR="006F5994">
        <w:t>34</w:t>
      </w:r>
      <w:r>
        <w:t xml:space="preserve">: Scenario 1 </w:t>
      </w:r>
      <w:r w:rsidR="00256DD3">
        <w:t>–</w:t>
      </w:r>
      <w:r>
        <w:t xml:space="preserve"> </w:t>
      </w:r>
      <w:r w:rsidR="004D53D1">
        <w:t>Continuity</w:t>
      </w:r>
      <w:r w:rsidR="00183EB2">
        <w:t xml:space="preserve"> </w:t>
      </w:r>
      <w:r w:rsidR="00256DD3">
        <w:t>o</w:t>
      </w:r>
      <w:r w:rsidR="00183EB2">
        <w:t xml:space="preserve">f </w:t>
      </w:r>
      <w:r w:rsidR="00256DD3">
        <w:t>C</w:t>
      </w:r>
      <w:r w:rsidR="00183EB2">
        <w:t>are</w:t>
      </w:r>
      <w:r w:rsidR="00256DD3">
        <w:t xml:space="preserve"> (</w:t>
      </w:r>
      <w:r>
        <w:t>Baseline</w:t>
      </w:r>
      <w:bookmarkEnd w:id="205"/>
      <w:r w:rsidR="00256DD3">
        <w:t>)</w:t>
      </w:r>
      <w:bookmarkEnd w:id="206"/>
      <w:bookmarkEnd w:id="207"/>
      <w:bookmarkEnd w:id="208"/>
    </w:p>
    <w:tbl>
      <w:tblPr>
        <w:tblStyle w:val="TableGrid"/>
        <w:tblW w:w="0" w:type="auto"/>
        <w:tblLook w:val="04A0" w:firstRow="1" w:lastRow="0" w:firstColumn="1" w:lastColumn="0" w:noHBand="0" w:noVBand="1"/>
        <w:tblCaption w:val="Figure 34: Scenario 1 – Continuity of Care (Baseline)"/>
        <w:tblDescription w:val="Provides an overview of continuity of care scenario with no perceived shortage in 2017 and considered to be in balance from 2019 onwards."/>
      </w:tblPr>
      <w:tblGrid>
        <w:gridCol w:w="2511"/>
        <w:gridCol w:w="1293"/>
        <w:gridCol w:w="1293"/>
        <w:gridCol w:w="1293"/>
        <w:gridCol w:w="1293"/>
        <w:gridCol w:w="1293"/>
      </w:tblGrid>
      <w:tr w:rsidR="005E56AB" w:rsidTr="00EF4F95">
        <w:trPr>
          <w:tblHeader/>
        </w:trPr>
        <w:tc>
          <w:tcPr>
            <w:tcW w:w="2511" w:type="dxa"/>
            <w:tcBorders>
              <w:top w:val="single" w:sz="4" w:space="0" w:color="auto"/>
              <w:left w:val="single" w:sz="4" w:space="0" w:color="auto"/>
              <w:bottom w:val="single" w:sz="4" w:space="0" w:color="auto"/>
              <w:right w:val="nil"/>
            </w:tcBorders>
            <w:shd w:val="clear" w:color="auto" w:fill="7030A0"/>
            <w:vAlign w:val="center"/>
          </w:tcPr>
          <w:p w:rsidR="005E56AB" w:rsidRPr="0065418E" w:rsidRDefault="005E56AB" w:rsidP="005E56AB">
            <w:pPr>
              <w:rPr>
                <w:rFonts w:cs="Arial"/>
                <w:b/>
                <w:bCs/>
                <w:color w:val="FFFFFF"/>
                <w:szCs w:val="22"/>
              </w:rPr>
            </w:pPr>
            <w:r w:rsidRPr="0065418E">
              <w:rPr>
                <w:rFonts w:cs="Arial"/>
                <w:b/>
                <w:bCs/>
                <w:color w:val="FFFFFF"/>
                <w:szCs w:val="22"/>
              </w:rPr>
              <w:t>Headcount</w:t>
            </w:r>
          </w:p>
        </w:tc>
        <w:tc>
          <w:tcPr>
            <w:tcW w:w="1293" w:type="dxa"/>
            <w:tcBorders>
              <w:top w:val="single" w:sz="4" w:space="0" w:color="auto"/>
              <w:left w:val="nil"/>
              <w:bottom w:val="single" w:sz="4" w:space="0" w:color="auto"/>
              <w:right w:val="nil"/>
            </w:tcBorders>
            <w:shd w:val="clear" w:color="auto" w:fill="7030A0"/>
            <w:vAlign w:val="center"/>
          </w:tcPr>
          <w:p w:rsidR="005E56AB" w:rsidRPr="0065418E" w:rsidRDefault="005E56AB" w:rsidP="005E56AB">
            <w:pPr>
              <w:jc w:val="right"/>
              <w:rPr>
                <w:rFonts w:cs="Arial"/>
                <w:b/>
                <w:bCs/>
                <w:color w:val="FFFFFF"/>
                <w:szCs w:val="22"/>
              </w:rPr>
            </w:pPr>
            <w:r w:rsidRPr="0065418E">
              <w:rPr>
                <w:rFonts w:cs="Arial"/>
                <w:b/>
                <w:bCs/>
                <w:color w:val="FFFFFF"/>
                <w:szCs w:val="22"/>
              </w:rPr>
              <w:t>2017</w:t>
            </w:r>
          </w:p>
        </w:tc>
        <w:tc>
          <w:tcPr>
            <w:tcW w:w="1293" w:type="dxa"/>
            <w:tcBorders>
              <w:top w:val="single" w:sz="4" w:space="0" w:color="auto"/>
              <w:left w:val="nil"/>
              <w:bottom w:val="single" w:sz="4" w:space="0" w:color="auto"/>
              <w:right w:val="nil"/>
            </w:tcBorders>
            <w:shd w:val="clear" w:color="auto" w:fill="7030A0"/>
            <w:vAlign w:val="center"/>
          </w:tcPr>
          <w:p w:rsidR="005E56AB" w:rsidRPr="0065418E" w:rsidRDefault="005E56AB" w:rsidP="005E56AB">
            <w:pPr>
              <w:jc w:val="right"/>
              <w:rPr>
                <w:rFonts w:cs="Arial"/>
                <w:b/>
                <w:bCs/>
                <w:color w:val="FFFFFF"/>
                <w:szCs w:val="22"/>
              </w:rPr>
            </w:pPr>
            <w:r w:rsidRPr="0065418E">
              <w:rPr>
                <w:rFonts w:cs="Arial"/>
                <w:b/>
                <w:bCs/>
                <w:color w:val="FFFFFF"/>
                <w:szCs w:val="22"/>
              </w:rPr>
              <w:t>2019</w:t>
            </w:r>
          </w:p>
        </w:tc>
        <w:tc>
          <w:tcPr>
            <w:tcW w:w="1293" w:type="dxa"/>
            <w:tcBorders>
              <w:top w:val="single" w:sz="4" w:space="0" w:color="auto"/>
              <w:left w:val="nil"/>
              <w:bottom w:val="single" w:sz="4" w:space="0" w:color="auto"/>
              <w:right w:val="nil"/>
            </w:tcBorders>
            <w:shd w:val="clear" w:color="auto" w:fill="7030A0"/>
            <w:vAlign w:val="center"/>
          </w:tcPr>
          <w:p w:rsidR="005E56AB" w:rsidRPr="0065418E" w:rsidRDefault="005E56AB" w:rsidP="005E56AB">
            <w:pPr>
              <w:jc w:val="right"/>
              <w:rPr>
                <w:rFonts w:cs="Arial"/>
                <w:b/>
                <w:bCs/>
                <w:color w:val="FFFFFF"/>
                <w:szCs w:val="22"/>
              </w:rPr>
            </w:pPr>
            <w:r w:rsidRPr="0065418E">
              <w:rPr>
                <w:rFonts w:cs="Arial"/>
                <w:b/>
                <w:bCs/>
                <w:color w:val="FFFFFF"/>
                <w:szCs w:val="22"/>
              </w:rPr>
              <w:t>2021</w:t>
            </w:r>
          </w:p>
        </w:tc>
        <w:tc>
          <w:tcPr>
            <w:tcW w:w="1293" w:type="dxa"/>
            <w:tcBorders>
              <w:top w:val="single" w:sz="4" w:space="0" w:color="auto"/>
              <w:left w:val="nil"/>
              <w:bottom w:val="single" w:sz="4" w:space="0" w:color="auto"/>
              <w:right w:val="nil"/>
            </w:tcBorders>
            <w:shd w:val="clear" w:color="auto" w:fill="7030A0"/>
            <w:vAlign w:val="center"/>
          </w:tcPr>
          <w:p w:rsidR="005E56AB" w:rsidRPr="0065418E" w:rsidRDefault="005E56AB" w:rsidP="005E56AB">
            <w:pPr>
              <w:jc w:val="right"/>
              <w:rPr>
                <w:rFonts w:cs="Arial"/>
                <w:b/>
                <w:bCs/>
                <w:color w:val="FFFFFF"/>
                <w:szCs w:val="22"/>
              </w:rPr>
            </w:pPr>
            <w:r w:rsidRPr="0065418E">
              <w:rPr>
                <w:rFonts w:cs="Arial"/>
                <w:b/>
                <w:bCs/>
                <w:color w:val="FFFFFF"/>
                <w:szCs w:val="22"/>
              </w:rPr>
              <w:t>2026</w:t>
            </w:r>
          </w:p>
        </w:tc>
        <w:tc>
          <w:tcPr>
            <w:tcW w:w="1293" w:type="dxa"/>
            <w:tcBorders>
              <w:top w:val="single" w:sz="4" w:space="0" w:color="auto"/>
              <w:left w:val="nil"/>
              <w:bottom w:val="single" w:sz="4" w:space="0" w:color="auto"/>
              <w:right w:val="single" w:sz="4" w:space="0" w:color="auto"/>
            </w:tcBorders>
            <w:shd w:val="clear" w:color="auto" w:fill="7030A0"/>
            <w:vAlign w:val="center"/>
          </w:tcPr>
          <w:p w:rsidR="005E56AB" w:rsidRPr="0065418E" w:rsidRDefault="005E56AB" w:rsidP="005E56AB">
            <w:pPr>
              <w:jc w:val="right"/>
              <w:rPr>
                <w:rFonts w:cs="Arial"/>
                <w:b/>
                <w:bCs/>
                <w:color w:val="FFFFFF"/>
                <w:szCs w:val="22"/>
              </w:rPr>
            </w:pPr>
            <w:r w:rsidRPr="0065418E">
              <w:rPr>
                <w:rFonts w:cs="Arial"/>
                <w:b/>
                <w:bCs/>
                <w:color w:val="FFFFFF"/>
                <w:szCs w:val="22"/>
              </w:rPr>
              <w:t>2030</w:t>
            </w:r>
          </w:p>
        </w:tc>
      </w:tr>
      <w:tr w:rsidR="005E56AB" w:rsidTr="00EF4F95">
        <w:tc>
          <w:tcPr>
            <w:tcW w:w="2511" w:type="dxa"/>
            <w:tcBorders>
              <w:top w:val="single" w:sz="4" w:space="0" w:color="auto"/>
              <w:left w:val="single" w:sz="4" w:space="0" w:color="auto"/>
              <w:bottom w:val="nil"/>
              <w:right w:val="nil"/>
            </w:tcBorders>
            <w:shd w:val="clear" w:color="auto" w:fill="7030A0"/>
            <w:vAlign w:val="center"/>
          </w:tcPr>
          <w:p w:rsidR="005E56AB" w:rsidRPr="0065418E" w:rsidRDefault="005E56AB" w:rsidP="005E56AB">
            <w:pPr>
              <w:rPr>
                <w:rFonts w:cs="Arial"/>
                <w:bCs/>
                <w:color w:val="FFFFFF"/>
                <w:szCs w:val="22"/>
              </w:rPr>
            </w:pPr>
            <w:r w:rsidRPr="0065418E">
              <w:rPr>
                <w:rFonts w:cs="Arial"/>
                <w:bCs/>
                <w:color w:val="FFFFFF"/>
                <w:szCs w:val="22"/>
              </w:rPr>
              <w:t>Supply</w:t>
            </w:r>
          </w:p>
        </w:tc>
        <w:tc>
          <w:tcPr>
            <w:tcW w:w="1293" w:type="dxa"/>
            <w:tcBorders>
              <w:top w:val="single" w:sz="4" w:space="0" w:color="auto"/>
              <w:left w:val="nil"/>
              <w:bottom w:val="nil"/>
              <w:right w:val="nil"/>
            </w:tcBorders>
            <w:shd w:val="clear" w:color="000000" w:fill="D8D8D8"/>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21,149</w:t>
            </w:r>
          </w:p>
        </w:tc>
        <w:tc>
          <w:tcPr>
            <w:tcW w:w="1293" w:type="dxa"/>
            <w:tcBorders>
              <w:top w:val="single" w:sz="4" w:space="0" w:color="auto"/>
              <w:left w:val="nil"/>
              <w:bottom w:val="nil"/>
              <w:right w:val="nil"/>
            </w:tcBorders>
            <w:shd w:val="clear" w:color="000000" w:fill="D8D8D8"/>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22,232</w:t>
            </w:r>
          </w:p>
        </w:tc>
        <w:tc>
          <w:tcPr>
            <w:tcW w:w="1293" w:type="dxa"/>
            <w:tcBorders>
              <w:top w:val="single" w:sz="4" w:space="0" w:color="auto"/>
              <w:left w:val="nil"/>
              <w:bottom w:val="nil"/>
              <w:right w:val="nil"/>
            </w:tcBorders>
            <w:shd w:val="clear" w:color="000000" w:fill="D8D8D8"/>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23,206</w:t>
            </w:r>
          </w:p>
        </w:tc>
        <w:tc>
          <w:tcPr>
            <w:tcW w:w="1293" w:type="dxa"/>
            <w:tcBorders>
              <w:top w:val="single" w:sz="4" w:space="0" w:color="auto"/>
              <w:left w:val="nil"/>
              <w:bottom w:val="nil"/>
              <w:right w:val="nil"/>
            </w:tcBorders>
            <w:shd w:val="clear" w:color="000000" w:fill="D8D8D8"/>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25,741</w:t>
            </w:r>
          </w:p>
        </w:tc>
        <w:tc>
          <w:tcPr>
            <w:tcW w:w="1293" w:type="dxa"/>
            <w:tcBorders>
              <w:top w:val="single" w:sz="4" w:space="0" w:color="auto"/>
              <w:left w:val="nil"/>
              <w:bottom w:val="nil"/>
              <w:right w:val="single" w:sz="4" w:space="0" w:color="auto"/>
            </w:tcBorders>
            <w:shd w:val="clear" w:color="000000" w:fill="D8D8D8"/>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28,205</w:t>
            </w:r>
          </w:p>
        </w:tc>
      </w:tr>
      <w:tr w:rsidR="005E56AB" w:rsidTr="00EF4F95">
        <w:tc>
          <w:tcPr>
            <w:tcW w:w="2511" w:type="dxa"/>
            <w:tcBorders>
              <w:top w:val="nil"/>
              <w:left w:val="single" w:sz="4" w:space="0" w:color="auto"/>
              <w:bottom w:val="nil"/>
              <w:right w:val="nil"/>
            </w:tcBorders>
            <w:shd w:val="clear" w:color="auto" w:fill="7030A0"/>
            <w:vAlign w:val="center"/>
          </w:tcPr>
          <w:p w:rsidR="005E56AB" w:rsidRPr="0065418E" w:rsidRDefault="005E56AB" w:rsidP="005E56AB">
            <w:pPr>
              <w:rPr>
                <w:rFonts w:cs="Arial"/>
                <w:bCs/>
                <w:color w:val="FFFFFF"/>
                <w:szCs w:val="22"/>
              </w:rPr>
            </w:pPr>
            <w:r w:rsidRPr="0065418E">
              <w:rPr>
                <w:rFonts w:cs="Arial"/>
                <w:bCs/>
                <w:color w:val="FFFFFF"/>
                <w:szCs w:val="22"/>
              </w:rPr>
              <w:t>Supply (FTE)</w:t>
            </w:r>
          </w:p>
        </w:tc>
        <w:tc>
          <w:tcPr>
            <w:tcW w:w="1293" w:type="dxa"/>
            <w:tcBorders>
              <w:top w:val="nil"/>
              <w:left w:val="nil"/>
              <w:bottom w:val="nil"/>
              <w:right w:val="nil"/>
            </w:tcBorders>
            <w:shd w:val="clear" w:color="auto" w:fill="auto"/>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14,280</w:t>
            </w:r>
          </w:p>
        </w:tc>
        <w:tc>
          <w:tcPr>
            <w:tcW w:w="1293" w:type="dxa"/>
            <w:tcBorders>
              <w:top w:val="nil"/>
              <w:left w:val="nil"/>
              <w:bottom w:val="nil"/>
              <w:right w:val="nil"/>
            </w:tcBorders>
            <w:shd w:val="clear" w:color="auto" w:fill="auto"/>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15,071</w:t>
            </w:r>
          </w:p>
        </w:tc>
        <w:tc>
          <w:tcPr>
            <w:tcW w:w="1293" w:type="dxa"/>
            <w:tcBorders>
              <w:top w:val="nil"/>
              <w:left w:val="nil"/>
              <w:bottom w:val="nil"/>
              <w:right w:val="nil"/>
            </w:tcBorders>
            <w:shd w:val="clear" w:color="auto" w:fill="auto"/>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15,799</w:t>
            </w:r>
          </w:p>
        </w:tc>
        <w:tc>
          <w:tcPr>
            <w:tcW w:w="1293" w:type="dxa"/>
            <w:tcBorders>
              <w:top w:val="nil"/>
              <w:left w:val="nil"/>
              <w:bottom w:val="nil"/>
              <w:right w:val="nil"/>
            </w:tcBorders>
            <w:shd w:val="clear" w:color="auto" w:fill="auto"/>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17,692</w:t>
            </w:r>
          </w:p>
        </w:tc>
        <w:tc>
          <w:tcPr>
            <w:tcW w:w="1293" w:type="dxa"/>
            <w:tcBorders>
              <w:top w:val="nil"/>
              <w:left w:val="nil"/>
              <w:bottom w:val="nil"/>
              <w:right w:val="single" w:sz="4" w:space="0" w:color="auto"/>
            </w:tcBorders>
            <w:shd w:val="clear" w:color="auto" w:fill="auto"/>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19,488</w:t>
            </w:r>
          </w:p>
        </w:tc>
      </w:tr>
      <w:tr w:rsidR="005E56AB" w:rsidTr="00EF4F95">
        <w:tc>
          <w:tcPr>
            <w:tcW w:w="2511" w:type="dxa"/>
            <w:tcBorders>
              <w:top w:val="nil"/>
              <w:left w:val="single" w:sz="4" w:space="0" w:color="auto"/>
              <w:bottom w:val="nil"/>
              <w:right w:val="nil"/>
            </w:tcBorders>
            <w:shd w:val="clear" w:color="auto" w:fill="7030A0"/>
            <w:vAlign w:val="center"/>
          </w:tcPr>
          <w:p w:rsidR="005E56AB" w:rsidRPr="0065418E" w:rsidRDefault="005E56AB" w:rsidP="005E56AB">
            <w:pPr>
              <w:rPr>
                <w:rFonts w:cs="Arial"/>
                <w:bCs/>
                <w:i/>
                <w:iCs/>
                <w:color w:val="FFFFFF"/>
                <w:szCs w:val="22"/>
              </w:rPr>
            </w:pPr>
            <w:r w:rsidRPr="0065418E">
              <w:rPr>
                <w:rFonts w:cs="Arial"/>
                <w:bCs/>
                <w:i/>
                <w:iCs/>
                <w:color w:val="FFFFFF"/>
                <w:szCs w:val="22"/>
              </w:rPr>
              <w:t>Graduates</w:t>
            </w:r>
          </w:p>
        </w:tc>
        <w:tc>
          <w:tcPr>
            <w:tcW w:w="1293" w:type="dxa"/>
            <w:tcBorders>
              <w:top w:val="nil"/>
              <w:left w:val="nil"/>
              <w:bottom w:val="nil"/>
              <w:right w:val="nil"/>
            </w:tcBorders>
            <w:shd w:val="clear" w:color="000000" w:fill="D8D8D8"/>
            <w:vAlign w:val="center"/>
          </w:tcPr>
          <w:p w:rsidR="005E56AB" w:rsidRPr="0065418E" w:rsidRDefault="005E56AB" w:rsidP="005E56AB">
            <w:pPr>
              <w:jc w:val="right"/>
              <w:rPr>
                <w:rFonts w:eastAsia="Calibri" w:cs="Arial"/>
                <w:i/>
                <w:iCs/>
                <w:color w:val="000000"/>
                <w:szCs w:val="22"/>
              </w:rPr>
            </w:pPr>
            <w:r w:rsidRPr="0065418E">
              <w:rPr>
                <w:rFonts w:eastAsia="Calibri" w:cs="Arial"/>
                <w:i/>
                <w:iCs/>
                <w:color w:val="000000"/>
                <w:szCs w:val="22"/>
              </w:rPr>
              <w:t>1,212</w:t>
            </w:r>
          </w:p>
        </w:tc>
        <w:tc>
          <w:tcPr>
            <w:tcW w:w="1293" w:type="dxa"/>
            <w:tcBorders>
              <w:top w:val="nil"/>
              <w:left w:val="nil"/>
              <w:bottom w:val="nil"/>
              <w:right w:val="nil"/>
            </w:tcBorders>
            <w:shd w:val="clear" w:color="000000" w:fill="D8D8D8"/>
            <w:vAlign w:val="center"/>
          </w:tcPr>
          <w:p w:rsidR="005E56AB" w:rsidRPr="0065418E" w:rsidRDefault="005E56AB" w:rsidP="005E56AB">
            <w:pPr>
              <w:jc w:val="right"/>
              <w:rPr>
                <w:rFonts w:eastAsia="Calibri" w:cs="Arial"/>
                <w:i/>
                <w:iCs/>
                <w:color w:val="000000"/>
                <w:szCs w:val="22"/>
              </w:rPr>
            </w:pPr>
            <w:r w:rsidRPr="0065418E">
              <w:rPr>
                <w:rFonts w:eastAsia="Calibri" w:cs="Arial"/>
                <w:i/>
                <w:iCs/>
                <w:color w:val="000000"/>
                <w:szCs w:val="22"/>
              </w:rPr>
              <w:t>1,203</w:t>
            </w:r>
          </w:p>
        </w:tc>
        <w:tc>
          <w:tcPr>
            <w:tcW w:w="1293" w:type="dxa"/>
            <w:tcBorders>
              <w:top w:val="nil"/>
              <w:left w:val="nil"/>
              <w:bottom w:val="nil"/>
              <w:right w:val="nil"/>
            </w:tcBorders>
            <w:shd w:val="clear" w:color="000000" w:fill="D8D8D8"/>
            <w:vAlign w:val="center"/>
          </w:tcPr>
          <w:p w:rsidR="005E56AB" w:rsidRPr="0065418E" w:rsidRDefault="005E56AB" w:rsidP="005E56AB">
            <w:pPr>
              <w:jc w:val="right"/>
              <w:rPr>
                <w:rFonts w:eastAsia="Calibri" w:cs="Arial"/>
                <w:i/>
                <w:iCs/>
                <w:color w:val="000000"/>
                <w:szCs w:val="22"/>
              </w:rPr>
            </w:pPr>
            <w:r w:rsidRPr="0065418E">
              <w:rPr>
                <w:rFonts w:eastAsia="Calibri" w:cs="Arial"/>
                <w:i/>
                <w:iCs/>
                <w:color w:val="000000"/>
                <w:szCs w:val="22"/>
              </w:rPr>
              <w:t>1,267</w:t>
            </w:r>
          </w:p>
        </w:tc>
        <w:tc>
          <w:tcPr>
            <w:tcW w:w="1293" w:type="dxa"/>
            <w:tcBorders>
              <w:top w:val="nil"/>
              <w:left w:val="nil"/>
              <w:bottom w:val="nil"/>
              <w:right w:val="nil"/>
            </w:tcBorders>
            <w:shd w:val="clear" w:color="000000" w:fill="D8D8D8"/>
            <w:vAlign w:val="center"/>
          </w:tcPr>
          <w:p w:rsidR="005E56AB" w:rsidRPr="0065418E" w:rsidRDefault="005E56AB" w:rsidP="005E56AB">
            <w:pPr>
              <w:jc w:val="right"/>
              <w:rPr>
                <w:rFonts w:eastAsia="Calibri" w:cs="Arial"/>
                <w:i/>
                <w:iCs/>
                <w:color w:val="000000"/>
                <w:szCs w:val="22"/>
              </w:rPr>
            </w:pPr>
            <w:r w:rsidRPr="0065418E">
              <w:rPr>
                <w:rFonts w:eastAsia="Calibri" w:cs="Arial"/>
                <w:i/>
                <w:iCs/>
                <w:color w:val="000000"/>
                <w:szCs w:val="22"/>
              </w:rPr>
              <w:t>1,442</w:t>
            </w:r>
          </w:p>
        </w:tc>
        <w:tc>
          <w:tcPr>
            <w:tcW w:w="1293" w:type="dxa"/>
            <w:tcBorders>
              <w:top w:val="nil"/>
              <w:left w:val="nil"/>
              <w:bottom w:val="nil"/>
              <w:right w:val="single" w:sz="4" w:space="0" w:color="auto"/>
            </w:tcBorders>
            <w:shd w:val="clear" w:color="000000" w:fill="D8D8D8"/>
            <w:vAlign w:val="center"/>
          </w:tcPr>
          <w:p w:rsidR="005E56AB" w:rsidRPr="0065418E" w:rsidRDefault="005E56AB" w:rsidP="005E56AB">
            <w:pPr>
              <w:jc w:val="right"/>
              <w:rPr>
                <w:rFonts w:eastAsia="Calibri" w:cs="Arial"/>
                <w:i/>
                <w:iCs/>
                <w:color w:val="000000"/>
                <w:szCs w:val="22"/>
              </w:rPr>
            </w:pPr>
            <w:r w:rsidRPr="0065418E">
              <w:rPr>
                <w:rFonts w:eastAsia="Calibri" w:cs="Arial"/>
                <w:i/>
                <w:iCs/>
                <w:color w:val="000000"/>
                <w:szCs w:val="22"/>
              </w:rPr>
              <w:t>1,600</w:t>
            </w:r>
          </w:p>
        </w:tc>
      </w:tr>
      <w:tr w:rsidR="005E56AB" w:rsidTr="00EF4F95">
        <w:tc>
          <w:tcPr>
            <w:tcW w:w="2511" w:type="dxa"/>
            <w:tcBorders>
              <w:top w:val="nil"/>
              <w:left w:val="single" w:sz="4" w:space="0" w:color="auto"/>
              <w:bottom w:val="nil"/>
              <w:right w:val="nil"/>
            </w:tcBorders>
            <w:shd w:val="clear" w:color="auto" w:fill="7030A0"/>
            <w:vAlign w:val="center"/>
          </w:tcPr>
          <w:p w:rsidR="005E56AB" w:rsidRPr="0065418E" w:rsidRDefault="005E56AB" w:rsidP="005E56AB">
            <w:pPr>
              <w:rPr>
                <w:rFonts w:cs="Arial"/>
                <w:bCs/>
                <w:i/>
                <w:iCs/>
                <w:color w:val="FFFFFF"/>
                <w:szCs w:val="22"/>
              </w:rPr>
            </w:pPr>
            <w:r w:rsidRPr="0065418E">
              <w:rPr>
                <w:rFonts w:cs="Arial"/>
                <w:bCs/>
                <w:i/>
                <w:iCs/>
                <w:color w:val="FFFFFF"/>
                <w:szCs w:val="22"/>
              </w:rPr>
              <w:t>Migrants</w:t>
            </w:r>
          </w:p>
        </w:tc>
        <w:tc>
          <w:tcPr>
            <w:tcW w:w="1293" w:type="dxa"/>
            <w:tcBorders>
              <w:top w:val="nil"/>
              <w:left w:val="nil"/>
              <w:bottom w:val="nil"/>
              <w:right w:val="nil"/>
            </w:tcBorders>
            <w:shd w:val="clear" w:color="auto" w:fill="auto"/>
            <w:vAlign w:val="center"/>
          </w:tcPr>
          <w:p w:rsidR="005E56AB" w:rsidRPr="0065418E" w:rsidRDefault="005E56AB" w:rsidP="005E56AB">
            <w:pPr>
              <w:jc w:val="right"/>
              <w:rPr>
                <w:rFonts w:eastAsia="Calibri" w:cs="Arial"/>
                <w:i/>
                <w:iCs/>
                <w:color w:val="000000"/>
                <w:szCs w:val="22"/>
              </w:rPr>
            </w:pPr>
            <w:r w:rsidRPr="0065418E">
              <w:rPr>
                <w:rFonts w:eastAsia="Calibri" w:cs="Arial"/>
                <w:i/>
                <w:iCs/>
                <w:color w:val="000000"/>
                <w:szCs w:val="22"/>
              </w:rPr>
              <w:t>25</w:t>
            </w:r>
          </w:p>
        </w:tc>
        <w:tc>
          <w:tcPr>
            <w:tcW w:w="1293" w:type="dxa"/>
            <w:tcBorders>
              <w:top w:val="nil"/>
              <w:left w:val="nil"/>
              <w:bottom w:val="nil"/>
              <w:right w:val="nil"/>
            </w:tcBorders>
            <w:shd w:val="clear" w:color="auto" w:fill="auto"/>
            <w:vAlign w:val="center"/>
          </w:tcPr>
          <w:p w:rsidR="005E56AB" w:rsidRPr="0065418E" w:rsidRDefault="005E56AB" w:rsidP="005E56AB">
            <w:pPr>
              <w:jc w:val="right"/>
              <w:rPr>
                <w:rFonts w:eastAsia="Calibri" w:cs="Arial"/>
                <w:i/>
                <w:iCs/>
                <w:color w:val="000000"/>
                <w:szCs w:val="22"/>
              </w:rPr>
            </w:pPr>
            <w:r w:rsidRPr="0065418E">
              <w:rPr>
                <w:rFonts w:eastAsia="Calibri" w:cs="Arial"/>
                <w:i/>
                <w:iCs/>
                <w:color w:val="000000"/>
                <w:szCs w:val="22"/>
              </w:rPr>
              <w:t>25</w:t>
            </w:r>
          </w:p>
        </w:tc>
        <w:tc>
          <w:tcPr>
            <w:tcW w:w="1293" w:type="dxa"/>
            <w:tcBorders>
              <w:top w:val="nil"/>
              <w:left w:val="nil"/>
              <w:bottom w:val="nil"/>
              <w:right w:val="nil"/>
            </w:tcBorders>
            <w:shd w:val="clear" w:color="auto" w:fill="auto"/>
            <w:vAlign w:val="center"/>
          </w:tcPr>
          <w:p w:rsidR="005E56AB" w:rsidRPr="0065418E" w:rsidRDefault="005E56AB" w:rsidP="005E56AB">
            <w:pPr>
              <w:jc w:val="right"/>
              <w:rPr>
                <w:rFonts w:eastAsia="Calibri" w:cs="Arial"/>
                <w:i/>
                <w:iCs/>
                <w:color w:val="000000"/>
                <w:szCs w:val="22"/>
              </w:rPr>
            </w:pPr>
            <w:r w:rsidRPr="0065418E">
              <w:rPr>
                <w:rFonts w:eastAsia="Calibri" w:cs="Arial"/>
                <w:i/>
                <w:iCs/>
                <w:color w:val="000000"/>
                <w:szCs w:val="22"/>
              </w:rPr>
              <w:t>25</w:t>
            </w:r>
          </w:p>
        </w:tc>
        <w:tc>
          <w:tcPr>
            <w:tcW w:w="1293" w:type="dxa"/>
            <w:tcBorders>
              <w:top w:val="nil"/>
              <w:left w:val="nil"/>
              <w:bottom w:val="nil"/>
              <w:right w:val="nil"/>
            </w:tcBorders>
            <w:shd w:val="clear" w:color="auto" w:fill="auto"/>
            <w:vAlign w:val="center"/>
          </w:tcPr>
          <w:p w:rsidR="005E56AB" w:rsidRPr="0065418E" w:rsidRDefault="005E56AB" w:rsidP="005E56AB">
            <w:pPr>
              <w:jc w:val="right"/>
              <w:rPr>
                <w:rFonts w:eastAsia="Calibri" w:cs="Arial"/>
                <w:i/>
                <w:iCs/>
                <w:color w:val="000000"/>
                <w:szCs w:val="22"/>
              </w:rPr>
            </w:pPr>
            <w:r w:rsidRPr="0065418E">
              <w:rPr>
                <w:rFonts w:eastAsia="Calibri" w:cs="Arial"/>
                <w:i/>
                <w:iCs/>
                <w:color w:val="000000"/>
                <w:szCs w:val="22"/>
              </w:rPr>
              <w:t>25</w:t>
            </w:r>
          </w:p>
        </w:tc>
        <w:tc>
          <w:tcPr>
            <w:tcW w:w="1293" w:type="dxa"/>
            <w:tcBorders>
              <w:top w:val="nil"/>
              <w:left w:val="nil"/>
              <w:bottom w:val="nil"/>
              <w:right w:val="single" w:sz="4" w:space="0" w:color="auto"/>
            </w:tcBorders>
            <w:shd w:val="clear" w:color="auto" w:fill="auto"/>
            <w:vAlign w:val="center"/>
          </w:tcPr>
          <w:p w:rsidR="005E56AB" w:rsidRPr="0065418E" w:rsidRDefault="005E56AB" w:rsidP="005E56AB">
            <w:pPr>
              <w:jc w:val="right"/>
              <w:rPr>
                <w:rFonts w:eastAsia="Calibri" w:cs="Arial"/>
                <w:i/>
                <w:iCs/>
                <w:color w:val="000000"/>
                <w:szCs w:val="22"/>
              </w:rPr>
            </w:pPr>
            <w:r w:rsidRPr="0065418E">
              <w:rPr>
                <w:rFonts w:eastAsia="Calibri" w:cs="Arial"/>
                <w:i/>
                <w:iCs/>
                <w:color w:val="000000"/>
                <w:szCs w:val="22"/>
              </w:rPr>
              <w:t>25</w:t>
            </w:r>
          </w:p>
        </w:tc>
      </w:tr>
      <w:tr w:rsidR="005E56AB" w:rsidTr="00EF4F95">
        <w:tc>
          <w:tcPr>
            <w:tcW w:w="2511" w:type="dxa"/>
            <w:tcBorders>
              <w:top w:val="nil"/>
              <w:left w:val="single" w:sz="4" w:space="0" w:color="auto"/>
              <w:bottom w:val="nil"/>
              <w:right w:val="nil"/>
            </w:tcBorders>
            <w:shd w:val="clear" w:color="auto" w:fill="7030A0"/>
            <w:vAlign w:val="center"/>
          </w:tcPr>
          <w:p w:rsidR="005E56AB" w:rsidRPr="0065418E" w:rsidRDefault="005E56AB" w:rsidP="005E56AB">
            <w:pPr>
              <w:rPr>
                <w:rFonts w:cs="Arial"/>
                <w:bCs/>
                <w:i/>
                <w:iCs/>
                <w:color w:val="FFFFFF"/>
                <w:szCs w:val="22"/>
              </w:rPr>
            </w:pPr>
            <w:r w:rsidRPr="0065418E">
              <w:rPr>
                <w:rFonts w:cs="Arial"/>
                <w:bCs/>
                <w:i/>
                <w:iCs/>
                <w:color w:val="FFFFFF"/>
                <w:szCs w:val="22"/>
              </w:rPr>
              <w:t>Exits (% of supply)</w:t>
            </w:r>
          </w:p>
        </w:tc>
        <w:tc>
          <w:tcPr>
            <w:tcW w:w="1293" w:type="dxa"/>
            <w:tcBorders>
              <w:top w:val="nil"/>
              <w:left w:val="nil"/>
              <w:bottom w:val="nil"/>
              <w:right w:val="nil"/>
            </w:tcBorders>
            <w:shd w:val="clear" w:color="000000" w:fill="D8D8D8"/>
            <w:vAlign w:val="center"/>
          </w:tcPr>
          <w:p w:rsidR="005E56AB" w:rsidRPr="0065418E" w:rsidRDefault="005E56AB" w:rsidP="005E56AB">
            <w:pPr>
              <w:jc w:val="right"/>
              <w:rPr>
                <w:rFonts w:eastAsia="Calibri" w:cs="Arial"/>
                <w:i/>
                <w:iCs/>
                <w:color w:val="000000"/>
                <w:szCs w:val="22"/>
              </w:rPr>
            </w:pPr>
            <w:r w:rsidRPr="0065418E">
              <w:rPr>
                <w:rFonts w:eastAsia="Calibri" w:cs="Arial"/>
                <w:i/>
                <w:iCs/>
                <w:color w:val="000000"/>
                <w:szCs w:val="22"/>
              </w:rPr>
              <w:t>3.07%</w:t>
            </w:r>
          </w:p>
        </w:tc>
        <w:tc>
          <w:tcPr>
            <w:tcW w:w="1293" w:type="dxa"/>
            <w:tcBorders>
              <w:top w:val="nil"/>
              <w:left w:val="nil"/>
              <w:bottom w:val="nil"/>
              <w:right w:val="nil"/>
            </w:tcBorders>
            <w:shd w:val="clear" w:color="000000" w:fill="D8D8D8"/>
            <w:vAlign w:val="center"/>
          </w:tcPr>
          <w:p w:rsidR="005E56AB" w:rsidRPr="0065418E" w:rsidRDefault="005E56AB" w:rsidP="005E56AB">
            <w:pPr>
              <w:jc w:val="right"/>
              <w:rPr>
                <w:rFonts w:eastAsia="Calibri" w:cs="Arial"/>
                <w:i/>
                <w:iCs/>
                <w:color w:val="000000"/>
                <w:szCs w:val="22"/>
              </w:rPr>
            </w:pPr>
            <w:r w:rsidRPr="0065418E">
              <w:rPr>
                <w:rFonts w:eastAsia="Calibri" w:cs="Arial"/>
                <w:i/>
                <w:iCs/>
                <w:color w:val="000000"/>
                <w:szCs w:val="22"/>
              </w:rPr>
              <w:t>3.32%</w:t>
            </w:r>
          </w:p>
        </w:tc>
        <w:tc>
          <w:tcPr>
            <w:tcW w:w="1293" w:type="dxa"/>
            <w:tcBorders>
              <w:top w:val="nil"/>
              <w:left w:val="nil"/>
              <w:bottom w:val="nil"/>
              <w:right w:val="nil"/>
            </w:tcBorders>
            <w:shd w:val="clear" w:color="000000" w:fill="D8D8D8"/>
            <w:vAlign w:val="center"/>
          </w:tcPr>
          <w:p w:rsidR="005E56AB" w:rsidRPr="0065418E" w:rsidRDefault="005E56AB" w:rsidP="005E56AB">
            <w:pPr>
              <w:jc w:val="right"/>
              <w:rPr>
                <w:rFonts w:eastAsia="Calibri" w:cs="Arial"/>
                <w:i/>
                <w:iCs/>
                <w:color w:val="000000"/>
                <w:szCs w:val="22"/>
              </w:rPr>
            </w:pPr>
            <w:r w:rsidRPr="0065418E">
              <w:rPr>
                <w:rFonts w:eastAsia="Calibri" w:cs="Arial"/>
                <w:i/>
                <w:iCs/>
                <w:color w:val="000000"/>
                <w:szCs w:val="22"/>
              </w:rPr>
              <w:t>3.47%</w:t>
            </w:r>
          </w:p>
        </w:tc>
        <w:tc>
          <w:tcPr>
            <w:tcW w:w="1293" w:type="dxa"/>
            <w:tcBorders>
              <w:top w:val="nil"/>
              <w:left w:val="nil"/>
              <w:bottom w:val="nil"/>
              <w:right w:val="nil"/>
            </w:tcBorders>
            <w:shd w:val="clear" w:color="000000" w:fill="D8D8D8"/>
            <w:vAlign w:val="center"/>
          </w:tcPr>
          <w:p w:rsidR="005E56AB" w:rsidRPr="0065418E" w:rsidRDefault="005E56AB" w:rsidP="005E56AB">
            <w:pPr>
              <w:jc w:val="right"/>
              <w:rPr>
                <w:rFonts w:eastAsia="Calibri" w:cs="Arial"/>
                <w:i/>
                <w:iCs/>
                <w:color w:val="000000"/>
                <w:szCs w:val="22"/>
              </w:rPr>
            </w:pPr>
            <w:r w:rsidRPr="0065418E">
              <w:rPr>
                <w:rFonts w:eastAsia="Calibri" w:cs="Arial"/>
                <w:i/>
                <w:iCs/>
                <w:color w:val="000000"/>
                <w:szCs w:val="22"/>
              </w:rPr>
              <w:t>3.51%</w:t>
            </w:r>
          </w:p>
        </w:tc>
        <w:tc>
          <w:tcPr>
            <w:tcW w:w="1293" w:type="dxa"/>
            <w:tcBorders>
              <w:top w:val="nil"/>
              <w:left w:val="nil"/>
              <w:bottom w:val="nil"/>
              <w:right w:val="single" w:sz="4" w:space="0" w:color="auto"/>
            </w:tcBorders>
            <w:shd w:val="clear" w:color="000000" w:fill="D8D8D8"/>
            <w:vAlign w:val="center"/>
          </w:tcPr>
          <w:p w:rsidR="005E56AB" w:rsidRPr="0065418E" w:rsidRDefault="005E56AB" w:rsidP="005E56AB">
            <w:pPr>
              <w:jc w:val="right"/>
              <w:rPr>
                <w:rFonts w:eastAsia="Calibri" w:cs="Arial"/>
                <w:i/>
                <w:iCs/>
                <w:color w:val="000000"/>
                <w:szCs w:val="22"/>
              </w:rPr>
            </w:pPr>
            <w:r w:rsidRPr="0065418E">
              <w:rPr>
                <w:rFonts w:eastAsia="Calibri" w:cs="Arial"/>
                <w:i/>
                <w:iCs/>
                <w:color w:val="000000"/>
                <w:szCs w:val="22"/>
              </w:rPr>
              <w:t>3.24%</w:t>
            </w:r>
          </w:p>
        </w:tc>
      </w:tr>
      <w:tr w:rsidR="005E56AB" w:rsidTr="00EF4F95">
        <w:tc>
          <w:tcPr>
            <w:tcW w:w="2511" w:type="dxa"/>
            <w:tcBorders>
              <w:top w:val="nil"/>
              <w:left w:val="single" w:sz="4" w:space="0" w:color="auto"/>
              <w:bottom w:val="nil"/>
              <w:right w:val="nil"/>
            </w:tcBorders>
            <w:shd w:val="clear" w:color="auto" w:fill="7030A0"/>
            <w:vAlign w:val="center"/>
          </w:tcPr>
          <w:p w:rsidR="005E56AB" w:rsidRPr="0065418E" w:rsidRDefault="005E56AB" w:rsidP="005E56AB">
            <w:pPr>
              <w:rPr>
                <w:rFonts w:cs="Arial"/>
                <w:bCs/>
                <w:color w:val="FFFFFF"/>
                <w:szCs w:val="22"/>
              </w:rPr>
            </w:pPr>
            <w:r w:rsidRPr="0065418E">
              <w:rPr>
                <w:rFonts w:cs="Arial"/>
                <w:bCs/>
                <w:color w:val="FFFFFF"/>
                <w:szCs w:val="22"/>
              </w:rPr>
              <w:t>Demand</w:t>
            </w:r>
          </w:p>
        </w:tc>
        <w:tc>
          <w:tcPr>
            <w:tcW w:w="1293" w:type="dxa"/>
            <w:tcBorders>
              <w:top w:val="nil"/>
              <w:left w:val="nil"/>
              <w:bottom w:val="nil"/>
              <w:right w:val="nil"/>
            </w:tcBorders>
            <w:shd w:val="clear" w:color="auto" w:fill="auto"/>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21,149</w:t>
            </w:r>
          </w:p>
        </w:tc>
        <w:tc>
          <w:tcPr>
            <w:tcW w:w="1293" w:type="dxa"/>
            <w:tcBorders>
              <w:top w:val="nil"/>
              <w:left w:val="nil"/>
              <w:bottom w:val="nil"/>
              <w:right w:val="nil"/>
            </w:tcBorders>
            <w:shd w:val="clear" w:color="auto" w:fill="auto"/>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22,119</w:t>
            </w:r>
          </w:p>
        </w:tc>
        <w:tc>
          <w:tcPr>
            <w:tcW w:w="1293" w:type="dxa"/>
            <w:tcBorders>
              <w:top w:val="nil"/>
              <w:left w:val="nil"/>
              <w:bottom w:val="nil"/>
              <w:right w:val="nil"/>
            </w:tcBorders>
            <w:shd w:val="clear" w:color="auto" w:fill="auto"/>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23,072</w:t>
            </w:r>
          </w:p>
        </w:tc>
        <w:tc>
          <w:tcPr>
            <w:tcW w:w="1293" w:type="dxa"/>
            <w:tcBorders>
              <w:top w:val="nil"/>
              <w:left w:val="nil"/>
              <w:bottom w:val="nil"/>
              <w:right w:val="nil"/>
            </w:tcBorders>
            <w:shd w:val="clear" w:color="auto" w:fill="auto"/>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25,451</w:t>
            </w:r>
          </w:p>
        </w:tc>
        <w:tc>
          <w:tcPr>
            <w:tcW w:w="1293" w:type="dxa"/>
            <w:tcBorders>
              <w:top w:val="nil"/>
              <w:left w:val="nil"/>
              <w:bottom w:val="nil"/>
              <w:right w:val="single" w:sz="4" w:space="0" w:color="auto"/>
            </w:tcBorders>
            <w:shd w:val="clear" w:color="auto" w:fill="auto"/>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27,385</w:t>
            </w:r>
          </w:p>
        </w:tc>
      </w:tr>
      <w:tr w:rsidR="005E56AB" w:rsidTr="00EF4F95">
        <w:tc>
          <w:tcPr>
            <w:tcW w:w="2511" w:type="dxa"/>
            <w:tcBorders>
              <w:top w:val="nil"/>
              <w:left w:val="single" w:sz="4" w:space="0" w:color="auto"/>
              <w:bottom w:val="nil"/>
              <w:right w:val="nil"/>
            </w:tcBorders>
            <w:shd w:val="clear" w:color="auto" w:fill="7030A0"/>
            <w:vAlign w:val="center"/>
          </w:tcPr>
          <w:p w:rsidR="005E56AB" w:rsidRPr="0065418E" w:rsidRDefault="005E56AB" w:rsidP="005E56AB">
            <w:pPr>
              <w:rPr>
                <w:rFonts w:cs="Arial"/>
                <w:bCs/>
                <w:color w:val="FFFFFF"/>
                <w:szCs w:val="22"/>
              </w:rPr>
            </w:pPr>
            <w:r w:rsidRPr="0065418E">
              <w:rPr>
                <w:rFonts w:cs="Arial"/>
                <w:bCs/>
                <w:color w:val="FFFFFF"/>
                <w:szCs w:val="22"/>
              </w:rPr>
              <w:t>Demand (FTE)</w:t>
            </w:r>
          </w:p>
        </w:tc>
        <w:tc>
          <w:tcPr>
            <w:tcW w:w="1293" w:type="dxa"/>
            <w:tcBorders>
              <w:top w:val="nil"/>
              <w:left w:val="nil"/>
              <w:bottom w:val="nil"/>
              <w:right w:val="nil"/>
            </w:tcBorders>
            <w:shd w:val="clear" w:color="000000" w:fill="D8D8D8"/>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14,280</w:t>
            </w:r>
          </w:p>
        </w:tc>
        <w:tc>
          <w:tcPr>
            <w:tcW w:w="1293" w:type="dxa"/>
            <w:tcBorders>
              <w:top w:val="nil"/>
              <w:left w:val="nil"/>
              <w:bottom w:val="nil"/>
              <w:right w:val="nil"/>
            </w:tcBorders>
            <w:shd w:val="clear" w:color="000000" w:fill="D8D8D8"/>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14,994</w:t>
            </w:r>
          </w:p>
        </w:tc>
        <w:tc>
          <w:tcPr>
            <w:tcW w:w="1293" w:type="dxa"/>
            <w:tcBorders>
              <w:top w:val="nil"/>
              <w:left w:val="nil"/>
              <w:bottom w:val="nil"/>
              <w:right w:val="nil"/>
            </w:tcBorders>
            <w:shd w:val="clear" w:color="000000" w:fill="D8D8D8"/>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15,708</w:t>
            </w:r>
          </w:p>
        </w:tc>
        <w:tc>
          <w:tcPr>
            <w:tcW w:w="1293" w:type="dxa"/>
            <w:tcBorders>
              <w:top w:val="nil"/>
              <w:left w:val="nil"/>
              <w:bottom w:val="nil"/>
              <w:right w:val="nil"/>
            </w:tcBorders>
            <w:shd w:val="clear" w:color="000000" w:fill="D8D8D8"/>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17,493</w:t>
            </w:r>
          </w:p>
        </w:tc>
        <w:tc>
          <w:tcPr>
            <w:tcW w:w="1293" w:type="dxa"/>
            <w:tcBorders>
              <w:top w:val="nil"/>
              <w:left w:val="nil"/>
              <w:bottom w:val="nil"/>
              <w:right w:val="single" w:sz="4" w:space="0" w:color="auto"/>
            </w:tcBorders>
            <w:shd w:val="clear" w:color="000000" w:fill="D8D8D8"/>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18,921</w:t>
            </w:r>
          </w:p>
        </w:tc>
      </w:tr>
      <w:tr w:rsidR="005E56AB" w:rsidTr="00EF4F95">
        <w:tc>
          <w:tcPr>
            <w:tcW w:w="2511" w:type="dxa"/>
            <w:tcBorders>
              <w:top w:val="nil"/>
              <w:left w:val="single" w:sz="4" w:space="0" w:color="auto"/>
              <w:bottom w:val="nil"/>
              <w:right w:val="nil"/>
            </w:tcBorders>
            <w:shd w:val="clear" w:color="auto" w:fill="7030A0"/>
            <w:vAlign w:val="center"/>
          </w:tcPr>
          <w:p w:rsidR="005E56AB" w:rsidRPr="0065418E" w:rsidRDefault="005E56AB" w:rsidP="005E56AB">
            <w:pPr>
              <w:rPr>
                <w:rFonts w:cs="Arial"/>
                <w:bCs/>
                <w:color w:val="FFFFFF"/>
                <w:szCs w:val="22"/>
              </w:rPr>
            </w:pPr>
            <w:r w:rsidRPr="0065418E">
              <w:rPr>
                <w:rFonts w:cs="Arial"/>
                <w:bCs/>
                <w:color w:val="FFFFFF"/>
                <w:szCs w:val="22"/>
              </w:rPr>
              <w:t>Excess/Shortfall</w:t>
            </w:r>
          </w:p>
        </w:tc>
        <w:tc>
          <w:tcPr>
            <w:tcW w:w="1293" w:type="dxa"/>
            <w:tcBorders>
              <w:top w:val="nil"/>
              <w:left w:val="nil"/>
              <w:bottom w:val="nil"/>
              <w:right w:val="nil"/>
            </w:tcBorders>
            <w:shd w:val="clear" w:color="000000" w:fill="00B050"/>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0</w:t>
            </w:r>
          </w:p>
        </w:tc>
        <w:tc>
          <w:tcPr>
            <w:tcW w:w="1293" w:type="dxa"/>
            <w:tcBorders>
              <w:top w:val="nil"/>
              <w:left w:val="nil"/>
              <w:bottom w:val="nil"/>
              <w:right w:val="nil"/>
            </w:tcBorders>
            <w:shd w:val="clear" w:color="auto" w:fill="FFFF00"/>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113</w:t>
            </w:r>
          </w:p>
        </w:tc>
        <w:tc>
          <w:tcPr>
            <w:tcW w:w="1293" w:type="dxa"/>
            <w:tcBorders>
              <w:top w:val="nil"/>
              <w:left w:val="nil"/>
              <w:bottom w:val="nil"/>
              <w:right w:val="nil"/>
            </w:tcBorders>
            <w:shd w:val="clear" w:color="auto" w:fill="FFFF00"/>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134</w:t>
            </w:r>
          </w:p>
        </w:tc>
        <w:tc>
          <w:tcPr>
            <w:tcW w:w="1293" w:type="dxa"/>
            <w:tcBorders>
              <w:top w:val="nil"/>
              <w:left w:val="nil"/>
              <w:bottom w:val="nil"/>
              <w:right w:val="nil"/>
            </w:tcBorders>
            <w:shd w:val="clear" w:color="auto" w:fill="FFFF00"/>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290</w:t>
            </w:r>
          </w:p>
        </w:tc>
        <w:tc>
          <w:tcPr>
            <w:tcW w:w="1293" w:type="dxa"/>
            <w:tcBorders>
              <w:top w:val="nil"/>
              <w:left w:val="nil"/>
              <w:bottom w:val="nil"/>
              <w:right w:val="single" w:sz="4" w:space="0" w:color="auto"/>
            </w:tcBorders>
            <w:shd w:val="clear" w:color="auto" w:fill="FFFF00"/>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820</w:t>
            </w:r>
          </w:p>
        </w:tc>
      </w:tr>
      <w:tr w:rsidR="005E56AB" w:rsidTr="00EF4F95">
        <w:tc>
          <w:tcPr>
            <w:tcW w:w="2511" w:type="dxa"/>
            <w:tcBorders>
              <w:top w:val="nil"/>
              <w:left w:val="single" w:sz="4" w:space="0" w:color="auto"/>
              <w:bottom w:val="single" w:sz="4" w:space="0" w:color="auto"/>
              <w:right w:val="nil"/>
            </w:tcBorders>
            <w:shd w:val="clear" w:color="auto" w:fill="7030A0"/>
            <w:vAlign w:val="center"/>
          </w:tcPr>
          <w:p w:rsidR="005E56AB" w:rsidRPr="0065418E" w:rsidRDefault="005E56AB" w:rsidP="005E56AB">
            <w:pPr>
              <w:rPr>
                <w:rFonts w:cs="Arial"/>
                <w:bCs/>
                <w:color w:val="FFFFFF"/>
                <w:szCs w:val="22"/>
              </w:rPr>
            </w:pPr>
            <w:r w:rsidRPr="0065418E">
              <w:rPr>
                <w:rFonts w:cs="Arial"/>
                <w:bCs/>
                <w:color w:val="FFFFFF"/>
                <w:szCs w:val="22"/>
              </w:rPr>
              <w:t>Excess/Shortfall (FTE)</w:t>
            </w:r>
          </w:p>
        </w:tc>
        <w:tc>
          <w:tcPr>
            <w:tcW w:w="1293" w:type="dxa"/>
            <w:tcBorders>
              <w:top w:val="nil"/>
              <w:left w:val="nil"/>
              <w:bottom w:val="single" w:sz="4" w:space="0" w:color="auto"/>
              <w:right w:val="nil"/>
            </w:tcBorders>
            <w:shd w:val="clear" w:color="000000" w:fill="00B050"/>
            <w:vAlign w:val="center"/>
          </w:tcPr>
          <w:p w:rsidR="005E56AB" w:rsidRPr="0065418E" w:rsidRDefault="005E56AB" w:rsidP="005E56AB">
            <w:pPr>
              <w:jc w:val="right"/>
              <w:rPr>
                <w:rFonts w:eastAsia="Calibri" w:cs="Arial"/>
                <w:b/>
                <w:color w:val="000000"/>
                <w:szCs w:val="22"/>
              </w:rPr>
            </w:pPr>
            <w:r w:rsidRPr="0065418E">
              <w:rPr>
                <w:rFonts w:eastAsia="Calibri" w:cs="Arial"/>
                <w:b/>
                <w:color w:val="000000"/>
                <w:szCs w:val="22"/>
              </w:rPr>
              <w:t>0</w:t>
            </w:r>
          </w:p>
        </w:tc>
        <w:tc>
          <w:tcPr>
            <w:tcW w:w="1293" w:type="dxa"/>
            <w:tcBorders>
              <w:top w:val="nil"/>
              <w:left w:val="nil"/>
              <w:bottom w:val="single" w:sz="4" w:space="0" w:color="auto"/>
              <w:right w:val="nil"/>
            </w:tcBorders>
            <w:shd w:val="clear" w:color="auto" w:fill="FFFF00"/>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77</w:t>
            </w:r>
          </w:p>
        </w:tc>
        <w:tc>
          <w:tcPr>
            <w:tcW w:w="1293" w:type="dxa"/>
            <w:tcBorders>
              <w:top w:val="nil"/>
              <w:left w:val="nil"/>
              <w:bottom w:val="single" w:sz="4" w:space="0" w:color="auto"/>
              <w:right w:val="nil"/>
            </w:tcBorders>
            <w:shd w:val="clear" w:color="auto" w:fill="FFFF00"/>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91</w:t>
            </w:r>
          </w:p>
        </w:tc>
        <w:tc>
          <w:tcPr>
            <w:tcW w:w="1293" w:type="dxa"/>
            <w:tcBorders>
              <w:top w:val="nil"/>
              <w:left w:val="nil"/>
              <w:bottom w:val="single" w:sz="4" w:space="0" w:color="auto"/>
              <w:right w:val="nil"/>
            </w:tcBorders>
            <w:shd w:val="clear" w:color="auto" w:fill="FFFF00"/>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199</w:t>
            </w:r>
          </w:p>
        </w:tc>
        <w:tc>
          <w:tcPr>
            <w:tcW w:w="1293" w:type="dxa"/>
            <w:tcBorders>
              <w:top w:val="nil"/>
              <w:left w:val="nil"/>
              <w:bottom w:val="single" w:sz="4" w:space="0" w:color="auto"/>
              <w:right w:val="single" w:sz="4" w:space="0" w:color="auto"/>
            </w:tcBorders>
            <w:shd w:val="clear" w:color="auto" w:fill="FFFF00"/>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567</w:t>
            </w:r>
          </w:p>
        </w:tc>
      </w:tr>
    </w:tbl>
    <w:p w:rsidR="00C960C9" w:rsidRPr="00C960C9" w:rsidRDefault="00C960C9" w:rsidP="00EF4F95">
      <w:pPr>
        <w:spacing w:after="0"/>
        <w:ind w:left="57"/>
        <w:rPr>
          <w:i/>
        </w:rPr>
      </w:pPr>
      <w:bookmarkStart w:id="209" w:name="_Toc10808418"/>
      <w:bookmarkStart w:id="210" w:name="_Toc385340335"/>
      <w:r w:rsidRPr="00C960C9">
        <w:rPr>
          <w:i/>
        </w:rPr>
        <w:t>Legend:</w:t>
      </w:r>
    </w:p>
    <w:p w:rsidR="00C960C9" w:rsidRPr="00D62C05" w:rsidRDefault="00C960C9" w:rsidP="00EF4F95">
      <w:pPr>
        <w:ind w:left="57"/>
        <w:rPr>
          <w:sz w:val="19"/>
          <w:szCs w:val="19"/>
          <w:bdr w:val="single" w:sz="36" w:space="0" w:color="FF0000"/>
          <w:shd w:val="clear" w:color="auto" w:fill="FF0000"/>
        </w:rPr>
      </w:pPr>
      <w:r w:rsidRPr="00D62C05">
        <w:rPr>
          <w:sz w:val="19"/>
          <w:szCs w:val="19"/>
          <w:bdr w:val="single" w:sz="24" w:space="0" w:color="00B050"/>
          <w:shd w:val="clear" w:color="auto" w:fill="00B050"/>
        </w:rPr>
        <w:t>No perceived shortage</w:t>
      </w:r>
      <w:r w:rsidRPr="00D62C05">
        <w:rPr>
          <w:sz w:val="19"/>
          <w:szCs w:val="19"/>
          <w:bdr w:val="single" w:sz="24" w:space="0" w:color="FFFF00"/>
          <w:shd w:val="clear" w:color="auto" w:fill="FFFF00"/>
        </w:rPr>
        <w:t>In balance (± 3 per cent)</w:t>
      </w:r>
      <w:r w:rsidRPr="00D62C05">
        <w:rPr>
          <w:sz w:val="19"/>
          <w:szCs w:val="19"/>
          <w:bdr w:val="single" w:sz="24" w:space="0" w:color="FFC000"/>
          <w:shd w:val="clear" w:color="auto" w:fill="FFC000"/>
        </w:rPr>
        <w:t>Only a slight perceived shortage</w:t>
      </w:r>
      <w:r w:rsidRPr="00D62C05">
        <w:rPr>
          <w:color w:val="000000" w:themeColor="text1"/>
          <w:sz w:val="19"/>
          <w:szCs w:val="19"/>
          <w:bdr w:val="single" w:sz="24" w:space="0" w:color="FF0000"/>
          <w:shd w:val="clear" w:color="auto" w:fill="FF0000"/>
        </w:rPr>
        <w:t>Perceived shortage</w:t>
      </w:r>
    </w:p>
    <w:p w:rsidR="00B740AD" w:rsidRPr="00A93607" w:rsidRDefault="00B740AD" w:rsidP="00E85564">
      <w:pPr>
        <w:pStyle w:val="Heading2"/>
      </w:pPr>
      <w:r w:rsidRPr="00A93607">
        <w:t>Population growth</w:t>
      </w:r>
      <w:bookmarkEnd w:id="209"/>
      <w:r w:rsidRPr="00A93607">
        <w:t xml:space="preserve"> </w:t>
      </w:r>
    </w:p>
    <w:p w:rsidR="00B740AD" w:rsidRDefault="00B740AD" w:rsidP="00AD7801">
      <w:pPr>
        <w:spacing w:before="120" w:after="120" w:line="240" w:lineRule="auto"/>
        <w:jc w:val="both"/>
        <w:rPr>
          <w:rFonts w:eastAsia="Times New Roman" w:cs="Arial"/>
          <w:color w:val="000000"/>
          <w:szCs w:val="22"/>
        </w:rPr>
      </w:pPr>
      <w:r w:rsidRPr="00826C99">
        <w:rPr>
          <w:rFonts w:eastAsia="Times New Roman" w:cs="Arial"/>
          <w:color w:val="000000"/>
          <w:szCs w:val="22"/>
        </w:rPr>
        <w:t xml:space="preserve">A lower demand rate of 0.9 per cent than the </w:t>
      </w:r>
      <w:r w:rsidR="004D53D1">
        <w:rPr>
          <w:rFonts w:eastAsia="Times New Roman" w:cs="Arial"/>
          <w:color w:val="000000"/>
          <w:szCs w:val="22"/>
        </w:rPr>
        <w:t>continuity</w:t>
      </w:r>
      <w:r w:rsidR="00646921">
        <w:rPr>
          <w:rFonts w:eastAsia="Times New Roman" w:cs="Arial"/>
          <w:color w:val="000000"/>
          <w:szCs w:val="22"/>
        </w:rPr>
        <w:t xml:space="preserve"> of care (baseline) </w:t>
      </w:r>
      <w:r w:rsidR="00256DD3">
        <w:rPr>
          <w:rFonts w:eastAsia="Times New Roman" w:cs="Arial"/>
          <w:color w:val="000000"/>
          <w:szCs w:val="22"/>
        </w:rPr>
        <w:t xml:space="preserve">scenario </w:t>
      </w:r>
      <w:r w:rsidR="00256DD3" w:rsidRPr="00826C99">
        <w:rPr>
          <w:rFonts w:eastAsia="Times New Roman" w:cs="Arial"/>
          <w:color w:val="000000"/>
          <w:szCs w:val="22"/>
        </w:rPr>
        <w:t>resulted</w:t>
      </w:r>
      <w:r w:rsidRPr="00826C99">
        <w:rPr>
          <w:rFonts w:eastAsia="Times New Roman" w:cs="Arial"/>
          <w:color w:val="000000"/>
          <w:szCs w:val="22"/>
        </w:rPr>
        <w:t xml:space="preserve"> in an oversupply throughout the projection period of 12 per cent in 2030.</w:t>
      </w:r>
    </w:p>
    <w:p w:rsidR="005B028C" w:rsidRDefault="005B028C" w:rsidP="00AD7801">
      <w:pPr>
        <w:spacing w:before="120" w:after="120" w:line="240" w:lineRule="auto"/>
        <w:jc w:val="both"/>
        <w:rPr>
          <w:rFonts w:eastAsia="Times New Roman" w:cs="Arial"/>
          <w:color w:val="000000"/>
          <w:szCs w:val="22"/>
        </w:rPr>
      </w:pPr>
      <w:r>
        <w:rPr>
          <w:rFonts w:eastAsia="Times New Roman" w:cs="Arial"/>
          <w:color w:val="000000"/>
          <w:szCs w:val="22"/>
        </w:rPr>
        <w:t>In this scenario</w:t>
      </w:r>
      <w:r w:rsidR="00FB4BE9">
        <w:rPr>
          <w:rFonts w:eastAsia="Times New Roman" w:cs="Arial"/>
          <w:color w:val="000000"/>
          <w:szCs w:val="22"/>
        </w:rPr>
        <w:t>,</w:t>
      </w:r>
      <w:r>
        <w:rPr>
          <w:rFonts w:eastAsia="Times New Roman" w:cs="Arial"/>
          <w:color w:val="000000"/>
          <w:szCs w:val="22"/>
        </w:rPr>
        <w:t xml:space="preserve"> the </w:t>
      </w:r>
      <w:r w:rsidR="00160CA5">
        <w:rPr>
          <w:rFonts w:eastAsia="Times New Roman" w:cs="Arial"/>
          <w:color w:val="000000"/>
          <w:szCs w:val="22"/>
        </w:rPr>
        <w:t xml:space="preserve">supply </w:t>
      </w:r>
      <w:r>
        <w:rPr>
          <w:rFonts w:eastAsia="Times New Roman" w:cs="Arial"/>
          <w:color w:val="000000"/>
          <w:szCs w:val="22"/>
        </w:rPr>
        <w:t xml:space="preserve">headcount </w:t>
      </w:r>
      <w:r w:rsidR="00160CA5">
        <w:rPr>
          <w:rFonts w:eastAsia="Times New Roman" w:cs="Arial"/>
          <w:color w:val="000000"/>
          <w:szCs w:val="22"/>
        </w:rPr>
        <w:t>for</w:t>
      </w:r>
      <w:r>
        <w:rPr>
          <w:rFonts w:eastAsia="Times New Roman" w:cs="Arial"/>
          <w:color w:val="000000"/>
          <w:szCs w:val="22"/>
        </w:rPr>
        <w:t xml:space="preserve"> midwives increases </w:t>
      </w:r>
      <w:r w:rsidR="00FB4BE9">
        <w:rPr>
          <w:rFonts w:eastAsia="Times New Roman" w:cs="Arial"/>
          <w:color w:val="000000"/>
          <w:szCs w:val="22"/>
        </w:rPr>
        <w:t>based on</w:t>
      </w:r>
      <w:r>
        <w:rPr>
          <w:rFonts w:eastAsia="Times New Roman" w:cs="Arial"/>
          <w:color w:val="000000"/>
          <w:szCs w:val="22"/>
        </w:rPr>
        <w:t xml:space="preserve"> the inflows and exits from the workforce (new graduates, migration, exits). This is converted to a supply FTE based on the average hours worked (25.66 hours in 2017</w:t>
      </w:r>
      <w:r w:rsidR="00FB4BE9">
        <w:rPr>
          <w:rFonts w:eastAsia="Times New Roman" w:cs="Arial"/>
          <w:color w:val="000000"/>
          <w:szCs w:val="22"/>
        </w:rPr>
        <w:t xml:space="preserve"> up to </w:t>
      </w:r>
      <w:r>
        <w:rPr>
          <w:rFonts w:eastAsia="Times New Roman" w:cs="Arial"/>
          <w:color w:val="000000"/>
          <w:szCs w:val="22"/>
        </w:rPr>
        <w:t>26.25 hours by 2030)</w:t>
      </w:r>
      <w:r w:rsidR="00183EB2">
        <w:rPr>
          <w:rFonts w:eastAsia="Times New Roman" w:cs="Arial"/>
          <w:color w:val="000000"/>
          <w:szCs w:val="22"/>
        </w:rPr>
        <w:t>.</w:t>
      </w:r>
    </w:p>
    <w:p w:rsidR="005B028C" w:rsidRDefault="005B028C" w:rsidP="00183EB2">
      <w:pPr>
        <w:spacing w:before="120" w:after="120" w:line="240" w:lineRule="auto"/>
        <w:jc w:val="both"/>
        <w:rPr>
          <w:rFonts w:eastAsia="Times New Roman" w:cs="Arial"/>
          <w:color w:val="000000"/>
          <w:szCs w:val="22"/>
        </w:rPr>
      </w:pPr>
      <w:r>
        <w:rPr>
          <w:rFonts w:eastAsia="Times New Roman" w:cs="Arial"/>
          <w:color w:val="000000"/>
          <w:szCs w:val="22"/>
        </w:rPr>
        <w:t xml:space="preserve">The demand FTE for midwives increases based on the growth in the female aged 15-49 years old population. The demand FTE is converted to a demand headcount based on the average hours worked (25.66 hours in 2017 </w:t>
      </w:r>
      <w:r w:rsidR="00FB4BE9">
        <w:rPr>
          <w:rFonts w:eastAsia="Times New Roman" w:cs="Arial"/>
          <w:color w:val="000000"/>
          <w:szCs w:val="22"/>
        </w:rPr>
        <w:t>up to</w:t>
      </w:r>
      <w:r>
        <w:rPr>
          <w:rFonts w:eastAsia="Times New Roman" w:cs="Arial"/>
          <w:color w:val="000000"/>
          <w:szCs w:val="22"/>
        </w:rPr>
        <w:t xml:space="preserve"> 26.25 hours by 2030).</w:t>
      </w:r>
    </w:p>
    <w:p w:rsidR="00D57C8A" w:rsidRDefault="00D57C8A" w:rsidP="00D57C8A">
      <w:pPr>
        <w:pStyle w:val="Caption"/>
      </w:pPr>
      <w:bookmarkStart w:id="211" w:name="_Toc532473587"/>
      <w:bookmarkStart w:id="212" w:name="_Toc1722587"/>
      <w:bookmarkStart w:id="213" w:name="_Toc1724711"/>
      <w:bookmarkStart w:id="214" w:name="_Toc1725029"/>
      <w:bookmarkEnd w:id="210"/>
      <w:r>
        <w:t xml:space="preserve">Figure </w:t>
      </w:r>
      <w:r w:rsidR="006F5994">
        <w:t>35</w:t>
      </w:r>
      <w:r>
        <w:t>: Scenario 2 - Population growth</w:t>
      </w:r>
      <w:bookmarkEnd w:id="211"/>
      <w:bookmarkEnd w:id="212"/>
      <w:bookmarkEnd w:id="213"/>
      <w:bookmarkEnd w:id="214"/>
    </w:p>
    <w:tbl>
      <w:tblPr>
        <w:tblStyle w:val="TableGrid"/>
        <w:tblW w:w="8976" w:type="dxa"/>
        <w:tblLook w:val="04A0" w:firstRow="1" w:lastRow="0" w:firstColumn="1" w:lastColumn="0" w:noHBand="0" w:noVBand="1"/>
        <w:tblCaption w:val="Figure 35: Scenario 2 - Population growth"/>
        <w:tblDescription w:val="Provides an overview of population growth scenario with no perceived shortage in 2017 and from 2021 onwards and considered to be in balance for 2019."/>
      </w:tblPr>
      <w:tblGrid>
        <w:gridCol w:w="2511"/>
        <w:gridCol w:w="1293"/>
        <w:gridCol w:w="1293"/>
        <w:gridCol w:w="1293"/>
        <w:gridCol w:w="1293"/>
        <w:gridCol w:w="1293"/>
      </w:tblGrid>
      <w:tr w:rsidR="005E56AB" w:rsidTr="00EF4F95">
        <w:trPr>
          <w:tblHeader/>
        </w:trPr>
        <w:tc>
          <w:tcPr>
            <w:tcW w:w="2511" w:type="dxa"/>
            <w:tcBorders>
              <w:top w:val="single" w:sz="4" w:space="0" w:color="auto"/>
              <w:left w:val="single" w:sz="4" w:space="0" w:color="auto"/>
              <w:bottom w:val="single" w:sz="4" w:space="0" w:color="auto"/>
              <w:right w:val="nil"/>
            </w:tcBorders>
            <w:shd w:val="clear" w:color="auto" w:fill="7030A0"/>
            <w:vAlign w:val="center"/>
          </w:tcPr>
          <w:p w:rsidR="005E56AB" w:rsidRPr="0065418E" w:rsidRDefault="005E56AB" w:rsidP="005E56AB">
            <w:pPr>
              <w:rPr>
                <w:rFonts w:cs="Arial"/>
                <w:b/>
                <w:bCs/>
                <w:color w:val="FFFFFF"/>
                <w:szCs w:val="22"/>
              </w:rPr>
            </w:pPr>
            <w:r w:rsidRPr="0065418E">
              <w:rPr>
                <w:rFonts w:cs="Arial"/>
                <w:b/>
                <w:bCs/>
                <w:color w:val="FFFFFF"/>
                <w:szCs w:val="22"/>
              </w:rPr>
              <w:t>Headcount</w:t>
            </w:r>
          </w:p>
        </w:tc>
        <w:tc>
          <w:tcPr>
            <w:tcW w:w="1293" w:type="dxa"/>
            <w:tcBorders>
              <w:top w:val="single" w:sz="4" w:space="0" w:color="auto"/>
              <w:left w:val="nil"/>
              <w:bottom w:val="single" w:sz="4" w:space="0" w:color="auto"/>
              <w:right w:val="nil"/>
            </w:tcBorders>
            <w:shd w:val="clear" w:color="auto" w:fill="7030A0"/>
            <w:vAlign w:val="center"/>
          </w:tcPr>
          <w:p w:rsidR="005E56AB" w:rsidRPr="0065418E" w:rsidRDefault="005E56AB" w:rsidP="005E56AB">
            <w:pPr>
              <w:jc w:val="right"/>
              <w:rPr>
                <w:rFonts w:cs="Arial"/>
                <w:b/>
                <w:bCs/>
                <w:color w:val="FFFFFF"/>
                <w:szCs w:val="22"/>
              </w:rPr>
            </w:pPr>
            <w:r w:rsidRPr="0065418E">
              <w:rPr>
                <w:rFonts w:cs="Arial"/>
                <w:b/>
                <w:bCs/>
                <w:color w:val="FFFFFF"/>
                <w:szCs w:val="22"/>
              </w:rPr>
              <w:t>2017</w:t>
            </w:r>
          </w:p>
        </w:tc>
        <w:tc>
          <w:tcPr>
            <w:tcW w:w="1293" w:type="dxa"/>
            <w:tcBorders>
              <w:top w:val="single" w:sz="4" w:space="0" w:color="auto"/>
              <w:left w:val="nil"/>
              <w:bottom w:val="single" w:sz="4" w:space="0" w:color="auto"/>
              <w:right w:val="nil"/>
            </w:tcBorders>
            <w:shd w:val="clear" w:color="auto" w:fill="7030A0"/>
            <w:vAlign w:val="center"/>
          </w:tcPr>
          <w:p w:rsidR="005E56AB" w:rsidRPr="0065418E" w:rsidRDefault="005E56AB" w:rsidP="005E56AB">
            <w:pPr>
              <w:jc w:val="right"/>
              <w:rPr>
                <w:rFonts w:cs="Arial"/>
                <w:b/>
                <w:bCs/>
                <w:color w:val="FFFFFF"/>
                <w:szCs w:val="22"/>
              </w:rPr>
            </w:pPr>
            <w:r w:rsidRPr="0065418E">
              <w:rPr>
                <w:rFonts w:cs="Arial"/>
                <w:b/>
                <w:bCs/>
                <w:color w:val="FFFFFF"/>
                <w:szCs w:val="22"/>
              </w:rPr>
              <w:t>2019</w:t>
            </w:r>
          </w:p>
        </w:tc>
        <w:tc>
          <w:tcPr>
            <w:tcW w:w="1293" w:type="dxa"/>
            <w:tcBorders>
              <w:top w:val="single" w:sz="4" w:space="0" w:color="auto"/>
              <w:left w:val="nil"/>
              <w:bottom w:val="single" w:sz="4" w:space="0" w:color="auto"/>
              <w:right w:val="nil"/>
            </w:tcBorders>
            <w:shd w:val="clear" w:color="auto" w:fill="7030A0"/>
            <w:vAlign w:val="center"/>
          </w:tcPr>
          <w:p w:rsidR="005E56AB" w:rsidRPr="0065418E" w:rsidRDefault="005E56AB" w:rsidP="005E56AB">
            <w:pPr>
              <w:jc w:val="right"/>
              <w:rPr>
                <w:rFonts w:cs="Arial"/>
                <w:b/>
                <w:bCs/>
                <w:color w:val="FFFFFF"/>
                <w:szCs w:val="22"/>
              </w:rPr>
            </w:pPr>
            <w:r w:rsidRPr="0065418E">
              <w:rPr>
                <w:rFonts w:cs="Arial"/>
                <w:b/>
                <w:bCs/>
                <w:color w:val="FFFFFF"/>
                <w:szCs w:val="22"/>
              </w:rPr>
              <w:t>2021</w:t>
            </w:r>
          </w:p>
        </w:tc>
        <w:tc>
          <w:tcPr>
            <w:tcW w:w="1293" w:type="dxa"/>
            <w:tcBorders>
              <w:top w:val="single" w:sz="4" w:space="0" w:color="auto"/>
              <w:left w:val="nil"/>
              <w:bottom w:val="single" w:sz="4" w:space="0" w:color="auto"/>
              <w:right w:val="nil"/>
            </w:tcBorders>
            <w:shd w:val="clear" w:color="auto" w:fill="7030A0"/>
            <w:vAlign w:val="center"/>
          </w:tcPr>
          <w:p w:rsidR="005E56AB" w:rsidRPr="0065418E" w:rsidRDefault="005E56AB" w:rsidP="005E56AB">
            <w:pPr>
              <w:jc w:val="right"/>
              <w:rPr>
                <w:rFonts w:cs="Arial"/>
                <w:b/>
                <w:bCs/>
                <w:color w:val="FFFFFF"/>
                <w:szCs w:val="22"/>
              </w:rPr>
            </w:pPr>
            <w:r w:rsidRPr="0065418E">
              <w:rPr>
                <w:rFonts w:cs="Arial"/>
                <w:b/>
                <w:bCs/>
                <w:color w:val="FFFFFF"/>
                <w:szCs w:val="22"/>
              </w:rPr>
              <w:t>2026</w:t>
            </w:r>
          </w:p>
        </w:tc>
        <w:tc>
          <w:tcPr>
            <w:tcW w:w="1293" w:type="dxa"/>
            <w:tcBorders>
              <w:top w:val="single" w:sz="4" w:space="0" w:color="auto"/>
              <w:left w:val="nil"/>
              <w:bottom w:val="single" w:sz="4" w:space="0" w:color="auto"/>
              <w:right w:val="single" w:sz="4" w:space="0" w:color="auto"/>
            </w:tcBorders>
            <w:shd w:val="clear" w:color="auto" w:fill="7030A0"/>
            <w:vAlign w:val="center"/>
          </w:tcPr>
          <w:p w:rsidR="005E56AB" w:rsidRPr="0065418E" w:rsidRDefault="005E56AB" w:rsidP="005E56AB">
            <w:pPr>
              <w:jc w:val="right"/>
              <w:rPr>
                <w:rFonts w:cs="Arial"/>
                <w:b/>
                <w:bCs/>
                <w:color w:val="FFFFFF"/>
                <w:szCs w:val="22"/>
              </w:rPr>
            </w:pPr>
            <w:r w:rsidRPr="0065418E">
              <w:rPr>
                <w:rFonts w:cs="Arial"/>
                <w:b/>
                <w:bCs/>
                <w:color w:val="FFFFFF"/>
                <w:szCs w:val="22"/>
              </w:rPr>
              <w:t>2030</w:t>
            </w:r>
          </w:p>
        </w:tc>
      </w:tr>
      <w:tr w:rsidR="005E56AB" w:rsidTr="00EF4F95">
        <w:tc>
          <w:tcPr>
            <w:tcW w:w="2511" w:type="dxa"/>
            <w:tcBorders>
              <w:top w:val="nil"/>
              <w:left w:val="single" w:sz="4" w:space="0" w:color="auto"/>
              <w:bottom w:val="nil"/>
              <w:right w:val="nil"/>
            </w:tcBorders>
            <w:shd w:val="clear" w:color="auto" w:fill="7030A0"/>
            <w:vAlign w:val="center"/>
          </w:tcPr>
          <w:p w:rsidR="005E56AB" w:rsidRPr="0065418E" w:rsidRDefault="005E56AB" w:rsidP="005E56AB">
            <w:pPr>
              <w:rPr>
                <w:rFonts w:cs="Arial"/>
                <w:bCs/>
                <w:color w:val="FFFFFF"/>
                <w:szCs w:val="22"/>
              </w:rPr>
            </w:pPr>
            <w:r w:rsidRPr="0065418E">
              <w:rPr>
                <w:rFonts w:cs="Arial"/>
                <w:bCs/>
                <w:color w:val="FFFFFF"/>
                <w:szCs w:val="22"/>
              </w:rPr>
              <w:t>Supply</w:t>
            </w:r>
          </w:p>
        </w:tc>
        <w:tc>
          <w:tcPr>
            <w:tcW w:w="1293" w:type="dxa"/>
            <w:tcBorders>
              <w:top w:val="nil"/>
              <w:left w:val="nil"/>
              <w:bottom w:val="nil"/>
              <w:right w:val="nil"/>
            </w:tcBorders>
            <w:shd w:val="clear" w:color="000000" w:fill="D8D8D8"/>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21,149</w:t>
            </w:r>
          </w:p>
        </w:tc>
        <w:tc>
          <w:tcPr>
            <w:tcW w:w="1293" w:type="dxa"/>
            <w:tcBorders>
              <w:top w:val="nil"/>
              <w:left w:val="nil"/>
              <w:bottom w:val="nil"/>
              <w:right w:val="nil"/>
            </w:tcBorders>
            <w:shd w:val="clear" w:color="000000" w:fill="D8D8D8"/>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22,232</w:t>
            </w:r>
          </w:p>
        </w:tc>
        <w:tc>
          <w:tcPr>
            <w:tcW w:w="1293" w:type="dxa"/>
            <w:tcBorders>
              <w:top w:val="nil"/>
              <w:left w:val="nil"/>
              <w:bottom w:val="nil"/>
              <w:right w:val="nil"/>
            </w:tcBorders>
            <w:shd w:val="clear" w:color="000000" w:fill="D8D8D8"/>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23,206</w:t>
            </w:r>
          </w:p>
        </w:tc>
        <w:tc>
          <w:tcPr>
            <w:tcW w:w="1293" w:type="dxa"/>
            <w:tcBorders>
              <w:top w:val="nil"/>
              <w:left w:val="nil"/>
              <w:bottom w:val="nil"/>
              <w:right w:val="nil"/>
            </w:tcBorders>
            <w:shd w:val="clear" w:color="000000" w:fill="D8D8D8"/>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25,741</w:t>
            </w:r>
          </w:p>
        </w:tc>
        <w:tc>
          <w:tcPr>
            <w:tcW w:w="1293" w:type="dxa"/>
            <w:tcBorders>
              <w:top w:val="nil"/>
              <w:left w:val="nil"/>
              <w:bottom w:val="nil"/>
              <w:right w:val="single" w:sz="4" w:space="0" w:color="auto"/>
            </w:tcBorders>
            <w:shd w:val="clear" w:color="000000" w:fill="D8D8D8"/>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28,205</w:t>
            </w:r>
          </w:p>
        </w:tc>
      </w:tr>
      <w:tr w:rsidR="005E56AB" w:rsidTr="00EF4F95">
        <w:tc>
          <w:tcPr>
            <w:tcW w:w="2511" w:type="dxa"/>
            <w:tcBorders>
              <w:top w:val="nil"/>
              <w:left w:val="single" w:sz="4" w:space="0" w:color="auto"/>
              <w:bottom w:val="nil"/>
              <w:right w:val="nil"/>
            </w:tcBorders>
            <w:shd w:val="clear" w:color="auto" w:fill="7030A0"/>
            <w:vAlign w:val="center"/>
          </w:tcPr>
          <w:p w:rsidR="005E56AB" w:rsidRPr="0065418E" w:rsidRDefault="005E56AB" w:rsidP="005E56AB">
            <w:pPr>
              <w:rPr>
                <w:rFonts w:cs="Arial"/>
                <w:bCs/>
                <w:color w:val="FFFFFF"/>
                <w:szCs w:val="22"/>
              </w:rPr>
            </w:pPr>
            <w:r w:rsidRPr="0065418E">
              <w:rPr>
                <w:rFonts w:cs="Arial"/>
                <w:bCs/>
                <w:color w:val="FFFFFF"/>
                <w:szCs w:val="22"/>
              </w:rPr>
              <w:t>Supply (FTE)</w:t>
            </w:r>
          </w:p>
        </w:tc>
        <w:tc>
          <w:tcPr>
            <w:tcW w:w="1293" w:type="dxa"/>
            <w:tcBorders>
              <w:top w:val="nil"/>
              <w:left w:val="nil"/>
              <w:bottom w:val="nil"/>
              <w:right w:val="nil"/>
            </w:tcBorders>
            <w:shd w:val="clear" w:color="auto" w:fill="auto"/>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14,280</w:t>
            </w:r>
          </w:p>
        </w:tc>
        <w:tc>
          <w:tcPr>
            <w:tcW w:w="1293" w:type="dxa"/>
            <w:tcBorders>
              <w:top w:val="nil"/>
              <w:left w:val="nil"/>
              <w:bottom w:val="nil"/>
              <w:right w:val="nil"/>
            </w:tcBorders>
            <w:shd w:val="clear" w:color="auto" w:fill="auto"/>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15,071</w:t>
            </w:r>
          </w:p>
        </w:tc>
        <w:tc>
          <w:tcPr>
            <w:tcW w:w="1293" w:type="dxa"/>
            <w:tcBorders>
              <w:top w:val="nil"/>
              <w:left w:val="nil"/>
              <w:bottom w:val="nil"/>
              <w:right w:val="nil"/>
            </w:tcBorders>
            <w:shd w:val="clear" w:color="auto" w:fill="auto"/>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15,799</w:t>
            </w:r>
          </w:p>
        </w:tc>
        <w:tc>
          <w:tcPr>
            <w:tcW w:w="1293" w:type="dxa"/>
            <w:tcBorders>
              <w:top w:val="nil"/>
              <w:left w:val="nil"/>
              <w:bottom w:val="nil"/>
              <w:right w:val="nil"/>
            </w:tcBorders>
            <w:shd w:val="clear" w:color="auto" w:fill="auto"/>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17,692</w:t>
            </w:r>
          </w:p>
        </w:tc>
        <w:tc>
          <w:tcPr>
            <w:tcW w:w="1293" w:type="dxa"/>
            <w:tcBorders>
              <w:top w:val="nil"/>
              <w:left w:val="nil"/>
              <w:bottom w:val="nil"/>
              <w:right w:val="single" w:sz="4" w:space="0" w:color="auto"/>
            </w:tcBorders>
            <w:shd w:val="clear" w:color="auto" w:fill="auto"/>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19,488</w:t>
            </w:r>
          </w:p>
        </w:tc>
      </w:tr>
      <w:tr w:rsidR="005E56AB" w:rsidTr="00EF4F95">
        <w:tc>
          <w:tcPr>
            <w:tcW w:w="2511" w:type="dxa"/>
            <w:tcBorders>
              <w:top w:val="nil"/>
              <w:left w:val="single" w:sz="4" w:space="0" w:color="auto"/>
              <w:bottom w:val="nil"/>
              <w:right w:val="nil"/>
            </w:tcBorders>
            <w:shd w:val="clear" w:color="auto" w:fill="7030A0"/>
            <w:vAlign w:val="center"/>
          </w:tcPr>
          <w:p w:rsidR="005E56AB" w:rsidRPr="0065418E" w:rsidRDefault="005E56AB" w:rsidP="005E56AB">
            <w:pPr>
              <w:rPr>
                <w:rFonts w:cs="Arial"/>
                <w:bCs/>
                <w:i/>
                <w:iCs/>
                <w:color w:val="FFFFFF"/>
                <w:szCs w:val="22"/>
              </w:rPr>
            </w:pPr>
            <w:r w:rsidRPr="0065418E">
              <w:rPr>
                <w:rFonts w:cs="Arial"/>
                <w:bCs/>
                <w:i/>
                <w:iCs/>
                <w:color w:val="FFFFFF"/>
                <w:szCs w:val="22"/>
              </w:rPr>
              <w:t>Graduates</w:t>
            </w:r>
          </w:p>
        </w:tc>
        <w:tc>
          <w:tcPr>
            <w:tcW w:w="1293" w:type="dxa"/>
            <w:tcBorders>
              <w:top w:val="nil"/>
              <w:left w:val="nil"/>
              <w:bottom w:val="nil"/>
              <w:right w:val="nil"/>
            </w:tcBorders>
            <w:shd w:val="clear" w:color="000000" w:fill="D8D8D8"/>
            <w:vAlign w:val="center"/>
          </w:tcPr>
          <w:p w:rsidR="005E56AB" w:rsidRPr="0065418E" w:rsidRDefault="005E56AB" w:rsidP="005E56AB">
            <w:pPr>
              <w:jc w:val="right"/>
              <w:rPr>
                <w:rFonts w:eastAsia="Calibri" w:cs="Arial"/>
                <w:i/>
                <w:iCs/>
                <w:color w:val="000000"/>
                <w:szCs w:val="22"/>
              </w:rPr>
            </w:pPr>
            <w:r w:rsidRPr="0065418E">
              <w:rPr>
                <w:rFonts w:eastAsia="Calibri" w:cs="Arial"/>
                <w:i/>
                <w:iCs/>
                <w:color w:val="000000"/>
                <w:szCs w:val="22"/>
              </w:rPr>
              <w:t>1,212</w:t>
            </w:r>
          </w:p>
        </w:tc>
        <w:tc>
          <w:tcPr>
            <w:tcW w:w="1293" w:type="dxa"/>
            <w:tcBorders>
              <w:top w:val="nil"/>
              <w:left w:val="nil"/>
              <w:bottom w:val="nil"/>
              <w:right w:val="nil"/>
            </w:tcBorders>
            <w:shd w:val="clear" w:color="000000" w:fill="D8D8D8"/>
            <w:vAlign w:val="center"/>
          </w:tcPr>
          <w:p w:rsidR="005E56AB" w:rsidRPr="0065418E" w:rsidRDefault="005E56AB" w:rsidP="005E56AB">
            <w:pPr>
              <w:jc w:val="right"/>
              <w:rPr>
                <w:rFonts w:eastAsia="Calibri" w:cs="Arial"/>
                <w:i/>
                <w:iCs/>
                <w:color w:val="000000"/>
                <w:szCs w:val="22"/>
              </w:rPr>
            </w:pPr>
            <w:r w:rsidRPr="0065418E">
              <w:rPr>
                <w:rFonts w:eastAsia="Calibri" w:cs="Arial"/>
                <w:i/>
                <w:iCs/>
                <w:color w:val="000000"/>
                <w:szCs w:val="22"/>
              </w:rPr>
              <w:t>1,203</w:t>
            </w:r>
          </w:p>
        </w:tc>
        <w:tc>
          <w:tcPr>
            <w:tcW w:w="1293" w:type="dxa"/>
            <w:tcBorders>
              <w:top w:val="nil"/>
              <w:left w:val="nil"/>
              <w:bottom w:val="nil"/>
              <w:right w:val="nil"/>
            </w:tcBorders>
            <w:shd w:val="clear" w:color="000000" w:fill="D8D8D8"/>
            <w:vAlign w:val="center"/>
          </w:tcPr>
          <w:p w:rsidR="005E56AB" w:rsidRPr="0065418E" w:rsidRDefault="005E56AB" w:rsidP="005E56AB">
            <w:pPr>
              <w:jc w:val="right"/>
              <w:rPr>
                <w:rFonts w:eastAsia="Calibri" w:cs="Arial"/>
                <w:i/>
                <w:iCs/>
                <w:color w:val="000000"/>
                <w:szCs w:val="22"/>
              </w:rPr>
            </w:pPr>
            <w:r w:rsidRPr="0065418E">
              <w:rPr>
                <w:rFonts w:eastAsia="Calibri" w:cs="Arial"/>
                <w:i/>
                <w:iCs/>
                <w:color w:val="000000"/>
                <w:szCs w:val="22"/>
              </w:rPr>
              <w:t>1,267</w:t>
            </w:r>
          </w:p>
        </w:tc>
        <w:tc>
          <w:tcPr>
            <w:tcW w:w="1293" w:type="dxa"/>
            <w:tcBorders>
              <w:top w:val="nil"/>
              <w:left w:val="nil"/>
              <w:bottom w:val="nil"/>
              <w:right w:val="nil"/>
            </w:tcBorders>
            <w:shd w:val="clear" w:color="000000" w:fill="D8D8D8"/>
            <w:vAlign w:val="center"/>
          </w:tcPr>
          <w:p w:rsidR="005E56AB" w:rsidRPr="0065418E" w:rsidRDefault="005E56AB" w:rsidP="005E56AB">
            <w:pPr>
              <w:jc w:val="right"/>
              <w:rPr>
                <w:rFonts w:eastAsia="Calibri" w:cs="Arial"/>
                <w:i/>
                <w:iCs/>
                <w:color w:val="000000"/>
                <w:szCs w:val="22"/>
              </w:rPr>
            </w:pPr>
            <w:r w:rsidRPr="0065418E">
              <w:rPr>
                <w:rFonts w:eastAsia="Calibri" w:cs="Arial"/>
                <w:i/>
                <w:iCs/>
                <w:color w:val="000000"/>
                <w:szCs w:val="22"/>
              </w:rPr>
              <w:t>1,442</w:t>
            </w:r>
          </w:p>
        </w:tc>
        <w:tc>
          <w:tcPr>
            <w:tcW w:w="1293" w:type="dxa"/>
            <w:tcBorders>
              <w:top w:val="nil"/>
              <w:left w:val="nil"/>
              <w:bottom w:val="nil"/>
              <w:right w:val="single" w:sz="4" w:space="0" w:color="auto"/>
            </w:tcBorders>
            <w:shd w:val="clear" w:color="000000" w:fill="D8D8D8"/>
            <w:vAlign w:val="center"/>
          </w:tcPr>
          <w:p w:rsidR="005E56AB" w:rsidRPr="0065418E" w:rsidRDefault="005E56AB" w:rsidP="005E56AB">
            <w:pPr>
              <w:jc w:val="right"/>
              <w:rPr>
                <w:rFonts w:eastAsia="Calibri" w:cs="Arial"/>
                <w:i/>
                <w:iCs/>
                <w:color w:val="000000"/>
                <w:szCs w:val="22"/>
              </w:rPr>
            </w:pPr>
            <w:r w:rsidRPr="0065418E">
              <w:rPr>
                <w:rFonts w:eastAsia="Calibri" w:cs="Arial"/>
                <w:i/>
                <w:iCs/>
                <w:color w:val="000000"/>
                <w:szCs w:val="22"/>
              </w:rPr>
              <w:t>1,600</w:t>
            </w:r>
          </w:p>
        </w:tc>
      </w:tr>
      <w:tr w:rsidR="005E56AB" w:rsidTr="00EF4F95">
        <w:tc>
          <w:tcPr>
            <w:tcW w:w="2511" w:type="dxa"/>
            <w:tcBorders>
              <w:top w:val="nil"/>
              <w:left w:val="single" w:sz="4" w:space="0" w:color="auto"/>
              <w:bottom w:val="nil"/>
              <w:right w:val="nil"/>
            </w:tcBorders>
            <w:shd w:val="clear" w:color="auto" w:fill="7030A0"/>
            <w:vAlign w:val="center"/>
          </w:tcPr>
          <w:p w:rsidR="005E56AB" w:rsidRPr="0065418E" w:rsidRDefault="005E56AB" w:rsidP="005E56AB">
            <w:pPr>
              <w:rPr>
                <w:rFonts w:cs="Arial"/>
                <w:bCs/>
                <w:i/>
                <w:iCs/>
                <w:color w:val="FFFFFF"/>
                <w:szCs w:val="22"/>
              </w:rPr>
            </w:pPr>
            <w:r w:rsidRPr="0065418E">
              <w:rPr>
                <w:rFonts w:cs="Arial"/>
                <w:bCs/>
                <w:i/>
                <w:iCs/>
                <w:color w:val="FFFFFF"/>
                <w:szCs w:val="22"/>
              </w:rPr>
              <w:t>Migrants</w:t>
            </w:r>
          </w:p>
        </w:tc>
        <w:tc>
          <w:tcPr>
            <w:tcW w:w="1293" w:type="dxa"/>
            <w:tcBorders>
              <w:top w:val="nil"/>
              <w:left w:val="nil"/>
              <w:bottom w:val="nil"/>
              <w:right w:val="nil"/>
            </w:tcBorders>
            <w:shd w:val="clear" w:color="auto" w:fill="auto"/>
            <w:vAlign w:val="center"/>
          </w:tcPr>
          <w:p w:rsidR="005E56AB" w:rsidRPr="0065418E" w:rsidRDefault="005E56AB" w:rsidP="005E56AB">
            <w:pPr>
              <w:jc w:val="right"/>
              <w:rPr>
                <w:rFonts w:eastAsia="Calibri" w:cs="Arial"/>
                <w:i/>
                <w:iCs/>
                <w:color w:val="000000"/>
                <w:szCs w:val="22"/>
              </w:rPr>
            </w:pPr>
            <w:r w:rsidRPr="0065418E">
              <w:rPr>
                <w:rFonts w:eastAsia="Calibri" w:cs="Arial"/>
                <w:i/>
                <w:iCs/>
                <w:color w:val="000000"/>
                <w:szCs w:val="22"/>
              </w:rPr>
              <w:t>25</w:t>
            </w:r>
          </w:p>
        </w:tc>
        <w:tc>
          <w:tcPr>
            <w:tcW w:w="1293" w:type="dxa"/>
            <w:tcBorders>
              <w:top w:val="nil"/>
              <w:left w:val="nil"/>
              <w:bottom w:val="nil"/>
              <w:right w:val="nil"/>
            </w:tcBorders>
            <w:shd w:val="clear" w:color="auto" w:fill="auto"/>
            <w:vAlign w:val="center"/>
          </w:tcPr>
          <w:p w:rsidR="005E56AB" w:rsidRPr="0065418E" w:rsidRDefault="005E56AB" w:rsidP="005E56AB">
            <w:pPr>
              <w:jc w:val="right"/>
              <w:rPr>
                <w:rFonts w:eastAsia="Calibri" w:cs="Arial"/>
                <w:i/>
                <w:iCs/>
                <w:color w:val="000000"/>
                <w:szCs w:val="22"/>
              </w:rPr>
            </w:pPr>
            <w:r w:rsidRPr="0065418E">
              <w:rPr>
                <w:rFonts w:eastAsia="Calibri" w:cs="Arial"/>
                <w:i/>
                <w:iCs/>
                <w:color w:val="000000"/>
                <w:szCs w:val="22"/>
              </w:rPr>
              <w:t>25</w:t>
            </w:r>
          </w:p>
        </w:tc>
        <w:tc>
          <w:tcPr>
            <w:tcW w:w="1293" w:type="dxa"/>
            <w:tcBorders>
              <w:top w:val="nil"/>
              <w:left w:val="nil"/>
              <w:bottom w:val="nil"/>
              <w:right w:val="nil"/>
            </w:tcBorders>
            <w:shd w:val="clear" w:color="auto" w:fill="auto"/>
            <w:vAlign w:val="center"/>
          </w:tcPr>
          <w:p w:rsidR="005E56AB" w:rsidRPr="0065418E" w:rsidRDefault="005E56AB" w:rsidP="005E56AB">
            <w:pPr>
              <w:jc w:val="right"/>
              <w:rPr>
                <w:rFonts w:eastAsia="Calibri" w:cs="Arial"/>
                <w:i/>
                <w:iCs/>
                <w:color w:val="000000"/>
                <w:szCs w:val="22"/>
              </w:rPr>
            </w:pPr>
            <w:r w:rsidRPr="0065418E">
              <w:rPr>
                <w:rFonts w:eastAsia="Calibri" w:cs="Arial"/>
                <w:i/>
                <w:iCs/>
                <w:color w:val="000000"/>
                <w:szCs w:val="22"/>
              </w:rPr>
              <w:t>25</w:t>
            </w:r>
          </w:p>
        </w:tc>
        <w:tc>
          <w:tcPr>
            <w:tcW w:w="1293" w:type="dxa"/>
            <w:tcBorders>
              <w:top w:val="nil"/>
              <w:left w:val="nil"/>
              <w:bottom w:val="nil"/>
              <w:right w:val="nil"/>
            </w:tcBorders>
            <w:shd w:val="clear" w:color="auto" w:fill="auto"/>
            <w:vAlign w:val="center"/>
          </w:tcPr>
          <w:p w:rsidR="005E56AB" w:rsidRPr="0065418E" w:rsidRDefault="005E56AB" w:rsidP="005E56AB">
            <w:pPr>
              <w:jc w:val="right"/>
              <w:rPr>
                <w:rFonts w:eastAsia="Calibri" w:cs="Arial"/>
                <w:i/>
                <w:iCs/>
                <w:color w:val="000000"/>
                <w:szCs w:val="22"/>
              </w:rPr>
            </w:pPr>
            <w:r w:rsidRPr="0065418E">
              <w:rPr>
                <w:rFonts w:eastAsia="Calibri" w:cs="Arial"/>
                <w:i/>
                <w:iCs/>
                <w:color w:val="000000"/>
                <w:szCs w:val="22"/>
              </w:rPr>
              <w:t>25</w:t>
            </w:r>
          </w:p>
        </w:tc>
        <w:tc>
          <w:tcPr>
            <w:tcW w:w="1293" w:type="dxa"/>
            <w:tcBorders>
              <w:top w:val="nil"/>
              <w:left w:val="nil"/>
              <w:bottom w:val="nil"/>
              <w:right w:val="single" w:sz="4" w:space="0" w:color="auto"/>
            </w:tcBorders>
            <w:shd w:val="clear" w:color="auto" w:fill="auto"/>
            <w:vAlign w:val="center"/>
          </w:tcPr>
          <w:p w:rsidR="005E56AB" w:rsidRPr="0065418E" w:rsidRDefault="005E56AB" w:rsidP="005E56AB">
            <w:pPr>
              <w:jc w:val="right"/>
              <w:rPr>
                <w:rFonts w:eastAsia="Calibri" w:cs="Arial"/>
                <w:i/>
                <w:iCs/>
                <w:color w:val="000000"/>
                <w:szCs w:val="22"/>
              </w:rPr>
            </w:pPr>
            <w:r w:rsidRPr="0065418E">
              <w:rPr>
                <w:rFonts w:eastAsia="Calibri" w:cs="Arial"/>
                <w:i/>
                <w:iCs/>
                <w:color w:val="000000"/>
                <w:szCs w:val="22"/>
              </w:rPr>
              <w:t>25</w:t>
            </w:r>
          </w:p>
        </w:tc>
      </w:tr>
      <w:tr w:rsidR="005E56AB" w:rsidTr="00EF4F95">
        <w:tc>
          <w:tcPr>
            <w:tcW w:w="2511" w:type="dxa"/>
            <w:tcBorders>
              <w:top w:val="nil"/>
              <w:left w:val="single" w:sz="4" w:space="0" w:color="auto"/>
              <w:bottom w:val="nil"/>
              <w:right w:val="nil"/>
            </w:tcBorders>
            <w:shd w:val="clear" w:color="auto" w:fill="7030A0"/>
            <w:vAlign w:val="center"/>
          </w:tcPr>
          <w:p w:rsidR="005E56AB" w:rsidRPr="0065418E" w:rsidRDefault="005E56AB" w:rsidP="005E56AB">
            <w:pPr>
              <w:rPr>
                <w:rFonts w:cs="Arial"/>
                <w:bCs/>
                <w:i/>
                <w:iCs/>
                <w:color w:val="FFFFFF"/>
                <w:szCs w:val="22"/>
              </w:rPr>
            </w:pPr>
            <w:r w:rsidRPr="0065418E">
              <w:rPr>
                <w:rFonts w:cs="Arial"/>
                <w:bCs/>
                <w:i/>
                <w:iCs/>
                <w:color w:val="FFFFFF"/>
                <w:szCs w:val="22"/>
              </w:rPr>
              <w:t>Exits (% of supply)</w:t>
            </w:r>
          </w:p>
        </w:tc>
        <w:tc>
          <w:tcPr>
            <w:tcW w:w="1293" w:type="dxa"/>
            <w:tcBorders>
              <w:top w:val="nil"/>
              <w:left w:val="nil"/>
              <w:bottom w:val="nil"/>
              <w:right w:val="nil"/>
            </w:tcBorders>
            <w:shd w:val="clear" w:color="000000" w:fill="D8D8D8"/>
            <w:vAlign w:val="center"/>
          </w:tcPr>
          <w:p w:rsidR="005E56AB" w:rsidRPr="0065418E" w:rsidRDefault="005E56AB" w:rsidP="005E56AB">
            <w:pPr>
              <w:jc w:val="right"/>
              <w:rPr>
                <w:rFonts w:eastAsia="Calibri" w:cs="Arial"/>
                <w:i/>
                <w:iCs/>
                <w:color w:val="000000"/>
                <w:szCs w:val="22"/>
              </w:rPr>
            </w:pPr>
            <w:r w:rsidRPr="0065418E">
              <w:rPr>
                <w:rFonts w:eastAsia="Calibri" w:cs="Arial"/>
                <w:i/>
                <w:iCs/>
                <w:color w:val="000000"/>
                <w:szCs w:val="22"/>
              </w:rPr>
              <w:t>3.07%</w:t>
            </w:r>
          </w:p>
        </w:tc>
        <w:tc>
          <w:tcPr>
            <w:tcW w:w="1293" w:type="dxa"/>
            <w:tcBorders>
              <w:top w:val="nil"/>
              <w:left w:val="nil"/>
              <w:bottom w:val="nil"/>
              <w:right w:val="nil"/>
            </w:tcBorders>
            <w:shd w:val="clear" w:color="000000" w:fill="D8D8D8"/>
            <w:vAlign w:val="center"/>
          </w:tcPr>
          <w:p w:rsidR="005E56AB" w:rsidRPr="0065418E" w:rsidRDefault="005E56AB" w:rsidP="005E56AB">
            <w:pPr>
              <w:jc w:val="right"/>
              <w:rPr>
                <w:rFonts w:eastAsia="Calibri" w:cs="Arial"/>
                <w:i/>
                <w:iCs/>
                <w:color w:val="000000"/>
                <w:szCs w:val="22"/>
              </w:rPr>
            </w:pPr>
            <w:r w:rsidRPr="0065418E">
              <w:rPr>
                <w:rFonts w:eastAsia="Calibri" w:cs="Arial"/>
                <w:i/>
                <w:iCs/>
                <w:color w:val="000000"/>
                <w:szCs w:val="22"/>
              </w:rPr>
              <w:t>3.32%</w:t>
            </w:r>
          </w:p>
        </w:tc>
        <w:tc>
          <w:tcPr>
            <w:tcW w:w="1293" w:type="dxa"/>
            <w:tcBorders>
              <w:top w:val="nil"/>
              <w:left w:val="nil"/>
              <w:bottom w:val="nil"/>
              <w:right w:val="nil"/>
            </w:tcBorders>
            <w:shd w:val="clear" w:color="000000" w:fill="D8D8D8"/>
            <w:vAlign w:val="center"/>
          </w:tcPr>
          <w:p w:rsidR="005E56AB" w:rsidRPr="0065418E" w:rsidRDefault="005E56AB" w:rsidP="005E56AB">
            <w:pPr>
              <w:jc w:val="right"/>
              <w:rPr>
                <w:rFonts w:eastAsia="Calibri" w:cs="Arial"/>
                <w:i/>
                <w:iCs/>
                <w:color w:val="000000"/>
                <w:szCs w:val="22"/>
              </w:rPr>
            </w:pPr>
            <w:r w:rsidRPr="0065418E">
              <w:rPr>
                <w:rFonts w:eastAsia="Calibri" w:cs="Arial"/>
                <w:i/>
                <w:iCs/>
                <w:color w:val="000000"/>
                <w:szCs w:val="22"/>
              </w:rPr>
              <w:t>3.47%</w:t>
            </w:r>
          </w:p>
        </w:tc>
        <w:tc>
          <w:tcPr>
            <w:tcW w:w="1293" w:type="dxa"/>
            <w:tcBorders>
              <w:top w:val="nil"/>
              <w:left w:val="nil"/>
              <w:bottom w:val="nil"/>
              <w:right w:val="nil"/>
            </w:tcBorders>
            <w:shd w:val="clear" w:color="000000" w:fill="D8D8D8"/>
            <w:vAlign w:val="center"/>
          </w:tcPr>
          <w:p w:rsidR="005E56AB" w:rsidRPr="0065418E" w:rsidRDefault="005E56AB" w:rsidP="005E56AB">
            <w:pPr>
              <w:jc w:val="right"/>
              <w:rPr>
                <w:rFonts w:eastAsia="Calibri" w:cs="Arial"/>
                <w:i/>
                <w:iCs/>
                <w:color w:val="000000"/>
                <w:szCs w:val="22"/>
              </w:rPr>
            </w:pPr>
            <w:r w:rsidRPr="0065418E">
              <w:rPr>
                <w:rFonts w:eastAsia="Calibri" w:cs="Arial"/>
                <w:i/>
                <w:iCs/>
                <w:color w:val="000000"/>
                <w:szCs w:val="22"/>
              </w:rPr>
              <w:t>3.51%</w:t>
            </w:r>
          </w:p>
        </w:tc>
        <w:tc>
          <w:tcPr>
            <w:tcW w:w="1293" w:type="dxa"/>
            <w:tcBorders>
              <w:top w:val="nil"/>
              <w:left w:val="nil"/>
              <w:bottom w:val="nil"/>
              <w:right w:val="single" w:sz="4" w:space="0" w:color="auto"/>
            </w:tcBorders>
            <w:shd w:val="clear" w:color="000000" w:fill="D8D8D8"/>
            <w:vAlign w:val="center"/>
          </w:tcPr>
          <w:p w:rsidR="005E56AB" w:rsidRPr="0065418E" w:rsidRDefault="005E56AB" w:rsidP="005E56AB">
            <w:pPr>
              <w:jc w:val="right"/>
              <w:rPr>
                <w:rFonts w:eastAsia="Calibri" w:cs="Arial"/>
                <w:i/>
                <w:iCs/>
                <w:color w:val="000000"/>
                <w:szCs w:val="22"/>
              </w:rPr>
            </w:pPr>
            <w:r w:rsidRPr="0065418E">
              <w:rPr>
                <w:rFonts w:eastAsia="Calibri" w:cs="Arial"/>
                <w:i/>
                <w:iCs/>
                <w:color w:val="000000"/>
                <w:szCs w:val="22"/>
              </w:rPr>
              <w:t>3.24%</w:t>
            </w:r>
          </w:p>
        </w:tc>
      </w:tr>
      <w:tr w:rsidR="005E56AB" w:rsidTr="00EF4F95">
        <w:tc>
          <w:tcPr>
            <w:tcW w:w="2511" w:type="dxa"/>
            <w:tcBorders>
              <w:top w:val="nil"/>
              <w:left w:val="single" w:sz="4" w:space="0" w:color="auto"/>
              <w:bottom w:val="nil"/>
              <w:right w:val="nil"/>
            </w:tcBorders>
            <w:shd w:val="clear" w:color="auto" w:fill="7030A0"/>
            <w:vAlign w:val="center"/>
          </w:tcPr>
          <w:p w:rsidR="005E56AB" w:rsidRPr="0065418E" w:rsidRDefault="005E56AB" w:rsidP="005E56AB">
            <w:pPr>
              <w:rPr>
                <w:rFonts w:cs="Arial"/>
                <w:bCs/>
                <w:color w:val="FFFFFF"/>
                <w:szCs w:val="22"/>
              </w:rPr>
            </w:pPr>
            <w:r w:rsidRPr="0065418E">
              <w:rPr>
                <w:rFonts w:cs="Arial"/>
                <w:bCs/>
                <w:color w:val="FFFFFF"/>
                <w:szCs w:val="22"/>
              </w:rPr>
              <w:t>Demand</w:t>
            </w:r>
          </w:p>
        </w:tc>
        <w:tc>
          <w:tcPr>
            <w:tcW w:w="1293" w:type="dxa"/>
            <w:tcBorders>
              <w:top w:val="nil"/>
              <w:left w:val="nil"/>
              <w:bottom w:val="nil"/>
              <w:right w:val="nil"/>
            </w:tcBorders>
            <w:shd w:val="clear" w:color="auto" w:fill="auto"/>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21,149</w:t>
            </w:r>
          </w:p>
        </w:tc>
        <w:tc>
          <w:tcPr>
            <w:tcW w:w="1293" w:type="dxa"/>
            <w:tcBorders>
              <w:top w:val="nil"/>
              <w:left w:val="nil"/>
              <w:bottom w:val="nil"/>
              <w:right w:val="nil"/>
            </w:tcBorders>
            <w:shd w:val="clear" w:color="auto" w:fill="auto"/>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21,739</w:t>
            </w:r>
          </w:p>
        </w:tc>
        <w:tc>
          <w:tcPr>
            <w:tcW w:w="1293" w:type="dxa"/>
            <w:tcBorders>
              <w:top w:val="nil"/>
              <w:left w:val="nil"/>
              <w:bottom w:val="nil"/>
              <w:right w:val="nil"/>
            </w:tcBorders>
            <w:shd w:val="clear" w:color="auto" w:fill="auto"/>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22,317</w:t>
            </w:r>
          </w:p>
        </w:tc>
        <w:tc>
          <w:tcPr>
            <w:tcW w:w="1293" w:type="dxa"/>
            <w:tcBorders>
              <w:top w:val="nil"/>
              <w:left w:val="nil"/>
              <w:bottom w:val="nil"/>
              <w:right w:val="nil"/>
            </w:tcBorders>
            <w:shd w:val="clear" w:color="auto" w:fill="auto"/>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23,768</w:t>
            </w:r>
          </w:p>
        </w:tc>
        <w:tc>
          <w:tcPr>
            <w:tcW w:w="1293" w:type="dxa"/>
            <w:tcBorders>
              <w:top w:val="nil"/>
              <w:left w:val="nil"/>
              <w:bottom w:val="nil"/>
              <w:right w:val="single" w:sz="4" w:space="0" w:color="auto"/>
            </w:tcBorders>
            <w:shd w:val="clear" w:color="auto" w:fill="auto"/>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24,967</w:t>
            </w:r>
          </w:p>
        </w:tc>
      </w:tr>
      <w:tr w:rsidR="005E56AB" w:rsidTr="00EF4F95">
        <w:tc>
          <w:tcPr>
            <w:tcW w:w="2511" w:type="dxa"/>
            <w:tcBorders>
              <w:top w:val="nil"/>
              <w:left w:val="single" w:sz="4" w:space="0" w:color="auto"/>
              <w:bottom w:val="nil"/>
              <w:right w:val="nil"/>
            </w:tcBorders>
            <w:shd w:val="clear" w:color="auto" w:fill="7030A0"/>
            <w:vAlign w:val="center"/>
          </w:tcPr>
          <w:p w:rsidR="005E56AB" w:rsidRPr="0065418E" w:rsidRDefault="005E56AB" w:rsidP="005E56AB">
            <w:pPr>
              <w:rPr>
                <w:rFonts w:cs="Arial"/>
                <w:bCs/>
                <w:color w:val="FFFFFF"/>
                <w:szCs w:val="22"/>
              </w:rPr>
            </w:pPr>
            <w:r w:rsidRPr="0065418E">
              <w:rPr>
                <w:rFonts w:cs="Arial"/>
                <w:bCs/>
                <w:color w:val="FFFFFF"/>
                <w:szCs w:val="22"/>
              </w:rPr>
              <w:t>Demand (FTE)</w:t>
            </w:r>
          </w:p>
        </w:tc>
        <w:tc>
          <w:tcPr>
            <w:tcW w:w="1293" w:type="dxa"/>
            <w:tcBorders>
              <w:top w:val="nil"/>
              <w:left w:val="nil"/>
              <w:bottom w:val="nil"/>
              <w:right w:val="nil"/>
            </w:tcBorders>
            <w:shd w:val="clear" w:color="000000" w:fill="D8D8D8"/>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14,280</w:t>
            </w:r>
          </w:p>
        </w:tc>
        <w:tc>
          <w:tcPr>
            <w:tcW w:w="1293" w:type="dxa"/>
            <w:tcBorders>
              <w:top w:val="nil"/>
              <w:left w:val="nil"/>
              <w:bottom w:val="nil"/>
              <w:right w:val="nil"/>
            </w:tcBorders>
            <w:shd w:val="clear" w:color="000000" w:fill="D8D8D8"/>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14,737</w:t>
            </w:r>
          </w:p>
        </w:tc>
        <w:tc>
          <w:tcPr>
            <w:tcW w:w="1293" w:type="dxa"/>
            <w:tcBorders>
              <w:top w:val="nil"/>
              <w:left w:val="nil"/>
              <w:bottom w:val="nil"/>
              <w:right w:val="nil"/>
            </w:tcBorders>
            <w:shd w:val="clear" w:color="000000" w:fill="D8D8D8"/>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15,194</w:t>
            </w:r>
          </w:p>
        </w:tc>
        <w:tc>
          <w:tcPr>
            <w:tcW w:w="1293" w:type="dxa"/>
            <w:tcBorders>
              <w:top w:val="nil"/>
              <w:left w:val="nil"/>
              <w:bottom w:val="nil"/>
              <w:right w:val="nil"/>
            </w:tcBorders>
            <w:shd w:val="clear" w:color="000000" w:fill="D8D8D8"/>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16,336</w:t>
            </w:r>
          </w:p>
        </w:tc>
        <w:tc>
          <w:tcPr>
            <w:tcW w:w="1293" w:type="dxa"/>
            <w:tcBorders>
              <w:top w:val="nil"/>
              <w:left w:val="nil"/>
              <w:bottom w:val="nil"/>
              <w:right w:val="single" w:sz="4" w:space="0" w:color="auto"/>
            </w:tcBorders>
            <w:shd w:val="clear" w:color="000000" w:fill="D8D8D8"/>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17,250</w:t>
            </w:r>
          </w:p>
        </w:tc>
      </w:tr>
      <w:tr w:rsidR="005E56AB" w:rsidTr="00EF4F95">
        <w:tc>
          <w:tcPr>
            <w:tcW w:w="2511" w:type="dxa"/>
            <w:tcBorders>
              <w:top w:val="nil"/>
              <w:left w:val="single" w:sz="4" w:space="0" w:color="auto"/>
              <w:bottom w:val="nil"/>
              <w:right w:val="nil"/>
            </w:tcBorders>
            <w:shd w:val="clear" w:color="auto" w:fill="7030A0"/>
            <w:vAlign w:val="center"/>
          </w:tcPr>
          <w:p w:rsidR="005E56AB" w:rsidRPr="0065418E" w:rsidRDefault="005E56AB" w:rsidP="005E56AB">
            <w:pPr>
              <w:rPr>
                <w:rFonts w:cs="Arial"/>
                <w:bCs/>
                <w:color w:val="FFFFFF"/>
                <w:szCs w:val="22"/>
              </w:rPr>
            </w:pPr>
            <w:r w:rsidRPr="0065418E">
              <w:rPr>
                <w:rFonts w:cs="Arial"/>
                <w:bCs/>
                <w:color w:val="FFFFFF"/>
                <w:szCs w:val="22"/>
              </w:rPr>
              <w:t>Excess/Shortfall</w:t>
            </w:r>
          </w:p>
        </w:tc>
        <w:tc>
          <w:tcPr>
            <w:tcW w:w="1293" w:type="dxa"/>
            <w:tcBorders>
              <w:top w:val="nil"/>
              <w:left w:val="nil"/>
              <w:bottom w:val="nil"/>
              <w:right w:val="nil"/>
            </w:tcBorders>
            <w:shd w:val="clear" w:color="000000" w:fill="00B050"/>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0</w:t>
            </w:r>
          </w:p>
        </w:tc>
        <w:tc>
          <w:tcPr>
            <w:tcW w:w="1293" w:type="dxa"/>
            <w:tcBorders>
              <w:top w:val="nil"/>
              <w:left w:val="nil"/>
              <w:bottom w:val="nil"/>
              <w:right w:val="nil"/>
            </w:tcBorders>
            <w:shd w:val="clear" w:color="000000" w:fill="FFFF00"/>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492</w:t>
            </w:r>
          </w:p>
        </w:tc>
        <w:tc>
          <w:tcPr>
            <w:tcW w:w="1293" w:type="dxa"/>
            <w:tcBorders>
              <w:top w:val="nil"/>
              <w:left w:val="nil"/>
              <w:bottom w:val="nil"/>
              <w:right w:val="nil"/>
            </w:tcBorders>
            <w:shd w:val="clear" w:color="auto" w:fill="00B050"/>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889</w:t>
            </w:r>
          </w:p>
        </w:tc>
        <w:tc>
          <w:tcPr>
            <w:tcW w:w="1293" w:type="dxa"/>
            <w:tcBorders>
              <w:top w:val="nil"/>
              <w:left w:val="nil"/>
              <w:bottom w:val="nil"/>
              <w:right w:val="nil"/>
            </w:tcBorders>
            <w:shd w:val="clear" w:color="auto" w:fill="00B050"/>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1,973</w:t>
            </w:r>
          </w:p>
        </w:tc>
        <w:tc>
          <w:tcPr>
            <w:tcW w:w="1293" w:type="dxa"/>
            <w:tcBorders>
              <w:top w:val="nil"/>
              <w:left w:val="nil"/>
              <w:bottom w:val="nil"/>
              <w:right w:val="single" w:sz="4" w:space="0" w:color="auto"/>
            </w:tcBorders>
            <w:shd w:val="clear" w:color="auto" w:fill="00B050"/>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3,238</w:t>
            </w:r>
          </w:p>
        </w:tc>
      </w:tr>
      <w:tr w:rsidR="005E56AB" w:rsidTr="00EF4F95">
        <w:tc>
          <w:tcPr>
            <w:tcW w:w="2511" w:type="dxa"/>
            <w:tcBorders>
              <w:top w:val="nil"/>
              <w:left w:val="single" w:sz="4" w:space="0" w:color="auto"/>
              <w:bottom w:val="single" w:sz="4" w:space="0" w:color="auto"/>
              <w:right w:val="nil"/>
            </w:tcBorders>
            <w:shd w:val="clear" w:color="auto" w:fill="7030A0"/>
            <w:vAlign w:val="center"/>
          </w:tcPr>
          <w:p w:rsidR="005E56AB" w:rsidRPr="0065418E" w:rsidRDefault="005E56AB" w:rsidP="005E56AB">
            <w:pPr>
              <w:rPr>
                <w:rFonts w:cs="Arial"/>
                <w:bCs/>
                <w:color w:val="FFFFFF"/>
                <w:szCs w:val="22"/>
              </w:rPr>
            </w:pPr>
            <w:r w:rsidRPr="0065418E">
              <w:rPr>
                <w:rFonts w:cs="Arial"/>
                <w:bCs/>
                <w:color w:val="FFFFFF"/>
                <w:szCs w:val="22"/>
              </w:rPr>
              <w:t>Excess/Shortfall (FTE)</w:t>
            </w:r>
          </w:p>
        </w:tc>
        <w:tc>
          <w:tcPr>
            <w:tcW w:w="1293" w:type="dxa"/>
            <w:tcBorders>
              <w:top w:val="nil"/>
              <w:left w:val="nil"/>
              <w:bottom w:val="single" w:sz="4" w:space="0" w:color="auto"/>
              <w:right w:val="nil"/>
            </w:tcBorders>
            <w:shd w:val="clear" w:color="000000" w:fill="00B050"/>
            <w:vAlign w:val="center"/>
          </w:tcPr>
          <w:p w:rsidR="005E56AB" w:rsidRPr="0057674E" w:rsidRDefault="005E56AB" w:rsidP="005E56AB">
            <w:pPr>
              <w:jc w:val="right"/>
              <w:rPr>
                <w:rFonts w:eastAsia="Calibri" w:cs="Arial"/>
                <w:b/>
                <w:color w:val="000000"/>
                <w:szCs w:val="22"/>
              </w:rPr>
            </w:pPr>
            <w:r w:rsidRPr="0057674E">
              <w:rPr>
                <w:rFonts w:eastAsia="Calibri" w:cs="Arial"/>
                <w:b/>
                <w:color w:val="000000"/>
                <w:szCs w:val="22"/>
              </w:rPr>
              <w:t>0</w:t>
            </w:r>
          </w:p>
        </w:tc>
        <w:tc>
          <w:tcPr>
            <w:tcW w:w="1293" w:type="dxa"/>
            <w:tcBorders>
              <w:top w:val="nil"/>
              <w:left w:val="nil"/>
              <w:bottom w:val="single" w:sz="4" w:space="0" w:color="auto"/>
              <w:right w:val="nil"/>
            </w:tcBorders>
            <w:shd w:val="clear" w:color="000000" w:fill="FFFF00"/>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334</w:t>
            </w:r>
          </w:p>
        </w:tc>
        <w:tc>
          <w:tcPr>
            <w:tcW w:w="1293" w:type="dxa"/>
            <w:tcBorders>
              <w:top w:val="nil"/>
              <w:left w:val="nil"/>
              <w:bottom w:val="single" w:sz="4" w:space="0" w:color="auto"/>
              <w:right w:val="nil"/>
            </w:tcBorders>
            <w:shd w:val="clear" w:color="auto" w:fill="00B050"/>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605</w:t>
            </w:r>
          </w:p>
        </w:tc>
        <w:tc>
          <w:tcPr>
            <w:tcW w:w="1293" w:type="dxa"/>
            <w:tcBorders>
              <w:top w:val="nil"/>
              <w:left w:val="nil"/>
              <w:bottom w:val="single" w:sz="4" w:space="0" w:color="auto"/>
              <w:right w:val="nil"/>
            </w:tcBorders>
            <w:shd w:val="clear" w:color="auto" w:fill="00B050"/>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1,356</w:t>
            </w:r>
          </w:p>
        </w:tc>
        <w:tc>
          <w:tcPr>
            <w:tcW w:w="1293" w:type="dxa"/>
            <w:tcBorders>
              <w:top w:val="nil"/>
              <w:left w:val="nil"/>
              <w:bottom w:val="single" w:sz="4" w:space="0" w:color="auto"/>
              <w:right w:val="single" w:sz="4" w:space="0" w:color="auto"/>
            </w:tcBorders>
            <w:shd w:val="clear" w:color="auto" w:fill="00B050"/>
            <w:vAlign w:val="center"/>
          </w:tcPr>
          <w:p w:rsidR="005E56AB" w:rsidRPr="0065418E" w:rsidRDefault="005E56AB" w:rsidP="005E56AB">
            <w:pPr>
              <w:jc w:val="right"/>
              <w:rPr>
                <w:rFonts w:eastAsia="Calibri" w:cs="Arial"/>
                <w:b/>
                <w:bCs/>
                <w:color w:val="000000"/>
                <w:szCs w:val="22"/>
              </w:rPr>
            </w:pPr>
            <w:r w:rsidRPr="0065418E">
              <w:rPr>
                <w:rFonts w:eastAsia="Calibri" w:cs="Arial"/>
                <w:b/>
                <w:bCs/>
                <w:color w:val="000000"/>
                <w:szCs w:val="22"/>
              </w:rPr>
              <w:t>2,237</w:t>
            </w:r>
          </w:p>
        </w:tc>
      </w:tr>
    </w:tbl>
    <w:p w:rsidR="005E56AB" w:rsidRPr="00C960C9" w:rsidRDefault="005E56AB" w:rsidP="00EF4F95">
      <w:pPr>
        <w:spacing w:after="0"/>
        <w:ind w:left="57"/>
        <w:rPr>
          <w:i/>
        </w:rPr>
      </w:pPr>
      <w:bookmarkStart w:id="215" w:name="_Toc10808419"/>
      <w:r w:rsidRPr="00C960C9">
        <w:rPr>
          <w:i/>
        </w:rPr>
        <w:t>Legend:</w:t>
      </w:r>
    </w:p>
    <w:p w:rsidR="005E56AB" w:rsidRPr="00D62C05" w:rsidRDefault="005E56AB" w:rsidP="00EF4F95">
      <w:pPr>
        <w:ind w:left="57"/>
        <w:rPr>
          <w:sz w:val="19"/>
          <w:szCs w:val="19"/>
          <w:bdr w:val="single" w:sz="36" w:space="0" w:color="FF0000"/>
          <w:shd w:val="clear" w:color="auto" w:fill="FF0000"/>
        </w:rPr>
      </w:pPr>
      <w:r w:rsidRPr="00D62C05">
        <w:rPr>
          <w:sz w:val="19"/>
          <w:szCs w:val="19"/>
          <w:bdr w:val="single" w:sz="24" w:space="0" w:color="00B050"/>
          <w:shd w:val="clear" w:color="auto" w:fill="00B050"/>
        </w:rPr>
        <w:t>No perceived shortage</w:t>
      </w:r>
      <w:r w:rsidRPr="00D62C05">
        <w:rPr>
          <w:sz w:val="19"/>
          <w:szCs w:val="19"/>
          <w:bdr w:val="single" w:sz="24" w:space="0" w:color="FFFF00"/>
          <w:shd w:val="clear" w:color="auto" w:fill="FFFF00"/>
        </w:rPr>
        <w:t>In balance (± 3 per cent)</w:t>
      </w:r>
      <w:r w:rsidRPr="00D62C05">
        <w:rPr>
          <w:sz w:val="19"/>
          <w:szCs w:val="19"/>
          <w:bdr w:val="single" w:sz="24" w:space="0" w:color="FFC000"/>
          <w:shd w:val="clear" w:color="auto" w:fill="FFC000"/>
        </w:rPr>
        <w:t>Only a slight perceived shortage</w:t>
      </w:r>
      <w:r w:rsidRPr="00D62C05">
        <w:rPr>
          <w:color w:val="000000" w:themeColor="text1"/>
          <w:sz w:val="19"/>
          <w:szCs w:val="19"/>
          <w:bdr w:val="single" w:sz="24" w:space="0" w:color="FF0000"/>
          <w:shd w:val="clear" w:color="auto" w:fill="FF0000"/>
        </w:rPr>
        <w:t>Perceived shortage</w:t>
      </w:r>
    </w:p>
    <w:p w:rsidR="00B740AD" w:rsidRPr="00A93607" w:rsidRDefault="00B740AD" w:rsidP="00E85564">
      <w:pPr>
        <w:pStyle w:val="Heading2"/>
        <w:rPr>
          <w:rFonts w:eastAsia="Calibri"/>
          <w:lang w:val="en-US"/>
        </w:rPr>
      </w:pPr>
      <w:r w:rsidRPr="00A93607">
        <w:rPr>
          <w:rFonts w:eastAsia="Calibri"/>
          <w:lang w:val="en-US"/>
        </w:rPr>
        <w:t>Increased hours worked</w:t>
      </w:r>
      <w:bookmarkEnd w:id="215"/>
    </w:p>
    <w:p w:rsidR="00B740AD" w:rsidRPr="00703887" w:rsidRDefault="00B740AD" w:rsidP="00703887">
      <w:pPr>
        <w:spacing w:before="120" w:after="120" w:line="240" w:lineRule="auto"/>
        <w:jc w:val="both"/>
        <w:rPr>
          <w:rFonts w:eastAsia="Times New Roman" w:cs="Arial"/>
          <w:color w:val="000000"/>
          <w:szCs w:val="22"/>
        </w:rPr>
      </w:pPr>
      <w:r w:rsidRPr="00703887">
        <w:rPr>
          <w:rFonts w:eastAsia="Times New Roman" w:cs="Arial"/>
          <w:color w:val="000000"/>
          <w:szCs w:val="22"/>
        </w:rPr>
        <w:t xml:space="preserve">This scenario increases all midwives hours by an additional </w:t>
      </w:r>
      <w:r w:rsidR="005B028C" w:rsidRPr="00703887">
        <w:rPr>
          <w:rFonts w:eastAsia="Times New Roman" w:cs="Arial"/>
          <w:color w:val="000000"/>
          <w:szCs w:val="22"/>
        </w:rPr>
        <w:t>4.</w:t>
      </w:r>
      <w:r w:rsidR="00FB4BE9" w:rsidRPr="00703887">
        <w:rPr>
          <w:rFonts w:eastAsia="Times New Roman" w:cs="Arial"/>
          <w:color w:val="000000"/>
          <w:szCs w:val="22"/>
        </w:rPr>
        <w:t>5</w:t>
      </w:r>
      <w:r w:rsidRPr="00703887">
        <w:rPr>
          <w:rFonts w:eastAsia="Times New Roman" w:cs="Arial"/>
          <w:color w:val="000000"/>
          <w:szCs w:val="22"/>
        </w:rPr>
        <w:t xml:space="preserve"> hours in an attempt to ensure the dual qualified nurses and midwives are maintaining their recency of </w:t>
      </w:r>
      <w:r w:rsidR="0076169A">
        <w:rPr>
          <w:rFonts w:eastAsia="Times New Roman" w:cs="Arial"/>
          <w:color w:val="000000"/>
          <w:szCs w:val="22"/>
        </w:rPr>
        <w:t>practi</w:t>
      </w:r>
      <w:r w:rsidR="00FF26E3">
        <w:rPr>
          <w:rFonts w:eastAsia="Times New Roman" w:cs="Arial"/>
          <w:color w:val="000000"/>
          <w:szCs w:val="22"/>
        </w:rPr>
        <w:t>c</w:t>
      </w:r>
      <w:r w:rsidR="0076169A">
        <w:rPr>
          <w:rFonts w:eastAsia="Times New Roman" w:cs="Arial"/>
          <w:color w:val="000000"/>
          <w:szCs w:val="22"/>
        </w:rPr>
        <w:t>e</w:t>
      </w:r>
      <w:r w:rsidRPr="00703887">
        <w:rPr>
          <w:rFonts w:eastAsia="Times New Roman" w:cs="Arial"/>
          <w:color w:val="000000"/>
          <w:szCs w:val="22"/>
        </w:rPr>
        <w:t xml:space="preserve"> in midwifery. This scenario results in an excess by 2030 of 16 per cent.</w:t>
      </w:r>
    </w:p>
    <w:p w:rsidR="005B028C" w:rsidRDefault="005B028C" w:rsidP="00703887">
      <w:pPr>
        <w:spacing w:before="120" w:after="120" w:line="240" w:lineRule="auto"/>
        <w:jc w:val="both"/>
        <w:rPr>
          <w:rFonts w:eastAsia="Times New Roman" w:cs="Arial"/>
          <w:color w:val="000000"/>
          <w:szCs w:val="22"/>
        </w:rPr>
      </w:pPr>
      <w:r>
        <w:rPr>
          <w:rFonts w:eastAsia="Times New Roman" w:cs="Arial"/>
          <w:color w:val="000000"/>
          <w:szCs w:val="22"/>
        </w:rPr>
        <w:t>In this scenario</w:t>
      </w:r>
      <w:r w:rsidR="00FB4BE9">
        <w:rPr>
          <w:rFonts w:eastAsia="Times New Roman" w:cs="Arial"/>
          <w:color w:val="000000"/>
          <w:szCs w:val="22"/>
        </w:rPr>
        <w:t>,</w:t>
      </w:r>
      <w:r>
        <w:rPr>
          <w:rFonts w:eastAsia="Times New Roman" w:cs="Arial"/>
          <w:color w:val="000000"/>
          <w:szCs w:val="22"/>
        </w:rPr>
        <w:t xml:space="preserve"> the </w:t>
      </w:r>
      <w:r w:rsidR="00160CA5">
        <w:rPr>
          <w:rFonts w:eastAsia="Times New Roman" w:cs="Arial"/>
          <w:color w:val="000000"/>
          <w:szCs w:val="22"/>
        </w:rPr>
        <w:t xml:space="preserve">supply </w:t>
      </w:r>
      <w:r>
        <w:rPr>
          <w:rFonts w:eastAsia="Times New Roman" w:cs="Arial"/>
          <w:color w:val="000000"/>
          <w:szCs w:val="22"/>
        </w:rPr>
        <w:t xml:space="preserve">headcount </w:t>
      </w:r>
      <w:r w:rsidR="00160CA5">
        <w:rPr>
          <w:rFonts w:eastAsia="Times New Roman" w:cs="Arial"/>
          <w:color w:val="000000"/>
          <w:szCs w:val="22"/>
        </w:rPr>
        <w:t>for</w:t>
      </w:r>
      <w:r>
        <w:rPr>
          <w:rFonts w:eastAsia="Times New Roman" w:cs="Arial"/>
          <w:color w:val="000000"/>
          <w:szCs w:val="22"/>
        </w:rPr>
        <w:t xml:space="preserve"> midwives increases </w:t>
      </w:r>
      <w:r w:rsidR="00FB4BE9">
        <w:rPr>
          <w:rFonts w:eastAsia="Times New Roman" w:cs="Arial"/>
          <w:color w:val="000000"/>
          <w:szCs w:val="22"/>
        </w:rPr>
        <w:t>based on</w:t>
      </w:r>
      <w:r>
        <w:rPr>
          <w:rFonts w:eastAsia="Times New Roman" w:cs="Arial"/>
          <w:color w:val="000000"/>
          <w:szCs w:val="22"/>
        </w:rPr>
        <w:t xml:space="preserve"> the inflows and exits from the workforce (new graduates, migration, exits). This is converted to a supply FTE based on the average hours worked PLUS an additional 4.</w:t>
      </w:r>
      <w:r w:rsidR="00FB4BE9">
        <w:rPr>
          <w:rFonts w:eastAsia="Times New Roman" w:cs="Arial"/>
          <w:color w:val="000000"/>
          <w:szCs w:val="22"/>
        </w:rPr>
        <w:t>5</w:t>
      </w:r>
      <w:r>
        <w:rPr>
          <w:rFonts w:eastAsia="Times New Roman" w:cs="Arial"/>
          <w:color w:val="000000"/>
          <w:szCs w:val="22"/>
        </w:rPr>
        <w:t xml:space="preserve"> hours by 2030 (25.66 hours in 2017</w:t>
      </w:r>
      <w:r w:rsidR="00FB4BE9">
        <w:rPr>
          <w:rFonts w:eastAsia="Times New Roman" w:cs="Arial"/>
          <w:color w:val="000000"/>
          <w:szCs w:val="22"/>
        </w:rPr>
        <w:t xml:space="preserve"> up to</w:t>
      </w:r>
      <w:r>
        <w:rPr>
          <w:rFonts w:eastAsia="Times New Roman" w:cs="Arial"/>
          <w:color w:val="000000"/>
          <w:szCs w:val="22"/>
        </w:rPr>
        <w:t xml:space="preserve"> </w:t>
      </w:r>
      <w:r w:rsidR="00FB4BE9">
        <w:rPr>
          <w:rFonts w:eastAsia="Times New Roman" w:cs="Arial"/>
          <w:color w:val="000000"/>
          <w:szCs w:val="22"/>
        </w:rPr>
        <w:t>30.17</w:t>
      </w:r>
      <w:r>
        <w:rPr>
          <w:rFonts w:eastAsia="Times New Roman" w:cs="Arial"/>
          <w:color w:val="000000"/>
          <w:szCs w:val="22"/>
        </w:rPr>
        <w:t xml:space="preserve"> hours by 2030)</w:t>
      </w:r>
      <w:r w:rsidR="00FB4BE9">
        <w:rPr>
          <w:rFonts w:eastAsia="Times New Roman" w:cs="Arial"/>
          <w:color w:val="000000"/>
          <w:szCs w:val="22"/>
        </w:rPr>
        <w:t>.</w:t>
      </w:r>
    </w:p>
    <w:p w:rsidR="009B7071" w:rsidRPr="005142DA" w:rsidRDefault="005B028C" w:rsidP="005142DA">
      <w:pPr>
        <w:spacing w:before="120" w:after="120" w:line="240" w:lineRule="auto"/>
        <w:jc w:val="both"/>
        <w:rPr>
          <w:rFonts w:eastAsia="Times New Roman" w:cs="Arial"/>
          <w:color w:val="000000"/>
          <w:szCs w:val="22"/>
        </w:rPr>
      </w:pPr>
      <w:r>
        <w:rPr>
          <w:rFonts w:eastAsia="Times New Roman" w:cs="Arial"/>
          <w:color w:val="000000"/>
          <w:szCs w:val="22"/>
        </w:rPr>
        <w:t xml:space="preserve">The demand FTE for midwives increases based on the </w:t>
      </w:r>
      <w:r w:rsidR="004D53D1">
        <w:rPr>
          <w:rFonts w:eastAsia="Times New Roman" w:cs="Arial"/>
          <w:color w:val="000000"/>
          <w:szCs w:val="22"/>
        </w:rPr>
        <w:t>continuity</w:t>
      </w:r>
      <w:r>
        <w:rPr>
          <w:rFonts w:eastAsia="Times New Roman" w:cs="Arial"/>
          <w:color w:val="000000"/>
          <w:szCs w:val="22"/>
        </w:rPr>
        <w:t xml:space="preserve"> of care demand. The demand FTE is converted to a demand headcount based on the average hours worked</w:t>
      </w:r>
      <w:r w:rsidR="00FB4BE9">
        <w:rPr>
          <w:rFonts w:eastAsia="Times New Roman" w:cs="Arial"/>
          <w:color w:val="000000"/>
          <w:szCs w:val="22"/>
        </w:rPr>
        <w:t xml:space="preserve"> including the additional 4.5 hours by 2030</w:t>
      </w:r>
      <w:r>
        <w:rPr>
          <w:rFonts w:eastAsia="Times New Roman" w:cs="Arial"/>
          <w:color w:val="000000"/>
          <w:szCs w:val="22"/>
        </w:rPr>
        <w:t xml:space="preserve"> (25.66 hours in 2017 </w:t>
      </w:r>
      <w:r w:rsidR="00FB4BE9">
        <w:rPr>
          <w:rFonts w:eastAsia="Times New Roman" w:cs="Arial"/>
          <w:color w:val="000000"/>
          <w:szCs w:val="22"/>
        </w:rPr>
        <w:t>up to 30.17</w:t>
      </w:r>
      <w:r>
        <w:rPr>
          <w:rFonts w:eastAsia="Times New Roman" w:cs="Arial"/>
          <w:color w:val="000000"/>
          <w:szCs w:val="22"/>
        </w:rPr>
        <w:t xml:space="preserve"> hours by 2030).</w:t>
      </w:r>
    </w:p>
    <w:p w:rsidR="00DE7963" w:rsidRDefault="00DE7963">
      <w:pPr>
        <w:rPr>
          <w:rFonts w:eastAsia="Times New Roman"/>
          <w:bCs/>
          <w:i/>
          <w:color w:val="954ECA"/>
          <w:sz w:val="20"/>
          <w:szCs w:val="20"/>
        </w:rPr>
      </w:pPr>
      <w:bookmarkStart w:id="216" w:name="_Toc532473588"/>
      <w:bookmarkStart w:id="217" w:name="_Toc1722588"/>
      <w:bookmarkStart w:id="218" w:name="_Toc1724712"/>
      <w:bookmarkStart w:id="219" w:name="_Toc1725030"/>
      <w:r>
        <w:br w:type="page"/>
      </w:r>
    </w:p>
    <w:p w:rsidR="00D57C8A" w:rsidRDefault="00D57C8A" w:rsidP="00477A29">
      <w:pPr>
        <w:pStyle w:val="Caption"/>
      </w:pPr>
      <w:r w:rsidRPr="00477A29">
        <w:lastRenderedPageBreak/>
        <w:t>Figure</w:t>
      </w:r>
      <w:r w:rsidR="00477A29">
        <w:t xml:space="preserve"> </w:t>
      </w:r>
      <w:r w:rsidR="006F5994" w:rsidRPr="00477A29">
        <w:t>36</w:t>
      </w:r>
      <w:r w:rsidRPr="00477A29">
        <w:t>: Scenario 3 - Increased hours worked</w:t>
      </w:r>
      <w:bookmarkEnd w:id="216"/>
      <w:bookmarkEnd w:id="217"/>
      <w:bookmarkEnd w:id="218"/>
      <w:bookmarkEnd w:id="219"/>
    </w:p>
    <w:tbl>
      <w:tblPr>
        <w:tblStyle w:val="TableGrid"/>
        <w:tblW w:w="8976" w:type="dxa"/>
        <w:tblLook w:val="04A0" w:firstRow="1" w:lastRow="0" w:firstColumn="1" w:lastColumn="0" w:noHBand="0" w:noVBand="1"/>
        <w:tblCaption w:val="Figure 36: Scenario 3 - Increased hours worked"/>
        <w:tblDescription w:val="Provides an overview of increased hours worked scenario with no perceived shortage in 2017 and from 2021 onwards and considered to be in balance for 2019."/>
      </w:tblPr>
      <w:tblGrid>
        <w:gridCol w:w="2511"/>
        <w:gridCol w:w="1293"/>
        <w:gridCol w:w="1293"/>
        <w:gridCol w:w="1293"/>
        <w:gridCol w:w="1293"/>
        <w:gridCol w:w="1293"/>
      </w:tblGrid>
      <w:tr w:rsidR="00EF4F95" w:rsidTr="00EF4F95">
        <w:trPr>
          <w:tblHeader/>
        </w:trPr>
        <w:tc>
          <w:tcPr>
            <w:tcW w:w="2511" w:type="dxa"/>
            <w:tcBorders>
              <w:top w:val="single" w:sz="4" w:space="0" w:color="auto"/>
              <w:left w:val="single" w:sz="4" w:space="0" w:color="auto"/>
              <w:bottom w:val="single" w:sz="4" w:space="0" w:color="auto"/>
              <w:right w:val="nil"/>
            </w:tcBorders>
            <w:shd w:val="clear" w:color="auto" w:fill="7030A0"/>
            <w:vAlign w:val="center"/>
          </w:tcPr>
          <w:p w:rsidR="00EF4F95" w:rsidRPr="0057674E" w:rsidRDefault="00EF4F95" w:rsidP="00EF4F95">
            <w:pPr>
              <w:rPr>
                <w:rFonts w:cs="Arial"/>
                <w:b/>
                <w:bCs/>
                <w:color w:val="FFFFFF"/>
                <w:szCs w:val="22"/>
              </w:rPr>
            </w:pPr>
            <w:r w:rsidRPr="0057674E">
              <w:rPr>
                <w:rFonts w:cs="Arial"/>
                <w:b/>
                <w:bCs/>
                <w:color w:val="FFFFFF"/>
                <w:szCs w:val="22"/>
              </w:rPr>
              <w:t>Headcount</w:t>
            </w:r>
          </w:p>
        </w:tc>
        <w:tc>
          <w:tcPr>
            <w:tcW w:w="1293" w:type="dxa"/>
            <w:tcBorders>
              <w:top w:val="single" w:sz="4" w:space="0" w:color="auto"/>
              <w:left w:val="nil"/>
              <w:bottom w:val="single" w:sz="4" w:space="0" w:color="auto"/>
              <w:right w:val="nil"/>
            </w:tcBorders>
            <w:shd w:val="clear" w:color="auto" w:fill="7030A0"/>
            <w:vAlign w:val="center"/>
          </w:tcPr>
          <w:p w:rsidR="00EF4F95" w:rsidRPr="0057674E" w:rsidRDefault="00EF4F95" w:rsidP="00EF4F95">
            <w:pPr>
              <w:jc w:val="right"/>
              <w:rPr>
                <w:rFonts w:cs="Arial"/>
                <w:b/>
                <w:bCs/>
                <w:color w:val="FFFFFF"/>
                <w:szCs w:val="22"/>
              </w:rPr>
            </w:pPr>
            <w:r w:rsidRPr="0057674E">
              <w:rPr>
                <w:rFonts w:cs="Arial"/>
                <w:b/>
                <w:bCs/>
                <w:color w:val="FFFFFF"/>
                <w:szCs w:val="22"/>
              </w:rPr>
              <w:t>2017</w:t>
            </w:r>
          </w:p>
        </w:tc>
        <w:tc>
          <w:tcPr>
            <w:tcW w:w="1293" w:type="dxa"/>
            <w:tcBorders>
              <w:top w:val="single" w:sz="4" w:space="0" w:color="auto"/>
              <w:left w:val="nil"/>
              <w:bottom w:val="single" w:sz="4" w:space="0" w:color="auto"/>
              <w:right w:val="nil"/>
            </w:tcBorders>
            <w:shd w:val="clear" w:color="auto" w:fill="7030A0"/>
            <w:vAlign w:val="center"/>
          </w:tcPr>
          <w:p w:rsidR="00EF4F95" w:rsidRPr="0057674E" w:rsidRDefault="00EF4F95" w:rsidP="00EF4F95">
            <w:pPr>
              <w:jc w:val="right"/>
              <w:rPr>
                <w:rFonts w:cs="Arial"/>
                <w:b/>
                <w:bCs/>
                <w:color w:val="FFFFFF"/>
                <w:szCs w:val="22"/>
              </w:rPr>
            </w:pPr>
            <w:r w:rsidRPr="0057674E">
              <w:rPr>
                <w:rFonts w:cs="Arial"/>
                <w:b/>
                <w:bCs/>
                <w:color w:val="FFFFFF"/>
                <w:szCs w:val="22"/>
              </w:rPr>
              <w:t>2019</w:t>
            </w:r>
          </w:p>
        </w:tc>
        <w:tc>
          <w:tcPr>
            <w:tcW w:w="1293" w:type="dxa"/>
            <w:tcBorders>
              <w:top w:val="single" w:sz="4" w:space="0" w:color="auto"/>
              <w:left w:val="nil"/>
              <w:bottom w:val="single" w:sz="4" w:space="0" w:color="auto"/>
              <w:right w:val="nil"/>
            </w:tcBorders>
            <w:shd w:val="clear" w:color="auto" w:fill="7030A0"/>
            <w:vAlign w:val="center"/>
          </w:tcPr>
          <w:p w:rsidR="00EF4F95" w:rsidRPr="0057674E" w:rsidRDefault="00EF4F95" w:rsidP="00EF4F95">
            <w:pPr>
              <w:jc w:val="right"/>
              <w:rPr>
                <w:rFonts w:cs="Arial"/>
                <w:b/>
                <w:bCs/>
                <w:color w:val="FFFFFF"/>
                <w:szCs w:val="22"/>
              </w:rPr>
            </w:pPr>
            <w:r w:rsidRPr="0057674E">
              <w:rPr>
                <w:rFonts w:cs="Arial"/>
                <w:b/>
                <w:bCs/>
                <w:color w:val="FFFFFF"/>
                <w:szCs w:val="22"/>
              </w:rPr>
              <w:t>2021</w:t>
            </w:r>
          </w:p>
        </w:tc>
        <w:tc>
          <w:tcPr>
            <w:tcW w:w="1293" w:type="dxa"/>
            <w:tcBorders>
              <w:top w:val="single" w:sz="4" w:space="0" w:color="auto"/>
              <w:left w:val="nil"/>
              <w:bottom w:val="single" w:sz="4" w:space="0" w:color="auto"/>
              <w:right w:val="nil"/>
            </w:tcBorders>
            <w:shd w:val="clear" w:color="auto" w:fill="7030A0"/>
            <w:vAlign w:val="center"/>
          </w:tcPr>
          <w:p w:rsidR="00EF4F95" w:rsidRPr="0057674E" w:rsidRDefault="00EF4F95" w:rsidP="00EF4F95">
            <w:pPr>
              <w:jc w:val="right"/>
              <w:rPr>
                <w:rFonts w:cs="Arial"/>
                <w:b/>
                <w:bCs/>
                <w:color w:val="FFFFFF"/>
                <w:szCs w:val="22"/>
              </w:rPr>
            </w:pPr>
            <w:r w:rsidRPr="0057674E">
              <w:rPr>
                <w:rFonts w:cs="Arial"/>
                <w:b/>
                <w:bCs/>
                <w:color w:val="FFFFFF"/>
                <w:szCs w:val="22"/>
              </w:rPr>
              <w:t>2026</w:t>
            </w:r>
          </w:p>
        </w:tc>
        <w:tc>
          <w:tcPr>
            <w:tcW w:w="1293" w:type="dxa"/>
            <w:tcBorders>
              <w:top w:val="single" w:sz="4" w:space="0" w:color="auto"/>
              <w:left w:val="nil"/>
              <w:bottom w:val="single" w:sz="4" w:space="0" w:color="auto"/>
              <w:right w:val="single" w:sz="4" w:space="0" w:color="auto"/>
            </w:tcBorders>
            <w:shd w:val="clear" w:color="auto" w:fill="7030A0"/>
            <w:vAlign w:val="center"/>
          </w:tcPr>
          <w:p w:rsidR="00EF4F95" w:rsidRPr="0057674E" w:rsidRDefault="00EF4F95" w:rsidP="00EF4F95">
            <w:pPr>
              <w:jc w:val="right"/>
              <w:rPr>
                <w:rFonts w:cs="Arial"/>
                <w:b/>
                <w:bCs/>
                <w:color w:val="FFFFFF"/>
                <w:szCs w:val="22"/>
              </w:rPr>
            </w:pPr>
            <w:r w:rsidRPr="0057674E">
              <w:rPr>
                <w:rFonts w:cs="Arial"/>
                <w:b/>
                <w:bCs/>
                <w:color w:val="FFFFFF"/>
                <w:szCs w:val="22"/>
              </w:rPr>
              <w:t>2030</w:t>
            </w:r>
          </w:p>
        </w:tc>
      </w:tr>
      <w:tr w:rsidR="00EF4F95" w:rsidTr="00EF4F95">
        <w:tc>
          <w:tcPr>
            <w:tcW w:w="2511" w:type="dxa"/>
            <w:tcBorders>
              <w:top w:val="nil"/>
              <w:left w:val="single" w:sz="4" w:space="0" w:color="auto"/>
              <w:bottom w:val="nil"/>
              <w:right w:val="nil"/>
            </w:tcBorders>
            <w:shd w:val="clear" w:color="auto" w:fill="7030A0"/>
            <w:vAlign w:val="center"/>
          </w:tcPr>
          <w:p w:rsidR="00EF4F95" w:rsidRPr="0057674E" w:rsidRDefault="00EF4F95" w:rsidP="00EF4F95">
            <w:pPr>
              <w:rPr>
                <w:rFonts w:cs="Arial"/>
                <w:bCs/>
                <w:color w:val="FFFFFF"/>
                <w:szCs w:val="22"/>
              </w:rPr>
            </w:pPr>
            <w:r w:rsidRPr="0057674E">
              <w:rPr>
                <w:rFonts w:cs="Arial"/>
                <w:bCs/>
                <w:color w:val="FFFFFF"/>
                <w:szCs w:val="22"/>
              </w:rPr>
              <w:t>Supply</w:t>
            </w:r>
          </w:p>
        </w:tc>
        <w:tc>
          <w:tcPr>
            <w:tcW w:w="1293" w:type="dxa"/>
            <w:tcBorders>
              <w:top w:val="nil"/>
              <w:left w:val="nil"/>
              <w:bottom w:val="nil"/>
              <w:right w:val="nil"/>
            </w:tcBorders>
            <w:shd w:val="clear" w:color="000000" w:fill="D8D8D8"/>
            <w:vAlign w:val="center"/>
          </w:tcPr>
          <w:p w:rsidR="00EF4F95" w:rsidRPr="0057674E" w:rsidRDefault="00EF4F95" w:rsidP="00EF4F95">
            <w:pPr>
              <w:jc w:val="right"/>
              <w:rPr>
                <w:rFonts w:eastAsia="Calibri" w:cs="Arial"/>
                <w:b/>
                <w:bCs/>
                <w:color w:val="000000"/>
                <w:szCs w:val="22"/>
              </w:rPr>
            </w:pPr>
            <w:r w:rsidRPr="0057674E">
              <w:rPr>
                <w:rFonts w:eastAsia="Calibri" w:cs="Arial"/>
                <w:b/>
                <w:bCs/>
                <w:color w:val="000000"/>
                <w:szCs w:val="22"/>
              </w:rPr>
              <w:t>21,149</w:t>
            </w:r>
          </w:p>
        </w:tc>
        <w:tc>
          <w:tcPr>
            <w:tcW w:w="1293" w:type="dxa"/>
            <w:tcBorders>
              <w:top w:val="nil"/>
              <w:left w:val="nil"/>
              <w:bottom w:val="nil"/>
              <w:right w:val="nil"/>
            </w:tcBorders>
            <w:shd w:val="clear" w:color="000000" w:fill="D8D8D8"/>
            <w:vAlign w:val="center"/>
          </w:tcPr>
          <w:p w:rsidR="00EF4F95" w:rsidRPr="0057674E" w:rsidRDefault="00EF4F95" w:rsidP="00EF4F95">
            <w:pPr>
              <w:jc w:val="right"/>
              <w:rPr>
                <w:rFonts w:eastAsia="Calibri" w:cs="Arial"/>
                <w:b/>
                <w:bCs/>
                <w:color w:val="000000"/>
                <w:szCs w:val="22"/>
              </w:rPr>
            </w:pPr>
            <w:r w:rsidRPr="0057674E">
              <w:rPr>
                <w:rFonts w:eastAsia="Calibri" w:cs="Arial"/>
                <w:b/>
                <w:bCs/>
                <w:color w:val="000000"/>
                <w:szCs w:val="22"/>
              </w:rPr>
              <w:t>22,232</w:t>
            </w:r>
          </w:p>
        </w:tc>
        <w:tc>
          <w:tcPr>
            <w:tcW w:w="1293" w:type="dxa"/>
            <w:tcBorders>
              <w:top w:val="nil"/>
              <w:left w:val="nil"/>
              <w:bottom w:val="nil"/>
              <w:right w:val="nil"/>
            </w:tcBorders>
            <w:shd w:val="clear" w:color="000000" w:fill="D8D8D8"/>
            <w:vAlign w:val="center"/>
          </w:tcPr>
          <w:p w:rsidR="00EF4F95" w:rsidRPr="0057674E" w:rsidRDefault="00EF4F95" w:rsidP="00EF4F95">
            <w:pPr>
              <w:jc w:val="right"/>
              <w:rPr>
                <w:rFonts w:eastAsia="Calibri" w:cs="Arial"/>
                <w:b/>
                <w:bCs/>
                <w:color w:val="000000"/>
                <w:szCs w:val="22"/>
              </w:rPr>
            </w:pPr>
            <w:r w:rsidRPr="0057674E">
              <w:rPr>
                <w:rFonts w:eastAsia="Calibri" w:cs="Arial"/>
                <w:b/>
                <w:bCs/>
                <w:color w:val="000000"/>
                <w:szCs w:val="22"/>
              </w:rPr>
              <w:t>23,206</w:t>
            </w:r>
          </w:p>
        </w:tc>
        <w:tc>
          <w:tcPr>
            <w:tcW w:w="1293" w:type="dxa"/>
            <w:tcBorders>
              <w:top w:val="nil"/>
              <w:left w:val="nil"/>
              <w:bottom w:val="nil"/>
              <w:right w:val="nil"/>
            </w:tcBorders>
            <w:shd w:val="clear" w:color="000000" w:fill="D8D8D8"/>
            <w:vAlign w:val="center"/>
          </w:tcPr>
          <w:p w:rsidR="00EF4F95" w:rsidRPr="0057674E" w:rsidRDefault="00EF4F95" w:rsidP="00EF4F95">
            <w:pPr>
              <w:jc w:val="right"/>
              <w:rPr>
                <w:rFonts w:eastAsia="Calibri" w:cs="Arial"/>
                <w:b/>
                <w:bCs/>
                <w:color w:val="000000"/>
                <w:szCs w:val="22"/>
              </w:rPr>
            </w:pPr>
            <w:r w:rsidRPr="0057674E">
              <w:rPr>
                <w:rFonts w:eastAsia="Calibri" w:cs="Arial"/>
                <w:b/>
                <w:bCs/>
                <w:color w:val="000000"/>
                <w:szCs w:val="22"/>
              </w:rPr>
              <w:t>25,741</w:t>
            </w:r>
          </w:p>
        </w:tc>
        <w:tc>
          <w:tcPr>
            <w:tcW w:w="1293" w:type="dxa"/>
            <w:tcBorders>
              <w:top w:val="nil"/>
              <w:left w:val="nil"/>
              <w:bottom w:val="nil"/>
              <w:right w:val="single" w:sz="4" w:space="0" w:color="auto"/>
            </w:tcBorders>
            <w:shd w:val="clear" w:color="000000" w:fill="D8D8D8"/>
            <w:vAlign w:val="center"/>
          </w:tcPr>
          <w:p w:rsidR="00EF4F95" w:rsidRPr="0057674E" w:rsidRDefault="00EF4F95" w:rsidP="00EF4F95">
            <w:pPr>
              <w:jc w:val="right"/>
              <w:rPr>
                <w:rFonts w:eastAsia="Calibri" w:cs="Arial"/>
                <w:b/>
                <w:bCs/>
                <w:color w:val="000000"/>
                <w:szCs w:val="22"/>
              </w:rPr>
            </w:pPr>
            <w:r w:rsidRPr="0057674E">
              <w:rPr>
                <w:rFonts w:eastAsia="Calibri" w:cs="Arial"/>
                <w:b/>
                <w:bCs/>
                <w:color w:val="000000"/>
                <w:szCs w:val="22"/>
              </w:rPr>
              <w:t>28,205</w:t>
            </w:r>
          </w:p>
        </w:tc>
      </w:tr>
      <w:tr w:rsidR="00EF4F95" w:rsidTr="00EF4F95">
        <w:tc>
          <w:tcPr>
            <w:tcW w:w="2511" w:type="dxa"/>
            <w:tcBorders>
              <w:top w:val="nil"/>
              <w:left w:val="single" w:sz="4" w:space="0" w:color="auto"/>
              <w:bottom w:val="nil"/>
              <w:right w:val="nil"/>
            </w:tcBorders>
            <w:shd w:val="clear" w:color="auto" w:fill="7030A0"/>
            <w:vAlign w:val="center"/>
          </w:tcPr>
          <w:p w:rsidR="00EF4F95" w:rsidRPr="0057674E" w:rsidRDefault="00EF4F95" w:rsidP="00EF4F95">
            <w:pPr>
              <w:rPr>
                <w:rFonts w:cs="Arial"/>
                <w:bCs/>
                <w:color w:val="FFFFFF"/>
                <w:szCs w:val="22"/>
              </w:rPr>
            </w:pPr>
            <w:r w:rsidRPr="0057674E">
              <w:rPr>
                <w:rFonts w:cs="Arial"/>
                <w:bCs/>
                <w:color w:val="FFFFFF"/>
                <w:szCs w:val="22"/>
              </w:rPr>
              <w:t>Supply (FTE)</w:t>
            </w:r>
          </w:p>
        </w:tc>
        <w:tc>
          <w:tcPr>
            <w:tcW w:w="1293" w:type="dxa"/>
            <w:tcBorders>
              <w:top w:val="nil"/>
              <w:left w:val="nil"/>
              <w:bottom w:val="nil"/>
              <w:right w:val="nil"/>
            </w:tcBorders>
            <w:shd w:val="clear" w:color="auto" w:fill="auto"/>
            <w:vAlign w:val="center"/>
          </w:tcPr>
          <w:p w:rsidR="00EF4F95" w:rsidRPr="0057674E" w:rsidRDefault="00EF4F95" w:rsidP="00EF4F95">
            <w:pPr>
              <w:jc w:val="right"/>
              <w:rPr>
                <w:rFonts w:eastAsia="Calibri" w:cs="Arial"/>
                <w:b/>
                <w:bCs/>
                <w:color w:val="000000"/>
                <w:szCs w:val="22"/>
              </w:rPr>
            </w:pPr>
            <w:r w:rsidRPr="0057674E">
              <w:rPr>
                <w:rFonts w:eastAsia="Calibri" w:cs="Arial"/>
                <w:b/>
                <w:bCs/>
                <w:color w:val="000000"/>
                <w:szCs w:val="22"/>
              </w:rPr>
              <w:t>14,280</w:t>
            </w:r>
          </w:p>
        </w:tc>
        <w:tc>
          <w:tcPr>
            <w:tcW w:w="1293" w:type="dxa"/>
            <w:tcBorders>
              <w:top w:val="nil"/>
              <w:left w:val="nil"/>
              <w:bottom w:val="nil"/>
              <w:right w:val="nil"/>
            </w:tcBorders>
            <w:shd w:val="clear" w:color="auto" w:fill="auto"/>
            <w:vAlign w:val="center"/>
          </w:tcPr>
          <w:p w:rsidR="00EF4F95" w:rsidRPr="0057674E" w:rsidRDefault="00EF4F95" w:rsidP="00EF4F95">
            <w:pPr>
              <w:jc w:val="right"/>
              <w:rPr>
                <w:rFonts w:eastAsia="Calibri" w:cs="Arial"/>
                <w:b/>
                <w:bCs/>
                <w:color w:val="000000"/>
                <w:szCs w:val="22"/>
              </w:rPr>
            </w:pPr>
            <w:r w:rsidRPr="0057674E">
              <w:rPr>
                <w:rFonts w:eastAsia="Calibri" w:cs="Arial"/>
                <w:b/>
                <w:bCs/>
                <w:color w:val="000000"/>
                <w:szCs w:val="22"/>
              </w:rPr>
              <w:t>15,071</w:t>
            </w:r>
          </w:p>
        </w:tc>
        <w:tc>
          <w:tcPr>
            <w:tcW w:w="1293" w:type="dxa"/>
            <w:tcBorders>
              <w:top w:val="nil"/>
              <w:left w:val="nil"/>
              <w:bottom w:val="nil"/>
              <w:right w:val="nil"/>
            </w:tcBorders>
            <w:shd w:val="clear" w:color="auto" w:fill="auto"/>
            <w:vAlign w:val="center"/>
          </w:tcPr>
          <w:p w:rsidR="00EF4F95" w:rsidRPr="0057674E" w:rsidRDefault="00EF4F95" w:rsidP="00EF4F95">
            <w:pPr>
              <w:jc w:val="right"/>
              <w:rPr>
                <w:rFonts w:eastAsia="Calibri" w:cs="Arial"/>
                <w:b/>
                <w:bCs/>
                <w:color w:val="000000"/>
                <w:szCs w:val="22"/>
              </w:rPr>
            </w:pPr>
            <w:r w:rsidRPr="0057674E">
              <w:rPr>
                <w:rFonts w:eastAsia="Calibri" w:cs="Arial"/>
                <w:b/>
                <w:bCs/>
                <w:color w:val="000000"/>
                <w:szCs w:val="22"/>
              </w:rPr>
              <w:t>18,215</w:t>
            </w:r>
          </w:p>
        </w:tc>
        <w:tc>
          <w:tcPr>
            <w:tcW w:w="1293" w:type="dxa"/>
            <w:tcBorders>
              <w:top w:val="nil"/>
              <w:left w:val="nil"/>
              <w:bottom w:val="nil"/>
              <w:right w:val="nil"/>
            </w:tcBorders>
            <w:shd w:val="clear" w:color="auto" w:fill="auto"/>
            <w:vAlign w:val="center"/>
          </w:tcPr>
          <w:p w:rsidR="00EF4F95" w:rsidRPr="0057674E" w:rsidRDefault="00EF4F95" w:rsidP="00EF4F95">
            <w:pPr>
              <w:jc w:val="right"/>
              <w:rPr>
                <w:rFonts w:eastAsia="Calibri" w:cs="Arial"/>
                <w:b/>
                <w:bCs/>
                <w:color w:val="000000"/>
                <w:szCs w:val="22"/>
              </w:rPr>
            </w:pPr>
            <w:r w:rsidRPr="0057674E">
              <w:rPr>
                <w:rFonts w:eastAsia="Calibri" w:cs="Arial"/>
                <w:b/>
                <w:bCs/>
                <w:color w:val="000000"/>
                <w:szCs w:val="22"/>
              </w:rPr>
              <w:t>20,347</w:t>
            </w:r>
          </w:p>
        </w:tc>
        <w:tc>
          <w:tcPr>
            <w:tcW w:w="1293" w:type="dxa"/>
            <w:tcBorders>
              <w:top w:val="nil"/>
              <w:left w:val="nil"/>
              <w:bottom w:val="nil"/>
              <w:right w:val="single" w:sz="4" w:space="0" w:color="auto"/>
            </w:tcBorders>
            <w:shd w:val="clear" w:color="auto" w:fill="auto"/>
            <w:vAlign w:val="center"/>
          </w:tcPr>
          <w:p w:rsidR="00EF4F95" w:rsidRPr="0057674E" w:rsidRDefault="00EF4F95" w:rsidP="00EF4F95">
            <w:pPr>
              <w:jc w:val="right"/>
              <w:rPr>
                <w:rFonts w:eastAsia="Calibri" w:cs="Arial"/>
                <w:b/>
                <w:bCs/>
                <w:color w:val="000000"/>
                <w:szCs w:val="22"/>
              </w:rPr>
            </w:pPr>
            <w:r w:rsidRPr="0057674E">
              <w:rPr>
                <w:rFonts w:eastAsia="Calibri" w:cs="Arial"/>
                <w:b/>
                <w:bCs/>
                <w:color w:val="000000"/>
                <w:szCs w:val="22"/>
              </w:rPr>
              <w:t>22,395</w:t>
            </w:r>
          </w:p>
        </w:tc>
      </w:tr>
      <w:tr w:rsidR="00EF4F95" w:rsidTr="00EF4F95">
        <w:tc>
          <w:tcPr>
            <w:tcW w:w="2511" w:type="dxa"/>
            <w:tcBorders>
              <w:top w:val="nil"/>
              <w:left w:val="single" w:sz="4" w:space="0" w:color="auto"/>
              <w:bottom w:val="nil"/>
              <w:right w:val="nil"/>
            </w:tcBorders>
            <w:shd w:val="clear" w:color="auto" w:fill="7030A0"/>
            <w:vAlign w:val="center"/>
          </w:tcPr>
          <w:p w:rsidR="00EF4F95" w:rsidRPr="0057674E" w:rsidRDefault="00EF4F95" w:rsidP="00EF4F95">
            <w:pPr>
              <w:rPr>
                <w:rFonts w:cs="Arial"/>
                <w:bCs/>
                <w:i/>
                <w:iCs/>
                <w:color w:val="FFFFFF"/>
                <w:szCs w:val="22"/>
              </w:rPr>
            </w:pPr>
            <w:r w:rsidRPr="0057674E">
              <w:rPr>
                <w:rFonts w:cs="Arial"/>
                <w:bCs/>
                <w:i/>
                <w:iCs/>
                <w:color w:val="FFFFFF"/>
                <w:szCs w:val="22"/>
              </w:rPr>
              <w:t>Graduates</w:t>
            </w:r>
          </w:p>
        </w:tc>
        <w:tc>
          <w:tcPr>
            <w:tcW w:w="1293" w:type="dxa"/>
            <w:tcBorders>
              <w:top w:val="nil"/>
              <w:left w:val="nil"/>
              <w:bottom w:val="nil"/>
              <w:right w:val="nil"/>
            </w:tcBorders>
            <w:shd w:val="clear" w:color="000000" w:fill="D8D8D8"/>
            <w:vAlign w:val="center"/>
          </w:tcPr>
          <w:p w:rsidR="00EF4F95" w:rsidRPr="0057674E" w:rsidRDefault="00EF4F95" w:rsidP="00EF4F95">
            <w:pPr>
              <w:jc w:val="right"/>
              <w:rPr>
                <w:rFonts w:eastAsia="Calibri" w:cs="Arial"/>
                <w:i/>
                <w:iCs/>
                <w:color w:val="000000"/>
                <w:szCs w:val="22"/>
              </w:rPr>
            </w:pPr>
            <w:r w:rsidRPr="0057674E">
              <w:rPr>
                <w:rFonts w:eastAsia="Calibri" w:cs="Arial"/>
                <w:i/>
                <w:iCs/>
                <w:color w:val="000000"/>
                <w:szCs w:val="22"/>
              </w:rPr>
              <w:t>1,212</w:t>
            </w:r>
          </w:p>
        </w:tc>
        <w:tc>
          <w:tcPr>
            <w:tcW w:w="1293" w:type="dxa"/>
            <w:tcBorders>
              <w:top w:val="nil"/>
              <w:left w:val="nil"/>
              <w:bottom w:val="nil"/>
              <w:right w:val="nil"/>
            </w:tcBorders>
            <w:shd w:val="clear" w:color="000000" w:fill="D8D8D8"/>
            <w:vAlign w:val="center"/>
          </w:tcPr>
          <w:p w:rsidR="00EF4F95" w:rsidRPr="0057674E" w:rsidRDefault="00EF4F95" w:rsidP="00EF4F95">
            <w:pPr>
              <w:jc w:val="right"/>
              <w:rPr>
                <w:rFonts w:eastAsia="Calibri" w:cs="Arial"/>
                <w:i/>
                <w:iCs/>
                <w:color w:val="000000"/>
                <w:szCs w:val="22"/>
              </w:rPr>
            </w:pPr>
            <w:r w:rsidRPr="0057674E">
              <w:rPr>
                <w:rFonts w:eastAsia="Calibri" w:cs="Arial"/>
                <w:i/>
                <w:iCs/>
                <w:color w:val="000000"/>
                <w:szCs w:val="22"/>
              </w:rPr>
              <w:t>1,203</w:t>
            </w:r>
          </w:p>
        </w:tc>
        <w:tc>
          <w:tcPr>
            <w:tcW w:w="1293" w:type="dxa"/>
            <w:tcBorders>
              <w:top w:val="nil"/>
              <w:left w:val="nil"/>
              <w:bottom w:val="nil"/>
              <w:right w:val="nil"/>
            </w:tcBorders>
            <w:shd w:val="clear" w:color="000000" w:fill="D8D8D8"/>
            <w:vAlign w:val="center"/>
          </w:tcPr>
          <w:p w:rsidR="00EF4F95" w:rsidRPr="0057674E" w:rsidRDefault="00EF4F95" w:rsidP="00EF4F95">
            <w:pPr>
              <w:jc w:val="right"/>
              <w:rPr>
                <w:rFonts w:eastAsia="Calibri" w:cs="Arial"/>
                <w:i/>
                <w:iCs/>
                <w:color w:val="000000"/>
                <w:szCs w:val="22"/>
              </w:rPr>
            </w:pPr>
            <w:r w:rsidRPr="0057674E">
              <w:rPr>
                <w:rFonts w:eastAsia="Calibri" w:cs="Arial"/>
                <w:i/>
                <w:iCs/>
                <w:color w:val="000000"/>
                <w:szCs w:val="22"/>
              </w:rPr>
              <w:t>1,267</w:t>
            </w:r>
          </w:p>
        </w:tc>
        <w:tc>
          <w:tcPr>
            <w:tcW w:w="1293" w:type="dxa"/>
            <w:tcBorders>
              <w:top w:val="nil"/>
              <w:left w:val="nil"/>
              <w:bottom w:val="nil"/>
              <w:right w:val="nil"/>
            </w:tcBorders>
            <w:shd w:val="clear" w:color="000000" w:fill="D8D8D8"/>
            <w:vAlign w:val="center"/>
          </w:tcPr>
          <w:p w:rsidR="00EF4F95" w:rsidRPr="0057674E" w:rsidRDefault="00EF4F95" w:rsidP="00EF4F95">
            <w:pPr>
              <w:jc w:val="right"/>
              <w:rPr>
                <w:rFonts w:eastAsia="Calibri" w:cs="Arial"/>
                <w:i/>
                <w:iCs/>
                <w:color w:val="000000"/>
                <w:szCs w:val="22"/>
              </w:rPr>
            </w:pPr>
            <w:r w:rsidRPr="0057674E">
              <w:rPr>
                <w:rFonts w:eastAsia="Calibri" w:cs="Arial"/>
                <w:i/>
                <w:iCs/>
                <w:color w:val="000000"/>
                <w:szCs w:val="22"/>
              </w:rPr>
              <w:t>1,442</w:t>
            </w:r>
          </w:p>
        </w:tc>
        <w:tc>
          <w:tcPr>
            <w:tcW w:w="1293" w:type="dxa"/>
            <w:tcBorders>
              <w:top w:val="nil"/>
              <w:left w:val="nil"/>
              <w:bottom w:val="nil"/>
              <w:right w:val="single" w:sz="4" w:space="0" w:color="auto"/>
            </w:tcBorders>
            <w:shd w:val="clear" w:color="000000" w:fill="D8D8D8"/>
            <w:vAlign w:val="center"/>
          </w:tcPr>
          <w:p w:rsidR="00EF4F95" w:rsidRPr="0057674E" w:rsidRDefault="00EF4F95" w:rsidP="00EF4F95">
            <w:pPr>
              <w:jc w:val="right"/>
              <w:rPr>
                <w:rFonts w:eastAsia="Calibri" w:cs="Arial"/>
                <w:i/>
                <w:iCs/>
                <w:color w:val="000000"/>
                <w:szCs w:val="22"/>
              </w:rPr>
            </w:pPr>
            <w:r w:rsidRPr="0057674E">
              <w:rPr>
                <w:rFonts w:eastAsia="Calibri" w:cs="Arial"/>
                <w:i/>
                <w:iCs/>
                <w:color w:val="000000"/>
                <w:szCs w:val="22"/>
              </w:rPr>
              <w:t>1,600</w:t>
            </w:r>
          </w:p>
        </w:tc>
      </w:tr>
      <w:tr w:rsidR="00EF4F95" w:rsidTr="00EF4F95">
        <w:tc>
          <w:tcPr>
            <w:tcW w:w="2511" w:type="dxa"/>
            <w:tcBorders>
              <w:top w:val="nil"/>
              <w:left w:val="single" w:sz="4" w:space="0" w:color="auto"/>
              <w:bottom w:val="nil"/>
              <w:right w:val="nil"/>
            </w:tcBorders>
            <w:shd w:val="clear" w:color="auto" w:fill="7030A0"/>
            <w:vAlign w:val="center"/>
          </w:tcPr>
          <w:p w:rsidR="00EF4F95" w:rsidRPr="0057674E" w:rsidRDefault="00EF4F95" w:rsidP="00EF4F95">
            <w:pPr>
              <w:rPr>
                <w:rFonts w:cs="Arial"/>
                <w:bCs/>
                <w:i/>
                <w:iCs/>
                <w:color w:val="FFFFFF"/>
                <w:szCs w:val="22"/>
              </w:rPr>
            </w:pPr>
            <w:r w:rsidRPr="0057674E">
              <w:rPr>
                <w:rFonts w:cs="Arial"/>
                <w:bCs/>
                <w:i/>
                <w:iCs/>
                <w:color w:val="FFFFFF"/>
                <w:szCs w:val="22"/>
              </w:rPr>
              <w:t>Migrants</w:t>
            </w:r>
          </w:p>
        </w:tc>
        <w:tc>
          <w:tcPr>
            <w:tcW w:w="1293" w:type="dxa"/>
            <w:tcBorders>
              <w:top w:val="nil"/>
              <w:left w:val="nil"/>
              <w:bottom w:val="nil"/>
              <w:right w:val="nil"/>
            </w:tcBorders>
            <w:shd w:val="clear" w:color="auto" w:fill="auto"/>
            <w:vAlign w:val="center"/>
          </w:tcPr>
          <w:p w:rsidR="00EF4F95" w:rsidRPr="0057674E" w:rsidRDefault="00EF4F95" w:rsidP="00EF4F95">
            <w:pPr>
              <w:jc w:val="right"/>
              <w:rPr>
                <w:rFonts w:eastAsia="Calibri" w:cs="Arial"/>
                <w:i/>
                <w:iCs/>
                <w:color w:val="000000"/>
                <w:szCs w:val="22"/>
              </w:rPr>
            </w:pPr>
            <w:r w:rsidRPr="0057674E">
              <w:rPr>
                <w:rFonts w:eastAsia="Calibri" w:cs="Arial"/>
                <w:i/>
                <w:iCs/>
                <w:color w:val="000000"/>
                <w:szCs w:val="22"/>
              </w:rPr>
              <w:t>25</w:t>
            </w:r>
          </w:p>
        </w:tc>
        <w:tc>
          <w:tcPr>
            <w:tcW w:w="1293" w:type="dxa"/>
            <w:tcBorders>
              <w:top w:val="nil"/>
              <w:left w:val="nil"/>
              <w:bottom w:val="nil"/>
              <w:right w:val="nil"/>
            </w:tcBorders>
            <w:shd w:val="clear" w:color="auto" w:fill="auto"/>
            <w:vAlign w:val="center"/>
          </w:tcPr>
          <w:p w:rsidR="00EF4F95" w:rsidRPr="0057674E" w:rsidRDefault="00EF4F95" w:rsidP="00EF4F95">
            <w:pPr>
              <w:jc w:val="right"/>
              <w:rPr>
                <w:rFonts w:eastAsia="Calibri" w:cs="Arial"/>
                <w:i/>
                <w:iCs/>
                <w:color w:val="000000"/>
                <w:szCs w:val="22"/>
              </w:rPr>
            </w:pPr>
            <w:r w:rsidRPr="0057674E">
              <w:rPr>
                <w:rFonts w:eastAsia="Calibri" w:cs="Arial"/>
                <w:i/>
                <w:iCs/>
                <w:color w:val="000000"/>
                <w:szCs w:val="22"/>
              </w:rPr>
              <w:t>25</w:t>
            </w:r>
          </w:p>
        </w:tc>
        <w:tc>
          <w:tcPr>
            <w:tcW w:w="1293" w:type="dxa"/>
            <w:tcBorders>
              <w:top w:val="nil"/>
              <w:left w:val="nil"/>
              <w:bottom w:val="nil"/>
              <w:right w:val="nil"/>
            </w:tcBorders>
            <w:shd w:val="clear" w:color="auto" w:fill="auto"/>
            <w:vAlign w:val="center"/>
          </w:tcPr>
          <w:p w:rsidR="00EF4F95" w:rsidRPr="0057674E" w:rsidRDefault="00EF4F95" w:rsidP="00EF4F95">
            <w:pPr>
              <w:jc w:val="right"/>
              <w:rPr>
                <w:rFonts w:eastAsia="Calibri" w:cs="Arial"/>
                <w:i/>
                <w:iCs/>
                <w:color w:val="000000"/>
                <w:szCs w:val="22"/>
              </w:rPr>
            </w:pPr>
            <w:r w:rsidRPr="0057674E">
              <w:rPr>
                <w:rFonts w:eastAsia="Calibri" w:cs="Arial"/>
                <w:i/>
                <w:iCs/>
                <w:color w:val="000000"/>
                <w:szCs w:val="22"/>
              </w:rPr>
              <w:t>25</w:t>
            </w:r>
          </w:p>
        </w:tc>
        <w:tc>
          <w:tcPr>
            <w:tcW w:w="1293" w:type="dxa"/>
            <w:tcBorders>
              <w:top w:val="nil"/>
              <w:left w:val="nil"/>
              <w:bottom w:val="nil"/>
              <w:right w:val="nil"/>
            </w:tcBorders>
            <w:shd w:val="clear" w:color="auto" w:fill="auto"/>
            <w:vAlign w:val="center"/>
          </w:tcPr>
          <w:p w:rsidR="00EF4F95" w:rsidRPr="0057674E" w:rsidRDefault="00EF4F95" w:rsidP="00EF4F95">
            <w:pPr>
              <w:jc w:val="right"/>
              <w:rPr>
                <w:rFonts w:eastAsia="Calibri" w:cs="Arial"/>
                <w:i/>
                <w:iCs/>
                <w:color w:val="000000"/>
                <w:szCs w:val="22"/>
              </w:rPr>
            </w:pPr>
            <w:r w:rsidRPr="0057674E">
              <w:rPr>
                <w:rFonts w:eastAsia="Calibri" w:cs="Arial"/>
                <w:i/>
                <w:iCs/>
                <w:color w:val="000000"/>
                <w:szCs w:val="22"/>
              </w:rPr>
              <w:t>25</w:t>
            </w:r>
          </w:p>
        </w:tc>
        <w:tc>
          <w:tcPr>
            <w:tcW w:w="1293" w:type="dxa"/>
            <w:tcBorders>
              <w:top w:val="nil"/>
              <w:left w:val="nil"/>
              <w:bottom w:val="nil"/>
              <w:right w:val="single" w:sz="4" w:space="0" w:color="auto"/>
            </w:tcBorders>
            <w:shd w:val="clear" w:color="auto" w:fill="auto"/>
            <w:vAlign w:val="center"/>
          </w:tcPr>
          <w:p w:rsidR="00EF4F95" w:rsidRPr="0057674E" w:rsidRDefault="00EF4F95" w:rsidP="00EF4F95">
            <w:pPr>
              <w:jc w:val="right"/>
              <w:rPr>
                <w:rFonts w:eastAsia="Calibri" w:cs="Arial"/>
                <w:i/>
                <w:iCs/>
                <w:color w:val="000000"/>
                <w:szCs w:val="22"/>
              </w:rPr>
            </w:pPr>
            <w:r w:rsidRPr="0057674E">
              <w:rPr>
                <w:rFonts w:eastAsia="Calibri" w:cs="Arial"/>
                <w:i/>
                <w:iCs/>
                <w:color w:val="000000"/>
                <w:szCs w:val="22"/>
              </w:rPr>
              <w:t>25</w:t>
            </w:r>
          </w:p>
        </w:tc>
      </w:tr>
      <w:tr w:rsidR="00EF4F95" w:rsidTr="00EF4F95">
        <w:tc>
          <w:tcPr>
            <w:tcW w:w="2511" w:type="dxa"/>
            <w:tcBorders>
              <w:top w:val="nil"/>
              <w:left w:val="single" w:sz="4" w:space="0" w:color="auto"/>
              <w:bottom w:val="nil"/>
              <w:right w:val="nil"/>
            </w:tcBorders>
            <w:shd w:val="clear" w:color="auto" w:fill="7030A0"/>
            <w:vAlign w:val="center"/>
          </w:tcPr>
          <w:p w:rsidR="00EF4F95" w:rsidRPr="0057674E" w:rsidRDefault="00EF4F95" w:rsidP="00EF4F95">
            <w:pPr>
              <w:rPr>
                <w:rFonts w:cs="Arial"/>
                <w:bCs/>
                <w:i/>
                <w:iCs/>
                <w:color w:val="FFFFFF"/>
                <w:szCs w:val="22"/>
              </w:rPr>
            </w:pPr>
            <w:r w:rsidRPr="0057674E">
              <w:rPr>
                <w:rFonts w:cs="Arial"/>
                <w:bCs/>
                <w:i/>
                <w:iCs/>
                <w:color w:val="FFFFFF"/>
                <w:szCs w:val="22"/>
              </w:rPr>
              <w:t>Exits (% of supply)</w:t>
            </w:r>
          </w:p>
        </w:tc>
        <w:tc>
          <w:tcPr>
            <w:tcW w:w="1293" w:type="dxa"/>
            <w:tcBorders>
              <w:top w:val="nil"/>
              <w:left w:val="nil"/>
              <w:bottom w:val="nil"/>
              <w:right w:val="nil"/>
            </w:tcBorders>
            <w:shd w:val="clear" w:color="000000" w:fill="D8D8D8"/>
            <w:vAlign w:val="center"/>
          </w:tcPr>
          <w:p w:rsidR="00EF4F95" w:rsidRPr="0057674E" w:rsidRDefault="00EF4F95" w:rsidP="00EF4F95">
            <w:pPr>
              <w:jc w:val="right"/>
              <w:rPr>
                <w:rFonts w:eastAsia="Calibri" w:cs="Arial"/>
                <w:i/>
                <w:iCs/>
                <w:color w:val="000000"/>
                <w:szCs w:val="22"/>
              </w:rPr>
            </w:pPr>
            <w:r w:rsidRPr="0057674E">
              <w:rPr>
                <w:rFonts w:eastAsia="Calibri" w:cs="Arial"/>
                <w:i/>
                <w:iCs/>
                <w:color w:val="000000"/>
                <w:szCs w:val="22"/>
              </w:rPr>
              <w:t>3.07%</w:t>
            </w:r>
          </w:p>
        </w:tc>
        <w:tc>
          <w:tcPr>
            <w:tcW w:w="1293" w:type="dxa"/>
            <w:tcBorders>
              <w:top w:val="nil"/>
              <w:left w:val="nil"/>
              <w:bottom w:val="nil"/>
              <w:right w:val="nil"/>
            </w:tcBorders>
            <w:shd w:val="clear" w:color="000000" w:fill="D8D8D8"/>
            <w:vAlign w:val="center"/>
          </w:tcPr>
          <w:p w:rsidR="00EF4F95" w:rsidRPr="0057674E" w:rsidRDefault="00EF4F95" w:rsidP="00EF4F95">
            <w:pPr>
              <w:jc w:val="right"/>
              <w:rPr>
                <w:rFonts w:eastAsia="Calibri" w:cs="Arial"/>
                <w:i/>
                <w:iCs/>
                <w:color w:val="000000"/>
                <w:szCs w:val="22"/>
              </w:rPr>
            </w:pPr>
            <w:r w:rsidRPr="0057674E">
              <w:rPr>
                <w:rFonts w:eastAsia="Calibri" w:cs="Arial"/>
                <w:i/>
                <w:iCs/>
                <w:color w:val="000000"/>
                <w:szCs w:val="22"/>
              </w:rPr>
              <w:t>3.32%</w:t>
            </w:r>
          </w:p>
        </w:tc>
        <w:tc>
          <w:tcPr>
            <w:tcW w:w="1293" w:type="dxa"/>
            <w:tcBorders>
              <w:top w:val="nil"/>
              <w:left w:val="nil"/>
              <w:bottom w:val="nil"/>
              <w:right w:val="nil"/>
            </w:tcBorders>
            <w:shd w:val="clear" w:color="000000" w:fill="D8D8D8"/>
            <w:vAlign w:val="center"/>
          </w:tcPr>
          <w:p w:rsidR="00EF4F95" w:rsidRPr="0057674E" w:rsidRDefault="00EF4F95" w:rsidP="00EF4F95">
            <w:pPr>
              <w:jc w:val="right"/>
              <w:rPr>
                <w:rFonts w:eastAsia="Calibri" w:cs="Arial"/>
                <w:i/>
                <w:iCs/>
                <w:color w:val="000000"/>
                <w:szCs w:val="22"/>
              </w:rPr>
            </w:pPr>
            <w:r w:rsidRPr="0057674E">
              <w:rPr>
                <w:rFonts w:eastAsia="Calibri" w:cs="Arial"/>
                <w:i/>
                <w:iCs/>
                <w:color w:val="000000"/>
                <w:szCs w:val="22"/>
              </w:rPr>
              <w:t>3.47%</w:t>
            </w:r>
          </w:p>
        </w:tc>
        <w:tc>
          <w:tcPr>
            <w:tcW w:w="1293" w:type="dxa"/>
            <w:tcBorders>
              <w:top w:val="nil"/>
              <w:left w:val="nil"/>
              <w:bottom w:val="nil"/>
              <w:right w:val="nil"/>
            </w:tcBorders>
            <w:shd w:val="clear" w:color="000000" w:fill="D8D8D8"/>
            <w:vAlign w:val="center"/>
          </w:tcPr>
          <w:p w:rsidR="00EF4F95" w:rsidRPr="0057674E" w:rsidRDefault="00EF4F95" w:rsidP="00EF4F95">
            <w:pPr>
              <w:jc w:val="right"/>
              <w:rPr>
                <w:rFonts w:eastAsia="Calibri" w:cs="Arial"/>
                <w:i/>
                <w:iCs/>
                <w:color w:val="000000"/>
                <w:szCs w:val="22"/>
              </w:rPr>
            </w:pPr>
            <w:r w:rsidRPr="0057674E">
              <w:rPr>
                <w:rFonts w:eastAsia="Calibri" w:cs="Arial"/>
                <w:i/>
                <w:iCs/>
                <w:color w:val="000000"/>
                <w:szCs w:val="22"/>
              </w:rPr>
              <w:t>3.51%</w:t>
            </w:r>
          </w:p>
        </w:tc>
        <w:tc>
          <w:tcPr>
            <w:tcW w:w="1293" w:type="dxa"/>
            <w:tcBorders>
              <w:top w:val="nil"/>
              <w:left w:val="nil"/>
              <w:bottom w:val="nil"/>
              <w:right w:val="single" w:sz="4" w:space="0" w:color="auto"/>
            </w:tcBorders>
            <w:shd w:val="clear" w:color="000000" w:fill="D8D8D8"/>
            <w:vAlign w:val="center"/>
          </w:tcPr>
          <w:p w:rsidR="00EF4F95" w:rsidRPr="0057674E" w:rsidRDefault="00EF4F95" w:rsidP="00EF4F95">
            <w:pPr>
              <w:jc w:val="right"/>
              <w:rPr>
                <w:rFonts w:eastAsia="Calibri" w:cs="Arial"/>
                <w:i/>
                <w:iCs/>
                <w:color w:val="000000"/>
                <w:szCs w:val="22"/>
              </w:rPr>
            </w:pPr>
            <w:r w:rsidRPr="0057674E">
              <w:rPr>
                <w:rFonts w:eastAsia="Calibri" w:cs="Arial"/>
                <w:i/>
                <w:iCs/>
                <w:color w:val="000000"/>
                <w:szCs w:val="22"/>
              </w:rPr>
              <w:t>3.24%</w:t>
            </w:r>
          </w:p>
        </w:tc>
      </w:tr>
      <w:tr w:rsidR="00EF4F95" w:rsidTr="00EF4F95">
        <w:tc>
          <w:tcPr>
            <w:tcW w:w="2511" w:type="dxa"/>
            <w:tcBorders>
              <w:top w:val="nil"/>
              <w:left w:val="single" w:sz="4" w:space="0" w:color="auto"/>
              <w:bottom w:val="nil"/>
              <w:right w:val="nil"/>
            </w:tcBorders>
            <w:shd w:val="clear" w:color="auto" w:fill="7030A0"/>
            <w:vAlign w:val="center"/>
          </w:tcPr>
          <w:p w:rsidR="00EF4F95" w:rsidRPr="0057674E" w:rsidRDefault="00EF4F95" w:rsidP="00EF4F95">
            <w:pPr>
              <w:rPr>
                <w:rFonts w:cs="Arial"/>
                <w:bCs/>
                <w:color w:val="FFFFFF"/>
                <w:szCs w:val="22"/>
              </w:rPr>
            </w:pPr>
            <w:r w:rsidRPr="0057674E">
              <w:rPr>
                <w:rFonts w:cs="Arial"/>
                <w:bCs/>
                <w:color w:val="FFFFFF"/>
                <w:szCs w:val="22"/>
              </w:rPr>
              <w:t>Demand</w:t>
            </w:r>
          </w:p>
        </w:tc>
        <w:tc>
          <w:tcPr>
            <w:tcW w:w="1293" w:type="dxa"/>
            <w:tcBorders>
              <w:top w:val="nil"/>
              <w:left w:val="nil"/>
              <w:bottom w:val="nil"/>
              <w:right w:val="nil"/>
            </w:tcBorders>
            <w:shd w:val="clear" w:color="auto" w:fill="auto"/>
            <w:vAlign w:val="center"/>
          </w:tcPr>
          <w:p w:rsidR="00EF4F95" w:rsidRPr="0057674E" w:rsidRDefault="00EF4F95" w:rsidP="00EF4F95">
            <w:pPr>
              <w:jc w:val="right"/>
              <w:rPr>
                <w:rFonts w:eastAsia="Calibri" w:cs="Arial"/>
                <w:b/>
                <w:bCs/>
                <w:color w:val="000000"/>
                <w:szCs w:val="22"/>
              </w:rPr>
            </w:pPr>
            <w:r w:rsidRPr="0057674E">
              <w:rPr>
                <w:rFonts w:eastAsia="Calibri" w:cs="Arial"/>
                <w:b/>
                <w:bCs/>
                <w:color w:val="000000"/>
                <w:szCs w:val="22"/>
              </w:rPr>
              <w:t>21,149</w:t>
            </w:r>
          </w:p>
        </w:tc>
        <w:tc>
          <w:tcPr>
            <w:tcW w:w="1293" w:type="dxa"/>
            <w:tcBorders>
              <w:top w:val="nil"/>
              <w:left w:val="nil"/>
              <w:bottom w:val="nil"/>
              <w:right w:val="nil"/>
            </w:tcBorders>
            <w:shd w:val="clear" w:color="auto" w:fill="auto"/>
            <w:vAlign w:val="center"/>
          </w:tcPr>
          <w:p w:rsidR="00EF4F95" w:rsidRPr="0057674E" w:rsidRDefault="00EF4F95" w:rsidP="00EF4F95">
            <w:pPr>
              <w:jc w:val="right"/>
              <w:rPr>
                <w:rFonts w:eastAsia="Calibri" w:cs="Arial"/>
                <w:b/>
                <w:bCs/>
                <w:color w:val="000000"/>
                <w:szCs w:val="22"/>
              </w:rPr>
            </w:pPr>
            <w:r w:rsidRPr="0057674E">
              <w:rPr>
                <w:rFonts w:eastAsia="Calibri" w:cs="Arial"/>
                <w:b/>
                <w:bCs/>
                <w:color w:val="000000"/>
                <w:szCs w:val="22"/>
              </w:rPr>
              <w:t>22,119</w:t>
            </w:r>
          </w:p>
        </w:tc>
        <w:tc>
          <w:tcPr>
            <w:tcW w:w="1293" w:type="dxa"/>
            <w:tcBorders>
              <w:top w:val="nil"/>
              <w:left w:val="nil"/>
              <w:bottom w:val="nil"/>
              <w:right w:val="nil"/>
            </w:tcBorders>
            <w:shd w:val="clear" w:color="auto" w:fill="auto"/>
            <w:vAlign w:val="center"/>
          </w:tcPr>
          <w:p w:rsidR="00EF4F95" w:rsidRPr="0057674E" w:rsidRDefault="00EF4F95" w:rsidP="00EF4F95">
            <w:pPr>
              <w:jc w:val="right"/>
              <w:rPr>
                <w:rFonts w:eastAsia="Calibri" w:cs="Arial"/>
                <w:b/>
                <w:bCs/>
                <w:color w:val="000000"/>
                <w:szCs w:val="22"/>
              </w:rPr>
            </w:pPr>
            <w:r w:rsidRPr="0057674E">
              <w:rPr>
                <w:rFonts w:eastAsia="Calibri" w:cs="Arial"/>
                <w:b/>
                <w:bCs/>
                <w:color w:val="000000"/>
                <w:szCs w:val="22"/>
              </w:rPr>
              <w:t>20,012</w:t>
            </w:r>
          </w:p>
        </w:tc>
        <w:tc>
          <w:tcPr>
            <w:tcW w:w="1293" w:type="dxa"/>
            <w:tcBorders>
              <w:top w:val="nil"/>
              <w:left w:val="nil"/>
              <w:bottom w:val="nil"/>
              <w:right w:val="nil"/>
            </w:tcBorders>
            <w:shd w:val="clear" w:color="auto" w:fill="auto"/>
            <w:vAlign w:val="center"/>
          </w:tcPr>
          <w:p w:rsidR="00EF4F95" w:rsidRPr="0057674E" w:rsidRDefault="00EF4F95" w:rsidP="00EF4F95">
            <w:pPr>
              <w:jc w:val="right"/>
              <w:rPr>
                <w:rFonts w:eastAsia="Calibri" w:cs="Arial"/>
                <w:b/>
                <w:bCs/>
                <w:color w:val="000000"/>
                <w:szCs w:val="22"/>
              </w:rPr>
            </w:pPr>
            <w:r w:rsidRPr="0057674E">
              <w:rPr>
                <w:rFonts w:eastAsia="Calibri" w:cs="Arial"/>
                <w:b/>
                <w:bCs/>
                <w:color w:val="000000"/>
                <w:szCs w:val="22"/>
              </w:rPr>
              <w:t>22,130</w:t>
            </w:r>
          </w:p>
        </w:tc>
        <w:tc>
          <w:tcPr>
            <w:tcW w:w="1293" w:type="dxa"/>
            <w:tcBorders>
              <w:top w:val="nil"/>
              <w:left w:val="nil"/>
              <w:bottom w:val="nil"/>
              <w:right w:val="single" w:sz="4" w:space="0" w:color="auto"/>
            </w:tcBorders>
            <w:shd w:val="clear" w:color="auto" w:fill="auto"/>
            <w:vAlign w:val="center"/>
          </w:tcPr>
          <w:p w:rsidR="00EF4F95" w:rsidRPr="0057674E" w:rsidRDefault="00EF4F95" w:rsidP="00EF4F95">
            <w:pPr>
              <w:jc w:val="right"/>
              <w:rPr>
                <w:rFonts w:eastAsia="Calibri" w:cs="Arial"/>
                <w:b/>
                <w:bCs/>
                <w:color w:val="000000"/>
                <w:szCs w:val="22"/>
              </w:rPr>
            </w:pPr>
            <w:r w:rsidRPr="0057674E">
              <w:rPr>
                <w:rFonts w:eastAsia="Calibri" w:cs="Arial"/>
                <w:b/>
                <w:bCs/>
                <w:color w:val="000000"/>
                <w:szCs w:val="22"/>
              </w:rPr>
              <w:t>23,830</w:t>
            </w:r>
          </w:p>
        </w:tc>
      </w:tr>
      <w:tr w:rsidR="00EF4F95" w:rsidTr="00EF4F95">
        <w:tc>
          <w:tcPr>
            <w:tcW w:w="2511" w:type="dxa"/>
            <w:tcBorders>
              <w:top w:val="nil"/>
              <w:left w:val="single" w:sz="4" w:space="0" w:color="auto"/>
              <w:bottom w:val="nil"/>
              <w:right w:val="nil"/>
            </w:tcBorders>
            <w:shd w:val="clear" w:color="auto" w:fill="7030A0"/>
            <w:vAlign w:val="center"/>
          </w:tcPr>
          <w:p w:rsidR="00EF4F95" w:rsidRPr="0057674E" w:rsidRDefault="00EF4F95" w:rsidP="00EF4F95">
            <w:pPr>
              <w:rPr>
                <w:rFonts w:cs="Arial"/>
                <w:bCs/>
                <w:color w:val="FFFFFF"/>
                <w:szCs w:val="22"/>
              </w:rPr>
            </w:pPr>
            <w:r w:rsidRPr="0057674E">
              <w:rPr>
                <w:rFonts w:cs="Arial"/>
                <w:bCs/>
                <w:color w:val="FFFFFF"/>
                <w:szCs w:val="22"/>
              </w:rPr>
              <w:t>Demand (FTE)</w:t>
            </w:r>
          </w:p>
        </w:tc>
        <w:tc>
          <w:tcPr>
            <w:tcW w:w="1293" w:type="dxa"/>
            <w:tcBorders>
              <w:top w:val="nil"/>
              <w:left w:val="nil"/>
              <w:bottom w:val="nil"/>
              <w:right w:val="nil"/>
            </w:tcBorders>
            <w:shd w:val="clear" w:color="000000" w:fill="D8D8D8"/>
            <w:vAlign w:val="center"/>
          </w:tcPr>
          <w:p w:rsidR="00EF4F95" w:rsidRPr="0057674E" w:rsidRDefault="00EF4F95" w:rsidP="00EF4F95">
            <w:pPr>
              <w:jc w:val="right"/>
              <w:rPr>
                <w:rFonts w:eastAsia="Calibri" w:cs="Arial"/>
                <w:b/>
                <w:bCs/>
                <w:color w:val="000000"/>
                <w:szCs w:val="22"/>
              </w:rPr>
            </w:pPr>
            <w:r w:rsidRPr="0057674E">
              <w:rPr>
                <w:rFonts w:eastAsia="Calibri" w:cs="Arial"/>
                <w:b/>
                <w:bCs/>
                <w:color w:val="000000"/>
                <w:szCs w:val="22"/>
              </w:rPr>
              <w:t>14,280</w:t>
            </w:r>
          </w:p>
        </w:tc>
        <w:tc>
          <w:tcPr>
            <w:tcW w:w="1293" w:type="dxa"/>
            <w:tcBorders>
              <w:top w:val="nil"/>
              <w:left w:val="nil"/>
              <w:bottom w:val="nil"/>
              <w:right w:val="nil"/>
            </w:tcBorders>
            <w:shd w:val="clear" w:color="000000" w:fill="D8D8D8"/>
            <w:vAlign w:val="center"/>
          </w:tcPr>
          <w:p w:rsidR="00EF4F95" w:rsidRPr="0057674E" w:rsidRDefault="00EF4F95" w:rsidP="00EF4F95">
            <w:pPr>
              <w:jc w:val="right"/>
              <w:rPr>
                <w:rFonts w:eastAsia="Calibri" w:cs="Arial"/>
                <w:b/>
                <w:bCs/>
                <w:color w:val="000000"/>
                <w:szCs w:val="22"/>
              </w:rPr>
            </w:pPr>
            <w:r w:rsidRPr="0057674E">
              <w:rPr>
                <w:rFonts w:eastAsia="Calibri" w:cs="Arial"/>
                <w:b/>
                <w:bCs/>
                <w:color w:val="000000"/>
                <w:szCs w:val="22"/>
              </w:rPr>
              <w:t>14,994</w:t>
            </w:r>
          </w:p>
        </w:tc>
        <w:tc>
          <w:tcPr>
            <w:tcW w:w="1293" w:type="dxa"/>
            <w:tcBorders>
              <w:top w:val="nil"/>
              <w:left w:val="nil"/>
              <w:bottom w:val="nil"/>
              <w:right w:val="nil"/>
            </w:tcBorders>
            <w:shd w:val="clear" w:color="000000" w:fill="D8D8D8"/>
            <w:vAlign w:val="center"/>
          </w:tcPr>
          <w:p w:rsidR="00EF4F95" w:rsidRPr="0057674E" w:rsidRDefault="00EF4F95" w:rsidP="00EF4F95">
            <w:pPr>
              <w:jc w:val="right"/>
              <w:rPr>
                <w:rFonts w:eastAsia="Calibri" w:cs="Arial"/>
                <w:b/>
                <w:bCs/>
                <w:color w:val="000000"/>
                <w:szCs w:val="22"/>
              </w:rPr>
            </w:pPr>
            <w:r w:rsidRPr="0057674E">
              <w:rPr>
                <w:rFonts w:eastAsia="Calibri" w:cs="Arial"/>
                <w:b/>
                <w:bCs/>
                <w:color w:val="000000"/>
                <w:szCs w:val="22"/>
              </w:rPr>
              <w:t>15,708</w:t>
            </w:r>
          </w:p>
        </w:tc>
        <w:tc>
          <w:tcPr>
            <w:tcW w:w="1293" w:type="dxa"/>
            <w:tcBorders>
              <w:top w:val="nil"/>
              <w:left w:val="nil"/>
              <w:bottom w:val="nil"/>
              <w:right w:val="nil"/>
            </w:tcBorders>
            <w:shd w:val="clear" w:color="000000" w:fill="D8D8D8"/>
            <w:vAlign w:val="center"/>
          </w:tcPr>
          <w:p w:rsidR="00EF4F95" w:rsidRPr="0057674E" w:rsidRDefault="00EF4F95" w:rsidP="00EF4F95">
            <w:pPr>
              <w:jc w:val="right"/>
              <w:rPr>
                <w:rFonts w:eastAsia="Calibri" w:cs="Arial"/>
                <w:b/>
                <w:bCs/>
                <w:color w:val="000000"/>
                <w:szCs w:val="22"/>
              </w:rPr>
            </w:pPr>
            <w:r w:rsidRPr="0057674E">
              <w:rPr>
                <w:rFonts w:eastAsia="Calibri" w:cs="Arial"/>
                <w:b/>
                <w:bCs/>
                <w:color w:val="000000"/>
                <w:szCs w:val="22"/>
              </w:rPr>
              <w:t>17,493</w:t>
            </w:r>
          </w:p>
        </w:tc>
        <w:tc>
          <w:tcPr>
            <w:tcW w:w="1293" w:type="dxa"/>
            <w:tcBorders>
              <w:top w:val="nil"/>
              <w:left w:val="nil"/>
              <w:bottom w:val="nil"/>
              <w:right w:val="single" w:sz="4" w:space="0" w:color="auto"/>
            </w:tcBorders>
            <w:shd w:val="clear" w:color="000000" w:fill="D8D8D8"/>
            <w:vAlign w:val="center"/>
          </w:tcPr>
          <w:p w:rsidR="00EF4F95" w:rsidRPr="0057674E" w:rsidRDefault="00EF4F95" w:rsidP="00EF4F95">
            <w:pPr>
              <w:jc w:val="right"/>
              <w:rPr>
                <w:rFonts w:eastAsia="Calibri" w:cs="Arial"/>
                <w:b/>
                <w:bCs/>
                <w:color w:val="000000"/>
                <w:szCs w:val="22"/>
              </w:rPr>
            </w:pPr>
            <w:r w:rsidRPr="0057674E">
              <w:rPr>
                <w:rFonts w:eastAsia="Calibri" w:cs="Arial"/>
                <w:b/>
                <w:bCs/>
                <w:color w:val="000000"/>
                <w:szCs w:val="22"/>
              </w:rPr>
              <w:t>18,921</w:t>
            </w:r>
          </w:p>
        </w:tc>
      </w:tr>
      <w:tr w:rsidR="00EF4F95" w:rsidTr="00EF4F95">
        <w:tc>
          <w:tcPr>
            <w:tcW w:w="2511" w:type="dxa"/>
            <w:tcBorders>
              <w:top w:val="nil"/>
              <w:left w:val="single" w:sz="4" w:space="0" w:color="auto"/>
              <w:bottom w:val="nil"/>
              <w:right w:val="nil"/>
            </w:tcBorders>
            <w:shd w:val="clear" w:color="auto" w:fill="7030A0"/>
            <w:vAlign w:val="center"/>
          </w:tcPr>
          <w:p w:rsidR="00EF4F95" w:rsidRPr="0057674E" w:rsidRDefault="00EF4F95" w:rsidP="00EF4F95">
            <w:pPr>
              <w:rPr>
                <w:rFonts w:cs="Arial"/>
                <w:bCs/>
                <w:color w:val="FFFFFF"/>
                <w:szCs w:val="22"/>
              </w:rPr>
            </w:pPr>
            <w:r w:rsidRPr="0057674E">
              <w:rPr>
                <w:rFonts w:cs="Arial"/>
                <w:bCs/>
                <w:color w:val="FFFFFF"/>
                <w:szCs w:val="22"/>
              </w:rPr>
              <w:t>Excess/Shortfall</w:t>
            </w:r>
          </w:p>
        </w:tc>
        <w:tc>
          <w:tcPr>
            <w:tcW w:w="1293" w:type="dxa"/>
            <w:tcBorders>
              <w:top w:val="nil"/>
              <w:left w:val="nil"/>
              <w:bottom w:val="nil"/>
              <w:right w:val="nil"/>
            </w:tcBorders>
            <w:shd w:val="clear" w:color="000000" w:fill="00B050"/>
            <w:vAlign w:val="center"/>
          </w:tcPr>
          <w:p w:rsidR="00EF4F95" w:rsidRPr="0057674E" w:rsidRDefault="00EF4F95" w:rsidP="00EF4F95">
            <w:pPr>
              <w:jc w:val="right"/>
              <w:rPr>
                <w:rFonts w:eastAsia="Calibri" w:cs="Arial"/>
                <w:b/>
                <w:bCs/>
                <w:color w:val="000000"/>
                <w:szCs w:val="22"/>
              </w:rPr>
            </w:pPr>
            <w:r w:rsidRPr="0057674E">
              <w:rPr>
                <w:rFonts w:eastAsia="Calibri" w:cs="Arial"/>
                <w:b/>
                <w:bCs/>
                <w:color w:val="000000"/>
                <w:szCs w:val="22"/>
              </w:rPr>
              <w:t>0</w:t>
            </w:r>
          </w:p>
        </w:tc>
        <w:tc>
          <w:tcPr>
            <w:tcW w:w="1293" w:type="dxa"/>
            <w:tcBorders>
              <w:top w:val="nil"/>
              <w:left w:val="nil"/>
              <w:bottom w:val="nil"/>
              <w:right w:val="nil"/>
            </w:tcBorders>
            <w:shd w:val="clear" w:color="auto" w:fill="FFFF00"/>
            <w:vAlign w:val="center"/>
          </w:tcPr>
          <w:p w:rsidR="00EF4F95" w:rsidRPr="0057674E" w:rsidRDefault="00EF4F95" w:rsidP="00EF4F95">
            <w:pPr>
              <w:jc w:val="right"/>
              <w:rPr>
                <w:rFonts w:eastAsia="Calibri" w:cs="Arial"/>
                <w:b/>
                <w:bCs/>
                <w:color w:val="000000"/>
                <w:szCs w:val="22"/>
              </w:rPr>
            </w:pPr>
            <w:r w:rsidRPr="0057674E">
              <w:rPr>
                <w:rFonts w:eastAsia="Calibri" w:cs="Arial"/>
                <w:b/>
                <w:bCs/>
                <w:color w:val="000000"/>
                <w:szCs w:val="22"/>
              </w:rPr>
              <w:t>113</w:t>
            </w:r>
          </w:p>
        </w:tc>
        <w:tc>
          <w:tcPr>
            <w:tcW w:w="1293" w:type="dxa"/>
            <w:tcBorders>
              <w:top w:val="nil"/>
              <w:left w:val="nil"/>
              <w:bottom w:val="nil"/>
              <w:right w:val="nil"/>
            </w:tcBorders>
            <w:shd w:val="clear" w:color="auto" w:fill="00B050"/>
            <w:vAlign w:val="center"/>
          </w:tcPr>
          <w:p w:rsidR="00EF4F95" w:rsidRPr="0057674E" w:rsidRDefault="00EF4F95" w:rsidP="00EF4F95">
            <w:pPr>
              <w:jc w:val="right"/>
              <w:rPr>
                <w:rFonts w:eastAsia="Calibri" w:cs="Arial"/>
                <w:b/>
                <w:bCs/>
                <w:color w:val="000000"/>
                <w:szCs w:val="22"/>
              </w:rPr>
            </w:pPr>
            <w:r w:rsidRPr="0057674E">
              <w:rPr>
                <w:rFonts w:eastAsia="Calibri" w:cs="Arial"/>
                <w:b/>
                <w:bCs/>
                <w:color w:val="000000"/>
                <w:szCs w:val="22"/>
              </w:rPr>
              <w:t>3,194</w:t>
            </w:r>
          </w:p>
        </w:tc>
        <w:tc>
          <w:tcPr>
            <w:tcW w:w="1293" w:type="dxa"/>
            <w:tcBorders>
              <w:top w:val="nil"/>
              <w:left w:val="nil"/>
              <w:bottom w:val="nil"/>
              <w:right w:val="nil"/>
            </w:tcBorders>
            <w:shd w:val="clear" w:color="auto" w:fill="00B050"/>
            <w:vAlign w:val="center"/>
          </w:tcPr>
          <w:p w:rsidR="00EF4F95" w:rsidRPr="0057674E" w:rsidRDefault="00EF4F95" w:rsidP="00EF4F95">
            <w:pPr>
              <w:jc w:val="right"/>
              <w:rPr>
                <w:rFonts w:eastAsia="Calibri" w:cs="Arial"/>
                <w:b/>
                <w:bCs/>
                <w:color w:val="000000"/>
                <w:szCs w:val="22"/>
              </w:rPr>
            </w:pPr>
            <w:r w:rsidRPr="0057674E">
              <w:rPr>
                <w:rFonts w:eastAsia="Calibri" w:cs="Arial"/>
                <w:b/>
                <w:bCs/>
                <w:color w:val="000000"/>
                <w:szCs w:val="22"/>
              </w:rPr>
              <w:t>3,611</w:t>
            </w:r>
          </w:p>
        </w:tc>
        <w:tc>
          <w:tcPr>
            <w:tcW w:w="1293" w:type="dxa"/>
            <w:tcBorders>
              <w:top w:val="nil"/>
              <w:left w:val="nil"/>
              <w:bottom w:val="nil"/>
              <w:right w:val="single" w:sz="4" w:space="0" w:color="auto"/>
            </w:tcBorders>
            <w:shd w:val="clear" w:color="auto" w:fill="00B050"/>
            <w:vAlign w:val="center"/>
          </w:tcPr>
          <w:p w:rsidR="00EF4F95" w:rsidRPr="0057674E" w:rsidRDefault="00EF4F95" w:rsidP="00EF4F95">
            <w:pPr>
              <w:jc w:val="right"/>
              <w:rPr>
                <w:rFonts w:eastAsia="Calibri" w:cs="Arial"/>
                <w:b/>
                <w:bCs/>
                <w:color w:val="000000"/>
                <w:szCs w:val="22"/>
              </w:rPr>
            </w:pPr>
            <w:r w:rsidRPr="0057674E">
              <w:rPr>
                <w:rFonts w:eastAsia="Calibri" w:cs="Arial"/>
                <w:b/>
                <w:bCs/>
                <w:color w:val="000000"/>
                <w:szCs w:val="22"/>
              </w:rPr>
              <w:t>4,376</w:t>
            </w:r>
          </w:p>
        </w:tc>
      </w:tr>
      <w:tr w:rsidR="00EF4F95" w:rsidTr="00EF4F95">
        <w:tc>
          <w:tcPr>
            <w:tcW w:w="2511" w:type="dxa"/>
            <w:tcBorders>
              <w:top w:val="nil"/>
              <w:left w:val="single" w:sz="4" w:space="0" w:color="auto"/>
              <w:bottom w:val="single" w:sz="4" w:space="0" w:color="auto"/>
              <w:right w:val="nil"/>
            </w:tcBorders>
            <w:shd w:val="clear" w:color="auto" w:fill="7030A0"/>
            <w:vAlign w:val="center"/>
          </w:tcPr>
          <w:p w:rsidR="00EF4F95" w:rsidRPr="0057674E" w:rsidRDefault="00EF4F95" w:rsidP="00EF4F95">
            <w:pPr>
              <w:rPr>
                <w:rFonts w:cs="Arial"/>
                <w:bCs/>
                <w:color w:val="FFFFFF"/>
                <w:szCs w:val="22"/>
              </w:rPr>
            </w:pPr>
            <w:r w:rsidRPr="0057674E">
              <w:rPr>
                <w:rFonts w:cs="Arial"/>
                <w:bCs/>
                <w:color w:val="FFFFFF"/>
                <w:szCs w:val="22"/>
              </w:rPr>
              <w:t>Excess/Shortfall (FTE)</w:t>
            </w:r>
          </w:p>
        </w:tc>
        <w:tc>
          <w:tcPr>
            <w:tcW w:w="1293" w:type="dxa"/>
            <w:tcBorders>
              <w:top w:val="nil"/>
              <w:left w:val="nil"/>
              <w:bottom w:val="single" w:sz="4" w:space="0" w:color="auto"/>
              <w:right w:val="nil"/>
            </w:tcBorders>
            <w:shd w:val="clear" w:color="000000" w:fill="00B050"/>
            <w:vAlign w:val="center"/>
          </w:tcPr>
          <w:p w:rsidR="00EF4F95" w:rsidRPr="0057674E" w:rsidRDefault="00EF4F95" w:rsidP="00EF4F95">
            <w:pPr>
              <w:jc w:val="right"/>
              <w:rPr>
                <w:rFonts w:eastAsia="Calibri" w:cs="Arial"/>
                <w:b/>
                <w:color w:val="000000"/>
                <w:szCs w:val="22"/>
              </w:rPr>
            </w:pPr>
            <w:r w:rsidRPr="0057674E">
              <w:rPr>
                <w:rFonts w:eastAsia="Calibri" w:cs="Arial"/>
                <w:b/>
                <w:color w:val="000000"/>
                <w:szCs w:val="22"/>
              </w:rPr>
              <w:t>0</w:t>
            </w:r>
          </w:p>
        </w:tc>
        <w:tc>
          <w:tcPr>
            <w:tcW w:w="1293" w:type="dxa"/>
            <w:tcBorders>
              <w:top w:val="nil"/>
              <w:left w:val="nil"/>
              <w:bottom w:val="single" w:sz="4" w:space="0" w:color="auto"/>
              <w:right w:val="nil"/>
            </w:tcBorders>
            <w:shd w:val="clear" w:color="auto" w:fill="FFFF00"/>
            <w:vAlign w:val="center"/>
          </w:tcPr>
          <w:p w:rsidR="00EF4F95" w:rsidRPr="0057674E" w:rsidRDefault="00EF4F95" w:rsidP="00EF4F95">
            <w:pPr>
              <w:jc w:val="right"/>
              <w:rPr>
                <w:rFonts w:eastAsia="Calibri" w:cs="Arial"/>
                <w:b/>
                <w:bCs/>
                <w:color w:val="000000"/>
                <w:szCs w:val="22"/>
              </w:rPr>
            </w:pPr>
            <w:r w:rsidRPr="0057674E">
              <w:rPr>
                <w:rFonts w:eastAsia="Calibri" w:cs="Arial"/>
                <w:b/>
                <w:bCs/>
                <w:color w:val="000000"/>
                <w:szCs w:val="22"/>
              </w:rPr>
              <w:t>77</w:t>
            </w:r>
          </w:p>
        </w:tc>
        <w:tc>
          <w:tcPr>
            <w:tcW w:w="1293" w:type="dxa"/>
            <w:tcBorders>
              <w:top w:val="nil"/>
              <w:left w:val="nil"/>
              <w:bottom w:val="single" w:sz="4" w:space="0" w:color="auto"/>
              <w:right w:val="nil"/>
            </w:tcBorders>
            <w:shd w:val="clear" w:color="auto" w:fill="00B050"/>
            <w:vAlign w:val="center"/>
          </w:tcPr>
          <w:p w:rsidR="00EF4F95" w:rsidRPr="0057674E" w:rsidRDefault="00EF4F95" w:rsidP="00EF4F95">
            <w:pPr>
              <w:jc w:val="right"/>
              <w:rPr>
                <w:rFonts w:eastAsia="Calibri" w:cs="Arial"/>
                <w:b/>
                <w:bCs/>
                <w:color w:val="000000"/>
                <w:szCs w:val="22"/>
              </w:rPr>
            </w:pPr>
            <w:r w:rsidRPr="0057674E">
              <w:rPr>
                <w:rFonts w:eastAsia="Calibri" w:cs="Arial"/>
                <w:b/>
                <w:bCs/>
                <w:color w:val="000000"/>
                <w:szCs w:val="22"/>
              </w:rPr>
              <w:t>2,507</w:t>
            </w:r>
          </w:p>
        </w:tc>
        <w:tc>
          <w:tcPr>
            <w:tcW w:w="1293" w:type="dxa"/>
            <w:tcBorders>
              <w:top w:val="nil"/>
              <w:left w:val="nil"/>
              <w:bottom w:val="single" w:sz="4" w:space="0" w:color="auto"/>
              <w:right w:val="nil"/>
            </w:tcBorders>
            <w:shd w:val="clear" w:color="auto" w:fill="00B050"/>
            <w:vAlign w:val="center"/>
          </w:tcPr>
          <w:p w:rsidR="00EF4F95" w:rsidRPr="0057674E" w:rsidRDefault="00EF4F95" w:rsidP="00EF4F95">
            <w:pPr>
              <w:jc w:val="right"/>
              <w:rPr>
                <w:rFonts w:eastAsia="Calibri" w:cs="Arial"/>
                <w:b/>
                <w:bCs/>
                <w:color w:val="000000"/>
                <w:szCs w:val="22"/>
              </w:rPr>
            </w:pPr>
            <w:r w:rsidRPr="0057674E">
              <w:rPr>
                <w:rFonts w:eastAsia="Calibri" w:cs="Arial"/>
                <w:b/>
                <w:bCs/>
                <w:color w:val="000000"/>
                <w:szCs w:val="22"/>
              </w:rPr>
              <w:t>2,855</w:t>
            </w:r>
          </w:p>
        </w:tc>
        <w:tc>
          <w:tcPr>
            <w:tcW w:w="1293" w:type="dxa"/>
            <w:tcBorders>
              <w:top w:val="nil"/>
              <w:left w:val="nil"/>
              <w:bottom w:val="single" w:sz="4" w:space="0" w:color="auto"/>
              <w:right w:val="single" w:sz="4" w:space="0" w:color="auto"/>
            </w:tcBorders>
            <w:shd w:val="clear" w:color="auto" w:fill="00B050"/>
            <w:vAlign w:val="center"/>
          </w:tcPr>
          <w:p w:rsidR="00EF4F95" w:rsidRPr="0057674E" w:rsidRDefault="00EF4F95" w:rsidP="00EF4F95">
            <w:pPr>
              <w:jc w:val="right"/>
              <w:rPr>
                <w:rFonts w:eastAsia="Calibri" w:cs="Arial"/>
                <w:b/>
                <w:bCs/>
                <w:color w:val="000000"/>
                <w:szCs w:val="22"/>
              </w:rPr>
            </w:pPr>
            <w:r w:rsidRPr="0057674E">
              <w:rPr>
                <w:rFonts w:eastAsia="Calibri" w:cs="Arial"/>
                <w:b/>
                <w:bCs/>
                <w:color w:val="000000"/>
                <w:szCs w:val="22"/>
              </w:rPr>
              <w:t>3,474</w:t>
            </w:r>
          </w:p>
        </w:tc>
      </w:tr>
    </w:tbl>
    <w:p w:rsidR="005E56AB" w:rsidRPr="00C960C9" w:rsidRDefault="005E56AB" w:rsidP="00EF4F95">
      <w:pPr>
        <w:spacing w:after="0"/>
        <w:ind w:left="57"/>
        <w:rPr>
          <w:i/>
        </w:rPr>
      </w:pPr>
      <w:bookmarkStart w:id="220" w:name="_Toc377045984"/>
      <w:bookmarkStart w:id="221" w:name="_Toc10808420"/>
      <w:r w:rsidRPr="00C960C9">
        <w:rPr>
          <w:i/>
        </w:rPr>
        <w:t>Legend:</w:t>
      </w:r>
    </w:p>
    <w:p w:rsidR="005E56AB" w:rsidRPr="00DE7963" w:rsidRDefault="005E56AB" w:rsidP="00DE7963">
      <w:pPr>
        <w:ind w:left="57"/>
        <w:rPr>
          <w:sz w:val="19"/>
          <w:szCs w:val="19"/>
          <w:bdr w:val="single" w:sz="36" w:space="0" w:color="FF0000"/>
          <w:shd w:val="clear" w:color="auto" w:fill="FF0000"/>
        </w:rPr>
      </w:pPr>
      <w:r w:rsidRPr="00D62C05">
        <w:rPr>
          <w:sz w:val="19"/>
          <w:szCs w:val="19"/>
          <w:bdr w:val="single" w:sz="24" w:space="0" w:color="00B050"/>
          <w:shd w:val="clear" w:color="auto" w:fill="00B050"/>
        </w:rPr>
        <w:t>No perceived shortage</w:t>
      </w:r>
      <w:r w:rsidRPr="00D62C05">
        <w:rPr>
          <w:sz w:val="19"/>
          <w:szCs w:val="19"/>
          <w:bdr w:val="single" w:sz="24" w:space="0" w:color="FFFF00"/>
          <w:shd w:val="clear" w:color="auto" w:fill="FFFF00"/>
        </w:rPr>
        <w:t>In balance (± 3 per cent)</w:t>
      </w:r>
      <w:r w:rsidRPr="00D62C05">
        <w:rPr>
          <w:sz w:val="19"/>
          <w:szCs w:val="19"/>
          <w:bdr w:val="single" w:sz="24" w:space="0" w:color="FFC000"/>
          <w:shd w:val="clear" w:color="auto" w:fill="FFC000"/>
        </w:rPr>
        <w:t>Only a slight perceived shortage</w:t>
      </w:r>
      <w:r w:rsidRPr="00D62C05">
        <w:rPr>
          <w:color w:val="000000" w:themeColor="text1"/>
          <w:sz w:val="19"/>
          <w:szCs w:val="19"/>
          <w:bdr w:val="single" w:sz="24" w:space="0" w:color="FF0000"/>
          <w:shd w:val="clear" w:color="auto" w:fill="FF0000"/>
        </w:rPr>
        <w:t>Perceived shortage</w:t>
      </w:r>
    </w:p>
    <w:p w:rsidR="00B740AD" w:rsidRPr="00AC1D2D" w:rsidRDefault="00B740AD" w:rsidP="00F5653E">
      <w:pPr>
        <w:pStyle w:val="Heading1"/>
      </w:pPr>
      <w:r w:rsidRPr="00AC1D2D">
        <w:t>Assumptions</w:t>
      </w:r>
      <w:bookmarkEnd w:id="220"/>
      <w:bookmarkEnd w:id="221"/>
    </w:p>
    <w:p w:rsidR="00B740AD" w:rsidRPr="00826C99" w:rsidRDefault="00B740AD" w:rsidP="00396C22">
      <w:pPr>
        <w:spacing w:before="120" w:after="120" w:line="240" w:lineRule="auto"/>
        <w:jc w:val="both"/>
        <w:rPr>
          <w:rFonts w:eastAsia="Calibri" w:cs="Arial"/>
          <w:szCs w:val="22"/>
          <w:lang w:eastAsia="x-none"/>
        </w:rPr>
      </w:pPr>
      <w:r w:rsidRPr="00826C99">
        <w:rPr>
          <w:rFonts w:eastAsia="Calibri" w:cs="Arial"/>
          <w:szCs w:val="22"/>
          <w:lang w:eastAsia="x-none"/>
        </w:rPr>
        <w:t>The simulation modelling techniques used to produce the projections rely on two key inputs:</w:t>
      </w:r>
    </w:p>
    <w:p w:rsidR="00B740AD" w:rsidRPr="00826C99" w:rsidRDefault="00B740AD" w:rsidP="002B7E32">
      <w:pPr>
        <w:numPr>
          <w:ilvl w:val="0"/>
          <w:numId w:val="12"/>
        </w:numPr>
        <w:spacing w:before="120" w:after="120" w:line="240" w:lineRule="auto"/>
        <w:jc w:val="both"/>
        <w:rPr>
          <w:rFonts w:eastAsia="Calibri" w:cs="Arial"/>
          <w:szCs w:val="22"/>
        </w:rPr>
      </w:pPr>
      <w:r w:rsidRPr="00826C99">
        <w:rPr>
          <w:rFonts w:eastAsia="Calibri" w:cs="Arial"/>
          <w:szCs w:val="22"/>
        </w:rPr>
        <w:t xml:space="preserve">The set of assumptions about future conditions; and </w:t>
      </w:r>
    </w:p>
    <w:p w:rsidR="00B740AD" w:rsidRPr="00826C99" w:rsidRDefault="00B740AD" w:rsidP="002B7E32">
      <w:pPr>
        <w:numPr>
          <w:ilvl w:val="0"/>
          <w:numId w:val="12"/>
        </w:numPr>
        <w:spacing w:before="120" w:after="120" w:line="240" w:lineRule="auto"/>
        <w:jc w:val="both"/>
        <w:rPr>
          <w:rFonts w:eastAsia="Calibri" w:cs="Arial"/>
          <w:szCs w:val="22"/>
        </w:rPr>
      </w:pPr>
      <w:r w:rsidRPr="00826C99">
        <w:rPr>
          <w:rFonts w:eastAsia="Calibri" w:cs="Arial"/>
          <w:szCs w:val="22"/>
        </w:rPr>
        <w:t xml:space="preserve">The data from which the model’s parameters inputs and starting position are derived. </w:t>
      </w:r>
    </w:p>
    <w:p w:rsidR="00B740AD" w:rsidRPr="00826C99" w:rsidRDefault="00B740AD" w:rsidP="00396C22">
      <w:pPr>
        <w:spacing w:before="120" w:after="120" w:line="240" w:lineRule="auto"/>
        <w:jc w:val="both"/>
        <w:rPr>
          <w:rFonts w:eastAsia="Calibri" w:cs="Arial"/>
          <w:szCs w:val="22"/>
          <w:lang w:eastAsia="x-none"/>
        </w:rPr>
      </w:pPr>
      <w:r w:rsidRPr="00826C99">
        <w:rPr>
          <w:rFonts w:eastAsia="Calibri" w:cs="Arial"/>
          <w:szCs w:val="22"/>
          <w:lang w:eastAsia="x-none"/>
        </w:rPr>
        <w:t>The assumptions are important as they affect the interpretation of workforce projection results. The projections provide likely outcomes given the assumptions on which they are based, so if any of the assumptions are not applicable or cease to reflect real world situations, the projections will not provide an accurate indication of future outcomes. For the input data, any inaccuracies that may exist will directly impact on the accuracy of the modelled results.</w:t>
      </w:r>
    </w:p>
    <w:p w:rsidR="00B740AD" w:rsidRPr="00826C99" w:rsidRDefault="00B740AD" w:rsidP="00396C22">
      <w:pPr>
        <w:spacing w:before="120" w:after="120" w:line="240" w:lineRule="auto"/>
        <w:jc w:val="both"/>
        <w:rPr>
          <w:rFonts w:eastAsia="Calibri" w:cs="Arial"/>
          <w:szCs w:val="22"/>
          <w:lang w:eastAsia="x-none"/>
        </w:rPr>
      </w:pPr>
      <w:r w:rsidRPr="00826C99">
        <w:rPr>
          <w:rFonts w:eastAsia="Calibri" w:cs="Arial"/>
          <w:szCs w:val="22"/>
          <w:lang w:eastAsia="x-none"/>
        </w:rPr>
        <w:t>Major assumptions and data treatments underlying the scenarios are outlined in the following sections. These are critical to understand as the interpretation of the modelled outputs needs to be done in the context of the underpinning assumptions. However, details of the scenarios are first provided to give the context for those underpinning assumptions.</w:t>
      </w:r>
    </w:p>
    <w:p w:rsidR="00B740AD" w:rsidRPr="00396C22" w:rsidRDefault="00B740AD" w:rsidP="00F5653E">
      <w:pPr>
        <w:pStyle w:val="Heading2"/>
      </w:pPr>
      <w:bookmarkStart w:id="222" w:name="_Toc10808421"/>
      <w:r w:rsidRPr="00396C22">
        <w:t>Supply assumptions</w:t>
      </w:r>
      <w:bookmarkEnd w:id="222"/>
    </w:p>
    <w:p w:rsidR="00B740AD" w:rsidRPr="00826C99" w:rsidRDefault="00B740AD" w:rsidP="002B7E32">
      <w:pPr>
        <w:numPr>
          <w:ilvl w:val="0"/>
          <w:numId w:val="13"/>
        </w:numPr>
        <w:spacing w:before="120" w:after="120" w:line="240" w:lineRule="auto"/>
        <w:contextualSpacing/>
        <w:jc w:val="both"/>
        <w:rPr>
          <w:rFonts w:eastAsia="Calibri" w:cs="Arial"/>
          <w:szCs w:val="22"/>
        </w:rPr>
      </w:pPr>
      <w:r w:rsidRPr="00826C99">
        <w:rPr>
          <w:rFonts w:eastAsia="Calibri" w:cs="Arial"/>
          <w:szCs w:val="22"/>
          <w:lang w:eastAsia="en-AU"/>
        </w:rPr>
        <w:t xml:space="preserve">The base midwifery workforce is set at 2017 levels. </w:t>
      </w:r>
    </w:p>
    <w:p w:rsidR="00B740AD" w:rsidRPr="00826C99" w:rsidRDefault="00B740AD" w:rsidP="002B7E32">
      <w:pPr>
        <w:numPr>
          <w:ilvl w:val="0"/>
          <w:numId w:val="13"/>
        </w:numPr>
        <w:spacing w:before="120" w:after="120" w:line="240" w:lineRule="auto"/>
        <w:contextualSpacing/>
        <w:jc w:val="both"/>
        <w:rPr>
          <w:rFonts w:eastAsia="Calibri" w:cs="Arial"/>
          <w:szCs w:val="22"/>
        </w:rPr>
      </w:pPr>
      <w:r w:rsidRPr="00826C99">
        <w:rPr>
          <w:rFonts w:eastAsia="Calibri" w:cs="Arial"/>
          <w:szCs w:val="22"/>
          <w:lang w:eastAsia="en-AU"/>
        </w:rPr>
        <w:t xml:space="preserve">Workforce entrants enter the model as graduates or as internationally-trained midwives. </w:t>
      </w:r>
    </w:p>
    <w:p w:rsidR="00B740AD" w:rsidRPr="00826C99" w:rsidRDefault="00B740AD" w:rsidP="002B7E32">
      <w:pPr>
        <w:numPr>
          <w:ilvl w:val="0"/>
          <w:numId w:val="13"/>
        </w:numPr>
        <w:spacing w:before="120" w:after="120" w:line="240" w:lineRule="auto"/>
        <w:contextualSpacing/>
        <w:jc w:val="both"/>
        <w:rPr>
          <w:rFonts w:eastAsia="Calibri" w:cs="Arial"/>
          <w:szCs w:val="22"/>
        </w:rPr>
      </w:pPr>
      <w:r w:rsidRPr="00826C99">
        <w:rPr>
          <w:rFonts w:eastAsia="Calibri" w:cs="Arial"/>
          <w:szCs w:val="22"/>
          <w:lang w:eastAsia="en-AU"/>
        </w:rPr>
        <w:t xml:space="preserve">Registered midwife graduates entering the workforce are grown based on historical growth rates based on Department of Education data. </w:t>
      </w:r>
    </w:p>
    <w:p w:rsidR="00B740AD" w:rsidRPr="00826C99" w:rsidRDefault="00B740AD" w:rsidP="002B7E32">
      <w:pPr>
        <w:numPr>
          <w:ilvl w:val="0"/>
          <w:numId w:val="13"/>
        </w:numPr>
        <w:spacing w:before="120" w:after="120" w:line="240" w:lineRule="auto"/>
        <w:contextualSpacing/>
        <w:jc w:val="both"/>
        <w:rPr>
          <w:rFonts w:eastAsia="Calibri" w:cs="Arial"/>
          <w:szCs w:val="22"/>
        </w:rPr>
      </w:pPr>
      <w:r w:rsidRPr="00826C99">
        <w:rPr>
          <w:rFonts w:eastAsia="Calibri" w:cs="Arial"/>
          <w:szCs w:val="22"/>
          <w:lang w:eastAsia="en-AU"/>
        </w:rPr>
        <w:t>The inflow of midwives via migration is</w:t>
      </w:r>
      <w:r w:rsidRPr="00826C99">
        <w:rPr>
          <w:rFonts w:eastAsia="Calibri" w:cs="Arial"/>
          <w:szCs w:val="22"/>
        </w:rPr>
        <w:t xml:space="preserve"> </w:t>
      </w:r>
      <w:r w:rsidRPr="00826C99">
        <w:rPr>
          <w:rFonts w:eastAsia="Calibri" w:cs="Arial"/>
          <w:szCs w:val="22"/>
          <w:lang w:eastAsia="en-AU"/>
        </w:rPr>
        <w:t>obtained from the Department of Home Affairs. The model holds</w:t>
      </w:r>
      <w:r w:rsidRPr="00826C99">
        <w:rPr>
          <w:rFonts w:eastAsia="Calibri" w:cs="Arial"/>
          <w:szCs w:val="22"/>
        </w:rPr>
        <w:t xml:space="preserve"> </w:t>
      </w:r>
      <w:r w:rsidRPr="00826C99">
        <w:rPr>
          <w:rFonts w:eastAsia="Calibri" w:cs="Arial"/>
          <w:szCs w:val="22"/>
          <w:lang w:eastAsia="en-AU"/>
        </w:rPr>
        <w:t xml:space="preserve">constant the average of those that had no substantive visa between 2012 and </w:t>
      </w:r>
      <w:r w:rsidR="00202BC1">
        <w:rPr>
          <w:rFonts w:eastAsia="Calibri" w:cs="Arial"/>
          <w:szCs w:val="22"/>
          <w:lang w:eastAsia="en-AU"/>
        </w:rPr>
        <w:t>2017</w:t>
      </w:r>
      <w:r w:rsidRPr="00826C99">
        <w:rPr>
          <w:rFonts w:eastAsia="Calibri" w:cs="Arial"/>
          <w:szCs w:val="22"/>
          <w:lang w:eastAsia="en-AU"/>
        </w:rPr>
        <w:t xml:space="preserve">. </w:t>
      </w:r>
    </w:p>
    <w:p w:rsidR="00B740AD" w:rsidRPr="00826C99" w:rsidRDefault="00B740AD" w:rsidP="002B7E32">
      <w:pPr>
        <w:numPr>
          <w:ilvl w:val="0"/>
          <w:numId w:val="13"/>
        </w:numPr>
        <w:spacing w:before="120" w:after="120" w:line="240" w:lineRule="auto"/>
        <w:contextualSpacing/>
        <w:jc w:val="both"/>
        <w:rPr>
          <w:rFonts w:eastAsia="Calibri" w:cs="Arial"/>
          <w:szCs w:val="22"/>
        </w:rPr>
      </w:pPr>
      <w:r w:rsidRPr="00826C99">
        <w:rPr>
          <w:rFonts w:eastAsia="Calibri" w:cs="Arial"/>
          <w:szCs w:val="22"/>
          <w:lang w:eastAsia="en-AU"/>
        </w:rPr>
        <w:t>The temporary migration is considered to be counted in the workforce already and replaced at the same rate year o</w:t>
      </w:r>
      <w:r w:rsidR="00E037F6">
        <w:rPr>
          <w:rFonts w:eastAsia="Calibri" w:cs="Arial"/>
          <w:szCs w:val="22"/>
          <w:lang w:eastAsia="en-AU"/>
        </w:rPr>
        <w:t>n</w:t>
      </w:r>
      <w:r w:rsidRPr="00826C99">
        <w:rPr>
          <w:rFonts w:eastAsia="Calibri" w:cs="Arial"/>
          <w:szCs w:val="22"/>
          <w:lang w:eastAsia="en-AU"/>
        </w:rPr>
        <w:t xml:space="preserve"> year.</w:t>
      </w:r>
    </w:p>
    <w:p w:rsidR="00B740AD" w:rsidRPr="00826C99" w:rsidRDefault="00B740AD" w:rsidP="002B7E32">
      <w:pPr>
        <w:numPr>
          <w:ilvl w:val="0"/>
          <w:numId w:val="13"/>
        </w:numPr>
        <w:autoSpaceDE w:val="0"/>
        <w:autoSpaceDN w:val="0"/>
        <w:adjustRightInd w:val="0"/>
        <w:spacing w:before="120" w:after="120" w:line="240" w:lineRule="auto"/>
        <w:contextualSpacing/>
        <w:jc w:val="both"/>
        <w:rPr>
          <w:rFonts w:eastAsia="Calibri" w:cs="Arial"/>
          <w:szCs w:val="22"/>
          <w:lang w:eastAsia="en-AU"/>
        </w:rPr>
      </w:pPr>
      <w:r w:rsidRPr="00826C99">
        <w:rPr>
          <w:rFonts w:eastAsia="Calibri" w:cs="Arial"/>
          <w:szCs w:val="22"/>
          <w:lang w:eastAsia="en-AU"/>
        </w:rPr>
        <w:t xml:space="preserve">Hours worked are calculated and applied separately for each age/gender cohort. The data from which hours worked is calculated is taken from the National Health Workforce Dataset </w:t>
      </w:r>
      <w:r w:rsidR="00E037F6">
        <w:rPr>
          <w:rFonts w:eastAsia="Calibri" w:cs="Arial"/>
          <w:szCs w:val="22"/>
          <w:lang w:eastAsia="en-AU"/>
        </w:rPr>
        <w:t>(NHWDS)</w:t>
      </w:r>
      <w:r w:rsidR="00E037F6" w:rsidRPr="00826C99">
        <w:rPr>
          <w:rFonts w:eastAsia="Calibri" w:cs="Arial"/>
          <w:szCs w:val="22"/>
          <w:lang w:eastAsia="en-AU"/>
        </w:rPr>
        <w:t xml:space="preserve"> </w:t>
      </w:r>
      <w:r w:rsidRPr="00826C99">
        <w:rPr>
          <w:rFonts w:eastAsia="Calibri" w:cs="Arial"/>
          <w:szCs w:val="22"/>
          <w:lang w:eastAsia="en-AU"/>
        </w:rPr>
        <w:t>for 2017.</w:t>
      </w:r>
    </w:p>
    <w:p w:rsidR="00B740AD" w:rsidRPr="00826C99" w:rsidRDefault="00B740AD" w:rsidP="002B7E32">
      <w:pPr>
        <w:numPr>
          <w:ilvl w:val="0"/>
          <w:numId w:val="13"/>
        </w:numPr>
        <w:autoSpaceDE w:val="0"/>
        <w:autoSpaceDN w:val="0"/>
        <w:adjustRightInd w:val="0"/>
        <w:spacing w:before="120" w:after="120" w:line="240" w:lineRule="auto"/>
        <w:contextualSpacing/>
        <w:jc w:val="both"/>
        <w:rPr>
          <w:rFonts w:eastAsia="Calibri" w:cs="Arial"/>
          <w:szCs w:val="22"/>
          <w:lang w:eastAsia="en-AU"/>
        </w:rPr>
      </w:pPr>
      <w:r w:rsidRPr="00826C99">
        <w:rPr>
          <w:rFonts w:eastAsia="Calibri" w:cs="Arial"/>
          <w:szCs w:val="22"/>
          <w:lang w:eastAsia="en-AU"/>
        </w:rPr>
        <w:t xml:space="preserve">Exit rates are a composite measure including all forms of removal from the AHPRA register, from one year to the next – these include the permanent or temporary losses. The </w:t>
      </w:r>
      <w:r w:rsidR="004D53D1">
        <w:rPr>
          <w:rFonts w:eastAsia="Calibri" w:cs="Arial"/>
          <w:szCs w:val="22"/>
          <w:lang w:eastAsia="en-AU"/>
        </w:rPr>
        <w:t>continuity</w:t>
      </w:r>
      <w:r w:rsidR="00646921">
        <w:rPr>
          <w:rFonts w:eastAsia="Calibri" w:cs="Arial"/>
          <w:szCs w:val="22"/>
          <w:lang w:eastAsia="en-AU"/>
        </w:rPr>
        <w:t xml:space="preserve"> of care (baseline) </w:t>
      </w:r>
      <w:r w:rsidR="00256DD3">
        <w:rPr>
          <w:rFonts w:eastAsia="Calibri" w:cs="Arial"/>
          <w:szCs w:val="22"/>
          <w:lang w:eastAsia="en-AU"/>
        </w:rPr>
        <w:t xml:space="preserve">scenario </w:t>
      </w:r>
      <w:r w:rsidR="00256DD3" w:rsidRPr="00826C99">
        <w:rPr>
          <w:rFonts w:eastAsia="Calibri" w:cs="Arial"/>
          <w:szCs w:val="22"/>
          <w:lang w:eastAsia="en-AU"/>
        </w:rPr>
        <w:t>looks</w:t>
      </w:r>
      <w:r w:rsidRPr="00826C99">
        <w:rPr>
          <w:rFonts w:eastAsia="Calibri" w:cs="Arial"/>
          <w:szCs w:val="22"/>
          <w:lang w:eastAsia="en-AU"/>
        </w:rPr>
        <w:t xml:space="preserve"> at the midwives that did not renew their midwifery or their midwifery registration in the following year. </w:t>
      </w:r>
    </w:p>
    <w:p w:rsidR="00B740AD" w:rsidRPr="00826C99" w:rsidRDefault="00B740AD" w:rsidP="002B7E32">
      <w:pPr>
        <w:numPr>
          <w:ilvl w:val="0"/>
          <w:numId w:val="13"/>
        </w:numPr>
        <w:autoSpaceDE w:val="0"/>
        <w:autoSpaceDN w:val="0"/>
        <w:adjustRightInd w:val="0"/>
        <w:spacing w:before="120" w:after="120" w:line="240" w:lineRule="auto"/>
        <w:contextualSpacing/>
        <w:jc w:val="both"/>
        <w:rPr>
          <w:rFonts w:eastAsia="Calibri" w:cs="Arial"/>
          <w:szCs w:val="22"/>
          <w:lang w:eastAsia="en-AU"/>
        </w:rPr>
      </w:pPr>
      <w:r w:rsidRPr="00826C99">
        <w:rPr>
          <w:rFonts w:eastAsia="Calibri" w:cs="Arial"/>
          <w:szCs w:val="22"/>
          <w:lang w:eastAsia="en-AU"/>
        </w:rPr>
        <w:t xml:space="preserve">Exit rates are calculated for each five year age/gender cohort, taken from the NHWDS between 2013 and 2017. </w:t>
      </w:r>
    </w:p>
    <w:p w:rsidR="00B740AD" w:rsidRPr="00826C99" w:rsidRDefault="00B740AD" w:rsidP="002B7E32">
      <w:pPr>
        <w:numPr>
          <w:ilvl w:val="0"/>
          <w:numId w:val="13"/>
        </w:numPr>
        <w:autoSpaceDE w:val="0"/>
        <w:autoSpaceDN w:val="0"/>
        <w:adjustRightInd w:val="0"/>
        <w:spacing w:before="120" w:after="120" w:line="240" w:lineRule="auto"/>
        <w:contextualSpacing/>
        <w:jc w:val="both"/>
        <w:rPr>
          <w:rFonts w:eastAsia="Calibri" w:cs="Arial"/>
          <w:szCs w:val="22"/>
          <w:lang w:eastAsia="en-AU"/>
        </w:rPr>
      </w:pPr>
      <w:r w:rsidRPr="00826C99">
        <w:rPr>
          <w:rFonts w:eastAsia="Calibri" w:cs="Arial"/>
          <w:szCs w:val="22"/>
          <w:lang w:eastAsia="en-AU"/>
        </w:rPr>
        <w:lastRenderedPageBreak/>
        <w:t>The proportion of graduating domestic students and international migrants entering the workforce is calculated at 89 per</w:t>
      </w:r>
      <w:r w:rsidR="00E037F6">
        <w:rPr>
          <w:rFonts w:eastAsia="Calibri" w:cs="Arial"/>
          <w:szCs w:val="22"/>
          <w:lang w:eastAsia="en-AU"/>
        </w:rPr>
        <w:t xml:space="preserve"> </w:t>
      </w:r>
      <w:r w:rsidRPr="00826C99">
        <w:rPr>
          <w:rFonts w:eastAsia="Calibri" w:cs="Arial"/>
          <w:szCs w:val="22"/>
          <w:lang w:eastAsia="en-AU"/>
        </w:rPr>
        <w:t>cent and equates to the number of new e</w:t>
      </w:r>
      <w:r w:rsidR="002B3F61">
        <w:rPr>
          <w:rFonts w:eastAsia="Calibri" w:cs="Arial"/>
          <w:szCs w:val="22"/>
          <w:lang w:eastAsia="en-AU"/>
        </w:rPr>
        <w:t>ntrants to the AHPRA register.</w:t>
      </w:r>
    </w:p>
    <w:p w:rsidR="0007288C" w:rsidRDefault="00B740AD" w:rsidP="002B7E32">
      <w:pPr>
        <w:numPr>
          <w:ilvl w:val="0"/>
          <w:numId w:val="13"/>
        </w:numPr>
        <w:autoSpaceDE w:val="0"/>
        <w:autoSpaceDN w:val="0"/>
        <w:adjustRightInd w:val="0"/>
        <w:spacing w:before="120" w:after="120" w:line="240" w:lineRule="auto"/>
        <w:contextualSpacing/>
        <w:jc w:val="both"/>
        <w:rPr>
          <w:rFonts w:eastAsia="Calibri" w:cs="Arial"/>
          <w:szCs w:val="22"/>
          <w:lang w:eastAsia="en-AU"/>
        </w:rPr>
      </w:pPr>
      <w:r w:rsidRPr="00826C99">
        <w:rPr>
          <w:rFonts w:eastAsia="Calibri" w:cs="Arial"/>
          <w:szCs w:val="22"/>
          <w:lang w:eastAsia="en-AU"/>
        </w:rPr>
        <w:t>All graduating midwives are assumed to remain in the workforce, even in situations of workforce supply exceeding demand. That is, exit rates are not adjusted to take account of possible movements away from a profession in an oversupply situatio</w:t>
      </w:r>
      <w:bookmarkEnd w:id="91"/>
      <w:r w:rsidR="00AC2014">
        <w:rPr>
          <w:rFonts w:eastAsia="Calibri" w:cs="Arial"/>
          <w:szCs w:val="22"/>
          <w:lang w:eastAsia="en-AU"/>
        </w:rPr>
        <w:t>n.</w:t>
      </w:r>
    </w:p>
    <w:p w:rsidR="00AC2014" w:rsidRPr="00213F57" w:rsidRDefault="00AC2014" w:rsidP="00763D93">
      <w:pPr>
        <w:autoSpaceDE w:val="0"/>
        <w:autoSpaceDN w:val="0"/>
        <w:adjustRightInd w:val="0"/>
        <w:spacing w:before="120" w:after="120" w:line="240" w:lineRule="auto"/>
        <w:ind w:left="363"/>
        <w:contextualSpacing/>
        <w:jc w:val="both"/>
        <w:rPr>
          <w:rFonts w:eastAsia="Calibri" w:cs="Arial"/>
          <w:szCs w:val="22"/>
          <w:lang w:eastAsia="en-AU"/>
        </w:rPr>
        <w:sectPr w:rsidR="00AC2014" w:rsidRPr="00213F57" w:rsidSect="00C960C9">
          <w:pgSz w:w="11906" w:h="16838"/>
          <w:pgMar w:top="1440" w:right="1440" w:bottom="1440" w:left="1440" w:header="709" w:footer="709" w:gutter="0"/>
          <w:cols w:space="708"/>
          <w:titlePg/>
          <w:docGrid w:linePitch="360"/>
        </w:sectPr>
      </w:pPr>
    </w:p>
    <w:p w:rsidR="00396C22" w:rsidRPr="00256DD3" w:rsidRDefault="006F75CD" w:rsidP="007B1DB6">
      <w:pPr>
        <w:pStyle w:val="Heading1"/>
        <w:rPr>
          <w:rFonts w:eastAsia="Times New Roman"/>
        </w:rPr>
      </w:pPr>
      <w:bookmarkStart w:id="223" w:name="_Toc10808422"/>
      <w:bookmarkStart w:id="224" w:name="_Toc425244973"/>
      <w:bookmarkStart w:id="225" w:name="_Toc429581539"/>
      <w:r>
        <w:rPr>
          <w:rFonts w:eastAsia="Times New Roman"/>
        </w:rPr>
        <w:lastRenderedPageBreak/>
        <w:t>A</w:t>
      </w:r>
      <w:r w:rsidR="00A024D9">
        <w:rPr>
          <w:rFonts w:eastAsia="Times New Roman"/>
        </w:rPr>
        <w:t>ppendix</w:t>
      </w:r>
      <w:r>
        <w:rPr>
          <w:rFonts w:eastAsia="Times New Roman"/>
        </w:rPr>
        <w:t xml:space="preserve"> A: </w:t>
      </w:r>
      <w:r w:rsidR="00396C22" w:rsidRPr="00256DD3">
        <w:rPr>
          <w:rFonts w:eastAsia="Times New Roman"/>
        </w:rPr>
        <w:t>Workforce surve</w:t>
      </w:r>
      <w:bookmarkEnd w:id="223"/>
      <w:r w:rsidR="009D4FCE">
        <w:rPr>
          <w:rFonts w:eastAsia="Times New Roman"/>
        </w:rPr>
        <w:t>y</w:t>
      </w:r>
    </w:p>
    <w:p w:rsidR="009D4FCE" w:rsidRDefault="00CC3527" w:rsidP="00A024D9">
      <w:pPr>
        <w:rPr>
          <w:rFonts w:eastAsia="Times New Roman" w:cs="Arial"/>
          <w:b/>
          <w:bCs/>
          <w:iCs/>
          <w:color w:val="9148C8"/>
          <w:szCs w:val="22"/>
          <w:highlight w:val="yellow"/>
        </w:rPr>
      </w:pPr>
      <w:r w:rsidRPr="00CC3527">
        <w:rPr>
          <w:noProof/>
          <w:lang w:eastAsia="en-AU"/>
        </w:rPr>
        <w:drawing>
          <wp:inline distT="0" distB="0" distL="0" distR="0" wp14:anchorId="4FA35866" wp14:editId="48832F93">
            <wp:extent cx="5385435" cy="7590790"/>
            <wp:effectExtent l="0" t="0" r="5715" b="0"/>
            <wp:docPr id="37" name="Picture 37" descr="Page 1 of the Nursing and midwifery workforce survey form the Nursing and Midwifery Board of Australia." title="Appendix A: Workforce surv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stretch>
                      <a:fillRect/>
                    </a:stretch>
                  </pic:blipFill>
                  <pic:spPr>
                    <a:xfrm>
                      <a:off x="0" y="0"/>
                      <a:ext cx="5385435" cy="7590790"/>
                    </a:xfrm>
                    <a:prstGeom prst="rect">
                      <a:avLst/>
                    </a:prstGeom>
                  </pic:spPr>
                </pic:pic>
              </a:graphicData>
            </a:graphic>
          </wp:inline>
        </w:drawing>
      </w:r>
    </w:p>
    <w:p w:rsidR="00CC3527" w:rsidRPr="009D4FCE" w:rsidRDefault="009D4FCE" w:rsidP="00A024D9">
      <w:pPr>
        <w:rPr>
          <w:rFonts w:eastAsia="Times New Roman" w:cs="Arial"/>
          <w:b/>
          <w:bCs/>
          <w:iCs/>
          <w:color w:val="9148C8"/>
          <w:szCs w:val="22"/>
          <w:highlight w:val="yellow"/>
        </w:rPr>
      </w:pPr>
      <w:r>
        <w:rPr>
          <w:rFonts w:eastAsia="Times New Roman" w:cs="Arial"/>
          <w:b/>
          <w:bCs/>
          <w:iCs/>
          <w:color w:val="9148C8"/>
          <w:szCs w:val="22"/>
          <w:highlight w:val="yellow"/>
        </w:rPr>
        <w:br w:type="page"/>
      </w:r>
    </w:p>
    <w:p w:rsidR="009D4FCE" w:rsidRDefault="00CC3527" w:rsidP="00A024D9">
      <w:pPr>
        <w:rPr>
          <w:rFonts w:eastAsia="Times New Roman" w:cs="Arial"/>
          <w:b/>
          <w:bCs/>
          <w:iCs/>
          <w:color w:val="9148C8"/>
          <w:szCs w:val="22"/>
          <w:highlight w:val="yellow"/>
        </w:rPr>
      </w:pPr>
      <w:r w:rsidRPr="00CC3527">
        <w:rPr>
          <w:noProof/>
          <w:lang w:eastAsia="en-AU"/>
        </w:rPr>
        <w:lastRenderedPageBreak/>
        <w:drawing>
          <wp:inline distT="0" distB="0" distL="0" distR="0" wp14:anchorId="6BC4F12B" wp14:editId="7D64E57F">
            <wp:extent cx="5385435" cy="7584440"/>
            <wp:effectExtent l="0" t="0" r="5715" b="0"/>
            <wp:docPr id="38" name="Picture 38" descr="Page 2 of the Nursing and midwifery workforce survey form the Nursing and Midwifery Board of Australia." title="Appendix A: Workforce surv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5385435" cy="7584440"/>
                    </a:xfrm>
                    <a:prstGeom prst="rect">
                      <a:avLst/>
                    </a:prstGeom>
                  </pic:spPr>
                </pic:pic>
              </a:graphicData>
            </a:graphic>
          </wp:inline>
        </w:drawing>
      </w:r>
      <w:r w:rsidRPr="00CC3527">
        <w:rPr>
          <w:noProof/>
          <w:lang w:eastAsia="en-AU"/>
        </w:rPr>
        <w:lastRenderedPageBreak/>
        <w:drawing>
          <wp:inline distT="0" distB="0" distL="0" distR="0" wp14:anchorId="22C5221D" wp14:editId="7FBA7871">
            <wp:extent cx="5385435" cy="7584440"/>
            <wp:effectExtent l="0" t="0" r="5715" b="0"/>
            <wp:docPr id="41" name="Picture 41" descr="Page 3 of the Nursing and midwifery workforce survey form the Nursing and Midwifery Board of Australia." title="Appendix A: Workforce surv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a:off x="0" y="0"/>
                      <a:ext cx="5385435" cy="7584440"/>
                    </a:xfrm>
                    <a:prstGeom prst="rect">
                      <a:avLst/>
                    </a:prstGeom>
                  </pic:spPr>
                </pic:pic>
              </a:graphicData>
            </a:graphic>
          </wp:inline>
        </w:drawing>
      </w:r>
    </w:p>
    <w:p w:rsidR="00CC3527" w:rsidRDefault="009D4FCE" w:rsidP="00A024D9">
      <w:pPr>
        <w:rPr>
          <w:rFonts w:eastAsia="Times New Roman" w:cs="Arial"/>
          <w:b/>
          <w:bCs/>
          <w:iCs/>
          <w:color w:val="9148C8"/>
          <w:szCs w:val="22"/>
          <w:highlight w:val="yellow"/>
        </w:rPr>
      </w:pPr>
      <w:r>
        <w:rPr>
          <w:rFonts w:eastAsia="Times New Roman" w:cs="Arial"/>
          <w:b/>
          <w:bCs/>
          <w:iCs/>
          <w:color w:val="9148C8"/>
          <w:szCs w:val="22"/>
          <w:highlight w:val="yellow"/>
        </w:rPr>
        <w:br w:type="page"/>
      </w:r>
    </w:p>
    <w:p w:rsidR="009D4FCE" w:rsidRDefault="00DA1A6F" w:rsidP="00A024D9">
      <w:pPr>
        <w:rPr>
          <w:rFonts w:eastAsia="Times New Roman" w:cs="Arial"/>
          <w:b/>
          <w:bCs/>
          <w:iCs/>
          <w:color w:val="9148C8"/>
          <w:szCs w:val="22"/>
          <w:highlight w:val="yellow"/>
        </w:rPr>
      </w:pPr>
      <w:r w:rsidRPr="00DA1A6F">
        <w:rPr>
          <w:noProof/>
          <w:lang w:eastAsia="en-AU"/>
        </w:rPr>
        <w:lastRenderedPageBreak/>
        <w:drawing>
          <wp:inline distT="0" distB="0" distL="0" distR="0" wp14:anchorId="2FAB72F3" wp14:editId="5F659D55">
            <wp:extent cx="5385435" cy="7572375"/>
            <wp:effectExtent l="0" t="0" r="5715" b="9525"/>
            <wp:docPr id="42" name="Picture 42" descr="Page 4 of the Nursing and midwifery workforce survey form the Nursing and Midwifery Board of Australia." title="Appendix A: Workforce surv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a:stretch>
                      <a:fillRect/>
                    </a:stretch>
                  </pic:blipFill>
                  <pic:spPr>
                    <a:xfrm>
                      <a:off x="0" y="0"/>
                      <a:ext cx="5385435" cy="7572375"/>
                    </a:xfrm>
                    <a:prstGeom prst="rect">
                      <a:avLst/>
                    </a:prstGeom>
                  </pic:spPr>
                </pic:pic>
              </a:graphicData>
            </a:graphic>
          </wp:inline>
        </w:drawing>
      </w:r>
    </w:p>
    <w:p w:rsidR="00DA1A6F" w:rsidRDefault="009D4FCE" w:rsidP="00A024D9">
      <w:pPr>
        <w:rPr>
          <w:rFonts w:eastAsia="Times New Roman" w:cs="Arial"/>
          <w:b/>
          <w:bCs/>
          <w:iCs/>
          <w:color w:val="9148C8"/>
          <w:szCs w:val="22"/>
          <w:highlight w:val="yellow"/>
        </w:rPr>
      </w:pPr>
      <w:r>
        <w:rPr>
          <w:rFonts w:eastAsia="Times New Roman" w:cs="Arial"/>
          <w:b/>
          <w:bCs/>
          <w:iCs/>
          <w:color w:val="9148C8"/>
          <w:szCs w:val="22"/>
          <w:highlight w:val="yellow"/>
        </w:rPr>
        <w:br w:type="page"/>
      </w:r>
    </w:p>
    <w:p w:rsidR="00396C22" w:rsidRDefault="006F75CD" w:rsidP="007B1DB6">
      <w:pPr>
        <w:pStyle w:val="Heading1"/>
        <w:rPr>
          <w:rFonts w:eastAsia="Times New Roman"/>
        </w:rPr>
      </w:pPr>
      <w:bookmarkStart w:id="226" w:name="_Toc10808423"/>
      <w:r>
        <w:rPr>
          <w:rFonts w:eastAsia="Times New Roman"/>
        </w:rPr>
        <w:lastRenderedPageBreak/>
        <w:t>A</w:t>
      </w:r>
      <w:r w:rsidR="00A024D9">
        <w:rPr>
          <w:rFonts w:eastAsia="Times New Roman"/>
        </w:rPr>
        <w:t>ppendix</w:t>
      </w:r>
      <w:r>
        <w:rPr>
          <w:rFonts w:eastAsia="Times New Roman"/>
        </w:rPr>
        <w:t xml:space="preserve"> B: </w:t>
      </w:r>
      <w:r w:rsidR="00396C22" w:rsidRPr="009E5C09">
        <w:rPr>
          <w:rFonts w:eastAsia="Times New Roman"/>
        </w:rPr>
        <w:t xml:space="preserve">Jurisdictional </w:t>
      </w:r>
      <w:r>
        <w:rPr>
          <w:rFonts w:eastAsia="Times New Roman"/>
        </w:rPr>
        <w:t>perspectives</w:t>
      </w:r>
      <w:bookmarkEnd w:id="226"/>
    </w:p>
    <w:p w:rsidR="000214BF" w:rsidRPr="009D4FCE" w:rsidRDefault="009D4FCE" w:rsidP="00E87126">
      <w:pPr>
        <w:pStyle w:val="ListParagraph"/>
        <w:keepNext/>
        <w:numPr>
          <w:ilvl w:val="0"/>
          <w:numId w:val="22"/>
        </w:numPr>
        <w:spacing w:before="240"/>
        <w:jc w:val="left"/>
        <w:outlineLvl w:val="1"/>
        <w:rPr>
          <w:rFonts w:cs="Arial"/>
          <w:b/>
          <w:bCs/>
          <w:iCs/>
          <w:szCs w:val="22"/>
        </w:rPr>
      </w:pPr>
      <w:r w:rsidRPr="009D4FCE">
        <w:rPr>
          <w:rFonts w:cs="Arial"/>
          <w:b/>
          <w:szCs w:val="22"/>
        </w:rPr>
        <w:t xml:space="preserve">Is the midwifery workforce in under or over supply from a </w:t>
      </w:r>
      <w:r w:rsidRPr="009D4FCE">
        <w:rPr>
          <w:rFonts w:cs="Arial"/>
          <w:b/>
          <w:szCs w:val="22"/>
          <w:u w:val="single"/>
        </w:rPr>
        <w:t>state/territory</w:t>
      </w:r>
      <w:r w:rsidRPr="009D4FCE">
        <w:rPr>
          <w:rFonts w:cs="Arial"/>
          <w:b/>
          <w:szCs w:val="22"/>
        </w:rPr>
        <w:t xml:space="preserve"> perspective?</w:t>
      </w:r>
    </w:p>
    <w:tbl>
      <w:tblPr>
        <w:tblStyle w:val="TableGrid2"/>
        <w:tblW w:w="0" w:type="auto"/>
        <w:tblInd w:w="-113" w:type="dxa"/>
        <w:tblLook w:val="04A0" w:firstRow="1" w:lastRow="0" w:firstColumn="1" w:lastColumn="0" w:noHBand="0" w:noVBand="1"/>
        <w:tblCaption w:val="Appendix B: Jurisdictional perspectives"/>
        <w:tblDescription w:val="1. Is the midwifery workforce in under or over supply from a state/territory perspective?&#10;Provides all state and territory prespectives if provided."/>
      </w:tblPr>
      <w:tblGrid>
        <w:gridCol w:w="4328"/>
        <w:gridCol w:w="4328"/>
      </w:tblGrid>
      <w:tr w:rsidR="009D4FCE" w:rsidRPr="000214BF" w:rsidTr="00F92344">
        <w:trPr>
          <w:tblHeader/>
        </w:trPr>
        <w:tc>
          <w:tcPr>
            <w:tcW w:w="4328" w:type="dxa"/>
            <w:tcBorders>
              <w:right w:val="nil"/>
            </w:tcBorders>
            <w:shd w:val="clear" w:color="auto" w:fill="7030A0"/>
          </w:tcPr>
          <w:p w:rsidR="009D4FCE" w:rsidRPr="009D4FCE" w:rsidRDefault="009D4FCE" w:rsidP="009D4FCE">
            <w:pPr>
              <w:rPr>
                <w:b/>
                <w:color w:val="FFFFFF" w:themeColor="background1"/>
              </w:rPr>
            </w:pPr>
            <w:r w:rsidRPr="009D4FCE">
              <w:rPr>
                <w:b/>
                <w:color w:val="FFFFFF" w:themeColor="background1"/>
              </w:rPr>
              <w:t>State/Territory point of view</w:t>
            </w:r>
          </w:p>
        </w:tc>
        <w:tc>
          <w:tcPr>
            <w:tcW w:w="4328" w:type="dxa"/>
            <w:tcBorders>
              <w:left w:val="nil"/>
            </w:tcBorders>
            <w:shd w:val="clear" w:color="auto" w:fill="7030A0"/>
          </w:tcPr>
          <w:p w:rsidR="009D4FCE" w:rsidRPr="009D4FCE" w:rsidRDefault="009D4FCE" w:rsidP="009D4FCE">
            <w:pPr>
              <w:rPr>
                <w:b/>
                <w:color w:val="FFFFFF" w:themeColor="background1"/>
              </w:rPr>
            </w:pPr>
            <w:r w:rsidRPr="009D4FCE">
              <w:rPr>
                <w:b/>
                <w:color w:val="FFFFFF" w:themeColor="background1"/>
              </w:rPr>
              <w:t>Programs or Strategies</w:t>
            </w:r>
          </w:p>
        </w:tc>
      </w:tr>
      <w:tr w:rsidR="000214BF" w:rsidRPr="000214BF" w:rsidTr="00F92344">
        <w:tc>
          <w:tcPr>
            <w:tcW w:w="4328" w:type="dxa"/>
            <w:shd w:val="clear" w:color="auto" w:fill="7030A0"/>
          </w:tcPr>
          <w:p w:rsidR="000214BF" w:rsidRPr="000214BF" w:rsidRDefault="00BF08C3" w:rsidP="000214BF">
            <w:pPr>
              <w:jc w:val="both"/>
              <w:rPr>
                <w:rFonts w:cs="Arial"/>
                <w:b/>
                <w:color w:val="FFFFFF"/>
                <w:sz w:val="20"/>
              </w:rPr>
            </w:pPr>
            <w:r>
              <w:rPr>
                <w:rFonts w:cs="Arial"/>
                <w:b/>
                <w:color w:val="FFFFFF"/>
                <w:sz w:val="20"/>
              </w:rPr>
              <w:t>ACT</w:t>
            </w:r>
            <w:r w:rsidR="000214BF" w:rsidRPr="000214BF">
              <w:rPr>
                <w:rFonts w:cs="Arial"/>
                <w:b/>
                <w:color w:val="FFFFFF"/>
                <w:sz w:val="20"/>
              </w:rPr>
              <w:t xml:space="preserve"> point of view</w:t>
            </w:r>
          </w:p>
        </w:tc>
        <w:tc>
          <w:tcPr>
            <w:tcW w:w="4328" w:type="dxa"/>
            <w:shd w:val="clear" w:color="auto" w:fill="7030A0"/>
          </w:tcPr>
          <w:p w:rsidR="000214BF" w:rsidRPr="000214BF" w:rsidRDefault="000214BF" w:rsidP="000214BF">
            <w:pPr>
              <w:jc w:val="both"/>
              <w:rPr>
                <w:rFonts w:cs="Arial"/>
                <w:b/>
                <w:color w:val="FFFFFF"/>
                <w:sz w:val="20"/>
              </w:rPr>
            </w:pPr>
            <w:r w:rsidRPr="000214BF">
              <w:rPr>
                <w:rFonts w:cs="Arial"/>
                <w:b/>
                <w:color w:val="FFFFFF"/>
                <w:sz w:val="20"/>
              </w:rPr>
              <w:t>Programs or strategies to address the situation</w:t>
            </w:r>
          </w:p>
        </w:tc>
      </w:tr>
      <w:tr w:rsidR="000214BF" w:rsidRPr="000214BF" w:rsidTr="009D4FCE">
        <w:tc>
          <w:tcPr>
            <w:tcW w:w="4328" w:type="dxa"/>
          </w:tcPr>
          <w:p w:rsidR="0061039D" w:rsidRPr="0061039D" w:rsidRDefault="0061039D" w:rsidP="002B7E32">
            <w:pPr>
              <w:numPr>
                <w:ilvl w:val="0"/>
                <w:numId w:val="21"/>
              </w:numPr>
              <w:contextualSpacing/>
              <w:jc w:val="both"/>
              <w:rPr>
                <w:rFonts w:cs="Arial"/>
                <w:sz w:val="20"/>
              </w:rPr>
            </w:pPr>
            <w:r w:rsidRPr="0061039D">
              <w:rPr>
                <w:rFonts w:cs="Arial"/>
                <w:sz w:val="20"/>
              </w:rPr>
              <w:t>Undersupply of experienced midwives, leading to skill mix challenges</w:t>
            </w:r>
          </w:p>
          <w:p w:rsidR="000214BF" w:rsidRPr="000214BF" w:rsidRDefault="0061039D" w:rsidP="002B7E32">
            <w:pPr>
              <w:numPr>
                <w:ilvl w:val="0"/>
                <w:numId w:val="21"/>
              </w:numPr>
              <w:contextualSpacing/>
              <w:jc w:val="both"/>
              <w:rPr>
                <w:rFonts w:cs="Arial"/>
                <w:sz w:val="20"/>
              </w:rPr>
            </w:pPr>
            <w:r w:rsidRPr="0061039D">
              <w:rPr>
                <w:rFonts w:cs="Arial"/>
                <w:sz w:val="20"/>
              </w:rPr>
              <w:t>Good supply of new graduate midwives from local university</w:t>
            </w:r>
          </w:p>
        </w:tc>
        <w:tc>
          <w:tcPr>
            <w:tcW w:w="4328" w:type="dxa"/>
          </w:tcPr>
          <w:p w:rsidR="0061039D" w:rsidRPr="0061039D" w:rsidRDefault="0061039D" w:rsidP="002B7E32">
            <w:pPr>
              <w:numPr>
                <w:ilvl w:val="0"/>
                <w:numId w:val="21"/>
              </w:numPr>
              <w:contextualSpacing/>
              <w:jc w:val="both"/>
              <w:rPr>
                <w:rFonts w:cs="Arial"/>
                <w:sz w:val="20"/>
              </w:rPr>
            </w:pPr>
            <w:r w:rsidRPr="0061039D">
              <w:rPr>
                <w:rFonts w:cs="Arial"/>
                <w:sz w:val="20"/>
              </w:rPr>
              <w:t>Targeted national and international recruitment strategy for experienced midwives (&gt;5yrs experience)</w:t>
            </w:r>
            <w:r w:rsidR="000E381A">
              <w:rPr>
                <w:rFonts w:cs="Arial"/>
                <w:sz w:val="20"/>
              </w:rPr>
              <w:t>.</w:t>
            </w:r>
          </w:p>
          <w:p w:rsidR="0061039D" w:rsidRPr="0061039D" w:rsidRDefault="0061039D" w:rsidP="002B7E32">
            <w:pPr>
              <w:numPr>
                <w:ilvl w:val="0"/>
                <w:numId w:val="21"/>
              </w:numPr>
              <w:contextualSpacing/>
              <w:jc w:val="both"/>
              <w:rPr>
                <w:rFonts w:cs="Arial"/>
                <w:sz w:val="20"/>
              </w:rPr>
            </w:pPr>
            <w:r w:rsidRPr="0061039D">
              <w:rPr>
                <w:rFonts w:cs="Arial"/>
                <w:sz w:val="20"/>
              </w:rPr>
              <w:t>Increased number of new graduate places available</w:t>
            </w:r>
            <w:r w:rsidR="000E381A">
              <w:rPr>
                <w:rFonts w:cs="Arial"/>
                <w:sz w:val="20"/>
              </w:rPr>
              <w:t>.</w:t>
            </w:r>
          </w:p>
          <w:p w:rsidR="0061039D" w:rsidRPr="0061039D" w:rsidRDefault="0061039D" w:rsidP="002B7E32">
            <w:pPr>
              <w:numPr>
                <w:ilvl w:val="0"/>
                <w:numId w:val="21"/>
              </w:numPr>
              <w:contextualSpacing/>
              <w:jc w:val="both"/>
              <w:rPr>
                <w:rFonts w:cs="Arial"/>
                <w:sz w:val="20"/>
              </w:rPr>
            </w:pPr>
            <w:r w:rsidRPr="0061039D">
              <w:rPr>
                <w:rFonts w:cs="Arial"/>
                <w:sz w:val="20"/>
              </w:rPr>
              <w:t>Extension of new graduate program (2nd year) to support transition in Midwifery Group Practice (MGP) models</w:t>
            </w:r>
            <w:r w:rsidR="000E381A">
              <w:rPr>
                <w:rFonts w:cs="Arial"/>
                <w:sz w:val="20"/>
              </w:rPr>
              <w:t>.</w:t>
            </w:r>
          </w:p>
          <w:p w:rsidR="000214BF" w:rsidRDefault="0061039D" w:rsidP="002B7E32">
            <w:pPr>
              <w:numPr>
                <w:ilvl w:val="0"/>
                <w:numId w:val="21"/>
              </w:numPr>
              <w:contextualSpacing/>
              <w:jc w:val="both"/>
              <w:rPr>
                <w:rFonts w:cs="Arial"/>
                <w:sz w:val="20"/>
              </w:rPr>
            </w:pPr>
            <w:r w:rsidRPr="0061039D">
              <w:rPr>
                <w:rFonts w:cs="Arial"/>
                <w:sz w:val="20"/>
              </w:rPr>
              <w:t>Reintroduction of post graduate midwifery course at local university, incorporating an employment model</w:t>
            </w:r>
            <w:r w:rsidR="000E381A">
              <w:rPr>
                <w:rFonts w:cs="Arial"/>
                <w:sz w:val="20"/>
              </w:rPr>
              <w:t>.</w:t>
            </w:r>
          </w:p>
          <w:p w:rsidR="007E6FAB" w:rsidRPr="000214BF" w:rsidRDefault="007E6FAB" w:rsidP="007E6FAB">
            <w:pPr>
              <w:ind w:left="360"/>
              <w:contextualSpacing/>
              <w:jc w:val="both"/>
              <w:rPr>
                <w:rFonts w:cs="Arial"/>
                <w:sz w:val="20"/>
              </w:rPr>
            </w:pPr>
          </w:p>
        </w:tc>
      </w:tr>
      <w:tr w:rsidR="00BF08C3" w:rsidRPr="000214BF" w:rsidTr="00F92344">
        <w:tc>
          <w:tcPr>
            <w:tcW w:w="4328" w:type="dxa"/>
            <w:shd w:val="clear" w:color="auto" w:fill="7030A0"/>
          </w:tcPr>
          <w:p w:rsidR="00BF08C3" w:rsidRPr="000214BF" w:rsidRDefault="00BF08C3" w:rsidP="00BF08C3">
            <w:pPr>
              <w:jc w:val="both"/>
              <w:rPr>
                <w:rFonts w:cs="Arial"/>
                <w:b/>
                <w:color w:val="FFFFFF"/>
                <w:sz w:val="20"/>
              </w:rPr>
            </w:pPr>
            <w:r>
              <w:rPr>
                <w:rFonts w:cs="Arial"/>
                <w:b/>
                <w:color w:val="FFFFFF"/>
                <w:sz w:val="20"/>
              </w:rPr>
              <w:t xml:space="preserve">NSW </w:t>
            </w:r>
            <w:r w:rsidRPr="000214BF">
              <w:rPr>
                <w:rFonts w:cs="Arial"/>
                <w:b/>
                <w:color w:val="FFFFFF"/>
                <w:sz w:val="20"/>
              </w:rPr>
              <w:t>point of view</w:t>
            </w:r>
          </w:p>
        </w:tc>
        <w:tc>
          <w:tcPr>
            <w:tcW w:w="4328" w:type="dxa"/>
            <w:shd w:val="clear" w:color="auto" w:fill="7030A0"/>
          </w:tcPr>
          <w:p w:rsidR="00BF08C3" w:rsidRPr="000214BF" w:rsidRDefault="00BF08C3" w:rsidP="00BF08C3">
            <w:pPr>
              <w:jc w:val="both"/>
              <w:rPr>
                <w:rFonts w:cs="Arial"/>
                <w:b/>
                <w:color w:val="FFFFFF"/>
                <w:sz w:val="20"/>
              </w:rPr>
            </w:pPr>
            <w:r w:rsidRPr="000214BF">
              <w:rPr>
                <w:rFonts w:cs="Arial"/>
                <w:b/>
                <w:color w:val="FFFFFF"/>
                <w:sz w:val="20"/>
              </w:rPr>
              <w:t>Programs or strategies to address the situation</w:t>
            </w:r>
          </w:p>
        </w:tc>
      </w:tr>
      <w:tr w:rsidR="00BF08C3" w:rsidRPr="000214BF" w:rsidTr="009D4FCE">
        <w:tc>
          <w:tcPr>
            <w:tcW w:w="4328" w:type="dxa"/>
          </w:tcPr>
          <w:p w:rsidR="00BF08C3" w:rsidRPr="00B1555C" w:rsidRDefault="00004CB2" w:rsidP="002B7E32">
            <w:pPr>
              <w:pStyle w:val="ListParagraph"/>
              <w:numPr>
                <w:ilvl w:val="0"/>
                <w:numId w:val="25"/>
              </w:numPr>
              <w:spacing w:after="0"/>
              <w:rPr>
                <w:rFonts w:cs="Arial"/>
                <w:sz w:val="20"/>
              </w:rPr>
            </w:pPr>
            <w:r w:rsidRPr="00B1555C">
              <w:rPr>
                <w:rFonts w:cs="Arial"/>
                <w:sz w:val="20"/>
              </w:rPr>
              <w:t>There is not a shortage of midwives in NSW but we know there are workforce challenges in some districts associated mainly with population growth.</w:t>
            </w:r>
          </w:p>
        </w:tc>
        <w:tc>
          <w:tcPr>
            <w:tcW w:w="4328" w:type="dxa"/>
          </w:tcPr>
          <w:p w:rsidR="00004CB2" w:rsidRPr="00004CB2" w:rsidRDefault="00004CB2" w:rsidP="002B7E32">
            <w:pPr>
              <w:numPr>
                <w:ilvl w:val="0"/>
                <w:numId w:val="21"/>
              </w:numPr>
              <w:contextualSpacing/>
              <w:jc w:val="both"/>
              <w:rPr>
                <w:rFonts w:cs="Arial"/>
                <w:sz w:val="20"/>
              </w:rPr>
            </w:pPr>
            <w:r w:rsidRPr="00004CB2">
              <w:rPr>
                <w:rFonts w:cs="Arial"/>
                <w:sz w:val="20"/>
              </w:rPr>
              <w:t>Local Health Districts use a range of strategies to ensure the required staffing is provided across the whole of a maternity services.</w:t>
            </w:r>
          </w:p>
          <w:p w:rsidR="00004CB2" w:rsidRPr="00004CB2" w:rsidRDefault="00004CB2" w:rsidP="002B7E32">
            <w:pPr>
              <w:numPr>
                <w:ilvl w:val="0"/>
                <w:numId w:val="21"/>
              </w:numPr>
              <w:contextualSpacing/>
              <w:jc w:val="both"/>
              <w:rPr>
                <w:rFonts w:cs="Arial"/>
                <w:sz w:val="20"/>
              </w:rPr>
            </w:pPr>
            <w:r w:rsidRPr="00004CB2">
              <w:rPr>
                <w:rFonts w:cs="Arial"/>
                <w:sz w:val="20"/>
              </w:rPr>
              <w:t>Vacancies are advertised by Local Health Districts when they occur.</w:t>
            </w:r>
          </w:p>
          <w:p w:rsidR="00004CB2" w:rsidRPr="00004CB2" w:rsidRDefault="00004CB2" w:rsidP="002B7E32">
            <w:pPr>
              <w:numPr>
                <w:ilvl w:val="0"/>
                <w:numId w:val="21"/>
              </w:numPr>
              <w:contextualSpacing/>
              <w:jc w:val="both"/>
              <w:rPr>
                <w:rFonts w:cs="Arial"/>
                <w:sz w:val="20"/>
              </w:rPr>
            </w:pPr>
            <w:r w:rsidRPr="00004CB2">
              <w:rPr>
                <w:rFonts w:cs="Arial"/>
                <w:sz w:val="20"/>
              </w:rPr>
              <w:t>Temporary vacancies fluctuate and occur for a number of reasons including maternity leave, long service leave and secondments. These vacancies are backfilled by utilisation of casual, part-time and agency staff, as well as recruitment.</w:t>
            </w:r>
          </w:p>
          <w:p w:rsidR="00004CB2" w:rsidRPr="00004CB2" w:rsidRDefault="00004CB2" w:rsidP="002B7E32">
            <w:pPr>
              <w:numPr>
                <w:ilvl w:val="0"/>
                <w:numId w:val="21"/>
              </w:numPr>
              <w:contextualSpacing/>
              <w:jc w:val="both"/>
              <w:rPr>
                <w:rFonts w:cs="Arial"/>
                <w:sz w:val="20"/>
              </w:rPr>
            </w:pPr>
            <w:r w:rsidRPr="00004CB2">
              <w:rPr>
                <w:rFonts w:cs="Arial"/>
                <w:sz w:val="20"/>
              </w:rPr>
              <w:t>As well as recruitment, Local Health Districts have a range of strategies to ensure that maternity staffing requirements are met, including using casually-employed and part-time staff when needed.</w:t>
            </w:r>
          </w:p>
          <w:p w:rsidR="00BF08C3" w:rsidRDefault="00004CB2" w:rsidP="002B7E32">
            <w:pPr>
              <w:numPr>
                <w:ilvl w:val="0"/>
                <w:numId w:val="21"/>
              </w:numPr>
              <w:contextualSpacing/>
              <w:jc w:val="both"/>
              <w:rPr>
                <w:rFonts w:cs="Arial"/>
                <w:sz w:val="20"/>
              </w:rPr>
            </w:pPr>
            <w:r w:rsidRPr="00004CB2">
              <w:rPr>
                <w:rFonts w:cs="Arial"/>
                <w:sz w:val="20"/>
              </w:rPr>
              <w:t>When planning their future midwifery workforce, Maternity services consider population growth and changes in complexity.  Strategies to meet workforce requirements include employment of graduate midwives and postgraduate midwifery training places for registered nurses.</w:t>
            </w:r>
          </w:p>
          <w:p w:rsidR="007E6FAB" w:rsidRPr="000214BF" w:rsidRDefault="007E6FAB" w:rsidP="007E6FAB">
            <w:pPr>
              <w:ind w:left="360"/>
              <w:contextualSpacing/>
              <w:jc w:val="both"/>
              <w:rPr>
                <w:rFonts w:cs="Arial"/>
                <w:sz w:val="20"/>
              </w:rPr>
            </w:pPr>
          </w:p>
        </w:tc>
      </w:tr>
      <w:tr w:rsidR="00BF08C3" w:rsidRPr="000214BF" w:rsidTr="00F92344">
        <w:tc>
          <w:tcPr>
            <w:tcW w:w="4328" w:type="dxa"/>
            <w:shd w:val="clear" w:color="auto" w:fill="7030A0"/>
          </w:tcPr>
          <w:p w:rsidR="00BF08C3" w:rsidRPr="000214BF" w:rsidRDefault="00BF08C3" w:rsidP="00BF08C3">
            <w:pPr>
              <w:jc w:val="both"/>
              <w:rPr>
                <w:rFonts w:cs="Arial"/>
                <w:b/>
                <w:color w:val="FFFFFF"/>
                <w:sz w:val="20"/>
              </w:rPr>
            </w:pPr>
            <w:r>
              <w:rPr>
                <w:rFonts w:cs="Arial"/>
                <w:b/>
                <w:color w:val="FFFFFF"/>
                <w:sz w:val="20"/>
              </w:rPr>
              <w:t xml:space="preserve">Northern Territory </w:t>
            </w:r>
            <w:r w:rsidRPr="000214BF">
              <w:rPr>
                <w:rFonts w:cs="Arial"/>
                <w:b/>
                <w:color w:val="FFFFFF"/>
                <w:sz w:val="20"/>
              </w:rPr>
              <w:t>point of view</w:t>
            </w:r>
          </w:p>
        </w:tc>
        <w:tc>
          <w:tcPr>
            <w:tcW w:w="4328" w:type="dxa"/>
            <w:shd w:val="clear" w:color="auto" w:fill="7030A0"/>
          </w:tcPr>
          <w:p w:rsidR="00BF08C3" w:rsidRPr="000214BF" w:rsidRDefault="00BF08C3" w:rsidP="00BF08C3">
            <w:pPr>
              <w:jc w:val="both"/>
              <w:rPr>
                <w:rFonts w:cs="Arial"/>
                <w:b/>
                <w:color w:val="FFFFFF"/>
                <w:sz w:val="20"/>
              </w:rPr>
            </w:pPr>
            <w:r w:rsidRPr="000214BF">
              <w:rPr>
                <w:rFonts w:cs="Arial"/>
                <w:b/>
                <w:color w:val="FFFFFF"/>
                <w:sz w:val="20"/>
              </w:rPr>
              <w:t>Programs or strategies to address the situation</w:t>
            </w:r>
          </w:p>
        </w:tc>
      </w:tr>
      <w:tr w:rsidR="00BF08C3" w:rsidRPr="000214BF" w:rsidTr="009D4FCE">
        <w:tc>
          <w:tcPr>
            <w:tcW w:w="4328" w:type="dxa"/>
          </w:tcPr>
          <w:p w:rsidR="00BF08C3" w:rsidRPr="00B1555C" w:rsidRDefault="00173A66" w:rsidP="002B7E32">
            <w:pPr>
              <w:pStyle w:val="ListParagraph"/>
              <w:numPr>
                <w:ilvl w:val="0"/>
                <w:numId w:val="26"/>
              </w:numPr>
              <w:spacing w:after="0"/>
              <w:rPr>
                <w:rFonts w:cs="Arial"/>
                <w:sz w:val="20"/>
              </w:rPr>
            </w:pPr>
            <w:r w:rsidRPr="00B1555C">
              <w:rPr>
                <w:rFonts w:cs="Arial"/>
                <w:sz w:val="20"/>
              </w:rPr>
              <w:t>Supply is mostly adequate</w:t>
            </w:r>
          </w:p>
        </w:tc>
        <w:tc>
          <w:tcPr>
            <w:tcW w:w="4328" w:type="dxa"/>
          </w:tcPr>
          <w:p w:rsidR="003D2DC0" w:rsidRPr="007E6FAB" w:rsidRDefault="00173A66" w:rsidP="003D2DC0">
            <w:pPr>
              <w:numPr>
                <w:ilvl w:val="0"/>
                <w:numId w:val="21"/>
              </w:numPr>
              <w:contextualSpacing/>
              <w:jc w:val="both"/>
              <w:rPr>
                <w:rFonts w:cs="Arial"/>
                <w:sz w:val="20"/>
              </w:rPr>
            </w:pPr>
            <w:r w:rsidRPr="00173A66">
              <w:rPr>
                <w:rFonts w:cs="Arial"/>
                <w:sz w:val="20"/>
              </w:rPr>
              <w:t>Incentives to work in NT: accommodation assistance, remote area safety initiatives (vehicle GPS, vehicle locking, Internet access), midwifery group practice, new EBA entitlements, short term contracts (versus Agency)</w:t>
            </w:r>
            <w:r w:rsidR="000E381A">
              <w:rPr>
                <w:rFonts w:cs="Arial"/>
                <w:sz w:val="20"/>
              </w:rPr>
              <w:t>.</w:t>
            </w:r>
          </w:p>
          <w:p w:rsidR="003D2DC0" w:rsidRPr="000214BF" w:rsidRDefault="003D2DC0" w:rsidP="003D2DC0">
            <w:pPr>
              <w:contextualSpacing/>
              <w:jc w:val="both"/>
              <w:rPr>
                <w:rFonts w:cs="Arial"/>
                <w:sz w:val="20"/>
              </w:rPr>
            </w:pPr>
          </w:p>
        </w:tc>
      </w:tr>
      <w:tr w:rsidR="003D2DC0" w:rsidRPr="000214BF" w:rsidTr="00F92344">
        <w:tc>
          <w:tcPr>
            <w:tcW w:w="4328" w:type="dxa"/>
            <w:shd w:val="clear" w:color="auto" w:fill="7030A0"/>
          </w:tcPr>
          <w:p w:rsidR="003D2DC0" w:rsidRDefault="003D2DC0" w:rsidP="00BF08C3">
            <w:pPr>
              <w:jc w:val="both"/>
              <w:rPr>
                <w:rFonts w:cs="Arial"/>
                <w:b/>
                <w:color w:val="FFFFFF"/>
                <w:sz w:val="20"/>
              </w:rPr>
            </w:pPr>
            <w:r>
              <w:rPr>
                <w:rFonts w:cs="Arial"/>
                <w:b/>
                <w:color w:val="FFFFFF"/>
                <w:sz w:val="20"/>
              </w:rPr>
              <w:lastRenderedPageBreak/>
              <w:t xml:space="preserve">Queensland point of view </w:t>
            </w:r>
          </w:p>
        </w:tc>
        <w:tc>
          <w:tcPr>
            <w:tcW w:w="4328" w:type="dxa"/>
            <w:shd w:val="clear" w:color="auto" w:fill="7030A0"/>
          </w:tcPr>
          <w:p w:rsidR="003D2DC0" w:rsidRPr="000214BF" w:rsidRDefault="003D2DC0" w:rsidP="00BF08C3">
            <w:pPr>
              <w:jc w:val="both"/>
              <w:rPr>
                <w:rFonts w:cs="Arial"/>
                <w:b/>
                <w:color w:val="FFFFFF"/>
                <w:sz w:val="20"/>
              </w:rPr>
            </w:pPr>
            <w:r w:rsidRPr="000214BF">
              <w:rPr>
                <w:rFonts w:cs="Arial"/>
                <w:b/>
                <w:color w:val="FFFFFF"/>
                <w:sz w:val="20"/>
              </w:rPr>
              <w:t>Programs or strategies to address the situation</w:t>
            </w:r>
          </w:p>
        </w:tc>
      </w:tr>
      <w:tr w:rsidR="003D2DC0" w:rsidRPr="000214BF" w:rsidTr="009D4FCE">
        <w:tc>
          <w:tcPr>
            <w:tcW w:w="4328" w:type="dxa"/>
            <w:shd w:val="clear" w:color="auto" w:fill="auto"/>
          </w:tcPr>
          <w:p w:rsidR="003D2DC0" w:rsidRPr="003D2DC0" w:rsidRDefault="003D2DC0" w:rsidP="003423C0">
            <w:pPr>
              <w:numPr>
                <w:ilvl w:val="0"/>
                <w:numId w:val="54"/>
              </w:numPr>
              <w:ind w:left="376" w:hanging="376"/>
              <w:contextualSpacing/>
              <w:jc w:val="both"/>
              <w:rPr>
                <w:rFonts w:cs="Arial"/>
                <w:sz w:val="20"/>
              </w:rPr>
            </w:pPr>
            <w:r w:rsidRPr="003D2DC0">
              <w:rPr>
                <w:rFonts w:cs="Arial"/>
                <w:sz w:val="20"/>
              </w:rPr>
              <w:t>The birth-rate for Queensland dropped by around one per cent from 2016 (62,227) to 2017 (61,639).</w:t>
            </w:r>
          </w:p>
          <w:p w:rsidR="003D2DC0" w:rsidRPr="003D2DC0" w:rsidRDefault="003D2DC0" w:rsidP="003D2DC0">
            <w:pPr>
              <w:ind w:left="376" w:hanging="376"/>
              <w:jc w:val="both"/>
              <w:rPr>
                <w:rFonts w:cs="Arial"/>
                <w:sz w:val="20"/>
              </w:rPr>
            </w:pPr>
          </w:p>
          <w:p w:rsidR="003D2DC0" w:rsidRPr="003D2DC0" w:rsidRDefault="003D2DC0" w:rsidP="003423C0">
            <w:pPr>
              <w:numPr>
                <w:ilvl w:val="0"/>
                <w:numId w:val="54"/>
              </w:numPr>
              <w:ind w:left="376" w:hanging="376"/>
              <w:contextualSpacing/>
              <w:jc w:val="both"/>
              <w:rPr>
                <w:rFonts w:cs="Arial"/>
                <w:sz w:val="20"/>
              </w:rPr>
            </w:pPr>
            <w:r w:rsidRPr="003D2DC0">
              <w:rPr>
                <w:rFonts w:cs="Arial"/>
                <w:sz w:val="20"/>
              </w:rPr>
              <w:t>The number of midwives graduating from undergraduate midwifery degrees increased by 40% from 2015 (127) to 2016 (178).</w:t>
            </w:r>
          </w:p>
          <w:p w:rsidR="003D2DC0" w:rsidRPr="003D2DC0" w:rsidRDefault="003D2DC0" w:rsidP="003D2DC0">
            <w:pPr>
              <w:jc w:val="both"/>
              <w:rPr>
                <w:rFonts w:cs="Arial"/>
                <w:sz w:val="20"/>
              </w:rPr>
            </w:pPr>
          </w:p>
          <w:p w:rsidR="003D2DC0" w:rsidRPr="003D2DC0" w:rsidRDefault="003D2DC0" w:rsidP="003D2DC0">
            <w:pPr>
              <w:jc w:val="both"/>
              <w:rPr>
                <w:rFonts w:cs="Arial"/>
                <w:sz w:val="20"/>
              </w:rPr>
            </w:pPr>
            <w:r w:rsidRPr="003D2DC0">
              <w:rPr>
                <w:rFonts w:cs="Arial"/>
                <w:sz w:val="20"/>
              </w:rPr>
              <w:t>According to the Labour Economics Office Queensland within the Department of Jobs and Small Business as of June 2018, the midwifery workforce is in balance from a state perspective. The majority of employers are able to fill their vacancies with suitable and qualified applicants in both metropolitan and regional areas. This indicates there is no shortage at a state level.</w:t>
            </w:r>
          </w:p>
          <w:p w:rsidR="003D2DC0" w:rsidRDefault="003D2DC0" w:rsidP="00BF08C3">
            <w:pPr>
              <w:jc w:val="both"/>
              <w:rPr>
                <w:rFonts w:cs="Arial"/>
                <w:b/>
                <w:color w:val="FFFFFF"/>
                <w:sz w:val="20"/>
              </w:rPr>
            </w:pPr>
          </w:p>
        </w:tc>
        <w:tc>
          <w:tcPr>
            <w:tcW w:w="4328" w:type="dxa"/>
            <w:shd w:val="clear" w:color="auto" w:fill="auto"/>
          </w:tcPr>
          <w:p w:rsidR="003D2DC0" w:rsidRPr="003D2DC0" w:rsidRDefault="003D2DC0" w:rsidP="003D2DC0">
            <w:pPr>
              <w:numPr>
                <w:ilvl w:val="0"/>
                <w:numId w:val="21"/>
              </w:numPr>
              <w:contextualSpacing/>
              <w:jc w:val="both"/>
              <w:rPr>
                <w:rFonts w:cs="Arial"/>
                <w:sz w:val="20"/>
              </w:rPr>
            </w:pPr>
            <w:r w:rsidRPr="003D2DC0">
              <w:rPr>
                <w:rFonts w:cs="Arial"/>
                <w:sz w:val="20"/>
              </w:rPr>
              <w:t>The Office of the Chief Nursing and Midwifery Officer (OCNMO) is the Queensland Government's principal advisor on all matters relating to nursing and midwifery services.</w:t>
            </w:r>
          </w:p>
          <w:p w:rsidR="003D2DC0" w:rsidRPr="003D2DC0" w:rsidRDefault="003D2DC0" w:rsidP="003D2DC0">
            <w:pPr>
              <w:ind w:left="360"/>
              <w:contextualSpacing/>
              <w:jc w:val="both"/>
              <w:rPr>
                <w:rFonts w:cs="Arial"/>
                <w:sz w:val="20"/>
              </w:rPr>
            </w:pPr>
          </w:p>
          <w:p w:rsidR="003D2DC0" w:rsidRPr="003D2DC0" w:rsidRDefault="003D2DC0" w:rsidP="003D2DC0">
            <w:pPr>
              <w:ind w:left="360"/>
              <w:contextualSpacing/>
              <w:jc w:val="both"/>
              <w:rPr>
                <w:rFonts w:cs="Arial"/>
                <w:sz w:val="20"/>
              </w:rPr>
            </w:pPr>
            <w:r w:rsidRPr="003D2DC0">
              <w:rPr>
                <w:rFonts w:cs="Arial"/>
                <w:sz w:val="20"/>
              </w:rPr>
              <w:t>Their strategic priorities include:</w:t>
            </w:r>
          </w:p>
          <w:p w:rsidR="003D2DC0" w:rsidRPr="003D2DC0" w:rsidRDefault="003D2DC0" w:rsidP="003D2DC0">
            <w:pPr>
              <w:numPr>
                <w:ilvl w:val="0"/>
                <w:numId w:val="21"/>
              </w:numPr>
              <w:spacing w:after="120"/>
              <w:ind w:left="357" w:hanging="357"/>
              <w:jc w:val="both"/>
              <w:rPr>
                <w:rFonts w:cs="Arial"/>
                <w:sz w:val="20"/>
              </w:rPr>
            </w:pPr>
            <w:r w:rsidRPr="003D2DC0">
              <w:rPr>
                <w:rFonts w:cs="Arial"/>
                <w:sz w:val="20"/>
              </w:rPr>
              <w:t>Strengthen the health system and optimise service provision through the promotion of safe and economically sustainable models of care with midwives working to full scope of practice.</w:t>
            </w:r>
          </w:p>
          <w:p w:rsidR="003D2DC0" w:rsidRPr="003D2DC0" w:rsidRDefault="003D2DC0" w:rsidP="003D2DC0">
            <w:pPr>
              <w:numPr>
                <w:ilvl w:val="0"/>
                <w:numId w:val="21"/>
              </w:numPr>
              <w:spacing w:after="120"/>
              <w:ind w:left="357" w:hanging="357"/>
              <w:jc w:val="both"/>
              <w:rPr>
                <w:rFonts w:cs="Arial"/>
                <w:sz w:val="20"/>
              </w:rPr>
            </w:pPr>
            <w:r w:rsidRPr="003D2DC0">
              <w:rPr>
                <w:rFonts w:cs="Arial"/>
                <w:sz w:val="20"/>
              </w:rPr>
              <w:t>Promote best practice continuity of midwifery carer models and policy to support government directions and to maximise public investment across Queensland.</w:t>
            </w:r>
          </w:p>
          <w:p w:rsidR="003D2DC0" w:rsidRPr="003D2DC0" w:rsidRDefault="003D2DC0" w:rsidP="003D2DC0">
            <w:pPr>
              <w:numPr>
                <w:ilvl w:val="0"/>
                <w:numId w:val="21"/>
              </w:numPr>
              <w:spacing w:after="120"/>
              <w:ind w:left="357" w:hanging="357"/>
              <w:jc w:val="both"/>
              <w:rPr>
                <w:rFonts w:cs="Arial"/>
                <w:sz w:val="20"/>
              </w:rPr>
            </w:pPr>
            <w:r w:rsidRPr="003D2DC0">
              <w:rPr>
                <w:rFonts w:cs="Arial"/>
                <w:sz w:val="20"/>
              </w:rPr>
              <w:t>Enhance productivity, capacity and capability through learning and development opportunities, the utilisation of data intelligence, and promoting the impact of midwives.</w:t>
            </w:r>
          </w:p>
          <w:p w:rsidR="003D2DC0" w:rsidRDefault="003D2DC0" w:rsidP="003D2DC0">
            <w:pPr>
              <w:numPr>
                <w:ilvl w:val="0"/>
                <w:numId w:val="21"/>
              </w:numPr>
              <w:spacing w:after="120"/>
              <w:ind w:left="357" w:hanging="357"/>
              <w:jc w:val="both"/>
              <w:rPr>
                <w:rFonts w:cs="Arial"/>
                <w:sz w:val="20"/>
              </w:rPr>
            </w:pPr>
            <w:r w:rsidRPr="003D2DC0">
              <w:rPr>
                <w:rFonts w:cs="Arial"/>
                <w:sz w:val="20"/>
              </w:rPr>
              <w:t>Enable and influence across the health sector to inform and drive innovative change that meets community need.</w:t>
            </w:r>
          </w:p>
          <w:p w:rsidR="003D2DC0" w:rsidRPr="003D2DC0" w:rsidRDefault="003D2DC0" w:rsidP="003D2DC0">
            <w:pPr>
              <w:numPr>
                <w:ilvl w:val="0"/>
                <w:numId w:val="21"/>
              </w:numPr>
              <w:spacing w:after="120"/>
              <w:ind w:left="357" w:hanging="357"/>
              <w:jc w:val="both"/>
              <w:rPr>
                <w:rFonts w:cs="Arial"/>
                <w:sz w:val="20"/>
              </w:rPr>
            </w:pPr>
            <w:r w:rsidRPr="003D2DC0">
              <w:rPr>
                <w:rFonts w:eastAsiaTheme="minorHAnsi" w:cs="Arial"/>
                <w:sz w:val="20"/>
                <w:lang w:eastAsia="en-US"/>
              </w:rPr>
              <w:t>Position the Office of the Chief Nursing and Midwifery Office, as an agent for change across public and private health sectors for improved services to Queenslanders.</w:t>
            </w:r>
          </w:p>
        </w:tc>
      </w:tr>
      <w:tr w:rsidR="007A53DD" w:rsidRPr="000214BF" w:rsidTr="00F92344">
        <w:tc>
          <w:tcPr>
            <w:tcW w:w="4328" w:type="dxa"/>
            <w:shd w:val="clear" w:color="auto" w:fill="7030A0"/>
          </w:tcPr>
          <w:p w:rsidR="007A53DD" w:rsidRDefault="007E6FAB" w:rsidP="007A53DD">
            <w:pPr>
              <w:jc w:val="both"/>
              <w:rPr>
                <w:rFonts w:cs="Arial"/>
                <w:b/>
                <w:color w:val="FFFFFF"/>
                <w:sz w:val="20"/>
              </w:rPr>
            </w:pPr>
            <w:r>
              <w:rPr>
                <w:rFonts w:cs="Arial"/>
                <w:b/>
                <w:color w:val="FFFFFF"/>
                <w:sz w:val="20"/>
              </w:rPr>
              <w:t>South Australia</w:t>
            </w:r>
            <w:r w:rsidR="007A53DD" w:rsidRPr="000214BF">
              <w:rPr>
                <w:rFonts w:cs="Arial"/>
                <w:b/>
                <w:color w:val="FFFFFF"/>
                <w:sz w:val="20"/>
              </w:rPr>
              <w:t xml:space="preserve"> point of view</w:t>
            </w:r>
          </w:p>
        </w:tc>
        <w:tc>
          <w:tcPr>
            <w:tcW w:w="4328" w:type="dxa"/>
            <w:shd w:val="clear" w:color="auto" w:fill="7030A0"/>
          </w:tcPr>
          <w:p w:rsidR="007A53DD" w:rsidRPr="000214BF" w:rsidRDefault="007A53DD" w:rsidP="007A53DD">
            <w:pPr>
              <w:jc w:val="both"/>
              <w:rPr>
                <w:rFonts w:cs="Arial"/>
                <w:b/>
                <w:color w:val="FFFFFF"/>
                <w:sz w:val="20"/>
              </w:rPr>
            </w:pPr>
            <w:r w:rsidRPr="000214BF">
              <w:rPr>
                <w:rFonts w:cs="Arial"/>
                <w:b/>
                <w:color w:val="FFFFFF"/>
                <w:sz w:val="20"/>
              </w:rPr>
              <w:t>Programs or strategies to address the situation</w:t>
            </w:r>
          </w:p>
        </w:tc>
      </w:tr>
      <w:tr w:rsidR="007A53DD" w:rsidRPr="000214BF" w:rsidTr="009D4FCE">
        <w:tc>
          <w:tcPr>
            <w:tcW w:w="4328" w:type="dxa"/>
          </w:tcPr>
          <w:p w:rsidR="007A53DD" w:rsidRPr="00CF5B4D" w:rsidRDefault="007A53DD" w:rsidP="007A53DD">
            <w:pPr>
              <w:pStyle w:val="ListParagraph"/>
              <w:numPr>
                <w:ilvl w:val="0"/>
                <w:numId w:val="21"/>
              </w:numPr>
              <w:spacing w:after="0"/>
              <w:rPr>
                <w:rFonts w:cs="Arial"/>
                <w:sz w:val="20"/>
              </w:rPr>
            </w:pPr>
            <w:r w:rsidRPr="00CF5B4D">
              <w:rPr>
                <w:rFonts w:cs="Arial"/>
                <w:sz w:val="20"/>
              </w:rPr>
              <w:t>There has been an oversupply of midwives in SA due to an increase in the number of graduate midwives applying to enter the workforce.</w:t>
            </w:r>
          </w:p>
          <w:p w:rsidR="007A53DD" w:rsidRPr="00CF5B4D" w:rsidRDefault="007A53DD" w:rsidP="007A53DD">
            <w:pPr>
              <w:pStyle w:val="ListParagraph"/>
              <w:numPr>
                <w:ilvl w:val="0"/>
                <w:numId w:val="21"/>
              </w:numPr>
              <w:spacing w:after="0"/>
              <w:rPr>
                <w:rFonts w:cs="Arial"/>
                <w:sz w:val="20"/>
              </w:rPr>
            </w:pPr>
            <w:r w:rsidRPr="00CF5B4D">
              <w:rPr>
                <w:rFonts w:cs="Arial"/>
                <w:sz w:val="20"/>
              </w:rPr>
              <w:t xml:space="preserve">Of the three major universities in SA, two offer midwifery programs of study.  The uncapping of midwifery student places in universities has resulted in more students graduating than there are graduate positions available in the SA midwifery workforce on a yearly basis. </w:t>
            </w:r>
          </w:p>
          <w:p w:rsidR="007A53DD" w:rsidRDefault="007A53DD" w:rsidP="007A53DD">
            <w:pPr>
              <w:jc w:val="both"/>
              <w:rPr>
                <w:rFonts w:cs="Arial"/>
                <w:b/>
                <w:color w:val="FFFFFF"/>
                <w:sz w:val="20"/>
              </w:rPr>
            </w:pPr>
            <w:r w:rsidRPr="00CF5B4D">
              <w:t xml:space="preserve"> </w:t>
            </w:r>
          </w:p>
        </w:tc>
        <w:tc>
          <w:tcPr>
            <w:tcW w:w="4328" w:type="dxa"/>
          </w:tcPr>
          <w:p w:rsidR="007A53DD" w:rsidRPr="00CF5B4D" w:rsidRDefault="007A53DD" w:rsidP="007A53DD">
            <w:pPr>
              <w:pStyle w:val="ListParagraph"/>
              <w:numPr>
                <w:ilvl w:val="0"/>
                <w:numId w:val="21"/>
              </w:numPr>
              <w:spacing w:after="0"/>
              <w:rPr>
                <w:rFonts w:cs="Arial"/>
                <w:sz w:val="20"/>
              </w:rPr>
            </w:pPr>
            <w:r w:rsidRPr="00CF5B4D">
              <w:rPr>
                <w:rFonts w:cs="Arial"/>
                <w:sz w:val="20"/>
              </w:rPr>
              <w:t>SA Health has increased in the number of new graduate positions over the past 5 years.</w:t>
            </w:r>
          </w:p>
          <w:p w:rsidR="007A53DD" w:rsidRDefault="007A53DD" w:rsidP="007A53DD">
            <w:pPr>
              <w:ind w:left="360"/>
              <w:contextualSpacing/>
              <w:jc w:val="both"/>
              <w:rPr>
                <w:rFonts w:cs="Arial"/>
              </w:rPr>
            </w:pPr>
          </w:p>
          <w:p w:rsidR="007A53DD" w:rsidRPr="000214BF" w:rsidRDefault="007A53DD" w:rsidP="007A53DD">
            <w:pPr>
              <w:jc w:val="both"/>
              <w:rPr>
                <w:rFonts w:cs="Arial"/>
                <w:b/>
                <w:color w:val="FFFFFF"/>
                <w:sz w:val="20"/>
              </w:rPr>
            </w:pPr>
          </w:p>
        </w:tc>
      </w:tr>
      <w:tr w:rsidR="007A53DD" w:rsidRPr="000214BF" w:rsidTr="00F92344">
        <w:tc>
          <w:tcPr>
            <w:tcW w:w="4328" w:type="dxa"/>
            <w:shd w:val="clear" w:color="auto" w:fill="7030A0"/>
          </w:tcPr>
          <w:p w:rsidR="007A53DD" w:rsidRPr="000214BF" w:rsidRDefault="007A53DD" w:rsidP="007A53DD">
            <w:pPr>
              <w:jc w:val="both"/>
              <w:rPr>
                <w:rFonts w:cs="Arial"/>
                <w:b/>
                <w:color w:val="FFFFFF"/>
                <w:sz w:val="20"/>
              </w:rPr>
            </w:pPr>
            <w:r>
              <w:rPr>
                <w:rFonts w:cs="Arial"/>
                <w:b/>
                <w:color w:val="FFFFFF"/>
                <w:sz w:val="20"/>
              </w:rPr>
              <w:t>Tasmania</w:t>
            </w:r>
            <w:r w:rsidRPr="000214BF">
              <w:rPr>
                <w:rFonts w:cs="Arial"/>
                <w:b/>
                <w:color w:val="FFFFFF"/>
                <w:sz w:val="20"/>
              </w:rPr>
              <w:t xml:space="preserve"> point of view</w:t>
            </w:r>
          </w:p>
        </w:tc>
        <w:tc>
          <w:tcPr>
            <w:tcW w:w="4328" w:type="dxa"/>
            <w:shd w:val="clear" w:color="auto" w:fill="7030A0"/>
          </w:tcPr>
          <w:p w:rsidR="007A53DD" w:rsidRPr="000214BF" w:rsidRDefault="007A53DD" w:rsidP="007A53DD">
            <w:pPr>
              <w:jc w:val="both"/>
              <w:rPr>
                <w:rFonts w:cs="Arial"/>
                <w:b/>
                <w:color w:val="FFFFFF"/>
                <w:sz w:val="20"/>
              </w:rPr>
            </w:pPr>
            <w:r w:rsidRPr="000214BF">
              <w:rPr>
                <w:rFonts w:cs="Arial"/>
                <w:b/>
                <w:color w:val="FFFFFF"/>
                <w:sz w:val="20"/>
              </w:rPr>
              <w:t>Programs or strategies to address the situation</w:t>
            </w:r>
          </w:p>
        </w:tc>
      </w:tr>
      <w:tr w:rsidR="007A53DD" w:rsidRPr="000214BF" w:rsidTr="009D4FCE">
        <w:tc>
          <w:tcPr>
            <w:tcW w:w="4328" w:type="dxa"/>
          </w:tcPr>
          <w:p w:rsidR="007A53DD" w:rsidRPr="002F6A06" w:rsidRDefault="007A53DD" w:rsidP="007A53DD">
            <w:pPr>
              <w:jc w:val="both"/>
              <w:rPr>
                <w:rFonts w:cs="Arial"/>
                <w:sz w:val="20"/>
              </w:rPr>
            </w:pPr>
            <w:r w:rsidRPr="002F6A06">
              <w:rPr>
                <w:rFonts w:cs="Arial"/>
                <w:sz w:val="20"/>
              </w:rPr>
              <w:t>Undersupply</w:t>
            </w:r>
          </w:p>
          <w:p w:rsidR="007A53DD" w:rsidRPr="00B1555C" w:rsidRDefault="007A53DD" w:rsidP="007A53DD">
            <w:pPr>
              <w:pStyle w:val="ListParagraph"/>
              <w:numPr>
                <w:ilvl w:val="0"/>
                <w:numId w:val="21"/>
              </w:numPr>
              <w:spacing w:after="0"/>
              <w:rPr>
                <w:rFonts w:cs="Arial"/>
                <w:sz w:val="20"/>
              </w:rPr>
            </w:pPr>
            <w:r w:rsidRPr="00B1555C">
              <w:rPr>
                <w:rFonts w:cs="Arial"/>
                <w:sz w:val="20"/>
              </w:rPr>
              <w:t>Recruiting to midwifery positions in Tasmanian maternity services is increasingly difficult.</w:t>
            </w:r>
            <w:r>
              <w:rPr>
                <w:rFonts w:cs="Arial"/>
                <w:sz w:val="20"/>
              </w:rPr>
              <w:t xml:space="preserve"> </w:t>
            </w:r>
            <w:r w:rsidRPr="00B1555C">
              <w:rPr>
                <w:rFonts w:cs="Arial"/>
                <w:sz w:val="20"/>
              </w:rPr>
              <w:t>We rely more and more on local graduating midwives as the pipeline for the workforce.</w:t>
            </w:r>
          </w:p>
        </w:tc>
        <w:tc>
          <w:tcPr>
            <w:tcW w:w="4328" w:type="dxa"/>
          </w:tcPr>
          <w:p w:rsidR="007A53DD" w:rsidRPr="00E15AC7" w:rsidRDefault="007A53DD" w:rsidP="007A53DD">
            <w:pPr>
              <w:numPr>
                <w:ilvl w:val="0"/>
                <w:numId w:val="21"/>
              </w:numPr>
              <w:contextualSpacing/>
              <w:jc w:val="both"/>
              <w:rPr>
                <w:rFonts w:cs="Arial"/>
                <w:sz w:val="20"/>
              </w:rPr>
            </w:pPr>
            <w:r w:rsidRPr="00E15AC7">
              <w:rPr>
                <w:rFonts w:cs="Arial"/>
                <w:sz w:val="20"/>
              </w:rPr>
              <w:t>Education and Training</w:t>
            </w:r>
          </w:p>
          <w:p w:rsidR="007A53DD" w:rsidRPr="002F6A06" w:rsidRDefault="007A53DD" w:rsidP="007A53DD">
            <w:pPr>
              <w:numPr>
                <w:ilvl w:val="0"/>
                <w:numId w:val="21"/>
              </w:numPr>
              <w:contextualSpacing/>
              <w:jc w:val="both"/>
              <w:rPr>
                <w:rFonts w:cs="Arial"/>
                <w:sz w:val="20"/>
              </w:rPr>
            </w:pPr>
            <w:r w:rsidRPr="002F6A06">
              <w:rPr>
                <w:rFonts w:cs="Arial"/>
                <w:sz w:val="20"/>
              </w:rPr>
              <w:t>20 Clinical places are offered for the Tasmanian BMid program – for RNs (University of Southern Queensland). These places are established in 5 maternity services including the private sector.</w:t>
            </w:r>
          </w:p>
          <w:p w:rsidR="007A53DD" w:rsidRPr="002F6A06" w:rsidRDefault="007A53DD" w:rsidP="007A53DD">
            <w:pPr>
              <w:numPr>
                <w:ilvl w:val="0"/>
                <w:numId w:val="21"/>
              </w:numPr>
              <w:contextualSpacing/>
              <w:jc w:val="both"/>
              <w:rPr>
                <w:rFonts w:cs="Arial"/>
                <w:sz w:val="20"/>
              </w:rPr>
            </w:pPr>
            <w:r w:rsidRPr="002F6A06">
              <w:rPr>
                <w:rFonts w:cs="Arial"/>
                <w:sz w:val="20"/>
              </w:rPr>
              <w:lastRenderedPageBreak/>
              <w:t>Attrition has resulted in &lt;20 graduates per year in the recent past.</w:t>
            </w:r>
          </w:p>
          <w:p w:rsidR="007A53DD" w:rsidRPr="002F6A06" w:rsidRDefault="007A53DD" w:rsidP="007A53DD">
            <w:pPr>
              <w:numPr>
                <w:ilvl w:val="0"/>
                <w:numId w:val="21"/>
              </w:numPr>
              <w:contextualSpacing/>
              <w:jc w:val="both"/>
              <w:rPr>
                <w:rFonts w:cs="Arial"/>
                <w:sz w:val="20"/>
              </w:rPr>
            </w:pPr>
            <w:r w:rsidRPr="002F6A06">
              <w:rPr>
                <w:rFonts w:cs="Arial"/>
                <w:sz w:val="20"/>
              </w:rPr>
              <w:t>Other students are supported at the discretion of the maternity service and these include students of direct entry midwifery programs.</w:t>
            </w:r>
          </w:p>
          <w:p w:rsidR="007A53DD" w:rsidRPr="002F6A06" w:rsidRDefault="007A53DD" w:rsidP="007A53DD">
            <w:pPr>
              <w:numPr>
                <w:ilvl w:val="0"/>
                <w:numId w:val="21"/>
              </w:numPr>
              <w:contextualSpacing/>
              <w:jc w:val="both"/>
              <w:rPr>
                <w:rFonts w:cs="Arial"/>
                <w:sz w:val="20"/>
              </w:rPr>
            </w:pPr>
            <w:r w:rsidRPr="002F6A06">
              <w:rPr>
                <w:rFonts w:cs="Arial"/>
                <w:sz w:val="20"/>
              </w:rPr>
              <w:t>Students spend time in midwifery led models - professional satisfaction has been shown to be higher in these models when compared to mainstream midwifery models</w:t>
            </w:r>
            <w:r>
              <w:rPr>
                <w:rFonts w:cs="Arial"/>
                <w:sz w:val="20"/>
              </w:rPr>
              <w:t>.</w:t>
            </w:r>
          </w:p>
          <w:p w:rsidR="007A53DD" w:rsidRPr="002F6A06" w:rsidRDefault="007A53DD" w:rsidP="007A53DD">
            <w:pPr>
              <w:numPr>
                <w:ilvl w:val="0"/>
                <w:numId w:val="21"/>
              </w:numPr>
              <w:contextualSpacing/>
              <w:jc w:val="both"/>
              <w:rPr>
                <w:rFonts w:cs="Arial"/>
                <w:sz w:val="20"/>
              </w:rPr>
            </w:pPr>
            <w:r w:rsidRPr="002F6A06">
              <w:rPr>
                <w:rFonts w:cs="Arial"/>
                <w:sz w:val="20"/>
              </w:rPr>
              <w:t>Graduate positions are offered to all students in the public sector upon completion. Would need to check in the private sector re employment of graduate midwives.</w:t>
            </w:r>
          </w:p>
          <w:p w:rsidR="007A53DD" w:rsidRPr="002F6A06" w:rsidRDefault="007A53DD" w:rsidP="007A53DD">
            <w:pPr>
              <w:contextualSpacing/>
              <w:jc w:val="both"/>
              <w:rPr>
                <w:rFonts w:cs="Arial"/>
                <w:b/>
                <w:sz w:val="20"/>
              </w:rPr>
            </w:pPr>
            <w:r w:rsidRPr="002F6A06">
              <w:rPr>
                <w:rFonts w:cs="Arial"/>
                <w:b/>
                <w:sz w:val="20"/>
              </w:rPr>
              <w:t>Industrial issues</w:t>
            </w:r>
          </w:p>
          <w:p w:rsidR="007A53DD" w:rsidRPr="002F6A06" w:rsidRDefault="007A53DD" w:rsidP="007A53DD">
            <w:pPr>
              <w:numPr>
                <w:ilvl w:val="0"/>
                <w:numId w:val="21"/>
              </w:numPr>
              <w:contextualSpacing/>
              <w:jc w:val="both"/>
              <w:rPr>
                <w:rFonts w:cs="Arial"/>
                <w:sz w:val="20"/>
              </w:rPr>
            </w:pPr>
            <w:r w:rsidRPr="002F6A06">
              <w:rPr>
                <w:rFonts w:cs="Arial"/>
                <w:sz w:val="20"/>
              </w:rPr>
              <w:t>Traditional workload strategies do not work well in midwifery – the model of care is very different to nursing.</w:t>
            </w:r>
          </w:p>
          <w:p w:rsidR="007A53DD" w:rsidRPr="002F6A06" w:rsidRDefault="007A53DD" w:rsidP="007A53DD">
            <w:pPr>
              <w:numPr>
                <w:ilvl w:val="0"/>
                <w:numId w:val="21"/>
              </w:numPr>
              <w:contextualSpacing/>
              <w:jc w:val="both"/>
              <w:rPr>
                <w:rFonts w:cs="Arial"/>
                <w:sz w:val="20"/>
              </w:rPr>
            </w:pPr>
            <w:r w:rsidRPr="002F6A06">
              <w:rPr>
                <w:rFonts w:cs="Arial"/>
                <w:sz w:val="20"/>
              </w:rPr>
              <w:t>Tasmania has implemented a midwifery specific safe staffing model (Birthrate Plus®) to ensure safe and sustainable workloads for midwives.</w:t>
            </w:r>
          </w:p>
          <w:p w:rsidR="007A53DD" w:rsidRPr="002F6A06" w:rsidRDefault="007A53DD" w:rsidP="007A53DD">
            <w:pPr>
              <w:numPr>
                <w:ilvl w:val="0"/>
                <w:numId w:val="21"/>
              </w:numPr>
              <w:contextualSpacing/>
              <w:jc w:val="both"/>
              <w:rPr>
                <w:rFonts w:cs="Arial"/>
                <w:sz w:val="20"/>
              </w:rPr>
            </w:pPr>
            <w:r w:rsidRPr="002F6A06">
              <w:rPr>
                <w:rFonts w:cs="Arial"/>
                <w:sz w:val="20"/>
              </w:rPr>
              <w:t>Tasmania is just the third jurisdiction to introduce this methodology.</w:t>
            </w:r>
          </w:p>
          <w:p w:rsidR="007A53DD" w:rsidRPr="002F6A06" w:rsidRDefault="007A53DD" w:rsidP="007A53DD">
            <w:pPr>
              <w:numPr>
                <w:ilvl w:val="0"/>
                <w:numId w:val="21"/>
              </w:numPr>
              <w:contextualSpacing/>
              <w:jc w:val="both"/>
              <w:rPr>
                <w:rFonts w:cs="Arial"/>
                <w:sz w:val="20"/>
              </w:rPr>
            </w:pPr>
            <w:r w:rsidRPr="002F6A06">
              <w:rPr>
                <w:rFonts w:cs="Arial"/>
                <w:sz w:val="20"/>
              </w:rPr>
              <w:t>This will be an important component in progressing effective recruitment strategies.</w:t>
            </w:r>
          </w:p>
          <w:p w:rsidR="007A53DD" w:rsidRPr="002F6A06" w:rsidRDefault="007A53DD" w:rsidP="007A53DD">
            <w:pPr>
              <w:contextualSpacing/>
              <w:jc w:val="both"/>
              <w:rPr>
                <w:rFonts w:cs="Arial"/>
                <w:b/>
                <w:sz w:val="20"/>
              </w:rPr>
            </w:pPr>
            <w:r w:rsidRPr="002F6A06">
              <w:rPr>
                <w:rFonts w:cs="Arial"/>
                <w:b/>
                <w:sz w:val="20"/>
              </w:rPr>
              <w:t>Employment</w:t>
            </w:r>
          </w:p>
          <w:p w:rsidR="007A53DD" w:rsidRDefault="007A53DD" w:rsidP="007A53DD">
            <w:pPr>
              <w:numPr>
                <w:ilvl w:val="0"/>
                <w:numId w:val="21"/>
              </w:numPr>
              <w:contextualSpacing/>
              <w:jc w:val="both"/>
              <w:rPr>
                <w:rFonts w:cs="Arial"/>
                <w:sz w:val="20"/>
              </w:rPr>
            </w:pPr>
            <w:r w:rsidRPr="002F6A06">
              <w:rPr>
                <w:rFonts w:cs="Arial"/>
                <w:sz w:val="20"/>
              </w:rPr>
              <w:t>As in nursing, employment recognises flexible arrangements, family friendly rostering etc</w:t>
            </w:r>
            <w:r>
              <w:rPr>
                <w:rFonts w:cs="Arial"/>
                <w:sz w:val="20"/>
              </w:rPr>
              <w:t>.</w:t>
            </w:r>
            <w:r w:rsidRPr="002F6A06">
              <w:rPr>
                <w:rFonts w:cs="Arial"/>
                <w:sz w:val="20"/>
              </w:rPr>
              <w:t xml:space="preserve"> </w:t>
            </w:r>
          </w:p>
          <w:p w:rsidR="007E6FAB" w:rsidRPr="002F6A06" w:rsidRDefault="007E6FAB" w:rsidP="007E6FAB">
            <w:pPr>
              <w:ind w:left="360"/>
              <w:contextualSpacing/>
              <w:jc w:val="both"/>
              <w:rPr>
                <w:rFonts w:cs="Arial"/>
                <w:sz w:val="20"/>
              </w:rPr>
            </w:pPr>
          </w:p>
        </w:tc>
      </w:tr>
      <w:tr w:rsidR="007A53DD" w:rsidRPr="000214BF" w:rsidTr="00F92344">
        <w:tc>
          <w:tcPr>
            <w:tcW w:w="4328" w:type="dxa"/>
            <w:shd w:val="clear" w:color="auto" w:fill="7030A0"/>
          </w:tcPr>
          <w:p w:rsidR="007A53DD" w:rsidRPr="000214BF" w:rsidRDefault="007A53DD" w:rsidP="007A53DD">
            <w:pPr>
              <w:jc w:val="both"/>
              <w:rPr>
                <w:rFonts w:cs="Arial"/>
                <w:b/>
                <w:color w:val="FFFFFF"/>
                <w:sz w:val="20"/>
              </w:rPr>
            </w:pPr>
            <w:r>
              <w:rPr>
                <w:rFonts w:cs="Arial"/>
                <w:b/>
                <w:color w:val="FFFFFF"/>
                <w:sz w:val="20"/>
              </w:rPr>
              <w:lastRenderedPageBreak/>
              <w:t>Victoria</w:t>
            </w:r>
            <w:r w:rsidRPr="000214BF">
              <w:rPr>
                <w:rFonts w:cs="Arial"/>
                <w:b/>
                <w:color w:val="FFFFFF"/>
                <w:sz w:val="20"/>
              </w:rPr>
              <w:t xml:space="preserve"> point of view</w:t>
            </w:r>
          </w:p>
        </w:tc>
        <w:tc>
          <w:tcPr>
            <w:tcW w:w="4328" w:type="dxa"/>
            <w:shd w:val="clear" w:color="auto" w:fill="7030A0"/>
          </w:tcPr>
          <w:p w:rsidR="007A53DD" w:rsidRPr="000214BF" w:rsidRDefault="007A53DD" w:rsidP="007A53DD">
            <w:pPr>
              <w:jc w:val="both"/>
              <w:rPr>
                <w:rFonts w:cs="Arial"/>
                <w:b/>
                <w:color w:val="FFFFFF"/>
                <w:sz w:val="20"/>
              </w:rPr>
            </w:pPr>
            <w:r w:rsidRPr="000214BF">
              <w:rPr>
                <w:rFonts w:cs="Arial"/>
                <w:b/>
                <w:color w:val="FFFFFF"/>
                <w:sz w:val="20"/>
              </w:rPr>
              <w:t>Programs or strategies to address the situation</w:t>
            </w:r>
          </w:p>
        </w:tc>
      </w:tr>
      <w:tr w:rsidR="007A53DD" w:rsidRPr="000214BF" w:rsidTr="009D4FCE">
        <w:tc>
          <w:tcPr>
            <w:tcW w:w="4328" w:type="dxa"/>
          </w:tcPr>
          <w:p w:rsidR="007A53DD" w:rsidRPr="00B1555C" w:rsidRDefault="007A53DD" w:rsidP="007A53DD">
            <w:pPr>
              <w:pStyle w:val="ListParagraph"/>
              <w:numPr>
                <w:ilvl w:val="0"/>
                <w:numId w:val="21"/>
              </w:numPr>
              <w:spacing w:after="0"/>
              <w:rPr>
                <w:rFonts w:cs="Arial"/>
                <w:sz w:val="20"/>
              </w:rPr>
            </w:pPr>
            <w:r w:rsidRPr="00B1555C">
              <w:rPr>
                <w:rFonts w:cs="Arial"/>
                <w:sz w:val="20"/>
              </w:rPr>
              <w:t>Victoria does not run a centralised personnel management system for public hospitals. A small study undertaken in October 2018 concluded that there were shortages of midwives in some areas of Victoria.</w:t>
            </w:r>
          </w:p>
        </w:tc>
        <w:tc>
          <w:tcPr>
            <w:tcW w:w="4328" w:type="dxa"/>
          </w:tcPr>
          <w:p w:rsidR="007A53DD" w:rsidRDefault="007A53DD" w:rsidP="007A53DD">
            <w:pPr>
              <w:numPr>
                <w:ilvl w:val="0"/>
                <w:numId w:val="21"/>
              </w:numPr>
              <w:contextualSpacing/>
              <w:jc w:val="both"/>
              <w:rPr>
                <w:rFonts w:cs="Arial"/>
                <w:sz w:val="20"/>
              </w:rPr>
            </w:pPr>
            <w:r w:rsidRPr="00FF1C2D">
              <w:rPr>
                <w:rFonts w:cs="Arial"/>
                <w:sz w:val="20"/>
              </w:rPr>
              <w:t>Direct liaison with heads of higher education provider schools of nursing and midwifery is being considered to determine if any systemic issues are preventing an increase in the volume of students with midwifery qualification and how such an outcome could be facilitated.</w:t>
            </w:r>
          </w:p>
          <w:p w:rsidR="007E6FAB" w:rsidRPr="000214BF" w:rsidRDefault="007E6FAB" w:rsidP="007E6FAB">
            <w:pPr>
              <w:ind w:left="360"/>
              <w:contextualSpacing/>
              <w:jc w:val="both"/>
              <w:rPr>
                <w:rFonts w:cs="Arial"/>
                <w:sz w:val="20"/>
              </w:rPr>
            </w:pPr>
          </w:p>
        </w:tc>
      </w:tr>
      <w:tr w:rsidR="007A53DD" w:rsidRPr="000214BF" w:rsidTr="00F92344">
        <w:tc>
          <w:tcPr>
            <w:tcW w:w="4328" w:type="dxa"/>
            <w:shd w:val="clear" w:color="auto" w:fill="7030A0"/>
          </w:tcPr>
          <w:p w:rsidR="007A53DD" w:rsidRPr="000214BF" w:rsidRDefault="002B3F61" w:rsidP="007A53DD">
            <w:pPr>
              <w:jc w:val="both"/>
              <w:rPr>
                <w:rFonts w:cs="Arial"/>
                <w:b/>
                <w:color w:val="FFFFFF"/>
                <w:sz w:val="20"/>
              </w:rPr>
            </w:pPr>
            <w:r>
              <w:rPr>
                <w:rFonts w:cs="Arial"/>
                <w:b/>
                <w:color w:val="FFFFFF"/>
                <w:sz w:val="20"/>
              </w:rPr>
              <w:t>Western Australia</w:t>
            </w:r>
            <w:r w:rsidR="007A53DD" w:rsidRPr="000214BF">
              <w:rPr>
                <w:rFonts w:cs="Arial"/>
                <w:b/>
                <w:color w:val="FFFFFF"/>
                <w:sz w:val="20"/>
              </w:rPr>
              <w:t xml:space="preserve"> point of view</w:t>
            </w:r>
          </w:p>
        </w:tc>
        <w:tc>
          <w:tcPr>
            <w:tcW w:w="4328" w:type="dxa"/>
            <w:shd w:val="clear" w:color="auto" w:fill="7030A0"/>
          </w:tcPr>
          <w:p w:rsidR="007A53DD" w:rsidRPr="000214BF" w:rsidRDefault="007A53DD" w:rsidP="007A53DD">
            <w:pPr>
              <w:jc w:val="both"/>
              <w:rPr>
                <w:rFonts w:cs="Arial"/>
                <w:b/>
                <w:color w:val="FFFFFF"/>
                <w:sz w:val="20"/>
              </w:rPr>
            </w:pPr>
            <w:r w:rsidRPr="000214BF">
              <w:rPr>
                <w:rFonts w:cs="Arial"/>
                <w:b/>
                <w:color w:val="FFFFFF"/>
                <w:sz w:val="20"/>
              </w:rPr>
              <w:t>Programs or strategies to address the situation</w:t>
            </w:r>
          </w:p>
        </w:tc>
      </w:tr>
      <w:tr w:rsidR="007A53DD" w:rsidRPr="000214BF" w:rsidTr="009D4FCE">
        <w:tc>
          <w:tcPr>
            <w:tcW w:w="4328" w:type="dxa"/>
          </w:tcPr>
          <w:p w:rsidR="007A53DD" w:rsidRPr="00363897" w:rsidRDefault="007A53DD" w:rsidP="003423C0">
            <w:pPr>
              <w:pStyle w:val="ListParagraph"/>
              <w:numPr>
                <w:ilvl w:val="0"/>
                <w:numId w:val="53"/>
              </w:numPr>
              <w:spacing w:after="0"/>
              <w:rPr>
                <w:rFonts w:cs="Arial"/>
                <w:sz w:val="20"/>
              </w:rPr>
            </w:pPr>
            <w:r w:rsidRPr="00363897">
              <w:rPr>
                <w:rFonts w:cs="Arial"/>
                <w:sz w:val="20"/>
              </w:rPr>
              <w:t>The midwifery workforce is not in under or over supply.  However there are concerns in regard to:</w:t>
            </w:r>
          </w:p>
          <w:p w:rsidR="007A53DD" w:rsidRPr="00B1555C" w:rsidRDefault="007A53DD" w:rsidP="007A53DD">
            <w:pPr>
              <w:pStyle w:val="ListParagraph"/>
              <w:numPr>
                <w:ilvl w:val="0"/>
                <w:numId w:val="27"/>
              </w:numPr>
              <w:spacing w:after="0"/>
              <w:rPr>
                <w:rFonts w:cs="Arial"/>
                <w:sz w:val="20"/>
              </w:rPr>
            </w:pPr>
            <w:r w:rsidRPr="00B1555C">
              <w:rPr>
                <w:rFonts w:cs="Arial"/>
                <w:sz w:val="20"/>
              </w:rPr>
              <w:t xml:space="preserve">inflows with limited supervisory capacity available to train and mentor new graduates and limitations on undergraduate training caused by the limited number of births in the state. WA currently graduates 167 midwives per year from 4 WA based university programs and 1 interstate university program. </w:t>
            </w:r>
          </w:p>
          <w:p w:rsidR="007A53DD" w:rsidRPr="00B1555C" w:rsidRDefault="007A53DD" w:rsidP="007A53DD">
            <w:pPr>
              <w:pStyle w:val="ListParagraph"/>
              <w:numPr>
                <w:ilvl w:val="0"/>
                <w:numId w:val="27"/>
              </w:numPr>
              <w:spacing w:after="0"/>
              <w:rPr>
                <w:rFonts w:cs="Arial"/>
                <w:sz w:val="20"/>
              </w:rPr>
            </w:pPr>
            <w:r w:rsidRPr="00B1555C">
              <w:rPr>
                <w:rFonts w:cs="Arial"/>
                <w:sz w:val="20"/>
              </w:rPr>
              <w:lastRenderedPageBreak/>
              <w:t>The paid employment model for midwifery students (post graduate programs) provides significant challenges in ensuring clinical placements can be secured. There is shift by health services toward unpaid midwifery student placements threatening the viability of some university programs.</w:t>
            </w:r>
          </w:p>
          <w:p w:rsidR="007A53DD" w:rsidRPr="00B1555C" w:rsidRDefault="007A53DD" w:rsidP="007A53DD">
            <w:pPr>
              <w:pStyle w:val="ListParagraph"/>
              <w:numPr>
                <w:ilvl w:val="0"/>
                <w:numId w:val="27"/>
              </w:numPr>
              <w:spacing w:after="0"/>
              <w:rPr>
                <w:rFonts w:cs="Arial"/>
                <w:sz w:val="20"/>
              </w:rPr>
            </w:pPr>
            <w:r w:rsidRPr="00B1555C">
              <w:rPr>
                <w:rFonts w:cs="Arial"/>
                <w:sz w:val="20"/>
              </w:rPr>
              <w:t>Retention of experienced staff that are either approaching retirement age or dissatisfied with limited opportunities to operate at full scope of practice (e.g. limitations of models of care in operation).  The education program is in conflict with the reality of midwifery care within the system.</w:t>
            </w:r>
          </w:p>
        </w:tc>
        <w:tc>
          <w:tcPr>
            <w:tcW w:w="4328" w:type="dxa"/>
          </w:tcPr>
          <w:p w:rsidR="007A53DD" w:rsidRPr="000214BF" w:rsidRDefault="007A53DD" w:rsidP="007A53DD">
            <w:pPr>
              <w:numPr>
                <w:ilvl w:val="0"/>
                <w:numId w:val="21"/>
              </w:numPr>
              <w:contextualSpacing/>
              <w:jc w:val="both"/>
              <w:rPr>
                <w:rFonts w:cs="Arial"/>
                <w:sz w:val="20"/>
              </w:rPr>
            </w:pPr>
            <w:r w:rsidRPr="00AE144F">
              <w:rPr>
                <w:rFonts w:cs="Arial"/>
                <w:sz w:val="20"/>
              </w:rPr>
              <w:lastRenderedPageBreak/>
              <w:t>Proposal to phase out paid midwifery student placement model through the introduction of new education programs where there is not a requirement to be a nurse.</w:t>
            </w:r>
          </w:p>
        </w:tc>
      </w:tr>
    </w:tbl>
    <w:p w:rsidR="00650549" w:rsidRDefault="00650549" w:rsidP="000214BF">
      <w:pPr>
        <w:spacing w:after="0" w:line="240" w:lineRule="auto"/>
        <w:jc w:val="both"/>
        <w:rPr>
          <w:rFonts w:eastAsia="Times New Roman" w:cs="Arial"/>
          <w:color w:val="14276A"/>
          <w:sz w:val="20"/>
          <w:szCs w:val="22"/>
        </w:rPr>
      </w:pPr>
    </w:p>
    <w:p w:rsidR="00CF5B4D" w:rsidRDefault="00650549">
      <w:pPr>
        <w:rPr>
          <w:rFonts w:eastAsia="Times New Roman" w:cs="Arial"/>
          <w:color w:val="14276A"/>
          <w:sz w:val="20"/>
          <w:szCs w:val="22"/>
        </w:rPr>
      </w:pPr>
      <w:r>
        <w:rPr>
          <w:rFonts w:eastAsia="Times New Roman" w:cs="Arial"/>
          <w:color w:val="14276A"/>
          <w:sz w:val="20"/>
          <w:szCs w:val="22"/>
        </w:rPr>
        <w:br w:type="page"/>
      </w:r>
    </w:p>
    <w:p w:rsidR="000214BF" w:rsidRPr="00DA23C8" w:rsidRDefault="00DA23C8" w:rsidP="002F4606">
      <w:pPr>
        <w:pStyle w:val="ListParagraph"/>
        <w:numPr>
          <w:ilvl w:val="0"/>
          <w:numId w:val="22"/>
        </w:numPr>
        <w:jc w:val="left"/>
        <w:rPr>
          <w:rFonts w:cs="Arial"/>
          <w:color w:val="14276A"/>
          <w:sz w:val="20"/>
          <w:szCs w:val="22"/>
        </w:rPr>
      </w:pPr>
      <w:r w:rsidRPr="00DA23C8">
        <w:rPr>
          <w:rFonts w:cs="Arial"/>
          <w:b/>
        </w:rPr>
        <w:lastRenderedPageBreak/>
        <w:t>I</w:t>
      </w:r>
      <w:r w:rsidR="002F4606">
        <w:rPr>
          <w:rFonts w:cs="Arial"/>
          <w:b/>
        </w:rPr>
        <w:t xml:space="preserve">s the midwifery workforce in over </w:t>
      </w:r>
      <w:r w:rsidRPr="00DA23C8">
        <w:rPr>
          <w:rFonts w:cs="Arial"/>
          <w:b/>
        </w:rPr>
        <w:t xml:space="preserve">or under supply from a </w:t>
      </w:r>
      <w:r w:rsidRPr="00DA23C8">
        <w:rPr>
          <w:rFonts w:cs="Arial"/>
          <w:b/>
          <w:u w:val="single"/>
        </w:rPr>
        <w:t>geographical</w:t>
      </w:r>
      <w:r w:rsidRPr="00DA23C8">
        <w:rPr>
          <w:rFonts w:cs="Arial"/>
          <w:b/>
        </w:rPr>
        <w:t xml:space="preserve"> perspective?</w:t>
      </w:r>
    </w:p>
    <w:tbl>
      <w:tblPr>
        <w:tblStyle w:val="TableGrid2"/>
        <w:tblW w:w="0" w:type="auto"/>
        <w:tblInd w:w="-113" w:type="dxa"/>
        <w:tblLook w:val="04A0" w:firstRow="1" w:lastRow="0" w:firstColumn="1" w:lastColumn="0" w:noHBand="0" w:noVBand="1"/>
        <w:tblCaption w:val="Appendix B: Jurisdictional perspectives"/>
        <w:tblDescription w:val="2. Is the midwifery workforce in over or under supply from a geographical perspective?                           &#10;Provides all state and territory prespectives if provided."/>
      </w:tblPr>
      <w:tblGrid>
        <w:gridCol w:w="4313"/>
        <w:gridCol w:w="4201"/>
      </w:tblGrid>
      <w:tr w:rsidR="00F75567" w:rsidRPr="000214BF" w:rsidTr="00F92344">
        <w:trPr>
          <w:trHeight w:val="340"/>
          <w:tblHeader/>
        </w:trPr>
        <w:tc>
          <w:tcPr>
            <w:tcW w:w="4313" w:type="dxa"/>
            <w:tcBorders>
              <w:right w:val="nil"/>
            </w:tcBorders>
            <w:shd w:val="clear" w:color="auto" w:fill="7030A0"/>
            <w:vAlign w:val="center"/>
          </w:tcPr>
          <w:p w:rsidR="00F75567" w:rsidRPr="009D4FCE" w:rsidRDefault="00F75567" w:rsidP="00F75567">
            <w:pPr>
              <w:rPr>
                <w:b/>
                <w:color w:val="FFFFFF" w:themeColor="background1"/>
              </w:rPr>
            </w:pPr>
            <w:r w:rsidRPr="009D4FCE">
              <w:rPr>
                <w:b/>
                <w:color w:val="FFFFFF" w:themeColor="background1"/>
              </w:rPr>
              <w:t>State/Territory point of view</w:t>
            </w:r>
          </w:p>
        </w:tc>
        <w:tc>
          <w:tcPr>
            <w:tcW w:w="4201" w:type="dxa"/>
            <w:tcBorders>
              <w:left w:val="nil"/>
            </w:tcBorders>
            <w:shd w:val="clear" w:color="auto" w:fill="7030A0"/>
            <w:vAlign w:val="center"/>
          </w:tcPr>
          <w:p w:rsidR="00F75567" w:rsidRPr="009D4FCE" w:rsidRDefault="00F75567" w:rsidP="00F75567">
            <w:pPr>
              <w:rPr>
                <w:b/>
                <w:color w:val="FFFFFF" w:themeColor="background1"/>
              </w:rPr>
            </w:pPr>
            <w:r w:rsidRPr="009D4FCE">
              <w:rPr>
                <w:b/>
                <w:color w:val="FFFFFF" w:themeColor="background1"/>
              </w:rPr>
              <w:t>Programs or Strategies</w:t>
            </w:r>
          </w:p>
        </w:tc>
      </w:tr>
      <w:tr w:rsidR="00F75567" w:rsidRPr="000214BF" w:rsidTr="00F92344">
        <w:tc>
          <w:tcPr>
            <w:tcW w:w="4313" w:type="dxa"/>
            <w:shd w:val="clear" w:color="auto" w:fill="7030A0"/>
          </w:tcPr>
          <w:p w:rsidR="00F75567" w:rsidRPr="000214BF" w:rsidRDefault="00F75567" w:rsidP="00F75567">
            <w:pPr>
              <w:jc w:val="both"/>
              <w:rPr>
                <w:rFonts w:cs="Arial"/>
                <w:b/>
                <w:color w:val="FFFFFF"/>
                <w:sz w:val="20"/>
              </w:rPr>
            </w:pPr>
            <w:r>
              <w:rPr>
                <w:rFonts w:cs="Arial"/>
                <w:b/>
                <w:color w:val="FFFFFF"/>
                <w:sz w:val="20"/>
              </w:rPr>
              <w:t>ACT</w:t>
            </w:r>
            <w:r w:rsidRPr="000214BF">
              <w:rPr>
                <w:rFonts w:cs="Arial"/>
                <w:b/>
                <w:color w:val="FFFFFF"/>
                <w:sz w:val="20"/>
              </w:rPr>
              <w:t xml:space="preserve"> point of view</w:t>
            </w:r>
          </w:p>
        </w:tc>
        <w:tc>
          <w:tcPr>
            <w:tcW w:w="4201" w:type="dxa"/>
            <w:shd w:val="clear" w:color="auto" w:fill="7030A0"/>
          </w:tcPr>
          <w:p w:rsidR="00F75567" w:rsidRPr="000214BF" w:rsidRDefault="00F75567" w:rsidP="00F75567">
            <w:pPr>
              <w:jc w:val="both"/>
              <w:rPr>
                <w:rFonts w:cs="Arial"/>
                <w:b/>
                <w:color w:val="FFFFFF"/>
                <w:sz w:val="20"/>
              </w:rPr>
            </w:pPr>
            <w:r w:rsidRPr="000214BF">
              <w:rPr>
                <w:rFonts w:cs="Arial"/>
                <w:b/>
                <w:color w:val="FFFFFF"/>
                <w:sz w:val="20"/>
              </w:rPr>
              <w:t>Programs or strategies to address the situation</w:t>
            </w:r>
          </w:p>
        </w:tc>
      </w:tr>
      <w:tr w:rsidR="0063764A" w:rsidRPr="000214BF" w:rsidTr="00DA23C8">
        <w:tc>
          <w:tcPr>
            <w:tcW w:w="4313" w:type="dxa"/>
          </w:tcPr>
          <w:p w:rsidR="0063764A" w:rsidRPr="00784872" w:rsidRDefault="0061039D" w:rsidP="003423C0">
            <w:pPr>
              <w:pStyle w:val="ListParagraph"/>
              <w:numPr>
                <w:ilvl w:val="0"/>
                <w:numId w:val="52"/>
              </w:numPr>
              <w:spacing w:after="0"/>
              <w:rPr>
                <w:rFonts w:cs="Arial"/>
                <w:sz w:val="20"/>
              </w:rPr>
            </w:pPr>
            <w:r w:rsidRPr="00784872">
              <w:rPr>
                <w:rFonts w:cs="Arial"/>
                <w:sz w:val="20"/>
              </w:rPr>
              <w:t>There is a ‘relative’ undersupply of experienced midwives in the ACT. With the consistent and good supply of graduating midwives (inexperienced), the workforce skill mix is diluted as more experienced midwives reduce their hours in the profession. This is further challenged by the relative small size of the ACT.</w:t>
            </w:r>
          </w:p>
        </w:tc>
        <w:tc>
          <w:tcPr>
            <w:tcW w:w="4201" w:type="dxa"/>
          </w:tcPr>
          <w:p w:rsidR="0061039D" w:rsidRPr="0061039D" w:rsidRDefault="0061039D" w:rsidP="002B7E32">
            <w:pPr>
              <w:numPr>
                <w:ilvl w:val="0"/>
                <w:numId w:val="21"/>
              </w:numPr>
              <w:contextualSpacing/>
              <w:jc w:val="both"/>
              <w:rPr>
                <w:rFonts w:cs="Arial"/>
                <w:sz w:val="20"/>
              </w:rPr>
            </w:pPr>
            <w:r w:rsidRPr="0061039D">
              <w:rPr>
                <w:rFonts w:cs="Arial"/>
                <w:sz w:val="20"/>
              </w:rPr>
              <w:t>Targeted national and international recruitment strategy for experienced midwives (&gt;5yrs experience)</w:t>
            </w:r>
            <w:r w:rsidR="000E381A">
              <w:rPr>
                <w:rFonts w:cs="Arial"/>
                <w:sz w:val="20"/>
              </w:rPr>
              <w:t>.</w:t>
            </w:r>
          </w:p>
          <w:p w:rsidR="0061039D" w:rsidRPr="0061039D" w:rsidRDefault="0061039D" w:rsidP="002B7E32">
            <w:pPr>
              <w:numPr>
                <w:ilvl w:val="0"/>
                <w:numId w:val="21"/>
              </w:numPr>
              <w:contextualSpacing/>
              <w:jc w:val="both"/>
              <w:rPr>
                <w:rFonts w:cs="Arial"/>
                <w:sz w:val="20"/>
              </w:rPr>
            </w:pPr>
            <w:r w:rsidRPr="0061039D">
              <w:rPr>
                <w:rFonts w:cs="Arial"/>
                <w:sz w:val="20"/>
              </w:rPr>
              <w:t>Increased number of new graduate places available</w:t>
            </w:r>
            <w:r w:rsidR="000E381A">
              <w:rPr>
                <w:rFonts w:cs="Arial"/>
                <w:sz w:val="20"/>
              </w:rPr>
              <w:t>.</w:t>
            </w:r>
          </w:p>
          <w:p w:rsidR="0061039D" w:rsidRPr="0061039D" w:rsidRDefault="0061039D" w:rsidP="002B7E32">
            <w:pPr>
              <w:numPr>
                <w:ilvl w:val="0"/>
                <w:numId w:val="21"/>
              </w:numPr>
              <w:contextualSpacing/>
              <w:jc w:val="both"/>
              <w:rPr>
                <w:rFonts w:cs="Arial"/>
                <w:sz w:val="20"/>
              </w:rPr>
            </w:pPr>
            <w:r w:rsidRPr="0061039D">
              <w:rPr>
                <w:rFonts w:cs="Arial"/>
                <w:sz w:val="20"/>
              </w:rPr>
              <w:t>Extension of new graduate program (2nd year) to support transition in Midwifery Group Practice (MGP) models</w:t>
            </w:r>
            <w:r w:rsidR="000E381A">
              <w:rPr>
                <w:rFonts w:cs="Arial"/>
                <w:sz w:val="20"/>
              </w:rPr>
              <w:t>.</w:t>
            </w:r>
          </w:p>
          <w:p w:rsidR="0063764A" w:rsidRDefault="0061039D" w:rsidP="002B7E32">
            <w:pPr>
              <w:numPr>
                <w:ilvl w:val="0"/>
                <w:numId w:val="21"/>
              </w:numPr>
              <w:contextualSpacing/>
              <w:jc w:val="both"/>
              <w:rPr>
                <w:rFonts w:cs="Arial"/>
                <w:sz w:val="20"/>
              </w:rPr>
            </w:pPr>
            <w:r w:rsidRPr="0061039D">
              <w:rPr>
                <w:rFonts w:cs="Arial"/>
                <w:sz w:val="20"/>
              </w:rPr>
              <w:t>Reintroduction of post graduate midwifery course at local university, incorporating an employment model</w:t>
            </w:r>
            <w:r w:rsidR="000E381A">
              <w:rPr>
                <w:rFonts w:cs="Arial"/>
                <w:sz w:val="20"/>
              </w:rPr>
              <w:t>.</w:t>
            </w:r>
          </w:p>
          <w:p w:rsidR="007E6FAB" w:rsidRPr="000214BF" w:rsidRDefault="007E6FAB" w:rsidP="007E6FAB">
            <w:pPr>
              <w:ind w:left="360"/>
              <w:contextualSpacing/>
              <w:jc w:val="both"/>
              <w:rPr>
                <w:rFonts w:cs="Arial"/>
                <w:sz w:val="20"/>
              </w:rPr>
            </w:pPr>
          </w:p>
        </w:tc>
      </w:tr>
      <w:tr w:rsidR="0063764A" w:rsidRPr="000214BF" w:rsidTr="00F92344">
        <w:tc>
          <w:tcPr>
            <w:tcW w:w="4313" w:type="dxa"/>
            <w:shd w:val="clear" w:color="auto" w:fill="7030A0"/>
          </w:tcPr>
          <w:p w:rsidR="0063764A" w:rsidRPr="000214BF" w:rsidRDefault="0063764A" w:rsidP="0063764A">
            <w:pPr>
              <w:jc w:val="both"/>
              <w:rPr>
                <w:rFonts w:cs="Arial"/>
                <w:b/>
                <w:color w:val="FFFFFF"/>
                <w:sz w:val="20"/>
              </w:rPr>
            </w:pPr>
            <w:r>
              <w:rPr>
                <w:rFonts w:cs="Arial"/>
                <w:b/>
                <w:color w:val="FFFFFF"/>
                <w:sz w:val="20"/>
              </w:rPr>
              <w:t xml:space="preserve">NSW </w:t>
            </w:r>
            <w:r w:rsidRPr="000214BF">
              <w:rPr>
                <w:rFonts w:cs="Arial"/>
                <w:b/>
                <w:color w:val="FFFFFF"/>
                <w:sz w:val="20"/>
              </w:rPr>
              <w:t>point of view</w:t>
            </w:r>
          </w:p>
        </w:tc>
        <w:tc>
          <w:tcPr>
            <w:tcW w:w="4201" w:type="dxa"/>
            <w:shd w:val="clear" w:color="auto" w:fill="7030A0"/>
          </w:tcPr>
          <w:p w:rsidR="0063764A" w:rsidRPr="000214BF" w:rsidRDefault="0063764A" w:rsidP="0063764A">
            <w:pPr>
              <w:jc w:val="both"/>
              <w:rPr>
                <w:rFonts w:cs="Arial"/>
                <w:b/>
                <w:color w:val="FFFFFF"/>
                <w:sz w:val="20"/>
              </w:rPr>
            </w:pPr>
            <w:r w:rsidRPr="000214BF">
              <w:rPr>
                <w:rFonts w:cs="Arial"/>
                <w:b/>
                <w:color w:val="FFFFFF"/>
                <w:sz w:val="20"/>
              </w:rPr>
              <w:t>Programs or strategies to address the situation</w:t>
            </w:r>
          </w:p>
        </w:tc>
      </w:tr>
      <w:tr w:rsidR="0063764A" w:rsidRPr="000214BF" w:rsidTr="00DA23C8">
        <w:tc>
          <w:tcPr>
            <w:tcW w:w="4313" w:type="dxa"/>
          </w:tcPr>
          <w:p w:rsidR="0063764A" w:rsidRPr="00784872" w:rsidRDefault="00004CB2" w:rsidP="003423C0">
            <w:pPr>
              <w:pStyle w:val="ListParagraph"/>
              <w:numPr>
                <w:ilvl w:val="0"/>
                <w:numId w:val="51"/>
              </w:numPr>
              <w:spacing w:after="0"/>
              <w:rPr>
                <w:rFonts w:cs="Arial"/>
                <w:sz w:val="20"/>
              </w:rPr>
            </w:pPr>
            <w:r w:rsidRPr="00784872">
              <w:rPr>
                <w:rFonts w:cs="Arial"/>
                <w:sz w:val="20"/>
              </w:rPr>
              <w:t>There is not a shortage of midwives in NSW but we know there are workforce challenges in some districts associated mainly with population growth, the Western suburbs of Sydney would be an example.</w:t>
            </w:r>
          </w:p>
        </w:tc>
        <w:tc>
          <w:tcPr>
            <w:tcW w:w="4201" w:type="dxa"/>
          </w:tcPr>
          <w:p w:rsidR="00004CB2" w:rsidRPr="00004CB2" w:rsidRDefault="00004CB2" w:rsidP="002B7E32">
            <w:pPr>
              <w:numPr>
                <w:ilvl w:val="0"/>
                <w:numId w:val="21"/>
              </w:numPr>
              <w:contextualSpacing/>
              <w:jc w:val="both"/>
              <w:rPr>
                <w:rFonts w:cs="Arial"/>
                <w:sz w:val="20"/>
              </w:rPr>
            </w:pPr>
            <w:r w:rsidRPr="00004CB2">
              <w:rPr>
                <w:rFonts w:cs="Arial"/>
                <w:sz w:val="20"/>
              </w:rPr>
              <w:t>NSW Health supports a number of scholarships for midwives; the aim of these scholarships is to support the recruitment, retention and skill development of registered midwives in the NSW public health system.</w:t>
            </w:r>
          </w:p>
          <w:p w:rsidR="00004CB2" w:rsidRPr="00004CB2" w:rsidRDefault="00004CB2" w:rsidP="002B7E32">
            <w:pPr>
              <w:numPr>
                <w:ilvl w:val="0"/>
                <w:numId w:val="21"/>
              </w:numPr>
              <w:contextualSpacing/>
              <w:jc w:val="both"/>
              <w:rPr>
                <w:rFonts w:cs="Arial"/>
                <w:sz w:val="20"/>
              </w:rPr>
            </w:pPr>
            <w:r w:rsidRPr="00004CB2">
              <w:rPr>
                <w:rFonts w:cs="Arial"/>
                <w:sz w:val="20"/>
              </w:rPr>
              <w:t>Rural postgraduate midwifery student scholarships support the sustainability of small rural maternity units by funding a local registered nurse to train as a midwife. NSW Health funds 10 positions per year</w:t>
            </w:r>
            <w:r w:rsidR="000E381A">
              <w:rPr>
                <w:rFonts w:cs="Arial"/>
                <w:sz w:val="20"/>
              </w:rPr>
              <w:t>.</w:t>
            </w:r>
          </w:p>
          <w:p w:rsidR="0063764A" w:rsidRDefault="00004CB2" w:rsidP="002B7E32">
            <w:pPr>
              <w:numPr>
                <w:ilvl w:val="0"/>
                <w:numId w:val="21"/>
              </w:numPr>
              <w:contextualSpacing/>
              <w:jc w:val="both"/>
              <w:rPr>
                <w:rFonts w:cs="Arial"/>
                <w:sz w:val="20"/>
              </w:rPr>
            </w:pPr>
            <w:r w:rsidRPr="00004CB2">
              <w:rPr>
                <w:rFonts w:cs="Arial"/>
                <w:sz w:val="20"/>
              </w:rPr>
              <w:t>Nursing and midwifery graduates are an integral part of the NSW nursing and midwifery workforce and their recruitment has contributed to the overall increase in nurse and midwife numbers.</w:t>
            </w:r>
          </w:p>
          <w:p w:rsidR="00DA3E15" w:rsidRPr="00004CB2" w:rsidRDefault="00DA3E15" w:rsidP="00DA3E15">
            <w:pPr>
              <w:ind w:left="360"/>
              <w:contextualSpacing/>
              <w:jc w:val="both"/>
              <w:rPr>
                <w:rFonts w:cs="Arial"/>
                <w:sz w:val="20"/>
              </w:rPr>
            </w:pPr>
          </w:p>
        </w:tc>
      </w:tr>
      <w:tr w:rsidR="0063764A" w:rsidRPr="000214BF" w:rsidTr="00F92344">
        <w:tc>
          <w:tcPr>
            <w:tcW w:w="4313" w:type="dxa"/>
            <w:shd w:val="clear" w:color="auto" w:fill="7030A0"/>
          </w:tcPr>
          <w:p w:rsidR="0063764A" w:rsidRPr="000214BF" w:rsidRDefault="0063764A" w:rsidP="0063764A">
            <w:pPr>
              <w:jc w:val="both"/>
              <w:rPr>
                <w:rFonts w:cs="Arial"/>
                <w:b/>
                <w:color w:val="FFFFFF"/>
                <w:sz w:val="20"/>
              </w:rPr>
            </w:pPr>
            <w:r>
              <w:rPr>
                <w:rFonts w:cs="Arial"/>
                <w:b/>
                <w:color w:val="FFFFFF"/>
                <w:sz w:val="20"/>
              </w:rPr>
              <w:t xml:space="preserve">Northern Territory </w:t>
            </w:r>
            <w:r w:rsidRPr="000214BF">
              <w:rPr>
                <w:rFonts w:cs="Arial"/>
                <w:b/>
                <w:color w:val="FFFFFF"/>
                <w:sz w:val="20"/>
              </w:rPr>
              <w:t>point of view</w:t>
            </w:r>
          </w:p>
        </w:tc>
        <w:tc>
          <w:tcPr>
            <w:tcW w:w="4201" w:type="dxa"/>
            <w:shd w:val="clear" w:color="auto" w:fill="7030A0"/>
          </w:tcPr>
          <w:p w:rsidR="0063764A" w:rsidRPr="000214BF" w:rsidRDefault="0063764A" w:rsidP="0063764A">
            <w:pPr>
              <w:jc w:val="both"/>
              <w:rPr>
                <w:rFonts w:cs="Arial"/>
                <w:b/>
                <w:color w:val="FFFFFF"/>
                <w:sz w:val="20"/>
              </w:rPr>
            </w:pPr>
            <w:r w:rsidRPr="000214BF">
              <w:rPr>
                <w:rFonts w:cs="Arial"/>
                <w:b/>
                <w:color w:val="FFFFFF"/>
                <w:sz w:val="20"/>
              </w:rPr>
              <w:t>Programs or strategies to address the situation</w:t>
            </w:r>
          </w:p>
        </w:tc>
      </w:tr>
      <w:tr w:rsidR="0063764A" w:rsidRPr="000214BF" w:rsidTr="00DA23C8">
        <w:tc>
          <w:tcPr>
            <w:tcW w:w="4313" w:type="dxa"/>
          </w:tcPr>
          <w:p w:rsidR="00173A66" w:rsidRPr="00784872" w:rsidRDefault="00173A66" w:rsidP="003423C0">
            <w:pPr>
              <w:pStyle w:val="ListParagraph"/>
              <w:numPr>
                <w:ilvl w:val="0"/>
                <w:numId w:val="50"/>
              </w:numPr>
              <w:spacing w:after="0"/>
              <w:rPr>
                <w:rFonts w:cs="Arial"/>
                <w:sz w:val="20"/>
              </w:rPr>
            </w:pPr>
            <w:r w:rsidRPr="00784872">
              <w:rPr>
                <w:rFonts w:cs="Arial"/>
                <w:sz w:val="20"/>
              </w:rPr>
              <w:t>Supply is adequate in the Top End, at present</w:t>
            </w:r>
          </w:p>
          <w:p w:rsidR="00173A66" w:rsidRPr="00784872" w:rsidRDefault="00173A66" w:rsidP="003423C0">
            <w:pPr>
              <w:pStyle w:val="ListParagraph"/>
              <w:numPr>
                <w:ilvl w:val="0"/>
                <w:numId w:val="50"/>
              </w:numPr>
              <w:spacing w:after="0"/>
              <w:rPr>
                <w:rFonts w:cs="Arial"/>
                <w:sz w:val="20"/>
              </w:rPr>
            </w:pPr>
            <w:r w:rsidRPr="00784872">
              <w:rPr>
                <w:rFonts w:cs="Arial"/>
                <w:sz w:val="20"/>
              </w:rPr>
              <w:t>In Central Australia, there are several unfilled vacancies (Alice Springs Hospital)</w:t>
            </w:r>
          </w:p>
          <w:p w:rsidR="0063764A" w:rsidRPr="00784872" w:rsidRDefault="00173A66" w:rsidP="003423C0">
            <w:pPr>
              <w:pStyle w:val="ListParagraph"/>
              <w:numPr>
                <w:ilvl w:val="0"/>
                <w:numId w:val="50"/>
              </w:numPr>
              <w:spacing w:after="0"/>
              <w:rPr>
                <w:rFonts w:cs="Arial"/>
                <w:sz w:val="20"/>
              </w:rPr>
            </w:pPr>
            <w:r w:rsidRPr="00784872">
              <w:rPr>
                <w:rFonts w:cs="Arial"/>
                <w:sz w:val="20"/>
              </w:rPr>
              <w:t>Unfilled vacancies go up over summer months every year</w:t>
            </w:r>
          </w:p>
        </w:tc>
        <w:tc>
          <w:tcPr>
            <w:tcW w:w="4201" w:type="dxa"/>
          </w:tcPr>
          <w:p w:rsidR="00173A66" w:rsidRPr="00173A66" w:rsidRDefault="00173A66" w:rsidP="002B7E32">
            <w:pPr>
              <w:numPr>
                <w:ilvl w:val="0"/>
                <w:numId w:val="21"/>
              </w:numPr>
              <w:contextualSpacing/>
              <w:jc w:val="both"/>
              <w:rPr>
                <w:rFonts w:cs="Arial"/>
                <w:sz w:val="20"/>
              </w:rPr>
            </w:pPr>
            <w:r w:rsidRPr="00173A66">
              <w:rPr>
                <w:rFonts w:cs="Arial"/>
                <w:sz w:val="20"/>
              </w:rPr>
              <w:t>Incentives to work in remote NT: accommodation assistance, remote area safety initiatives (vehicle GPS, vehicle locking, Internet access), midwifery group practice, new EBA entitlements, short term contracts (versus Agency)’ promotional positions for Remote Area Midwife and Remote Area Midwifery Coordinators positions, professional development opportunities.</w:t>
            </w:r>
          </w:p>
          <w:p w:rsidR="00173A66" w:rsidRPr="00173A66" w:rsidRDefault="00173A66" w:rsidP="002B7E32">
            <w:pPr>
              <w:numPr>
                <w:ilvl w:val="0"/>
                <w:numId w:val="21"/>
              </w:numPr>
              <w:contextualSpacing/>
              <w:jc w:val="both"/>
              <w:rPr>
                <w:rFonts w:cs="Arial"/>
                <w:sz w:val="20"/>
              </w:rPr>
            </w:pPr>
            <w:r w:rsidRPr="00173A66">
              <w:rPr>
                <w:rFonts w:cs="Arial"/>
                <w:sz w:val="20"/>
              </w:rPr>
              <w:t>Central Australia have increased their employed model student intake (from 1 to 2)</w:t>
            </w:r>
            <w:r w:rsidR="000E381A">
              <w:rPr>
                <w:rFonts w:cs="Arial"/>
                <w:sz w:val="20"/>
              </w:rPr>
              <w:t>.</w:t>
            </w:r>
          </w:p>
          <w:p w:rsidR="00173A66" w:rsidRPr="00173A66" w:rsidRDefault="00173A66" w:rsidP="002B7E32">
            <w:pPr>
              <w:numPr>
                <w:ilvl w:val="0"/>
                <w:numId w:val="21"/>
              </w:numPr>
              <w:contextualSpacing/>
              <w:jc w:val="both"/>
              <w:rPr>
                <w:rFonts w:cs="Arial"/>
                <w:sz w:val="20"/>
              </w:rPr>
            </w:pPr>
            <w:r w:rsidRPr="00173A66">
              <w:rPr>
                <w:rFonts w:cs="Arial"/>
                <w:sz w:val="20"/>
              </w:rPr>
              <w:t>New Graduate and student programmes improve workforce supply.</w:t>
            </w:r>
          </w:p>
          <w:p w:rsidR="00173A66" w:rsidRPr="00173A66" w:rsidRDefault="00173A66" w:rsidP="002B7E32">
            <w:pPr>
              <w:numPr>
                <w:ilvl w:val="0"/>
                <w:numId w:val="21"/>
              </w:numPr>
              <w:contextualSpacing/>
              <w:jc w:val="both"/>
              <w:rPr>
                <w:rFonts w:cs="Arial"/>
                <w:sz w:val="20"/>
              </w:rPr>
            </w:pPr>
            <w:r w:rsidRPr="00173A66">
              <w:rPr>
                <w:rFonts w:cs="Arial"/>
                <w:sz w:val="20"/>
              </w:rPr>
              <w:t>Additional Educators hours dedicated to improve retention.</w:t>
            </w:r>
          </w:p>
          <w:p w:rsidR="00DA3E15" w:rsidRPr="00DA3E15" w:rsidRDefault="00173A66" w:rsidP="00DA3E15">
            <w:pPr>
              <w:numPr>
                <w:ilvl w:val="0"/>
                <w:numId w:val="21"/>
              </w:numPr>
              <w:contextualSpacing/>
              <w:jc w:val="both"/>
              <w:rPr>
                <w:rFonts w:cs="Arial"/>
                <w:sz w:val="20"/>
              </w:rPr>
            </w:pPr>
            <w:r w:rsidRPr="00173A66">
              <w:rPr>
                <w:rFonts w:cs="Arial"/>
                <w:sz w:val="20"/>
              </w:rPr>
              <w:lastRenderedPageBreak/>
              <w:t>Casual midwives are stable and reliable and are rostered according to availability limiting shortfall</w:t>
            </w:r>
            <w:r w:rsidR="00DA3E15">
              <w:rPr>
                <w:rFonts w:cs="Arial"/>
                <w:sz w:val="20"/>
              </w:rPr>
              <w:t>.</w:t>
            </w:r>
          </w:p>
          <w:p w:rsidR="00173A66" w:rsidRPr="00173A66" w:rsidRDefault="00173A66" w:rsidP="002B7E32">
            <w:pPr>
              <w:numPr>
                <w:ilvl w:val="0"/>
                <w:numId w:val="21"/>
              </w:numPr>
              <w:contextualSpacing/>
              <w:jc w:val="both"/>
              <w:rPr>
                <w:rFonts w:cs="Arial"/>
                <w:sz w:val="20"/>
              </w:rPr>
            </w:pPr>
            <w:r w:rsidRPr="00173A66">
              <w:rPr>
                <w:rFonts w:cs="Arial"/>
                <w:sz w:val="20"/>
              </w:rPr>
              <w:t>Local applicants are employed in preference to non-local applicants.</w:t>
            </w:r>
          </w:p>
          <w:p w:rsidR="0063764A" w:rsidRPr="000214BF" w:rsidRDefault="0063764A" w:rsidP="000E381A">
            <w:pPr>
              <w:ind w:left="360"/>
              <w:contextualSpacing/>
              <w:jc w:val="both"/>
              <w:rPr>
                <w:rFonts w:cs="Arial"/>
                <w:sz w:val="20"/>
              </w:rPr>
            </w:pPr>
          </w:p>
        </w:tc>
      </w:tr>
      <w:tr w:rsidR="003D2DC0" w:rsidRPr="000214BF" w:rsidTr="00F92344">
        <w:tc>
          <w:tcPr>
            <w:tcW w:w="4313" w:type="dxa"/>
            <w:shd w:val="clear" w:color="auto" w:fill="7030A0"/>
          </w:tcPr>
          <w:p w:rsidR="003D2DC0" w:rsidRDefault="004D0320" w:rsidP="0063764A">
            <w:pPr>
              <w:jc w:val="both"/>
              <w:rPr>
                <w:rFonts w:cs="Arial"/>
                <w:b/>
                <w:color w:val="FFFFFF"/>
                <w:sz w:val="20"/>
              </w:rPr>
            </w:pPr>
            <w:r>
              <w:rPr>
                <w:rFonts w:cs="Arial"/>
                <w:b/>
                <w:color w:val="FFFFFF"/>
                <w:sz w:val="20"/>
              </w:rPr>
              <w:lastRenderedPageBreak/>
              <w:t xml:space="preserve">Queensland point of view </w:t>
            </w:r>
          </w:p>
        </w:tc>
        <w:tc>
          <w:tcPr>
            <w:tcW w:w="4201" w:type="dxa"/>
            <w:shd w:val="clear" w:color="auto" w:fill="7030A0"/>
          </w:tcPr>
          <w:p w:rsidR="003D2DC0" w:rsidRPr="000214BF" w:rsidRDefault="004D0320" w:rsidP="0063764A">
            <w:pPr>
              <w:jc w:val="both"/>
              <w:rPr>
                <w:rFonts w:cs="Arial"/>
                <w:b/>
                <w:color w:val="FFFFFF"/>
                <w:sz w:val="20"/>
              </w:rPr>
            </w:pPr>
            <w:r w:rsidRPr="000214BF">
              <w:rPr>
                <w:rFonts w:cs="Arial"/>
                <w:b/>
                <w:color w:val="FFFFFF"/>
                <w:sz w:val="20"/>
              </w:rPr>
              <w:t>Programs or strategies to address the situation</w:t>
            </w:r>
          </w:p>
        </w:tc>
      </w:tr>
      <w:tr w:rsidR="004D0320" w:rsidRPr="000214BF" w:rsidTr="00DA23C8">
        <w:tc>
          <w:tcPr>
            <w:tcW w:w="4313" w:type="dxa"/>
            <w:shd w:val="clear" w:color="auto" w:fill="auto"/>
          </w:tcPr>
          <w:p w:rsidR="004D0320" w:rsidRPr="004D0320" w:rsidRDefault="004D0320" w:rsidP="003423C0">
            <w:pPr>
              <w:numPr>
                <w:ilvl w:val="0"/>
                <w:numId w:val="55"/>
              </w:numPr>
              <w:ind w:left="376" w:hanging="376"/>
              <w:contextualSpacing/>
              <w:jc w:val="both"/>
              <w:rPr>
                <w:rFonts w:cs="Arial"/>
                <w:sz w:val="20"/>
              </w:rPr>
            </w:pPr>
            <w:r w:rsidRPr="004D0320">
              <w:rPr>
                <w:rFonts w:cs="Arial"/>
                <w:sz w:val="20"/>
              </w:rPr>
              <w:t>The midwifery workforce is in minor under supply from a geographical perspective. Rockhampton, Emerald and Gladstone had difficulty recruiting.</w:t>
            </w:r>
          </w:p>
        </w:tc>
        <w:tc>
          <w:tcPr>
            <w:tcW w:w="4201" w:type="dxa"/>
            <w:shd w:val="clear" w:color="auto" w:fill="auto"/>
          </w:tcPr>
          <w:p w:rsidR="004D0320" w:rsidRDefault="004D0320" w:rsidP="003423C0">
            <w:pPr>
              <w:numPr>
                <w:ilvl w:val="0"/>
                <w:numId w:val="55"/>
              </w:numPr>
              <w:ind w:left="279" w:hanging="279"/>
              <w:contextualSpacing/>
              <w:jc w:val="both"/>
              <w:rPr>
                <w:rFonts w:cs="Arial"/>
                <w:sz w:val="20"/>
              </w:rPr>
            </w:pPr>
            <w:r w:rsidRPr="004D0320">
              <w:rPr>
                <w:rFonts w:cs="Arial"/>
                <w:sz w:val="20"/>
              </w:rPr>
              <w:t>Queensland Health is recruiting experienced and early career midwives and has committed to recruit an additional 100 midwives to boost care for the regional and rural communities, such as Cape and Torres Strait, Toowoomba, Rockhampton, Mt Isa, Mackay and Wide Bay, through the regional &amp; rural nursing and midwifery campaign and general election commitment.</w:t>
            </w:r>
          </w:p>
          <w:p w:rsidR="00DA3E15" w:rsidRPr="004D0320" w:rsidRDefault="00DA3E15" w:rsidP="00DA3E15">
            <w:pPr>
              <w:ind w:left="279"/>
              <w:contextualSpacing/>
              <w:jc w:val="both"/>
              <w:rPr>
                <w:rFonts w:cs="Arial"/>
                <w:sz w:val="20"/>
              </w:rPr>
            </w:pPr>
          </w:p>
        </w:tc>
      </w:tr>
      <w:tr w:rsidR="007A53DD" w:rsidRPr="000214BF" w:rsidTr="00F92344">
        <w:tc>
          <w:tcPr>
            <w:tcW w:w="4313" w:type="dxa"/>
            <w:shd w:val="clear" w:color="auto" w:fill="7030A0"/>
          </w:tcPr>
          <w:p w:rsidR="007A53DD" w:rsidRDefault="00DA3E15" w:rsidP="007A53DD">
            <w:pPr>
              <w:jc w:val="both"/>
              <w:rPr>
                <w:rFonts w:cs="Arial"/>
                <w:b/>
                <w:color w:val="FFFFFF"/>
                <w:sz w:val="20"/>
              </w:rPr>
            </w:pPr>
            <w:r>
              <w:rPr>
                <w:rFonts w:cs="Arial"/>
                <w:b/>
                <w:color w:val="FFFFFF"/>
                <w:sz w:val="20"/>
              </w:rPr>
              <w:t>South</w:t>
            </w:r>
            <w:r w:rsidR="007A53DD">
              <w:rPr>
                <w:rFonts w:cs="Arial"/>
                <w:b/>
                <w:color w:val="FFFFFF"/>
                <w:sz w:val="20"/>
              </w:rPr>
              <w:t xml:space="preserve"> Australia </w:t>
            </w:r>
            <w:r w:rsidR="007A53DD" w:rsidRPr="000214BF">
              <w:rPr>
                <w:rFonts w:cs="Arial"/>
                <w:b/>
                <w:color w:val="FFFFFF"/>
                <w:sz w:val="20"/>
              </w:rPr>
              <w:t>point of view</w:t>
            </w:r>
          </w:p>
        </w:tc>
        <w:tc>
          <w:tcPr>
            <w:tcW w:w="4201" w:type="dxa"/>
            <w:shd w:val="clear" w:color="auto" w:fill="7030A0"/>
          </w:tcPr>
          <w:p w:rsidR="007A53DD" w:rsidRPr="000214BF" w:rsidRDefault="007A53DD" w:rsidP="007A53DD">
            <w:pPr>
              <w:jc w:val="both"/>
              <w:rPr>
                <w:rFonts w:cs="Arial"/>
                <w:b/>
                <w:color w:val="FFFFFF"/>
                <w:sz w:val="20"/>
              </w:rPr>
            </w:pPr>
            <w:r w:rsidRPr="000214BF">
              <w:rPr>
                <w:rFonts w:cs="Arial"/>
                <w:b/>
                <w:color w:val="FFFFFF"/>
                <w:sz w:val="20"/>
              </w:rPr>
              <w:t>Programs or strategies to address the situation</w:t>
            </w:r>
          </w:p>
        </w:tc>
      </w:tr>
      <w:tr w:rsidR="007A53DD" w:rsidRPr="000214BF" w:rsidTr="00DA23C8">
        <w:tc>
          <w:tcPr>
            <w:tcW w:w="4313" w:type="dxa"/>
          </w:tcPr>
          <w:p w:rsidR="007A53DD" w:rsidRPr="008A2BE1" w:rsidRDefault="007A53DD" w:rsidP="007A53DD">
            <w:pPr>
              <w:numPr>
                <w:ilvl w:val="0"/>
                <w:numId w:val="21"/>
              </w:numPr>
              <w:contextualSpacing/>
              <w:jc w:val="both"/>
              <w:rPr>
                <w:rFonts w:cs="Arial"/>
                <w:sz w:val="20"/>
              </w:rPr>
            </w:pPr>
            <w:r w:rsidRPr="008A2BE1">
              <w:rPr>
                <w:rFonts w:cs="Arial"/>
                <w:sz w:val="20"/>
              </w:rPr>
              <w:t>Maldistribution exists in SA’s midwifery workforce.</w:t>
            </w:r>
          </w:p>
          <w:p w:rsidR="007A53DD" w:rsidRPr="008A2BE1" w:rsidRDefault="007A53DD" w:rsidP="007A53DD">
            <w:pPr>
              <w:numPr>
                <w:ilvl w:val="0"/>
                <w:numId w:val="21"/>
              </w:numPr>
              <w:contextualSpacing/>
              <w:jc w:val="both"/>
              <w:rPr>
                <w:rFonts w:cs="Arial"/>
                <w:sz w:val="20"/>
              </w:rPr>
            </w:pPr>
            <w:r w:rsidRPr="008A2BE1">
              <w:rPr>
                <w:rFonts w:cs="Arial"/>
                <w:sz w:val="20"/>
              </w:rPr>
              <w:t>There is an oversupply of midwives in the metropolitan area inclusive of both senior and graduate positions.</w:t>
            </w:r>
          </w:p>
          <w:p w:rsidR="007A53DD" w:rsidRPr="008A2BE1" w:rsidRDefault="007A53DD" w:rsidP="007A53DD">
            <w:pPr>
              <w:numPr>
                <w:ilvl w:val="0"/>
                <w:numId w:val="21"/>
              </w:numPr>
              <w:contextualSpacing/>
              <w:jc w:val="both"/>
              <w:rPr>
                <w:rFonts w:cs="Arial"/>
                <w:sz w:val="20"/>
              </w:rPr>
            </w:pPr>
            <w:r w:rsidRPr="008A2BE1">
              <w:rPr>
                <w:rFonts w:cs="Arial"/>
                <w:sz w:val="20"/>
              </w:rPr>
              <w:t xml:space="preserve">Some country hospitals experience difficulties in attracting and retaining midwives due to lower numbers of birthing women, limited graduate positions, and the requirement for graduates to hold dual-registration in some country hospitals. </w:t>
            </w:r>
          </w:p>
          <w:p w:rsidR="007A53DD" w:rsidRDefault="007A53DD" w:rsidP="007A53DD">
            <w:pPr>
              <w:jc w:val="both"/>
              <w:rPr>
                <w:rFonts w:cs="Arial"/>
                <w:b/>
                <w:color w:val="FFFFFF"/>
                <w:sz w:val="20"/>
              </w:rPr>
            </w:pPr>
          </w:p>
        </w:tc>
        <w:tc>
          <w:tcPr>
            <w:tcW w:w="4201" w:type="dxa"/>
          </w:tcPr>
          <w:p w:rsidR="007A53DD" w:rsidRPr="008A2BE1" w:rsidRDefault="007A53DD" w:rsidP="007A53DD">
            <w:pPr>
              <w:numPr>
                <w:ilvl w:val="0"/>
                <w:numId w:val="21"/>
              </w:numPr>
              <w:contextualSpacing/>
              <w:jc w:val="both"/>
              <w:rPr>
                <w:rFonts w:cs="Arial"/>
                <w:sz w:val="20"/>
              </w:rPr>
            </w:pPr>
            <w:r w:rsidRPr="008A2BE1">
              <w:rPr>
                <w:rFonts w:cs="Arial"/>
                <w:sz w:val="20"/>
              </w:rPr>
              <w:t>Country hospitals have been proactive in ‘growing their own’ midwifery workforce and have included a greater focus on community settings.</w:t>
            </w:r>
          </w:p>
          <w:p w:rsidR="007A53DD" w:rsidRPr="008A2BE1" w:rsidRDefault="007A53DD" w:rsidP="007A53DD">
            <w:pPr>
              <w:numPr>
                <w:ilvl w:val="0"/>
                <w:numId w:val="21"/>
              </w:numPr>
              <w:contextualSpacing/>
              <w:jc w:val="both"/>
              <w:rPr>
                <w:rFonts w:cs="Arial"/>
                <w:sz w:val="20"/>
              </w:rPr>
            </w:pPr>
            <w:r w:rsidRPr="008A2BE1">
              <w:rPr>
                <w:rFonts w:cs="Arial"/>
                <w:sz w:val="20"/>
              </w:rPr>
              <w:t>SA nurses and midwives living and working in a rural and remote area are entitled to an employment incentive payment under the Nursing and Midwifery (South Australian Public Sector) Enterprise Agreement 2016.</w:t>
            </w:r>
          </w:p>
          <w:p w:rsidR="007A53DD" w:rsidRPr="008A2BE1" w:rsidRDefault="007A53DD" w:rsidP="007A53DD">
            <w:pPr>
              <w:numPr>
                <w:ilvl w:val="0"/>
                <w:numId w:val="21"/>
              </w:numPr>
              <w:contextualSpacing/>
              <w:jc w:val="both"/>
              <w:rPr>
                <w:rFonts w:cs="Arial"/>
                <w:sz w:val="20"/>
              </w:rPr>
            </w:pPr>
            <w:r w:rsidRPr="008A2BE1">
              <w:rPr>
                <w:rFonts w:cs="Arial"/>
                <w:sz w:val="20"/>
              </w:rPr>
              <w:t>SA Health offers an annual Study Assistance Program to support midwives to build upon their current knowledge and enhance their skills and expertise.</w:t>
            </w:r>
          </w:p>
          <w:p w:rsidR="007A53DD" w:rsidRPr="000214BF" w:rsidRDefault="007A53DD" w:rsidP="007A53DD">
            <w:pPr>
              <w:jc w:val="both"/>
              <w:rPr>
                <w:rFonts w:cs="Arial"/>
                <w:b/>
                <w:color w:val="FFFFFF"/>
                <w:sz w:val="20"/>
              </w:rPr>
            </w:pPr>
          </w:p>
        </w:tc>
      </w:tr>
      <w:tr w:rsidR="007A53DD" w:rsidRPr="000214BF" w:rsidTr="00F92344">
        <w:tc>
          <w:tcPr>
            <w:tcW w:w="4313" w:type="dxa"/>
            <w:shd w:val="clear" w:color="auto" w:fill="7030A0"/>
          </w:tcPr>
          <w:p w:rsidR="007A53DD" w:rsidRPr="000214BF" w:rsidRDefault="007A53DD" w:rsidP="007A53DD">
            <w:pPr>
              <w:jc w:val="both"/>
              <w:rPr>
                <w:rFonts w:cs="Arial"/>
                <w:b/>
                <w:color w:val="FFFFFF"/>
                <w:sz w:val="20"/>
              </w:rPr>
            </w:pPr>
            <w:r>
              <w:rPr>
                <w:rFonts w:cs="Arial"/>
                <w:b/>
                <w:color w:val="FFFFFF"/>
                <w:sz w:val="20"/>
              </w:rPr>
              <w:t>Tasmania</w:t>
            </w:r>
            <w:r w:rsidRPr="000214BF">
              <w:rPr>
                <w:rFonts w:cs="Arial"/>
                <w:b/>
                <w:color w:val="FFFFFF"/>
                <w:sz w:val="20"/>
              </w:rPr>
              <w:t xml:space="preserve"> point of view</w:t>
            </w:r>
          </w:p>
        </w:tc>
        <w:tc>
          <w:tcPr>
            <w:tcW w:w="4201" w:type="dxa"/>
            <w:shd w:val="clear" w:color="auto" w:fill="7030A0"/>
          </w:tcPr>
          <w:p w:rsidR="007A53DD" w:rsidRPr="000214BF" w:rsidRDefault="007A53DD" w:rsidP="007A53DD">
            <w:pPr>
              <w:jc w:val="both"/>
              <w:rPr>
                <w:rFonts w:cs="Arial"/>
                <w:b/>
                <w:color w:val="FFFFFF"/>
                <w:sz w:val="20"/>
              </w:rPr>
            </w:pPr>
            <w:r w:rsidRPr="000214BF">
              <w:rPr>
                <w:rFonts w:cs="Arial"/>
                <w:b/>
                <w:color w:val="FFFFFF"/>
                <w:sz w:val="20"/>
              </w:rPr>
              <w:t>Programs or strategies to address the situation</w:t>
            </w:r>
          </w:p>
        </w:tc>
      </w:tr>
      <w:tr w:rsidR="007A53DD" w:rsidRPr="000214BF" w:rsidTr="00DA23C8">
        <w:tc>
          <w:tcPr>
            <w:tcW w:w="4313" w:type="dxa"/>
          </w:tcPr>
          <w:p w:rsidR="007A53DD" w:rsidRPr="00784872" w:rsidRDefault="007A53DD" w:rsidP="003423C0">
            <w:pPr>
              <w:pStyle w:val="ListParagraph"/>
              <w:numPr>
                <w:ilvl w:val="0"/>
                <w:numId w:val="49"/>
              </w:numPr>
              <w:spacing w:after="0"/>
              <w:rPr>
                <w:rFonts w:cs="Arial"/>
                <w:sz w:val="20"/>
              </w:rPr>
            </w:pPr>
            <w:r w:rsidRPr="00784872">
              <w:rPr>
                <w:rFonts w:cs="Arial"/>
                <w:sz w:val="20"/>
              </w:rPr>
              <w:t>Undersupply</w:t>
            </w:r>
          </w:p>
          <w:p w:rsidR="007A53DD" w:rsidRPr="00784872" w:rsidRDefault="007A53DD" w:rsidP="003423C0">
            <w:pPr>
              <w:pStyle w:val="ListParagraph"/>
              <w:numPr>
                <w:ilvl w:val="0"/>
                <w:numId w:val="48"/>
              </w:numPr>
              <w:spacing w:after="0"/>
              <w:rPr>
                <w:rFonts w:cs="Arial"/>
                <w:sz w:val="20"/>
              </w:rPr>
            </w:pPr>
            <w:r w:rsidRPr="00784872">
              <w:rPr>
                <w:rFonts w:cs="Arial"/>
                <w:sz w:val="20"/>
              </w:rPr>
              <w:t>Ongoing issues recruiting midwives to Northwest and North regions, though in the North this has eased over the past 2 years.</w:t>
            </w:r>
          </w:p>
        </w:tc>
        <w:tc>
          <w:tcPr>
            <w:tcW w:w="4201" w:type="dxa"/>
          </w:tcPr>
          <w:p w:rsidR="007A53DD" w:rsidRPr="002F6A06" w:rsidRDefault="007A53DD" w:rsidP="007A53DD">
            <w:pPr>
              <w:numPr>
                <w:ilvl w:val="0"/>
                <w:numId w:val="21"/>
              </w:numPr>
              <w:contextualSpacing/>
              <w:jc w:val="both"/>
              <w:rPr>
                <w:rFonts w:cs="Arial"/>
                <w:sz w:val="20"/>
              </w:rPr>
            </w:pPr>
            <w:r w:rsidRPr="002F6A06">
              <w:rPr>
                <w:rFonts w:cs="Arial"/>
                <w:sz w:val="20"/>
              </w:rPr>
              <w:t>Introduction of midwifery led models of care – nationally, these models are often more attractive to midwives.</w:t>
            </w:r>
          </w:p>
          <w:p w:rsidR="007A53DD" w:rsidRPr="002F6A06" w:rsidRDefault="007A53DD" w:rsidP="007A53DD">
            <w:pPr>
              <w:numPr>
                <w:ilvl w:val="0"/>
                <w:numId w:val="21"/>
              </w:numPr>
              <w:contextualSpacing/>
              <w:jc w:val="both"/>
              <w:rPr>
                <w:rFonts w:cs="Arial"/>
                <w:sz w:val="20"/>
              </w:rPr>
            </w:pPr>
            <w:r w:rsidRPr="002F6A06">
              <w:rPr>
                <w:rFonts w:cs="Arial"/>
                <w:sz w:val="20"/>
              </w:rPr>
              <w:t>Safe staffing model specific to midwifery</w:t>
            </w:r>
          </w:p>
          <w:p w:rsidR="007A53DD" w:rsidRDefault="007A53DD" w:rsidP="007A53DD">
            <w:pPr>
              <w:numPr>
                <w:ilvl w:val="0"/>
                <w:numId w:val="21"/>
              </w:numPr>
              <w:contextualSpacing/>
              <w:jc w:val="both"/>
              <w:rPr>
                <w:rFonts w:cs="Arial"/>
                <w:sz w:val="20"/>
              </w:rPr>
            </w:pPr>
            <w:r w:rsidRPr="002F6A06">
              <w:rPr>
                <w:rFonts w:cs="Arial"/>
                <w:sz w:val="20"/>
              </w:rPr>
              <w:t>North Region has taken more student midwives and worked to retain all local graduates.  Moving towards a match in numbers required, but skill mix remains a challenge</w:t>
            </w:r>
            <w:r>
              <w:rPr>
                <w:rFonts w:cs="Arial"/>
                <w:sz w:val="20"/>
              </w:rPr>
              <w:t>.</w:t>
            </w:r>
          </w:p>
          <w:p w:rsidR="007E6FAB" w:rsidRPr="002F6A06" w:rsidRDefault="007E6FAB" w:rsidP="007E6FAB">
            <w:pPr>
              <w:ind w:left="360"/>
              <w:contextualSpacing/>
              <w:jc w:val="both"/>
              <w:rPr>
                <w:rFonts w:cs="Arial"/>
                <w:sz w:val="20"/>
              </w:rPr>
            </w:pPr>
          </w:p>
        </w:tc>
      </w:tr>
      <w:tr w:rsidR="007A53DD" w:rsidRPr="000214BF" w:rsidTr="00F92344">
        <w:tc>
          <w:tcPr>
            <w:tcW w:w="4313" w:type="dxa"/>
            <w:shd w:val="clear" w:color="auto" w:fill="7030A0"/>
          </w:tcPr>
          <w:p w:rsidR="007A53DD" w:rsidRPr="000214BF" w:rsidRDefault="007A53DD" w:rsidP="007A53DD">
            <w:pPr>
              <w:jc w:val="both"/>
              <w:rPr>
                <w:rFonts w:cs="Arial"/>
                <w:b/>
                <w:color w:val="FFFFFF"/>
                <w:sz w:val="20"/>
              </w:rPr>
            </w:pPr>
            <w:r>
              <w:rPr>
                <w:rFonts w:cs="Arial"/>
                <w:b/>
                <w:color w:val="FFFFFF"/>
                <w:sz w:val="20"/>
              </w:rPr>
              <w:t>Victoria</w:t>
            </w:r>
            <w:r w:rsidRPr="000214BF">
              <w:rPr>
                <w:rFonts w:cs="Arial"/>
                <w:b/>
                <w:color w:val="FFFFFF"/>
                <w:sz w:val="20"/>
              </w:rPr>
              <w:t xml:space="preserve"> point of view</w:t>
            </w:r>
          </w:p>
        </w:tc>
        <w:tc>
          <w:tcPr>
            <w:tcW w:w="4201" w:type="dxa"/>
            <w:shd w:val="clear" w:color="auto" w:fill="7030A0"/>
          </w:tcPr>
          <w:p w:rsidR="007A53DD" w:rsidRPr="000214BF" w:rsidRDefault="007A53DD" w:rsidP="007A53DD">
            <w:pPr>
              <w:jc w:val="both"/>
              <w:rPr>
                <w:rFonts w:cs="Arial"/>
                <w:b/>
                <w:color w:val="FFFFFF"/>
                <w:sz w:val="20"/>
              </w:rPr>
            </w:pPr>
            <w:r w:rsidRPr="000214BF">
              <w:rPr>
                <w:rFonts w:cs="Arial"/>
                <w:b/>
                <w:color w:val="FFFFFF"/>
                <w:sz w:val="20"/>
              </w:rPr>
              <w:t>Programs or strategies to address the situation</w:t>
            </w:r>
          </w:p>
        </w:tc>
      </w:tr>
      <w:tr w:rsidR="007A53DD" w:rsidRPr="000214BF" w:rsidTr="00DA23C8">
        <w:tc>
          <w:tcPr>
            <w:tcW w:w="4313" w:type="dxa"/>
          </w:tcPr>
          <w:p w:rsidR="007A53DD" w:rsidRPr="00784872" w:rsidRDefault="007A53DD" w:rsidP="003423C0">
            <w:pPr>
              <w:pStyle w:val="ListParagraph"/>
              <w:numPr>
                <w:ilvl w:val="0"/>
                <w:numId w:val="47"/>
              </w:numPr>
              <w:spacing w:after="0"/>
              <w:rPr>
                <w:rFonts w:cs="Arial"/>
                <w:sz w:val="20"/>
              </w:rPr>
            </w:pPr>
            <w:r w:rsidRPr="00784872">
              <w:rPr>
                <w:rFonts w:cs="Arial"/>
                <w:sz w:val="20"/>
              </w:rPr>
              <w:t>The study referred to above showed that the shortages were predominantly in western regional Victoria and Gippsland (eastern regional Victoria).</w:t>
            </w:r>
          </w:p>
        </w:tc>
        <w:tc>
          <w:tcPr>
            <w:tcW w:w="4201" w:type="dxa"/>
          </w:tcPr>
          <w:p w:rsidR="007A53DD" w:rsidRDefault="007A53DD" w:rsidP="007A53DD">
            <w:pPr>
              <w:numPr>
                <w:ilvl w:val="0"/>
                <w:numId w:val="21"/>
              </w:numPr>
              <w:contextualSpacing/>
              <w:jc w:val="both"/>
              <w:rPr>
                <w:rFonts w:cs="Arial"/>
                <w:sz w:val="20"/>
              </w:rPr>
            </w:pPr>
            <w:r w:rsidRPr="00FF1C2D">
              <w:rPr>
                <w:rFonts w:cs="Arial"/>
                <w:sz w:val="20"/>
              </w:rPr>
              <w:t xml:space="preserve">A workforce planning toolkit to assist health services to undertake more sophisticated workforce planning, including in </w:t>
            </w:r>
            <w:r>
              <w:rPr>
                <w:rFonts w:cs="Arial"/>
                <w:sz w:val="20"/>
              </w:rPr>
              <w:t>recruitment, is being developed.</w:t>
            </w:r>
          </w:p>
          <w:p w:rsidR="0078734D" w:rsidRPr="000214BF" w:rsidRDefault="0078734D" w:rsidP="0078734D">
            <w:pPr>
              <w:ind w:left="360"/>
              <w:contextualSpacing/>
              <w:jc w:val="both"/>
              <w:rPr>
                <w:rFonts w:cs="Arial"/>
                <w:sz w:val="20"/>
              </w:rPr>
            </w:pPr>
          </w:p>
        </w:tc>
      </w:tr>
      <w:tr w:rsidR="007A53DD" w:rsidRPr="000214BF" w:rsidTr="00F92344">
        <w:tc>
          <w:tcPr>
            <w:tcW w:w="4313" w:type="dxa"/>
            <w:shd w:val="clear" w:color="auto" w:fill="7030A0"/>
          </w:tcPr>
          <w:p w:rsidR="007A53DD" w:rsidRPr="000214BF" w:rsidRDefault="007A53DD" w:rsidP="007A53DD">
            <w:pPr>
              <w:jc w:val="both"/>
              <w:rPr>
                <w:rFonts w:cs="Arial"/>
                <w:b/>
                <w:color w:val="FFFFFF"/>
                <w:sz w:val="20"/>
              </w:rPr>
            </w:pPr>
            <w:r>
              <w:rPr>
                <w:rFonts w:cs="Arial"/>
                <w:b/>
                <w:color w:val="FFFFFF"/>
                <w:sz w:val="20"/>
              </w:rPr>
              <w:t xml:space="preserve">Western Australia </w:t>
            </w:r>
            <w:r w:rsidRPr="000214BF">
              <w:rPr>
                <w:rFonts w:cs="Arial"/>
                <w:b/>
                <w:color w:val="FFFFFF"/>
                <w:sz w:val="20"/>
              </w:rPr>
              <w:t xml:space="preserve"> point of view</w:t>
            </w:r>
          </w:p>
        </w:tc>
        <w:tc>
          <w:tcPr>
            <w:tcW w:w="4201" w:type="dxa"/>
            <w:shd w:val="clear" w:color="auto" w:fill="7030A0"/>
          </w:tcPr>
          <w:p w:rsidR="007A53DD" w:rsidRPr="000214BF" w:rsidRDefault="007A53DD" w:rsidP="007A53DD">
            <w:pPr>
              <w:jc w:val="both"/>
              <w:rPr>
                <w:rFonts w:cs="Arial"/>
                <w:b/>
                <w:color w:val="FFFFFF"/>
                <w:sz w:val="20"/>
              </w:rPr>
            </w:pPr>
            <w:r w:rsidRPr="000214BF">
              <w:rPr>
                <w:rFonts w:cs="Arial"/>
                <w:b/>
                <w:color w:val="FFFFFF"/>
                <w:sz w:val="20"/>
              </w:rPr>
              <w:t>Programs or strategies to address the situation</w:t>
            </w:r>
          </w:p>
        </w:tc>
      </w:tr>
      <w:tr w:rsidR="007A53DD" w:rsidRPr="000214BF" w:rsidTr="00DA23C8">
        <w:tc>
          <w:tcPr>
            <w:tcW w:w="4313" w:type="dxa"/>
          </w:tcPr>
          <w:p w:rsidR="007A53DD" w:rsidRPr="00784872" w:rsidRDefault="007A53DD" w:rsidP="007A53DD">
            <w:pPr>
              <w:pStyle w:val="ListParagraph"/>
              <w:numPr>
                <w:ilvl w:val="0"/>
                <w:numId w:val="21"/>
              </w:numPr>
              <w:spacing w:after="0"/>
              <w:rPr>
                <w:rFonts w:cs="Arial"/>
                <w:sz w:val="20"/>
              </w:rPr>
            </w:pPr>
            <w:r w:rsidRPr="00784872">
              <w:rPr>
                <w:rFonts w:cs="Arial"/>
                <w:sz w:val="20"/>
              </w:rPr>
              <w:lastRenderedPageBreak/>
              <w:t>There is an undersupply of midwives in country regions as a result of the maldistribution with metropolitan regions (75% of midwives in metro and 25% in country).</w:t>
            </w:r>
          </w:p>
        </w:tc>
        <w:tc>
          <w:tcPr>
            <w:tcW w:w="4201" w:type="dxa"/>
          </w:tcPr>
          <w:p w:rsidR="007A53DD" w:rsidRPr="00AB0FC4" w:rsidRDefault="007A53DD" w:rsidP="007A53DD">
            <w:pPr>
              <w:numPr>
                <w:ilvl w:val="0"/>
                <w:numId w:val="21"/>
              </w:numPr>
              <w:contextualSpacing/>
              <w:jc w:val="both"/>
              <w:rPr>
                <w:rFonts w:cs="Arial"/>
                <w:sz w:val="20"/>
              </w:rPr>
            </w:pPr>
            <w:r w:rsidRPr="00AB0FC4">
              <w:rPr>
                <w:rFonts w:cs="Arial"/>
                <w:sz w:val="20"/>
              </w:rPr>
              <w:t>Introduction of Midwifery Group Practices (MGP) or midwifery led units as a recruitment strategy.</w:t>
            </w:r>
          </w:p>
          <w:p w:rsidR="007A53DD" w:rsidRDefault="007A53DD" w:rsidP="007A53DD">
            <w:pPr>
              <w:numPr>
                <w:ilvl w:val="0"/>
                <w:numId w:val="21"/>
              </w:numPr>
              <w:contextualSpacing/>
              <w:jc w:val="both"/>
              <w:rPr>
                <w:rFonts w:cs="Arial"/>
                <w:sz w:val="20"/>
              </w:rPr>
            </w:pPr>
            <w:r w:rsidRPr="00AB0FC4">
              <w:rPr>
                <w:rFonts w:cs="Arial"/>
                <w:sz w:val="20"/>
              </w:rPr>
              <w:t>Amendments to Job Description Forms (JDF) to support non-registered nurse midwives to work in comm</w:t>
            </w:r>
            <w:r w:rsidR="007E6FAB">
              <w:rPr>
                <w:rFonts w:cs="Arial"/>
                <w:sz w:val="20"/>
              </w:rPr>
              <w:t>unity and child health settings.</w:t>
            </w:r>
          </w:p>
          <w:p w:rsidR="007E6FAB" w:rsidRPr="000214BF" w:rsidRDefault="007E6FAB" w:rsidP="007E6FAB">
            <w:pPr>
              <w:ind w:left="360"/>
              <w:contextualSpacing/>
              <w:jc w:val="both"/>
              <w:rPr>
                <w:rFonts w:cs="Arial"/>
                <w:sz w:val="20"/>
              </w:rPr>
            </w:pPr>
          </w:p>
        </w:tc>
      </w:tr>
    </w:tbl>
    <w:p w:rsidR="00650549" w:rsidRDefault="00650549" w:rsidP="000214BF">
      <w:pPr>
        <w:spacing w:after="0" w:line="240" w:lineRule="auto"/>
        <w:jc w:val="both"/>
        <w:rPr>
          <w:rFonts w:eastAsia="Times New Roman"/>
          <w:sz w:val="20"/>
        </w:rPr>
      </w:pPr>
    </w:p>
    <w:p w:rsidR="00650549" w:rsidRDefault="00650549">
      <w:pPr>
        <w:rPr>
          <w:rFonts w:eastAsia="Times New Roman"/>
          <w:sz w:val="20"/>
        </w:rPr>
      </w:pPr>
      <w:r>
        <w:rPr>
          <w:rFonts w:eastAsia="Times New Roman"/>
          <w:sz w:val="20"/>
        </w:rPr>
        <w:br w:type="page"/>
      </w:r>
    </w:p>
    <w:p w:rsidR="000214BF" w:rsidRPr="00595441" w:rsidRDefault="00595441" w:rsidP="003423C0">
      <w:pPr>
        <w:pStyle w:val="ListParagraph"/>
        <w:numPr>
          <w:ilvl w:val="0"/>
          <w:numId w:val="57"/>
        </w:numPr>
        <w:spacing w:after="0"/>
        <w:rPr>
          <w:rFonts w:cs="Arial"/>
          <w:b/>
        </w:rPr>
      </w:pPr>
      <w:r w:rsidRPr="00595441">
        <w:rPr>
          <w:rFonts w:cs="Arial"/>
          <w:b/>
        </w:rPr>
        <w:lastRenderedPageBreak/>
        <w:t>What proportion of the midwifery workforce is dual qualified?</w:t>
      </w:r>
    </w:p>
    <w:p w:rsidR="00595441" w:rsidRPr="00595441" w:rsidRDefault="00595441" w:rsidP="00595441">
      <w:pPr>
        <w:spacing w:after="0" w:line="240" w:lineRule="auto"/>
        <w:ind w:left="720"/>
        <w:jc w:val="both"/>
        <w:rPr>
          <w:rFonts w:eastAsia="Times New Roman"/>
          <w:sz w:val="20"/>
        </w:rPr>
      </w:pPr>
    </w:p>
    <w:tbl>
      <w:tblPr>
        <w:tblStyle w:val="TableGrid2"/>
        <w:tblW w:w="0" w:type="auto"/>
        <w:tblInd w:w="-113" w:type="dxa"/>
        <w:tblLook w:val="04A0" w:firstRow="1" w:lastRow="0" w:firstColumn="1" w:lastColumn="0" w:noHBand="0" w:noVBand="1"/>
        <w:tblCaption w:val="Appendix B: Jurisdictional perspectives"/>
        <w:tblDescription w:val="3. What proportion of the midwifery workforce is dual qualified?&#10;Provides all state and territory prespectives if provided.&#10;"/>
      </w:tblPr>
      <w:tblGrid>
        <w:gridCol w:w="4328"/>
        <w:gridCol w:w="4328"/>
      </w:tblGrid>
      <w:tr w:rsidR="00F76208" w:rsidRPr="000214BF" w:rsidTr="00F92344">
        <w:trPr>
          <w:tblHeader/>
        </w:trPr>
        <w:tc>
          <w:tcPr>
            <w:tcW w:w="4328" w:type="dxa"/>
            <w:shd w:val="clear" w:color="auto" w:fill="7030A0"/>
          </w:tcPr>
          <w:p w:rsidR="00F76208" w:rsidRPr="00595441" w:rsidRDefault="00595441" w:rsidP="00595441">
            <w:pPr>
              <w:rPr>
                <w:rFonts w:cs="Arial"/>
                <w:b/>
                <w:color w:val="FFFFFF"/>
              </w:rPr>
            </w:pPr>
            <w:r w:rsidRPr="00595441">
              <w:rPr>
                <w:rFonts w:cs="Arial"/>
                <w:b/>
                <w:color w:val="FFFFFF"/>
              </w:rPr>
              <w:t>State/Territory point of view</w:t>
            </w:r>
          </w:p>
        </w:tc>
        <w:tc>
          <w:tcPr>
            <w:tcW w:w="4328" w:type="dxa"/>
            <w:shd w:val="clear" w:color="auto" w:fill="7030A0"/>
            <w:noWrap/>
            <w:vAlign w:val="center"/>
          </w:tcPr>
          <w:p w:rsidR="00F76208" w:rsidRPr="000214BF" w:rsidRDefault="00595441" w:rsidP="00595441">
            <w:pPr>
              <w:contextualSpacing/>
              <w:jc w:val="both"/>
              <w:rPr>
                <w:rFonts w:cs="Arial"/>
                <w:b/>
                <w:color w:val="FFFFFF"/>
                <w:sz w:val="20"/>
              </w:rPr>
            </w:pPr>
            <w:r w:rsidRPr="00D93F49">
              <w:rPr>
                <w:rFonts w:cs="Arial"/>
                <w:b/>
                <w:color w:val="FFFFFF"/>
              </w:rPr>
              <w:t>Programs or Strategies</w:t>
            </w:r>
          </w:p>
        </w:tc>
      </w:tr>
      <w:tr w:rsidR="0063764A" w:rsidRPr="000214BF" w:rsidTr="00F92344">
        <w:tc>
          <w:tcPr>
            <w:tcW w:w="4328" w:type="dxa"/>
            <w:shd w:val="clear" w:color="auto" w:fill="7030A0"/>
          </w:tcPr>
          <w:p w:rsidR="0063764A" w:rsidRPr="000214BF" w:rsidRDefault="0063764A" w:rsidP="00595441">
            <w:pPr>
              <w:rPr>
                <w:rFonts w:cs="Arial"/>
                <w:b/>
                <w:color w:val="FFFFFF"/>
                <w:sz w:val="20"/>
              </w:rPr>
            </w:pPr>
            <w:r>
              <w:rPr>
                <w:rFonts w:cs="Arial"/>
                <w:b/>
                <w:color w:val="FFFFFF"/>
                <w:sz w:val="20"/>
              </w:rPr>
              <w:t>ACT</w:t>
            </w:r>
            <w:r w:rsidRPr="000214BF">
              <w:rPr>
                <w:rFonts w:cs="Arial"/>
                <w:b/>
                <w:color w:val="FFFFFF"/>
                <w:sz w:val="20"/>
              </w:rPr>
              <w:t xml:space="preserve"> point of view</w:t>
            </w:r>
          </w:p>
        </w:tc>
        <w:tc>
          <w:tcPr>
            <w:tcW w:w="4328" w:type="dxa"/>
            <w:shd w:val="clear" w:color="auto" w:fill="7030A0"/>
          </w:tcPr>
          <w:p w:rsidR="0063764A" w:rsidRPr="000214BF" w:rsidRDefault="0063764A" w:rsidP="00595441">
            <w:pPr>
              <w:rPr>
                <w:rFonts w:cs="Arial"/>
                <w:b/>
                <w:color w:val="FFFFFF"/>
                <w:sz w:val="20"/>
              </w:rPr>
            </w:pPr>
            <w:r w:rsidRPr="000214BF">
              <w:rPr>
                <w:rFonts w:cs="Arial"/>
                <w:b/>
                <w:color w:val="FFFFFF"/>
                <w:sz w:val="20"/>
              </w:rPr>
              <w:t>Programs or strategies to address the situation</w:t>
            </w:r>
          </w:p>
        </w:tc>
      </w:tr>
      <w:tr w:rsidR="0063764A" w:rsidRPr="000214BF" w:rsidTr="00F92344">
        <w:tc>
          <w:tcPr>
            <w:tcW w:w="4328" w:type="dxa"/>
          </w:tcPr>
          <w:p w:rsidR="0061039D" w:rsidRPr="00784872" w:rsidRDefault="0061039D" w:rsidP="003423C0">
            <w:pPr>
              <w:pStyle w:val="ListParagraph"/>
              <w:numPr>
                <w:ilvl w:val="0"/>
                <w:numId w:val="46"/>
              </w:numPr>
              <w:spacing w:after="0"/>
              <w:jc w:val="left"/>
              <w:rPr>
                <w:rFonts w:cs="Arial"/>
                <w:sz w:val="20"/>
              </w:rPr>
            </w:pPr>
            <w:r w:rsidRPr="00784872">
              <w:rPr>
                <w:rFonts w:cs="Arial"/>
                <w:sz w:val="20"/>
              </w:rPr>
              <w:t>In the ACT, the total number of those registered as either a midwife (RM) or as a registered nurse (RN) and RM (dual qualified) with the Nursing and Midwifery Board of Australia is 684</w:t>
            </w:r>
          </w:p>
          <w:p w:rsidR="0061039D" w:rsidRPr="00784872" w:rsidRDefault="0061039D" w:rsidP="003423C0">
            <w:pPr>
              <w:pStyle w:val="ListParagraph"/>
              <w:numPr>
                <w:ilvl w:val="0"/>
                <w:numId w:val="45"/>
              </w:numPr>
              <w:spacing w:after="0"/>
              <w:jc w:val="left"/>
              <w:rPr>
                <w:rFonts w:cs="Arial"/>
                <w:sz w:val="20"/>
              </w:rPr>
            </w:pPr>
            <w:r w:rsidRPr="00784872">
              <w:rPr>
                <w:rFonts w:cs="Arial"/>
                <w:sz w:val="20"/>
              </w:rPr>
              <w:t>78% (543) are dual qualified RN/RM practitioners.</w:t>
            </w:r>
          </w:p>
          <w:p w:rsidR="0063764A" w:rsidRPr="00784872" w:rsidRDefault="0061039D" w:rsidP="003423C0">
            <w:pPr>
              <w:pStyle w:val="ListParagraph"/>
              <w:numPr>
                <w:ilvl w:val="0"/>
                <w:numId w:val="44"/>
              </w:numPr>
              <w:spacing w:after="0"/>
              <w:jc w:val="left"/>
              <w:rPr>
                <w:rFonts w:cs="Arial"/>
                <w:sz w:val="20"/>
              </w:rPr>
            </w:pPr>
            <w:r w:rsidRPr="00784872">
              <w:rPr>
                <w:rFonts w:cs="Arial"/>
                <w:sz w:val="20"/>
              </w:rPr>
              <w:t>It is unknown how many of the dual qualified practitioners are actually practicing as midwives</w:t>
            </w:r>
          </w:p>
        </w:tc>
        <w:tc>
          <w:tcPr>
            <w:tcW w:w="4328" w:type="dxa"/>
          </w:tcPr>
          <w:p w:rsidR="0061039D" w:rsidRPr="0061039D" w:rsidRDefault="0061039D" w:rsidP="00595441">
            <w:pPr>
              <w:numPr>
                <w:ilvl w:val="0"/>
                <w:numId w:val="21"/>
              </w:numPr>
              <w:contextualSpacing/>
              <w:rPr>
                <w:rFonts w:cs="Arial"/>
                <w:sz w:val="20"/>
              </w:rPr>
            </w:pPr>
            <w:r w:rsidRPr="0061039D">
              <w:rPr>
                <w:rFonts w:cs="Arial"/>
                <w:sz w:val="20"/>
              </w:rPr>
              <w:t>Scholarship program through the office of the Ch</w:t>
            </w:r>
            <w:r w:rsidR="008005F4">
              <w:rPr>
                <w:rFonts w:cs="Arial"/>
                <w:sz w:val="20"/>
              </w:rPr>
              <w:t>ief Nurse and Midwifery Officer.</w:t>
            </w:r>
          </w:p>
          <w:p w:rsidR="0061039D" w:rsidRPr="0061039D" w:rsidRDefault="0061039D" w:rsidP="00595441">
            <w:pPr>
              <w:numPr>
                <w:ilvl w:val="0"/>
                <w:numId w:val="21"/>
              </w:numPr>
              <w:contextualSpacing/>
              <w:rPr>
                <w:rFonts w:cs="Arial"/>
                <w:sz w:val="20"/>
              </w:rPr>
            </w:pPr>
            <w:r w:rsidRPr="0061039D">
              <w:rPr>
                <w:rFonts w:cs="Arial"/>
                <w:sz w:val="20"/>
              </w:rPr>
              <w:t>Reintroduction of post graduate midwifery course at University of Canberra (UC), supported by The Canberra Hospital (TCH) through an employment model</w:t>
            </w:r>
            <w:r w:rsidR="008005F4">
              <w:rPr>
                <w:rFonts w:cs="Arial"/>
                <w:sz w:val="20"/>
              </w:rPr>
              <w:t>.</w:t>
            </w:r>
          </w:p>
          <w:p w:rsidR="0061039D" w:rsidRPr="0061039D" w:rsidRDefault="0061039D" w:rsidP="00595441">
            <w:pPr>
              <w:numPr>
                <w:ilvl w:val="0"/>
                <w:numId w:val="21"/>
              </w:numPr>
              <w:contextualSpacing/>
              <w:rPr>
                <w:rFonts w:cs="Arial"/>
                <w:sz w:val="20"/>
              </w:rPr>
            </w:pPr>
            <w:r w:rsidRPr="0061039D">
              <w:rPr>
                <w:rFonts w:cs="Arial"/>
                <w:sz w:val="20"/>
              </w:rPr>
              <w:t>Partnership with Charles Sturt University (CSU) with employment model for post graduate midwifery students.</w:t>
            </w:r>
          </w:p>
          <w:p w:rsidR="0063764A" w:rsidRDefault="0061039D" w:rsidP="00595441">
            <w:pPr>
              <w:numPr>
                <w:ilvl w:val="0"/>
                <w:numId w:val="21"/>
              </w:numPr>
              <w:contextualSpacing/>
              <w:rPr>
                <w:rFonts w:cs="Arial"/>
                <w:sz w:val="20"/>
              </w:rPr>
            </w:pPr>
            <w:r w:rsidRPr="0061039D">
              <w:rPr>
                <w:rFonts w:cs="Arial"/>
                <w:sz w:val="20"/>
              </w:rPr>
              <w:t>Investigation of career pathways for direct entry midwives, including introduction of midwifery positions (working to midwifery scope of practice) within the Maternal and Child Health Program (MACH)</w:t>
            </w:r>
            <w:r w:rsidR="008005F4">
              <w:rPr>
                <w:rFonts w:cs="Arial"/>
                <w:sz w:val="20"/>
              </w:rPr>
              <w:t>.</w:t>
            </w:r>
          </w:p>
          <w:p w:rsidR="007E6FAB" w:rsidRPr="000214BF" w:rsidRDefault="007E6FAB" w:rsidP="00595441">
            <w:pPr>
              <w:ind w:left="360"/>
              <w:contextualSpacing/>
              <w:rPr>
                <w:rFonts w:cs="Arial"/>
                <w:sz w:val="20"/>
              </w:rPr>
            </w:pPr>
          </w:p>
        </w:tc>
      </w:tr>
      <w:tr w:rsidR="0063764A" w:rsidRPr="000214BF" w:rsidTr="00F92344">
        <w:tc>
          <w:tcPr>
            <w:tcW w:w="4328" w:type="dxa"/>
            <w:shd w:val="clear" w:color="auto" w:fill="7030A0"/>
          </w:tcPr>
          <w:p w:rsidR="0063764A" w:rsidRPr="000214BF" w:rsidRDefault="0063764A" w:rsidP="00595441">
            <w:pPr>
              <w:rPr>
                <w:rFonts w:cs="Arial"/>
                <w:b/>
                <w:color w:val="FFFFFF"/>
                <w:sz w:val="20"/>
              </w:rPr>
            </w:pPr>
            <w:r>
              <w:rPr>
                <w:rFonts w:cs="Arial"/>
                <w:b/>
                <w:color w:val="FFFFFF"/>
                <w:sz w:val="20"/>
              </w:rPr>
              <w:t xml:space="preserve">NSW </w:t>
            </w:r>
            <w:r w:rsidRPr="000214BF">
              <w:rPr>
                <w:rFonts w:cs="Arial"/>
                <w:b/>
                <w:color w:val="FFFFFF"/>
                <w:sz w:val="20"/>
              </w:rPr>
              <w:t>point of view</w:t>
            </w:r>
          </w:p>
        </w:tc>
        <w:tc>
          <w:tcPr>
            <w:tcW w:w="4328" w:type="dxa"/>
            <w:shd w:val="clear" w:color="auto" w:fill="7030A0"/>
          </w:tcPr>
          <w:p w:rsidR="0063764A" w:rsidRPr="000214BF" w:rsidRDefault="0063764A" w:rsidP="00595441">
            <w:pPr>
              <w:rPr>
                <w:rFonts w:cs="Arial"/>
                <w:b/>
                <w:color w:val="FFFFFF"/>
                <w:sz w:val="20"/>
              </w:rPr>
            </w:pPr>
            <w:r w:rsidRPr="000214BF">
              <w:rPr>
                <w:rFonts w:cs="Arial"/>
                <w:b/>
                <w:color w:val="FFFFFF"/>
                <w:sz w:val="20"/>
              </w:rPr>
              <w:t>Programs or strategies to address the situation</w:t>
            </w:r>
          </w:p>
        </w:tc>
      </w:tr>
      <w:tr w:rsidR="0063764A" w:rsidRPr="000214BF" w:rsidTr="00F92344">
        <w:tc>
          <w:tcPr>
            <w:tcW w:w="4328" w:type="dxa"/>
          </w:tcPr>
          <w:p w:rsidR="0063764A" w:rsidRPr="000214BF" w:rsidRDefault="00C8415E" w:rsidP="00595441">
            <w:pPr>
              <w:rPr>
                <w:rFonts w:cs="Arial"/>
                <w:sz w:val="20"/>
              </w:rPr>
            </w:pPr>
            <w:r>
              <w:rPr>
                <w:rFonts w:cs="Arial"/>
                <w:sz w:val="20"/>
              </w:rPr>
              <w:t>No response</w:t>
            </w:r>
          </w:p>
        </w:tc>
        <w:tc>
          <w:tcPr>
            <w:tcW w:w="4328" w:type="dxa"/>
          </w:tcPr>
          <w:p w:rsidR="0063764A" w:rsidRPr="000214BF" w:rsidRDefault="00C8415E" w:rsidP="00595441">
            <w:pPr>
              <w:ind w:left="360"/>
              <w:contextualSpacing/>
              <w:rPr>
                <w:rFonts w:cs="Arial"/>
                <w:sz w:val="20"/>
              </w:rPr>
            </w:pPr>
            <w:r>
              <w:rPr>
                <w:rFonts w:cs="Arial"/>
                <w:sz w:val="20"/>
              </w:rPr>
              <w:t>No response</w:t>
            </w:r>
          </w:p>
        </w:tc>
      </w:tr>
      <w:tr w:rsidR="0063764A" w:rsidRPr="000214BF" w:rsidTr="00F92344">
        <w:tc>
          <w:tcPr>
            <w:tcW w:w="4328" w:type="dxa"/>
            <w:shd w:val="clear" w:color="auto" w:fill="7030A0"/>
          </w:tcPr>
          <w:p w:rsidR="0063764A" w:rsidRPr="000214BF" w:rsidRDefault="0063764A" w:rsidP="00595441">
            <w:pPr>
              <w:rPr>
                <w:rFonts w:cs="Arial"/>
                <w:b/>
                <w:color w:val="FFFFFF"/>
                <w:sz w:val="20"/>
              </w:rPr>
            </w:pPr>
            <w:r>
              <w:rPr>
                <w:rFonts w:cs="Arial"/>
                <w:b/>
                <w:color w:val="FFFFFF"/>
                <w:sz w:val="20"/>
              </w:rPr>
              <w:t xml:space="preserve">Northern Territory </w:t>
            </w:r>
            <w:r w:rsidRPr="000214BF">
              <w:rPr>
                <w:rFonts w:cs="Arial"/>
                <w:b/>
                <w:color w:val="FFFFFF"/>
                <w:sz w:val="20"/>
              </w:rPr>
              <w:t>point of view</w:t>
            </w:r>
          </w:p>
        </w:tc>
        <w:tc>
          <w:tcPr>
            <w:tcW w:w="4328" w:type="dxa"/>
            <w:shd w:val="clear" w:color="auto" w:fill="7030A0"/>
          </w:tcPr>
          <w:p w:rsidR="0063764A" w:rsidRPr="000214BF" w:rsidRDefault="0063764A" w:rsidP="00595441">
            <w:pPr>
              <w:rPr>
                <w:rFonts w:cs="Arial"/>
                <w:b/>
                <w:color w:val="FFFFFF"/>
                <w:sz w:val="20"/>
              </w:rPr>
            </w:pPr>
            <w:r w:rsidRPr="000214BF">
              <w:rPr>
                <w:rFonts w:cs="Arial"/>
                <w:b/>
                <w:color w:val="FFFFFF"/>
                <w:sz w:val="20"/>
              </w:rPr>
              <w:t>Programs or strategies to address the situation</w:t>
            </w:r>
          </w:p>
        </w:tc>
      </w:tr>
      <w:tr w:rsidR="0063764A" w:rsidRPr="000214BF" w:rsidTr="00F92344">
        <w:tc>
          <w:tcPr>
            <w:tcW w:w="4328" w:type="dxa"/>
          </w:tcPr>
          <w:p w:rsidR="0063764A" w:rsidRPr="00173A66" w:rsidRDefault="00173A66" w:rsidP="00595441">
            <w:pPr>
              <w:pStyle w:val="ListParagraph"/>
              <w:numPr>
                <w:ilvl w:val="0"/>
                <w:numId w:val="21"/>
              </w:numPr>
              <w:jc w:val="left"/>
              <w:rPr>
                <w:rFonts w:cs="Arial"/>
                <w:sz w:val="20"/>
              </w:rPr>
            </w:pPr>
            <w:r w:rsidRPr="00173A66">
              <w:rPr>
                <w:rFonts w:cs="Arial"/>
                <w:sz w:val="20"/>
              </w:rPr>
              <w:t xml:space="preserve">More than </w:t>
            </w:r>
            <w:r w:rsidR="004D0320">
              <w:rPr>
                <w:rFonts w:cs="Arial"/>
                <w:sz w:val="20"/>
              </w:rPr>
              <w:t xml:space="preserve">25% </w:t>
            </w:r>
            <w:r w:rsidRPr="00173A66">
              <w:rPr>
                <w:rFonts w:cs="Arial"/>
                <w:sz w:val="20"/>
              </w:rPr>
              <w:t>of midwives working in maternity services are dual qualified</w:t>
            </w:r>
          </w:p>
        </w:tc>
        <w:tc>
          <w:tcPr>
            <w:tcW w:w="4328" w:type="dxa"/>
          </w:tcPr>
          <w:p w:rsidR="00173A66" w:rsidRPr="00173A66" w:rsidRDefault="00173A66" w:rsidP="00595441">
            <w:pPr>
              <w:numPr>
                <w:ilvl w:val="0"/>
                <w:numId w:val="21"/>
              </w:numPr>
              <w:contextualSpacing/>
              <w:rPr>
                <w:rFonts w:cs="Arial"/>
                <w:sz w:val="20"/>
              </w:rPr>
            </w:pPr>
            <w:r w:rsidRPr="00173A66">
              <w:rPr>
                <w:rFonts w:cs="Arial"/>
                <w:sz w:val="20"/>
              </w:rPr>
              <w:t>It is preferred that remote area Midwifery positions are filled with Dual qualified Nurse/Midwives, however this does not prohibit single qualified midwifes working in remote areas, with adequate support.</w:t>
            </w:r>
          </w:p>
          <w:p w:rsidR="00173A66" w:rsidRPr="00173A66" w:rsidRDefault="00173A66" w:rsidP="00595441">
            <w:pPr>
              <w:numPr>
                <w:ilvl w:val="0"/>
                <w:numId w:val="21"/>
              </w:numPr>
              <w:contextualSpacing/>
              <w:rPr>
                <w:rFonts w:cs="Arial"/>
                <w:sz w:val="20"/>
              </w:rPr>
            </w:pPr>
            <w:r w:rsidRPr="00173A66">
              <w:rPr>
                <w:rFonts w:cs="Arial"/>
                <w:sz w:val="20"/>
              </w:rPr>
              <w:t>The tertiary hospital employs both dual and single qualified midwives.</w:t>
            </w:r>
          </w:p>
          <w:p w:rsidR="0063764A" w:rsidRPr="00173A66" w:rsidRDefault="00173A66" w:rsidP="00595441">
            <w:pPr>
              <w:numPr>
                <w:ilvl w:val="0"/>
                <w:numId w:val="21"/>
              </w:numPr>
              <w:contextualSpacing/>
              <w:rPr>
                <w:rFonts w:cs="Arial"/>
                <w:sz w:val="20"/>
              </w:rPr>
            </w:pPr>
            <w:r w:rsidRPr="00173A66">
              <w:rPr>
                <w:rFonts w:cs="Arial"/>
                <w:sz w:val="20"/>
              </w:rPr>
              <w:t>Dual qualified midwives working in maternity services in Alice Springs Hospital represents 2/3 of all midwives, and at Royal Darwin Hospital they represent 3 /4 of all midwives.</w:t>
            </w:r>
          </w:p>
        </w:tc>
      </w:tr>
      <w:tr w:rsidR="004D0320" w:rsidRPr="000214BF" w:rsidTr="00F92344">
        <w:tc>
          <w:tcPr>
            <w:tcW w:w="4328" w:type="dxa"/>
            <w:shd w:val="clear" w:color="auto" w:fill="7030A0"/>
          </w:tcPr>
          <w:p w:rsidR="004D0320" w:rsidRDefault="004D0320" w:rsidP="00595441">
            <w:pPr>
              <w:rPr>
                <w:rFonts w:cs="Arial"/>
                <w:b/>
                <w:color w:val="FFFFFF"/>
                <w:sz w:val="20"/>
              </w:rPr>
            </w:pPr>
            <w:r>
              <w:rPr>
                <w:rFonts w:cs="Arial"/>
                <w:b/>
                <w:color w:val="FFFFFF"/>
                <w:sz w:val="20"/>
              </w:rPr>
              <w:t>Queensland point of view</w:t>
            </w:r>
          </w:p>
        </w:tc>
        <w:tc>
          <w:tcPr>
            <w:tcW w:w="4328" w:type="dxa"/>
            <w:shd w:val="clear" w:color="auto" w:fill="7030A0"/>
          </w:tcPr>
          <w:p w:rsidR="004D0320" w:rsidRPr="000214BF" w:rsidRDefault="004D0320" w:rsidP="00595441">
            <w:pPr>
              <w:rPr>
                <w:rFonts w:cs="Arial"/>
                <w:b/>
                <w:color w:val="FFFFFF"/>
                <w:sz w:val="20"/>
              </w:rPr>
            </w:pPr>
            <w:r w:rsidRPr="000214BF">
              <w:rPr>
                <w:rFonts w:cs="Arial"/>
                <w:b/>
                <w:color w:val="FFFFFF"/>
                <w:sz w:val="20"/>
              </w:rPr>
              <w:t>Programs or strategies to address the situation</w:t>
            </w:r>
          </w:p>
        </w:tc>
      </w:tr>
      <w:tr w:rsidR="004D0320" w:rsidRPr="000214BF" w:rsidTr="00F92344">
        <w:tc>
          <w:tcPr>
            <w:tcW w:w="4328" w:type="dxa"/>
          </w:tcPr>
          <w:p w:rsidR="004D0320" w:rsidRPr="007A53DD" w:rsidRDefault="004D0320" w:rsidP="00595441">
            <w:pPr>
              <w:numPr>
                <w:ilvl w:val="0"/>
                <w:numId w:val="21"/>
              </w:numPr>
              <w:contextualSpacing/>
              <w:rPr>
                <w:rFonts w:cs="Arial"/>
                <w:sz w:val="20"/>
              </w:rPr>
            </w:pPr>
            <w:r w:rsidRPr="007A53DD">
              <w:rPr>
                <w:rFonts w:cs="Arial"/>
                <w:sz w:val="20"/>
              </w:rPr>
              <w:t>84% of the midwifery workforce is dual qualified. The midwifery workforce consists of 1,063 midwife only and 5,587 Nurse &amp; Midwife (dual).Perhaps the shift in dual and single qualified midwives should be outlined here</w:t>
            </w:r>
          </w:p>
        </w:tc>
        <w:tc>
          <w:tcPr>
            <w:tcW w:w="4328" w:type="dxa"/>
          </w:tcPr>
          <w:p w:rsidR="004D0320" w:rsidRPr="007A53DD" w:rsidRDefault="004D0320" w:rsidP="00595441">
            <w:pPr>
              <w:numPr>
                <w:ilvl w:val="0"/>
                <w:numId w:val="21"/>
              </w:numPr>
              <w:contextualSpacing/>
              <w:rPr>
                <w:rFonts w:cs="Arial"/>
                <w:sz w:val="20"/>
              </w:rPr>
            </w:pPr>
            <w:r w:rsidRPr="007A53DD">
              <w:rPr>
                <w:rFonts w:cs="Arial"/>
                <w:sz w:val="20"/>
              </w:rPr>
              <w:t>OCNMO has recognised the evidenced based shift in educational preparation with increased and growing numbers of midwives entering the profession from a Bachelor of Midwifery program.  OCNMO is supporting graduate and early career midwives to enter continuity of carer models.</w:t>
            </w:r>
          </w:p>
        </w:tc>
      </w:tr>
      <w:tr w:rsidR="007A53DD" w:rsidRPr="000214BF" w:rsidTr="00F92344">
        <w:tc>
          <w:tcPr>
            <w:tcW w:w="4328" w:type="dxa"/>
            <w:shd w:val="clear" w:color="auto" w:fill="7030A0"/>
          </w:tcPr>
          <w:p w:rsidR="007A53DD" w:rsidRDefault="007A53DD" w:rsidP="00595441">
            <w:pPr>
              <w:rPr>
                <w:rFonts w:cs="Arial"/>
                <w:b/>
                <w:color w:val="FFFFFF"/>
                <w:sz w:val="20"/>
              </w:rPr>
            </w:pPr>
            <w:r>
              <w:rPr>
                <w:rFonts w:cs="Arial"/>
                <w:b/>
                <w:color w:val="FFFFFF"/>
                <w:sz w:val="20"/>
              </w:rPr>
              <w:t xml:space="preserve">South Australia </w:t>
            </w:r>
            <w:r w:rsidRPr="000214BF">
              <w:rPr>
                <w:rFonts w:cs="Arial"/>
                <w:b/>
                <w:color w:val="FFFFFF"/>
                <w:sz w:val="20"/>
              </w:rPr>
              <w:t>point of view</w:t>
            </w:r>
          </w:p>
        </w:tc>
        <w:tc>
          <w:tcPr>
            <w:tcW w:w="4328" w:type="dxa"/>
            <w:shd w:val="clear" w:color="auto" w:fill="7030A0"/>
          </w:tcPr>
          <w:p w:rsidR="007A53DD" w:rsidRPr="000214BF" w:rsidRDefault="007A53DD" w:rsidP="00595441">
            <w:pPr>
              <w:rPr>
                <w:rFonts w:cs="Arial"/>
                <w:b/>
                <w:color w:val="FFFFFF"/>
                <w:sz w:val="20"/>
              </w:rPr>
            </w:pPr>
            <w:r w:rsidRPr="000214BF">
              <w:rPr>
                <w:rFonts w:cs="Arial"/>
                <w:b/>
                <w:color w:val="FFFFFF"/>
                <w:sz w:val="20"/>
              </w:rPr>
              <w:t>Programs or strategies to address the situation</w:t>
            </w:r>
          </w:p>
        </w:tc>
      </w:tr>
      <w:tr w:rsidR="007A53DD" w:rsidRPr="000214BF" w:rsidTr="00F92344">
        <w:tc>
          <w:tcPr>
            <w:tcW w:w="4328" w:type="dxa"/>
          </w:tcPr>
          <w:p w:rsidR="007A53DD" w:rsidRPr="00784872" w:rsidRDefault="007A53DD" w:rsidP="00595441">
            <w:pPr>
              <w:numPr>
                <w:ilvl w:val="0"/>
                <w:numId w:val="21"/>
              </w:numPr>
              <w:contextualSpacing/>
              <w:rPr>
                <w:rFonts w:cs="Arial"/>
                <w:sz w:val="20"/>
              </w:rPr>
            </w:pPr>
            <w:r w:rsidRPr="00784872">
              <w:rPr>
                <w:rFonts w:cs="Arial"/>
                <w:sz w:val="20"/>
              </w:rPr>
              <w:t>In SA 73% of midwives also hold nursing registration.</w:t>
            </w:r>
          </w:p>
          <w:p w:rsidR="007A53DD" w:rsidRPr="00784872" w:rsidRDefault="007A53DD" w:rsidP="00595441">
            <w:pPr>
              <w:numPr>
                <w:ilvl w:val="0"/>
                <w:numId w:val="21"/>
              </w:numPr>
              <w:contextualSpacing/>
              <w:rPr>
                <w:rFonts w:cs="Arial"/>
                <w:sz w:val="20"/>
              </w:rPr>
            </w:pPr>
            <w:r w:rsidRPr="00784872">
              <w:rPr>
                <w:rFonts w:cs="Arial"/>
                <w:sz w:val="20"/>
              </w:rPr>
              <w:t>In 2018, 24% of applicants for the 2019</w:t>
            </w:r>
            <w:r>
              <w:rPr>
                <w:rFonts w:cs="Arial"/>
                <w:sz w:val="20"/>
              </w:rPr>
              <w:t xml:space="preserve"> Transition to </w:t>
            </w:r>
            <w:r w:rsidRPr="00784872">
              <w:rPr>
                <w:rFonts w:cs="Arial"/>
                <w:sz w:val="20"/>
              </w:rPr>
              <w:t>Professional Practice Program (TPPP) for midwives were dual registered.</w:t>
            </w:r>
          </w:p>
          <w:p w:rsidR="007A53DD" w:rsidRDefault="007A53DD" w:rsidP="00595441">
            <w:pPr>
              <w:rPr>
                <w:rFonts w:cs="Arial"/>
                <w:b/>
                <w:color w:val="FFFFFF"/>
                <w:sz w:val="20"/>
              </w:rPr>
            </w:pPr>
          </w:p>
        </w:tc>
        <w:tc>
          <w:tcPr>
            <w:tcW w:w="4328" w:type="dxa"/>
          </w:tcPr>
          <w:p w:rsidR="007A53DD" w:rsidRPr="00784872" w:rsidRDefault="007A53DD" w:rsidP="00595441">
            <w:pPr>
              <w:numPr>
                <w:ilvl w:val="0"/>
                <w:numId w:val="21"/>
              </w:numPr>
              <w:contextualSpacing/>
              <w:rPr>
                <w:rFonts w:cs="Arial"/>
                <w:sz w:val="20"/>
              </w:rPr>
            </w:pPr>
            <w:r w:rsidRPr="00784872">
              <w:rPr>
                <w:rFonts w:cs="Arial"/>
                <w:sz w:val="20"/>
              </w:rPr>
              <w:t>Dual-registered graduate positions are based in country areas due to the requirement for dual-registration in some country hospitals.</w:t>
            </w:r>
          </w:p>
          <w:p w:rsidR="007A53DD" w:rsidRPr="00784872" w:rsidRDefault="007A53DD" w:rsidP="00595441">
            <w:pPr>
              <w:numPr>
                <w:ilvl w:val="0"/>
                <w:numId w:val="21"/>
              </w:numPr>
              <w:contextualSpacing/>
              <w:rPr>
                <w:rFonts w:cs="Arial"/>
                <w:sz w:val="20"/>
              </w:rPr>
            </w:pPr>
            <w:r w:rsidRPr="00784872">
              <w:rPr>
                <w:rFonts w:cs="Arial"/>
                <w:sz w:val="20"/>
              </w:rPr>
              <w:t xml:space="preserve">SA Health introduced a TPPP Collaborative Program for the 2019 graduate intake.  The program is a joint venture between metropolitan hospital and country hospitals and enables </w:t>
            </w:r>
            <w:r w:rsidRPr="00784872">
              <w:rPr>
                <w:rFonts w:cs="Arial"/>
                <w:sz w:val="20"/>
              </w:rPr>
              <w:lastRenderedPageBreak/>
              <w:t>graduates to experience working in both metropolitan and country settings.</w:t>
            </w:r>
          </w:p>
          <w:p w:rsidR="007A53DD" w:rsidRPr="000214BF" w:rsidRDefault="007A53DD" w:rsidP="00595441">
            <w:pPr>
              <w:rPr>
                <w:rFonts w:cs="Arial"/>
                <w:b/>
                <w:color w:val="FFFFFF"/>
                <w:sz w:val="20"/>
              </w:rPr>
            </w:pPr>
          </w:p>
        </w:tc>
      </w:tr>
      <w:tr w:rsidR="007A53DD" w:rsidRPr="000214BF" w:rsidTr="00F92344">
        <w:tc>
          <w:tcPr>
            <w:tcW w:w="4328" w:type="dxa"/>
            <w:shd w:val="clear" w:color="auto" w:fill="7030A0"/>
          </w:tcPr>
          <w:p w:rsidR="007A53DD" w:rsidRPr="000214BF" w:rsidRDefault="007A53DD" w:rsidP="00595441">
            <w:pPr>
              <w:rPr>
                <w:rFonts w:cs="Arial"/>
                <w:b/>
                <w:color w:val="FFFFFF"/>
                <w:sz w:val="20"/>
              </w:rPr>
            </w:pPr>
            <w:r>
              <w:rPr>
                <w:rFonts w:cs="Arial"/>
                <w:b/>
                <w:color w:val="FFFFFF"/>
                <w:sz w:val="20"/>
              </w:rPr>
              <w:lastRenderedPageBreak/>
              <w:t>Tasmania</w:t>
            </w:r>
            <w:r w:rsidRPr="000214BF">
              <w:rPr>
                <w:rFonts w:cs="Arial"/>
                <w:b/>
                <w:color w:val="FFFFFF"/>
                <w:sz w:val="20"/>
              </w:rPr>
              <w:t xml:space="preserve"> point of view</w:t>
            </w:r>
          </w:p>
        </w:tc>
        <w:tc>
          <w:tcPr>
            <w:tcW w:w="4328" w:type="dxa"/>
            <w:shd w:val="clear" w:color="auto" w:fill="7030A0"/>
          </w:tcPr>
          <w:p w:rsidR="007A53DD" w:rsidRPr="000214BF" w:rsidRDefault="007A53DD" w:rsidP="00595441">
            <w:pPr>
              <w:rPr>
                <w:rFonts w:cs="Arial"/>
                <w:b/>
                <w:color w:val="FFFFFF"/>
                <w:sz w:val="20"/>
              </w:rPr>
            </w:pPr>
            <w:r w:rsidRPr="000214BF">
              <w:rPr>
                <w:rFonts w:cs="Arial"/>
                <w:b/>
                <w:color w:val="FFFFFF"/>
                <w:sz w:val="20"/>
              </w:rPr>
              <w:t>Programs or strategies to address the situation</w:t>
            </w:r>
          </w:p>
        </w:tc>
      </w:tr>
      <w:tr w:rsidR="007A53DD" w:rsidRPr="000214BF" w:rsidTr="00F92344">
        <w:tc>
          <w:tcPr>
            <w:tcW w:w="4328" w:type="dxa"/>
          </w:tcPr>
          <w:p w:rsidR="007A53DD" w:rsidRPr="001A46AF" w:rsidRDefault="00720FDC" w:rsidP="00595441">
            <w:pPr>
              <w:pStyle w:val="ListParagraph"/>
              <w:numPr>
                <w:ilvl w:val="0"/>
                <w:numId w:val="21"/>
              </w:numPr>
              <w:jc w:val="left"/>
              <w:rPr>
                <w:rFonts w:cs="Arial"/>
                <w:sz w:val="20"/>
              </w:rPr>
            </w:pPr>
            <w:r>
              <w:rPr>
                <w:rFonts w:cs="Arial"/>
                <w:sz w:val="20"/>
              </w:rPr>
              <w:t>In</w:t>
            </w:r>
            <w:r w:rsidRPr="00720FDC">
              <w:rPr>
                <w:rFonts w:cs="Arial"/>
                <w:sz w:val="20"/>
              </w:rPr>
              <w:t xml:space="preserve"> 2017 96.7% of all employed midwives (headcount) in Tasmania were dual registered RN-Midwives, down from 98.3% in 2013.</w:t>
            </w:r>
          </w:p>
        </w:tc>
        <w:tc>
          <w:tcPr>
            <w:tcW w:w="4328" w:type="dxa"/>
          </w:tcPr>
          <w:p w:rsidR="007A53DD" w:rsidRPr="001A46AF" w:rsidRDefault="007A53DD" w:rsidP="00595441">
            <w:pPr>
              <w:pStyle w:val="ListParagraph"/>
              <w:numPr>
                <w:ilvl w:val="0"/>
                <w:numId w:val="21"/>
              </w:numPr>
              <w:jc w:val="left"/>
              <w:rPr>
                <w:rFonts w:cs="Arial"/>
                <w:sz w:val="20"/>
              </w:rPr>
            </w:pPr>
            <w:r w:rsidRPr="001A46AF">
              <w:rPr>
                <w:rFonts w:cs="Arial"/>
                <w:sz w:val="20"/>
              </w:rPr>
              <w:t>Dual registrants have been dropping the registration least relevant to their main body of work. In most cases, this has resulted in the midwifery registration not being renewed.</w:t>
            </w:r>
          </w:p>
        </w:tc>
      </w:tr>
      <w:tr w:rsidR="007A53DD" w:rsidRPr="000214BF" w:rsidTr="00F92344">
        <w:tc>
          <w:tcPr>
            <w:tcW w:w="4328" w:type="dxa"/>
            <w:shd w:val="clear" w:color="auto" w:fill="7030A0"/>
          </w:tcPr>
          <w:p w:rsidR="007A53DD" w:rsidRPr="000214BF" w:rsidRDefault="007A53DD" w:rsidP="00595441">
            <w:pPr>
              <w:rPr>
                <w:rFonts w:cs="Arial"/>
                <w:b/>
                <w:color w:val="FFFFFF"/>
                <w:sz w:val="20"/>
              </w:rPr>
            </w:pPr>
            <w:r>
              <w:rPr>
                <w:rFonts w:cs="Arial"/>
                <w:b/>
                <w:color w:val="FFFFFF"/>
                <w:sz w:val="20"/>
              </w:rPr>
              <w:t>Victoria</w:t>
            </w:r>
            <w:r w:rsidRPr="000214BF">
              <w:rPr>
                <w:rFonts w:cs="Arial"/>
                <w:b/>
                <w:color w:val="FFFFFF"/>
                <w:sz w:val="20"/>
              </w:rPr>
              <w:t xml:space="preserve"> point of view</w:t>
            </w:r>
          </w:p>
        </w:tc>
        <w:tc>
          <w:tcPr>
            <w:tcW w:w="4328" w:type="dxa"/>
            <w:shd w:val="clear" w:color="auto" w:fill="7030A0"/>
          </w:tcPr>
          <w:p w:rsidR="007A53DD" w:rsidRPr="000214BF" w:rsidRDefault="007A53DD" w:rsidP="00595441">
            <w:pPr>
              <w:rPr>
                <w:rFonts w:cs="Arial"/>
                <w:b/>
                <w:color w:val="FFFFFF"/>
                <w:sz w:val="20"/>
              </w:rPr>
            </w:pPr>
            <w:r w:rsidRPr="000214BF">
              <w:rPr>
                <w:rFonts w:cs="Arial"/>
                <w:b/>
                <w:color w:val="FFFFFF"/>
                <w:sz w:val="20"/>
              </w:rPr>
              <w:t>Programs or strategies to address the situation</w:t>
            </w:r>
          </w:p>
        </w:tc>
      </w:tr>
      <w:tr w:rsidR="007A53DD" w:rsidRPr="000214BF" w:rsidTr="00F92344">
        <w:tc>
          <w:tcPr>
            <w:tcW w:w="4328" w:type="dxa"/>
          </w:tcPr>
          <w:p w:rsidR="007A53DD" w:rsidRPr="00FF1C2D" w:rsidRDefault="007A53DD" w:rsidP="00595441">
            <w:pPr>
              <w:numPr>
                <w:ilvl w:val="0"/>
                <w:numId w:val="21"/>
              </w:numPr>
              <w:contextualSpacing/>
              <w:rPr>
                <w:rFonts w:cs="Arial"/>
                <w:sz w:val="20"/>
              </w:rPr>
            </w:pPr>
            <w:r w:rsidRPr="00FF1C2D">
              <w:rPr>
                <w:rFonts w:cs="Arial"/>
                <w:sz w:val="20"/>
              </w:rPr>
              <w:t>In Victoria 83 per cent of the maternity services workforce is dual registered. Only 14 per cent of the maternity services workforce have single midwifery registration, although an unknown number of these may be dual qualified but choose to not maintain their nursing registration. There is now only one Bachelor of Midwifery course in Victoria, which produces around 70 graduates p.a. Most Victorian midwives have dual qualifications, either a double nursing and midwifery degree or a graduate diploma in midwifery, or obtained their dual qualifications prior to the switch to university based education in the early 1990s.</w:t>
            </w:r>
          </w:p>
          <w:p w:rsidR="007A53DD" w:rsidRPr="00FF1C2D" w:rsidRDefault="007A53DD" w:rsidP="00595441">
            <w:pPr>
              <w:numPr>
                <w:ilvl w:val="0"/>
                <w:numId w:val="21"/>
              </w:numPr>
              <w:contextualSpacing/>
              <w:rPr>
                <w:rFonts w:cs="Arial"/>
                <w:sz w:val="20"/>
              </w:rPr>
            </w:pPr>
            <w:r w:rsidRPr="00FF1C2D">
              <w:rPr>
                <w:rFonts w:cs="Arial"/>
                <w:sz w:val="20"/>
              </w:rPr>
              <w:t>It is expected that more than 45 per cent of the existing dual-registered workforce will retire over the next 10 years.</w:t>
            </w:r>
          </w:p>
          <w:p w:rsidR="007A53DD" w:rsidRPr="00FF1C2D" w:rsidRDefault="007A53DD" w:rsidP="00595441">
            <w:pPr>
              <w:numPr>
                <w:ilvl w:val="0"/>
                <w:numId w:val="21"/>
              </w:numPr>
              <w:contextualSpacing/>
              <w:rPr>
                <w:rFonts w:cs="Arial"/>
                <w:sz w:val="20"/>
              </w:rPr>
            </w:pPr>
            <w:r w:rsidRPr="00FF1C2D">
              <w:rPr>
                <w:rFonts w:cs="Arial"/>
                <w:sz w:val="20"/>
              </w:rPr>
              <w:t>In Victoria the total midwife qualified workforce has fallen in each of the past four years.</w:t>
            </w:r>
          </w:p>
        </w:tc>
        <w:tc>
          <w:tcPr>
            <w:tcW w:w="4328" w:type="dxa"/>
          </w:tcPr>
          <w:p w:rsidR="007A53DD" w:rsidRPr="00FF1C2D" w:rsidRDefault="007A53DD" w:rsidP="00595441">
            <w:pPr>
              <w:pStyle w:val="ListParagraph"/>
              <w:numPr>
                <w:ilvl w:val="0"/>
                <w:numId w:val="21"/>
              </w:numPr>
              <w:jc w:val="left"/>
              <w:rPr>
                <w:rFonts w:cs="Arial"/>
                <w:sz w:val="20"/>
              </w:rPr>
            </w:pPr>
            <w:r w:rsidRPr="00FF1C2D">
              <w:rPr>
                <w:rFonts w:cs="Arial"/>
                <w:sz w:val="20"/>
              </w:rPr>
              <w:t>It is intended to discuss midwife supply issues with key industry stakeholders and explore organisational requirements for dual and single qualified workforce</w:t>
            </w:r>
            <w:r>
              <w:rPr>
                <w:rFonts w:cs="Arial"/>
                <w:sz w:val="20"/>
              </w:rPr>
              <w:t>.</w:t>
            </w:r>
          </w:p>
        </w:tc>
      </w:tr>
      <w:tr w:rsidR="007A53DD" w:rsidRPr="000214BF" w:rsidTr="00F92344">
        <w:tc>
          <w:tcPr>
            <w:tcW w:w="4328" w:type="dxa"/>
            <w:shd w:val="clear" w:color="auto" w:fill="7030A0"/>
          </w:tcPr>
          <w:p w:rsidR="007A53DD" w:rsidRPr="000214BF" w:rsidRDefault="007A53DD" w:rsidP="00595441">
            <w:pPr>
              <w:rPr>
                <w:rFonts w:cs="Arial"/>
                <w:b/>
                <w:color w:val="FFFFFF"/>
                <w:sz w:val="20"/>
              </w:rPr>
            </w:pPr>
            <w:r>
              <w:rPr>
                <w:rFonts w:cs="Arial"/>
                <w:b/>
                <w:color w:val="FFFFFF"/>
                <w:sz w:val="20"/>
              </w:rPr>
              <w:t xml:space="preserve">Western Australia </w:t>
            </w:r>
            <w:r w:rsidRPr="000214BF">
              <w:rPr>
                <w:rFonts w:cs="Arial"/>
                <w:b/>
                <w:color w:val="FFFFFF"/>
                <w:sz w:val="20"/>
              </w:rPr>
              <w:t xml:space="preserve"> point of view</w:t>
            </w:r>
          </w:p>
        </w:tc>
        <w:tc>
          <w:tcPr>
            <w:tcW w:w="4328" w:type="dxa"/>
            <w:shd w:val="clear" w:color="auto" w:fill="7030A0"/>
          </w:tcPr>
          <w:p w:rsidR="007A53DD" w:rsidRPr="000214BF" w:rsidRDefault="007A53DD" w:rsidP="00595441">
            <w:pPr>
              <w:rPr>
                <w:rFonts w:cs="Arial"/>
                <w:b/>
                <w:color w:val="FFFFFF"/>
                <w:sz w:val="20"/>
              </w:rPr>
            </w:pPr>
            <w:r w:rsidRPr="000214BF">
              <w:rPr>
                <w:rFonts w:cs="Arial"/>
                <w:b/>
                <w:color w:val="FFFFFF"/>
                <w:sz w:val="20"/>
              </w:rPr>
              <w:t>Programs or strategies to address the situation</w:t>
            </w:r>
          </w:p>
        </w:tc>
      </w:tr>
      <w:tr w:rsidR="007A53DD" w:rsidRPr="000214BF" w:rsidTr="00F92344">
        <w:tc>
          <w:tcPr>
            <w:tcW w:w="4328" w:type="dxa"/>
          </w:tcPr>
          <w:p w:rsidR="007A53DD" w:rsidRPr="00AB0FC4" w:rsidRDefault="007A53DD" w:rsidP="00595441">
            <w:pPr>
              <w:numPr>
                <w:ilvl w:val="0"/>
                <w:numId w:val="21"/>
              </w:numPr>
              <w:contextualSpacing/>
              <w:rPr>
                <w:rFonts w:cs="Arial"/>
                <w:sz w:val="20"/>
              </w:rPr>
            </w:pPr>
            <w:r w:rsidRPr="00AB0FC4">
              <w:rPr>
                <w:rFonts w:cs="Arial"/>
                <w:sz w:val="20"/>
              </w:rPr>
              <w:t>As at Feb’18 based on paid FTE 38% of midwives were employed in dual roles in the WA public system.  Of those in dual roles the majority 63% were based in the metropolitan area. Data is based on position titles and not registration.  Excludes those dual registered midwives working in nursing only positions.</w:t>
            </w:r>
          </w:p>
          <w:p w:rsidR="007A53DD" w:rsidRPr="00AB0FC4" w:rsidRDefault="007A53DD" w:rsidP="00595441">
            <w:pPr>
              <w:numPr>
                <w:ilvl w:val="0"/>
                <w:numId w:val="21"/>
              </w:numPr>
              <w:contextualSpacing/>
              <w:rPr>
                <w:rFonts w:cs="Arial"/>
                <w:sz w:val="20"/>
              </w:rPr>
            </w:pPr>
            <w:r w:rsidRPr="00AB0FC4">
              <w:rPr>
                <w:rFonts w:cs="Arial"/>
                <w:sz w:val="20"/>
              </w:rPr>
              <w:t>In 2016 based on head count from the National Health Workforce Dataset 88% of midwives registered and working in the WA public and/or private systems were dual registered.  Based on remoteness area 75% of the dual registered midwives reside/work in the metropolitan area (i.e. remoteness area = major city).</w:t>
            </w:r>
          </w:p>
          <w:p w:rsidR="007A53DD" w:rsidRPr="00AB0FC4" w:rsidRDefault="007A53DD" w:rsidP="00595441">
            <w:pPr>
              <w:numPr>
                <w:ilvl w:val="0"/>
                <w:numId w:val="21"/>
              </w:numPr>
              <w:contextualSpacing/>
              <w:rPr>
                <w:rFonts w:cs="Arial"/>
                <w:sz w:val="20"/>
              </w:rPr>
            </w:pPr>
            <w:r w:rsidRPr="00AB0FC4">
              <w:rPr>
                <w:rFonts w:cs="Arial"/>
                <w:sz w:val="20"/>
              </w:rPr>
              <w:t>This is consistent with 2018 NMBA data which reported 87% of midwives were dual registered.</w:t>
            </w:r>
          </w:p>
        </w:tc>
        <w:tc>
          <w:tcPr>
            <w:tcW w:w="4328" w:type="dxa"/>
          </w:tcPr>
          <w:p w:rsidR="007A53DD" w:rsidRPr="000214BF" w:rsidRDefault="007A53DD" w:rsidP="00595441">
            <w:pPr>
              <w:numPr>
                <w:ilvl w:val="0"/>
                <w:numId w:val="21"/>
              </w:numPr>
              <w:contextualSpacing/>
              <w:rPr>
                <w:rFonts w:cs="Arial"/>
                <w:sz w:val="20"/>
              </w:rPr>
            </w:pPr>
            <w:r w:rsidRPr="00AB0FC4">
              <w:rPr>
                <w:rFonts w:cs="Arial"/>
                <w:sz w:val="20"/>
              </w:rPr>
              <w:t>Edith Cowan University (ECU) currently has a dual degree program which was targeted at the country areas. However, the majority of graduates seek employment in the metro area with over 75% opting for midwifery transition to practice programs.</w:t>
            </w:r>
          </w:p>
        </w:tc>
      </w:tr>
    </w:tbl>
    <w:p w:rsidR="000214BF" w:rsidRDefault="000214BF" w:rsidP="00595441">
      <w:pPr>
        <w:rPr>
          <w:rFonts w:eastAsia="Times New Roman"/>
        </w:rPr>
      </w:pPr>
    </w:p>
    <w:p w:rsidR="00595441" w:rsidRPr="00595441" w:rsidRDefault="00595441" w:rsidP="003423C0">
      <w:pPr>
        <w:pStyle w:val="ListParagraph"/>
        <w:numPr>
          <w:ilvl w:val="0"/>
          <w:numId w:val="58"/>
        </w:numPr>
        <w:jc w:val="left"/>
        <w:rPr>
          <w:rFonts w:cs="Arial"/>
          <w:b/>
        </w:rPr>
      </w:pPr>
      <w:r w:rsidRPr="00595441">
        <w:rPr>
          <w:rFonts w:cs="Arial"/>
          <w:b/>
        </w:rPr>
        <w:lastRenderedPageBreak/>
        <w:t>Is maintaining recency of practice for a midwife viewed as an issue from a state/territory perspective?</w:t>
      </w:r>
    </w:p>
    <w:tbl>
      <w:tblPr>
        <w:tblStyle w:val="TableGrid2"/>
        <w:tblW w:w="0" w:type="auto"/>
        <w:tblInd w:w="-113" w:type="dxa"/>
        <w:tblBorders>
          <w:insideH w:val="none" w:sz="0" w:space="0" w:color="auto"/>
          <w:insideV w:val="none" w:sz="0" w:space="0" w:color="auto"/>
        </w:tblBorders>
        <w:tblLook w:val="04A0" w:firstRow="1" w:lastRow="0" w:firstColumn="1" w:lastColumn="0" w:noHBand="0" w:noVBand="1"/>
        <w:tblCaption w:val="Appendix B: Jurisdictional perspectives"/>
        <w:tblDescription w:val="4. Is maintaining recency of practice for a midwife viewed as an issue from a state/territory perspective?&#10;Provides all state and territory prespectives if provided.&#10;"/>
      </w:tblPr>
      <w:tblGrid>
        <w:gridCol w:w="4353"/>
        <w:gridCol w:w="4303"/>
      </w:tblGrid>
      <w:tr w:rsidR="00595441" w:rsidRPr="000214BF" w:rsidTr="009E3025">
        <w:trPr>
          <w:tblHeader/>
        </w:trPr>
        <w:tc>
          <w:tcPr>
            <w:tcW w:w="4353" w:type="dxa"/>
            <w:tcBorders>
              <w:top w:val="single" w:sz="4" w:space="0" w:color="auto"/>
              <w:bottom w:val="single" w:sz="4" w:space="0" w:color="auto"/>
              <w:right w:val="nil"/>
            </w:tcBorders>
            <w:shd w:val="clear" w:color="auto" w:fill="7030A0"/>
          </w:tcPr>
          <w:p w:rsidR="00595441" w:rsidRPr="00595441" w:rsidRDefault="00595441" w:rsidP="008A7558">
            <w:pPr>
              <w:rPr>
                <w:rFonts w:cs="Arial"/>
                <w:b/>
                <w:color w:val="FFFFFF"/>
              </w:rPr>
            </w:pPr>
            <w:r w:rsidRPr="00595441">
              <w:rPr>
                <w:rFonts w:cs="Arial"/>
                <w:b/>
                <w:color w:val="FFFFFF"/>
              </w:rPr>
              <w:t>State/Territory point of view</w:t>
            </w:r>
          </w:p>
        </w:tc>
        <w:tc>
          <w:tcPr>
            <w:tcW w:w="4303" w:type="dxa"/>
            <w:tcBorders>
              <w:top w:val="single" w:sz="4" w:space="0" w:color="auto"/>
              <w:left w:val="nil"/>
              <w:bottom w:val="single" w:sz="4" w:space="0" w:color="auto"/>
            </w:tcBorders>
            <w:shd w:val="clear" w:color="auto" w:fill="7030A0"/>
            <w:noWrap/>
            <w:vAlign w:val="center"/>
          </w:tcPr>
          <w:p w:rsidR="00595441" w:rsidRPr="000214BF" w:rsidRDefault="00595441" w:rsidP="008A7558">
            <w:pPr>
              <w:contextualSpacing/>
              <w:jc w:val="both"/>
              <w:rPr>
                <w:rFonts w:cs="Arial"/>
                <w:b/>
                <w:color w:val="FFFFFF"/>
                <w:sz w:val="20"/>
              </w:rPr>
            </w:pPr>
            <w:r w:rsidRPr="00D93F49">
              <w:rPr>
                <w:rFonts w:cs="Arial"/>
                <w:b/>
                <w:color w:val="FFFFFF"/>
              </w:rPr>
              <w:t>Programs or Strategies</w:t>
            </w:r>
          </w:p>
        </w:tc>
      </w:tr>
      <w:tr w:rsidR="0061039D" w:rsidRPr="000214BF" w:rsidTr="009E3025">
        <w:tblPrEx>
          <w:tblBorders>
            <w:insideH w:val="single" w:sz="4" w:space="0" w:color="auto"/>
            <w:insideV w:val="single" w:sz="4" w:space="0" w:color="auto"/>
          </w:tblBorders>
        </w:tblPrEx>
        <w:tc>
          <w:tcPr>
            <w:tcW w:w="4353" w:type="dxa"/>
            <w:shd w:val="clear" w:color="auto" w:fill="7030A0"/>
          </w:tcPr>
          <w:p w:rsidR="0061039D" w:rsidRPr="000214BF" w:rsidRDefault="0061039D" w:rsidP="0061039D">
            <w:pPr>
              <w:jc w:val="both"/>
              <w:rPr>
                <w:rFonts w:cs="Arial"/>
                <w:b/>
                <w:color w:val="FFFFFF"/>
                <w:sz w:val="20"/>
              </w:rPr>
            </w:pPr>
            <w:r>
              <w:rPr>
                <w:rFonts w:cs="Arial"/>
                <w:b/>
                <w:color w:val="FFFFFF"/>
                <w:sz w:val="20"/>
              </w:rPr>
              <w:t>ACT</w:t>
            </w:r>
            <w:r w:rsidRPr="000214BF">
              <w:rPr>
                <w:rFonts w:cs="Arial"/>
                <w:b/>
                <w:color w:val="FFFFFF"/>
                <w:sz w:val="20"/>
              </w:rPr>
              <w:t xml:space="preserve"> point of view</w:t>
            </w:r>
          </w:p>
        </w:tc>
        <w:tc>
          <w:tcPr>
            <w:tcW w:w="4303" w:type="dxa"/>
            <w:shd w:val="clear" w:color="auto" w:fill="7030A0"/>
          </w:tcPr>
          <w:p w:rsidR="0061039D" w:rsidRPr="000214BF" w:rsidRDefault="0061039D" w:rsidP="0061039D">
            <w:pPr>
              <w:jc w:val="both"/>
              <w:rPr>
                <w:rFonts w:cs="Arial"/>
                <w:b/>
                <w:color w:val="FFFFFF"/>
                <w:sz w:val="20"/>
              </w:rPr>
            </w:pPr>
            <w:r w:rsidRPr="000214BF">
              <w:rPr>
                <w:rFonts w:cs="Arial"/>
                <w:b/>
                <w:color w:val="FFFFFF"/>
                <w:sz w:val="20"/>
              </w:rPr>
              <w:t>Programs or strategies to address the situation</w:t>
            </w:r>
          </w:p>
        </w:tc>
      </w:tr>
      <w:tr w:rsidR="0061039D" w:rsidRPr="000214BF" w:rsidTr="00595441">
        <w:tblPrEx>
          <w:tblBorders>
            <w:insideH w:val="single" w:sz="4" w:space="0" w:color="auto"/>
            <w:insideV w:val="single" w:sz="4" w:space="0" w:color="auto"/>
          </w:tblBorders>
        </w:tblPrEx>
        <w:tc>
          <w:tcPr>
            <w:tcW w:w="4353" w:type="dxa"/>
          </w:tcPr>
          <w:p w:rsidR="0061039D" w:rsidRPr="00784872" w:rsidRDefault="0061039D" w:rsidP="003423C0">
            <w:pPr>
              <w:pStyle w:val="ListParagraph"/>
              <w:numPr>
                <w:ilvl w:val="0"/>
                <w:numId w:val="42"/>
              </w:numPr>
              <w:spacing w:after="0"/>
              <w:rPr>
                <w:rFonts w:cs="Arial"/>
                <w:sz w:val="20"/>
              </w:rPr>
            </w:pPr>
            <w:r w:rsidRPr="00784872">
              <w:rPr>
                <w:rFonts w:cs="Arial"/>
                <w:sz w:val="20"/>
              </w:rPr>
              <w:t xml:space="preserve">Not a specific issue locally </w:t>
            </w:r>
          </w:p>
          <w:p w:rsidR="0061039D" w:rsidRPr="00784872" w:rsidRDefault="0061039D" w:rsidP="003423C0">
            <w:pPr>
              <w:pStyle w:val="ListParagraph"/>
              <w:numPr>
                <w:ilvl w:val="0"/>
                <w:numId w:val="41"/>
              </w:numPr>
              <w:spacing w:after="0"/>
              <w:rPr>
                <w:rFonts w:cs="Arial"/>
                <w:sz w:val="20"/>
              </w:rPr>
            </w:pPr>
            <w:r w:rsidRPr="00784872">
              <w:rPr>
                <w:rFonts w:cs="Arial"/>
                <w:sz w:val="20"/>
              </w:rPr>
              <w:t>Marketing of re-entry graduate certificate at UC has not received strong interest</w:t>
            </w:r>
          </w:p>
        </w:tc>
        <w:tc>
          <w:tcPr>
            <w:tcW w:w="4303" w:type="dxa"/>
          </w:tcPr>
          <w:p w:rsidR="0061039D" w:rsidRPr="0061039D" w:rsidRDefault="0061039D" w:rsidP="002B7E32">
            <w:pPr>
              <w:numPr>
                <w:ilvl w:val="0"/>
                <w:numId w:val="21"/>
              </w:numPr>
              <w:contextualSpacing/>
              <w:jc w:val="both"/>
              <w:rPr>
                <w:rFonts w:cs="Arial"/>
                <w:sz w:val="20"/>
              </w:rPr>
            </w:pPr>
            <w:r w:rsidRPr="0061039D">
              <w:rPr>
                <w:rFonts w:cs="Arial"/>
                <w:sz w:val="20"/>
              </w:rPr>
              <w:t>Introduction of re-entry graduate certificate at UC for 2019 onwards</w:t>
            </w:r>
            <w:r w:rsidR="007E0BDF">
              <w:rPr>
                <w:rFonts w:cs="Arial"/>
                <w:sz w:val="20"/>
              </w:rPr>
              <w:t>.</w:t>
            </w:r>
          </w:p>
          <w:p w:rsidR="0061039D" w:rsidRPr="0061039D" w:rsidRDefault="0061039D" w:rsidP="002B7E32">
            <w:pPr>
              <w:numPr>
                <w:ilvl w:val="0"/>
                <w:numId w:val="21"/>
              </w:numPr>
              <w:contextualSpacing/>
              <w:jc w:val="both"/>
              <w:rPr>
                <w:rFonts w:cs="Arial"/>
                <w:sz w:val="20"/>
              </w:rPr>
            </w:pPr>
            <w:r w:rsidRPr="0061039D">
              <w:rPr>
                <w:rFonts w:cs="Arial"/>
                <w:sz w:val="20"/>
              </w:rPr>
              <w:t>All midwives have access to ongoing professional development opportunities</w:t>
            </w:r>
          </w:p>
          <w:p w:rsidR="0061039D" w:rsidRPr="0061039D" w:rsidRDefault="0061039D" w:rsidP="002B7E32">
            <w:pPr>
              <w:numPr>
                <w:ilvl w:val="0"/>
                <w:numId w:val="21"/>
              </w:numPr>
              <w:contextualSpacing/>
              <w:jc w:val="both"/>
              <w:rPr>
                <w:rFonts w:cs="Arial"/>
                <w:sz w:val="20"/>
              </w:rPr>
            </w:pPr>
            <w:r w:rsidRPr="0061039D">
              <w:rPr>
                <w:rFonts w:cs="Arial"/>
                <w:sz w:val="20"/>
              </w:rPr>
              <w:t xml:space="preserve">Plan to increase regular staff rotations through antenatal, birthing and postnatal care areas across Centenary Hospital for Women and Children. </w:t>
            </w:r>
          </w:p>
          <w:p w:rsidR="007E6FAB" w:rsidRDefault="0061039D" w:rsidP="002B7E32">
            <w:pPr>
              <w:numPr>
                <w:ilvl w:val="0"/>
                <w:numId w:val="21"/>
              </w:numPr>
              <w:contextualSpacing/>
              <w:jc w:val="both"/>
              <w:rPr>
                <w:rFonts w:cs="Arial"/>
                <w:sz w:val="20"/>
              </w:rPr>
            </w:pPr>
            <w:r w:rsidRPr="0061039D">
              <w:rPr>
                <w:rFonts w:cs="Arial"/>
                <w:sz w:val="20"/>
              </w:rPr>
              <w:t>Plan to increase access to MGP models</w:t>
            </w:r>
          </w:p>
          <w:p w:rsidR="0061039D" w:rsidRPr="000214BF" w:rsidRDefault="007E0BDF" w:rsidP="007E6FAB">
            <w:pPr>
              <w:ind w:left="360"/>
              <w:contextualSpacing/>
              <w:jc w:val="both"/>
              <w:rPr>
                <w:rFonts w:cs="Arial"/>
                <w:sz w:val="20"/>
              </w:rPr>
            </w:pPr>
            <w:r>
              <w:rPr>
                <w:rFonts w:cs="Arial"/>
                <w:sz w:val="20"/>
              </w:rPr>
              <w:t>.</w:t>
            </w:r>
          </w:p>
        </w:tc>
      </w:tr>
      <w:tr w:rsidR="0061039D" w:rsidRPr="000214BF" w:rsidTr="009E3025">
        <w:tblPrEx>
          <w:tblBorders>
            <w:insideH w:val="single" w:sz="4" w:space="0" w:color="auto"/>
            <w:insideV w:val="single" w:sz="4" w:space="0" w:color="auto"/>
          </w:tblBorders>
        </w:tblPrEx>
        <w:tc>
          <w:tcPr>
            <w:tcW w:w="4353" w:type="dxa"/>
            <w:shd w:val="clear" w:color="auto" w:fill="7030A0"/>
          </w:tcPr>
          <w:p w:rsidR="0061039D" w:rsidRPr="000214BF" w:rsidRDefault="0061039D" w:rsidP="0061039D">
            <w:pPr>
              <w:jc w:val="both"/>
              <w:rPr>
                <w:rFonts w:cs="Arial"/>
                <w:b/>
                <w:color w:val="FFFFFF"/>
                <w:sz w:val="20"/>
              </w:rPr>
            </w:pPr>
            <w:r>
              <w:rPr>
                <w:rFonts w:cs="Arial"/>
                <w:b/>
                <w:color w:val="FFFFFF"/>
                <w:sz w:val="20"/>
              </w:rPr>
              <w:t xml:space="preserve">NSW </w:t>
            </w:r>
            <w:r w:rsidRPr="000214BF">
              <w:rPr>
                <w:rFonts w:cs="Arial"/>
                <w:b/>
                <w:color w:val="FFFFFF"/>
                <w:sz w:val="20"/>
              </w:rPr>
              <w:t>point of view</w:t>
            </w:r>
          </w:p>
        </w:tc>
        <w:tc>
          <w:tcPr>
            <w:tcW w:w="4303" w:type="dxa"/>
            <w:shd w:val="clear" w:color="auto" w:fill="7030A0"/>
          </w:tcPr>
          <w:p w:rsidR="0061039D" w:rsidRPr="000214BF" w:rsidRDefault="0061039D" w:rsidP="0061039D">
            <w:pPr>
              <w:jc w:val="both"/>
              <w:rPr>
                <w:rFonts w:cs="Arial"/>
                <w:b/>
                <w:color w:val="FFFFFF"/>
                <w:sz w:val="20"/>
              </w:rPr>
            </w:pPr>
            <w:r w:rsidRPr="000214BF">
              <w:rPr>
                <w:rFonts w:cs="Arial"/>
                <w:b/>
                <w:color w:val="FFFFFF"/>
                <w:sz w:val="20"/>
              </w:rPr>
              <w:t>Programs or strategies to address the situation</w:t>
            </w:r>
          </w:p>
        </w:tc>
      </w:tr>
      <w:tr w:rsidR="0061039D" w:rsidRPr="000214BF" w:rsidTr="00595441">
        <w:tblPrEx>
          <w:tblBorders>
            <w:insideH w:val="single" w:sz="4" w:space="0" w:color="auto"/>
            <w:insideV w:val="single" w:sz="4" w:space="0" w:color="auto"/>
          </w:tblBorders>
        </w:tblPrEx>
        <w:tc>
          <w:tcPr>
            <w:tcW w:w="4353" w:type="dxa"/>
          </w:tcPr>
          <w:p w:rsidR="0061039D" w:rsidRPr="00784872" w:rsidRDefault="00FF0413" w:rsidP="003423C0">
            <w:pPr>
              <w:pStyle w:val="ListParagraph"/>
              <w:numPr>
                <w:ilvl w:val="0"/>
                <w:numId w:val="43"/>
              </w:numPr>
              <w:spacing w:after="0"/>
              <w:rPr>
                <w:rFonts w:cs="Arial"/>
                <w:sz w:val="20"/>
              </w:rPr>
            </w:pPr>
            <w:r w:rsidRPr="00784872">
              <w:rPr>
                <w:rFonts w:cs="Arial"/>
                <w:sz w:val="20"/>
              </w:rPr>
              <w:t>No</w:t>
            </w:r>
          </w:p>
        </w:tc>
        <w:tc>
          <w:tcPr>
            <w:tcW w:w="4303" w:type="dxa"/>
          </w:tcPr>
          <w:p w:rsidR="0061039D" w:rsidRPr="000214BF" w:rsidRDefault="0061039D" w:rsidP="00784872">
            <w:pPr>
              <w:ind w:left="360"/>
              <w:contextualSpacing/>
              <w:jc w:val="both"/>
              <w:rPr>
                <w:rFonts w:cs="Arial"/>
                <w:sz w:val="20"/>
              </w:rPr>
            </w:pPr>
          </w:p>
        </w:tc>
      </w:tr>
      <w:tr w:rsidR="0061039D" w:rsidRPr="000214BF" w:rsidTr="009E3025">
        <w:tblPrEx>
          <w:tblBorders>
            <w:insideH w:val="single" w:sz="4" w:space="0" w:color="auto"/>
            <w:insideV w:val="single" w:sz="4" w:space="0" w:color="auto"/>
          </w:tblBorders>
        </w:tblPrEx>
        <w:tc>
          <w:tcPr>
            <w:tcW w:w="4353" w:type="dxa"/>
            <w:shd w:val="clear" w:color="auto" w:fill="7030A0"/>
          </w:tcPr>
          <w:p w:rsidR="0061039D" w:rsidRPr="000214BF" w:rsidRDefault="0061039D" w:rsidP="0061039D">
            <w:pPr>
              <w:jc w:val="both"/>
              <w:rPr>
                <w:rFonts w:cs="Arial"/>
                <w:b/>
                <w:color w:val="FFFFFF"/>
                <w:sz w:val="20"/>
              </w:rPr>
            </w:pPr>
            <w:r>
              <w:rPr>
                <w:rFonts w:cs="Arial"/>
                <w:b/>
                <w:color w:val="FFFFFF"/>
                <w:sz w:val="20"/>
              </w:rPr>
              <w:t xml:space="preserve">Northern Territory </w:t>
            </w:r>
            <w:r w:rsidRPr="000214BF">
              <w:rPr>
                <w:rFonts w:cs="Arial"/>
                <w:b/>
                <w:color w:val="FFFFFF"/>
                <w:sz w:val="20"/>
              </w:rPr>
              <w:t>point of view</w:t>
            </w:r>
          </w:p>
        </w:tc>
        <w:tc>
          <w:tcPr>
            <w:tcW w:w="4303" w:type="dxa"/>
            <w:shd w:val="clear" w:color="auto" w:fill="7030A0"/>
          </w:tcPr>
          <w:p w:rsidR="0061039D" w:rsidRPr="000214BF" w:rsidRDefault="0061039D" w:rsidP="0061039D">
            <w:pPr>
              <w:jc w:val="both"/>
              <w:rPr>
                <w:rFonts w:cs="Arial"/>
                <w:b/>
                <w:color w:val="FFFFFF"/>
                <w:sz w:val="20"/>
              </w:rPr>
            </w:pPr>
            <w:r w:rsidRPr="000214BF">
              <w:rPr>
                <w:rFonts w:cs="Arial"/>
                <w:b/>
                <w:color w:val="FFFFFF"/>
                <w:sz w:val="20"/>
              </w:rPr>
              <w:t>Programs or strategies to address the situation</w:t>
            </w:r>
          </w:p>
        </w:tc>
      </w:tr>
      <w:tr w:rsidR="0061039D" w:rsidRPr="000214BF" w:rsidTr="00595441">
        <w:tblPrEx>
          <w:tblBorders>
            <w:insideH w:val="single" w:sz="4" w:space="0" w:color="auto"/>
            <w:insideV w:val="single" w:sz="4" w:space="0" w:color="auto"/>
          </w:tblBorders>
        </w:tblPrEx>
        <w:tc>
          <w:tcPr>
            <w:tcW w:w="4353" w:type="dxa"/>
          </w:tcPr>
          <w:p w:rsidR="0061039D" w:rsidRPr="00784872" w:rsidRDefault="00173A66" w:rsidP="00784872">
            <w:pPr>
              <w:pStyle w:val="ListParagraph"/>
              <w:numPr>
                <w:ilvl w:val="0"/>
                <w:numId w:val="21"/>
              </w:numPr>
              <w:spacing w:after="0"/>
              <w:rPr>
                <w:rFonts w:cs="Arial"/>
                <w:sz w:val="20"/>
              </w:rPr>
            </w:pPr>
            <w:r w:rsidRPr="00784872">
              <w:rPr>
                <w:rFonts w:cs="Arial"/>
                <w:sz w:val="20"/>
              </w:rPr>
              <w:t>It is an issue in certain areas where the scope of practice is limited to antenatal and postnatal care, yet unexpected births may occur</w:t>
            </w:r>
            <w:r w:rsidR="00C21E9B">
              <w:rPr>
                <w:rFonts w:cs="Arial"/>
                <w:sz w:val="20"/>
              </w:rPr>
              <w:t>.</w:t>
            </w:r>
          </w:p>
        </w:tc>
        <w:tc>
          <w:tcPr>
            <w:tcW w:w="4303" w:type="dxa"/>
          </w:tcPr>
          <w:p w:rsidR="00173A66" w:rsidRPr="00173A66" w:rsidRDefault="00173A66" w:rsidP="002B7E32">
            <w:pPr>
              <w:numPr>
                <w:ilvl w:val="0"/>
                <w:numId w:val="21"/>
              </w:numPr>
              <w:contextualSpacing/>
              <w:jc w:val="both"/>
              <w:rPr>
                <w:rFonts w:cs="Arial"/>
                <w:sz w:val="20"/>
              </w:rPr>
            </w:pPr>
            <w:r w:rsidRPr="00173A66">
              <w:rPr>
                <w:rFonts w:cs="Arial"/>
                <w:sz w:val="20"/>
              </w:rPr>
              <w:t>Exchange programs whereby certain midwives in areas of need will rotate into a larger unit for upskilling</w:t>
            </w:r>
            <w:r w:rsidR="007E0BDF">
              <w:rPr>
                <w:rFonts w:cs="Arial"/>
                <w:sz w:val="20"/>
              </w:rPr>
              <w:t>.</w:t>
            </w:r>
          </w:p>
          <w:p w:rsidR="0061039D" w:rsidRDefault="00173A66" w:rsidP="007E6FAB">
            <w:pPr>
              <w:numPr>
                <w:ilvl w:val="0"/>
                <w:numId w:val="21"/>
              </w:numPr>
              <w:contextualSpacing/>
              <w:jc w:val="both"/>
              <w:rPr>
                <w:rFonts w:cs="Arial"/>
                <w:sz w:val="20"/>
              </w:rPr>
            </w:pPr>
            <w:r w:rsidRPr="00173A66">
              <w:rPr>
                <w:rFonts w:cs="Arial"/>
                <w:sz w:val="20"/>
              </w:rPr>
              <w:t>Use of teleconference and/or videoconference, for education, and also for clinical consultation</w:t>
            </w:r>
            <w:r w:rsidRPr="007E6FAB">
              <w:rPr>
                <w:rFonts w:cs="Arial"/>
                <w:sz w:val="20"/>
              </w:rPr>
              <w:t>.</w:t>
            </w:r>
          </w:p>
          <w:p w:rsidR="007E6FAB" w:rsidRPr="007E6FAB" w:rsidRDefault="007E6FAB" w:rsidP="007E6FAB">
            <w:pPr>
              <w:ind w:left="360"/>
              <w:contextualSpacing/>
              <w:jc w:val="both"/>
              <w:rPr>
                <w:rFonts w:cs="Arial"/>
                <w:sz w:val="20"/>
              </w:rPr>
            </w:pPr>
          </w:p>
        </w:tc>
      </w:tr>
      <w:tr w:rsidR="006C7BEC" w:rsidRPr="000214BF" w:rsidTr="009E3025">
        <w:tblPrEx>
          <w:tblBorders>
            <w:insideH w:val="single" w:sz="4" w:space="0" w:color="auto"/>
            <w:insideV w:val="single" w:sz="4" w:space="0" w:color="auto"/>
          </w:tblBorders>
        </w:tblPrEx>
        <w:tc>
          <w:tcPr>
            <w:tcW w:w="4353" w:type="dxa"/>
            <w:shd w:val="clear" w:color="auto" w:fill="7030A0"/>
          </w:tcPr>
          <w:p w:rsidR="006C7BEC" w:rsidRDefault="006C7BEC" w:rsidP="0061039D">
            <w:pPr>
              <w:jc w:val="both"/>
              <w:rPr>
                <w:rFonts w:cs="Arial"/>
                <w:b/>
                <w:color w:val="FFFFFF"/>
                <w:sz w:val="20"/>
              </w:rPr>
            </w:pPr>
            <w:r>
              <w:rPr>
                <w:rFonts w:cs="Arial"/>
                <w:b/>
                <w:color w:val="FFFFFF"/>
                <w:sz w:val="20"/>
              </w:rPr>
              <w:t xml:space="preserve">Queensland point of view </w:t>
            </w:r>
          </w:p>
        </w:tc>
        <w:tc>
          <w:tcPr>
            <w:tcW w:w="4303" w:type="dxa"/>
            <w:shd w:val="clear" w:color="auto" w:fill="7030A0"/>
          </w:tcPr>
          <w:p w:rsidR="006C7BEC" w:rsidRPr="000214BF" w:rsidRDefault="006C7BEC" w:rsidP="0061039D">
            <w:pPr>
              <w:jc w:val="both"/>
              <w:rPr>
                <w:rFonts w:cs="Arial"/>
                <w:b/>
                <w:color w:val="FFFFFF"/>
                <w:sz w:val="20"/>
              </w:rPr>
            </w:pPr>
            <w:r>
              <w:rPr>
                <w:rFonts w:cs="Arial"/>
                <w:b/>
                <w:color w:val="FFFFFF"/>
                <w:sz w:val="20"/>
              </w:rPr>
              <w:t xml:space="preserve">Programs or strategies to address the situation </w:t>
            </w:r>
          </w:p>
        </w:tc>
      </w:tr>
      <w:tr w:rsidR="006C7BEC" w:rsidRPr="000214BF" w:rsidTr="00595441">
        <w:tblPrEx>
          <w:tblBorders>
            <w:insideH w:val="single" w:sz="4" w:space="0" w:color="auto"/>
            <w:insideV w:val="single" w:sz="4" w:space="0" w:color="auto"/>
          </w:tblBorders>
        </w:tblPrEx>
        <w:tc>
          <w:tcPr>
            <w:tcW w:w="4353" w:type="dxa"/>
          </w:tcPr>
          <w:p w:rsidR="006C7BEC" w:rsidRPr="006C7BEC" w:rsidRDefault="006C7BEC" w:rsidP="006C7BEC">
            <w:pPr>
              <w:numPr>
                <w:ilvl w:val="0"/>
                <w:numId w:val="21"/>
              </w:numPr>
              <w:contextualSpacing/>
              <w:jc w:val="both"/>
              <w:rPr>
                <w:rFonts w:cs="Arial"/>
                <w:sz w:val="20"/>
              </w:rPr>
            </w:pPr>
            <w:r w:rsidRPr="006C7BEC">
              <w:rPr>
                <w:rFonts w:cs="Arial"/>
                <w:sz w:val="20"/>
              </w:rPr>
              <w:t xml:space="preserve">Since large proportion of employers seek applicants with experience, graduates fail to find a job and may have trouble in maintaining recency of practice. </w:t>
            </w:r>
          </w:p>
          <w:p w:rsidR="006C7BEC" w:rsidRDefault="006C7BEC" w:rsidP="006C7BEC">
            <w:pPr>
              <w:numPr>
                <w:ilvl w:val="0"/>
                <w:numId w:val="21"/>
              </w:numPr>
              <w:contextualSpacing/>
              <w:jc w:val="both"/>
              <w:rPr>
                <w:rFonts w:cs="Arial"/>
                <w:sz w:val="20"/>
              </w:rPr>
            </w:pPr>
            <w:r w:rsidRPr="006C7BEC">
              <w:rPr>
                <w:rFonts w:cs="Arial"/>
                <w:sz w:val="20"/>
              </w:rPr>
              <w:t>Midwives holding dual registration working in non-maternity settings can struggle to meet the requirements of the Nursing and Midwifery Board of Australia’s (NMBA) recency of practice registration standard for with their midwifery registration. Research conducted in rural sites indicates dual registrants prefer to work in midwifery but often relinquish their registration due to the priority being nursing work by administrators and access to maternity areas to maintain skills.</w:t>
            </w:r>
          </w:p>
          <w:p w:rsidR="006C7BEC" w:rsidRPr="006C7BEC" w:rsidRDefault="006C7BEC" w:rsidP="006C7BEC">
            <w:pPr>
              <w:numPr>
                <w:ilvl w:val="0"/>
                <w:numId w:val="21"/>
              </w:numPr>
              <w:contextualSpacing/>
              <w:jc w:val="both"/>
              <w:rPr>
                <w:rFonts w:cs="Arial"/>
                <w:sz w:val="20"/>
              </w:rPr>
            </w:pPr>
            <w:r w:rsidRPr="006C7BEC">
              <w:rPr>
                <w:rFonts w:cs="Arial"/>
                <w:sz w:val="20"/>
              </w:rPr>
              <w:t>Midwives’ scope of practice remains largely, poorly understood and transfer of skills at graduation to practice and between employers and jurisdictions is variable impacting on recognition and application of skills to maintain recency and work to full scope.</w:t>
            </w:r>
          </w:p>
        </w:tc>
        <w:tc>
          <w:tcPr>
            <w:tcW w:w="4303" w:type="dxa"/>
          </w:tcPr>
          <w:p w:rsidR="006C7BEC" w:rsidRPr="006C7BEC" w:rsidRDefault="006C7BEC" w:rsidP="006C7BEC">
            <w:pPr>
              <w:numPr>
                <w:ilvl w:val="0"/>
                <w:numId w:val="21"/>
              </w:numPr>
              <w:contextualSpacing/>
              <w:jc w:val="both"/>
              <w:rPr>
                <w:rFonts w:cs="Arial"/>
                <w:sz w:val="20"/>
              </w:rPr>
            </w:pPr>
            <w:r w:rsidRPr="006C7BEC">
              <w:rPr>
                <w:rFonts w:cs="Arial"/>
                <w:sz w:val="20"/>
              </w:rPr>
              <w:t>The Queensland Health graduate campaign seeks to ensure graduates have supported employment opportunities and encourages students to consider options outside south east Queensland to increase employment opportunities by making available broad geographical preferences.</w:t>
            </w:r>
          </w:p>
          <w:p w:rsidR="006C7BEC" w:rsidRPr="006C7BEC" w:rsidRDefault="006C7BEC" w:rsidP="006C7BEC">
            <w:pPr>
              <w:numPr>
                <w:ilvl w:val="0"/>
                <w:numId w:val="21"/>
              </w:numPr>
              <w:contextualSpacing/>
              <w:jc w:val="both"/>
              <w:rPr>
                <w:rFonts w:cs="Arial"/>
                <w:sz w:val="20"/>
              </w:rPr>
            </w:pPr>
            <w:r w:rsidRPr="006C7BEC">
              <w:rPr>
                <w:rFonts w:cs="Arial"/>
                <w:sz w:val="20"/>
              </w:rPr>
              <w:t>OCNMO has undertaken a promotional campaign to profile the scope and skills of midwives from time of graduation.</w:t>
            </w:r>
          </w:p>
          <w:p w:rsidR="006C7BEC" w:rsidRDefault="006C7BEC" w:rsidP="006C7BEC">
            <w:pPr>
              <w:numPr>
                <w:ilvl w:val="0"/>
                <w:numId w:val="21"/>
              </w:numPr>
              <w:contextualSpacing/>
              <w:jc w:val="both"/>
              <w:rPr>
                <w:rFonts w:cs="Arial"/>
                <w:sz w:val="20"/>
              </w:rPr>
            </w:pPr>
            <w:r w:rsidRPr="006C7BEC">
              <w:rPr>
                <w:rFonts w:cs="Arial"/>
                <w:sz w:val="20"/>
              </w:rPr>
              <w:t>OCNMO recognises barriers for midwives to work to their scope of practice and engages at a statewide level to advocate and educate employers on the comprehensive skills of these well</w:t>
            </w:r>
            <w:r w:rsidRPr="006C7BEC">
              <w:rPr>
                <w:rFonts w:cs="Arial"/>
                <w:sz w:val="20"/>
              </w:rPr>
              <w:noBreakHyphen/>
              <w:t>educated professionals to provide autonomous woman centred care.</w:t>
            </w:r>
          </w:p>
          <w:p w:rsidR="006C7BEC" w:rsidRDefault="006C7BEC" w:rsidP="006C7BEC">
            <w:pPr>
              <w:numPr>
                <w:ilvl w:val="0"/>
                <w:numId w:val="21"/>
              </w:numPr>
              <w:contextualSpacing/>
              <w:jc w:val="both"/>
              <w:rPr>
                <w:rFonts w:cs="Arial"/>
                <w:sz w:val="20"/>
              </w:rPr>
            </w:pPr>
            <w:r w:rsidRPr="006C7BEC">
              <w:rPr>
                <w:rFonts w:cs="Arial"/>
                <w:sz w:val="20"/>
              </w:rPr>
              <w:t>OCNMO supports rural sites to transition to continuity of carer models and to adopt a caseload of women to ensure access to work to full scope and maintain recency of practice. This has proven to improve workforce retention in maternity settings.</w:t>
            </w:r>
          </w:p>
          <w:p w:rsidR="007E6FAB" w:rsidRPr="006C7BEC" w:rsidRDefault="007E6FAB" w:rsidP="00D11102">
            <w:pPr>
              <w:contextualSpacing/>
              <w:jc w:val="both"/>
              <w:rPr>
                <w:rFonts w:cs="Arial"/>
                <w:sz w:val="20"/>
              </w:rPr>
            </w:pPr>
          </w:p>
        </w:tc>
      </w:tr>
      <w:tr w:rsidR="006C7BEC" w:rsidRPr="000214BF" w:rsidTr="009E3025">
        <w:tblPrEx>
          <w:tblBorders>
            <w:insideH w:val="single" w:sz="4" w:space="0" w:color="auto"/>
            <w:insideV w:val="single" w:sz="4" w:space="0" w:color="auto"/>
          </w:tblBorders>
        </w:tblPrEx>
        <w:tc>
          <w:tcPr>
            <w:tcW w:w="4353" w:type="dxa"/>
            <w:shd w:val="clear" w:color="auto" w:fill="7030A0"/>
          </w:tcPr>
          <w:p w:rsidR="006C7BEC" w:rsidRDefault="006C7BEC" w:rsidP="006C7BEC">
            <w:pPr>
              <w:jc w:val="both"/>
              <w:rPr>
                <w:rFonts w:cs="Arial"/>
                <w:b/>
                <w:color w:val="FFFFFF"/>
                <w:sz w:val="20"/>
              </w:rPr>
            </w:pPr>
            <w:r>
              <w:rPr>
                <w:rFonts w:cs="Arial"/>
                <w:b/>
                <w:color w:val="FFFFFF"/>
                <w:sz w:val="20"/>
              </w:rPr>
              <w:t xml:space="preserve">South Australia </w:t>
            </w:r>
            <w:r w:rsidRPr="000214BF">
              <w:rPr>
                <w:rFonts w:cs="Arial"/>
                <w:b/>
                <w:color w:val="FFFFFF"/>
                <w:sz w:val="20"/>
              </w:rPr>
              <w:t>point of view</w:t>
            </w:r>
          </w:p>
        </w:tc>
        <w:tc>
          <w:tcPr>
            <w:tcW w:w="4303" w:type="dxa"/>
            <w:shd w:val="clear" w:color="auto" w:fill="7030A0"/>
          </w:tcPr>
          <w:p w:rsidR="006C7BEC" w:rsidRPr="000214BF" w:rsidRDefault="006C7BEC" w:rsidP="006C7BEC">
            <w:pPr>
              <w:jc w:val="both"/>
              <w:rPr>
                <w:rFonts w:cs="Arial"/>
                <w:b/>
                <w:color w:val="FFFFFF"/>
                <w:sz w:val="20"/>
              </w:rPr>
            </w:pPr>
            <w:r w:rsidRPr="000214BF">
              <w:rPr>
                <w:rFonts w:cs="Arial"/>
                <w:b/>
                <w:color w:val="FFFFFF"/>
                <w:sz w:val="20"/>
              </w:rPr>
              <w:t>Programs or strategies to address the situation</w:t>
            </w:r>
          </w:p>
        </w:tc>
      </w:tr>
      <w:tr w:rsidR="006C7BEC" w:rsidRPr="000214BF" w:rsidTr="00595441">
        <w:tblPrEx>
          <w:tblBorders>
            <w:insideH w:val="single" w:sz="4" w:space="0" w:color="auto"/>
            <w:insideV w:val="single" w:sz="4" w:space="0" w:color="auto"/>
          </w:tblBorders>
        </w:tblPrEx>
        <w:tc>
          <w:tcPr>
            <w:tcW w:w="4353" w:type="dxa"/>
          </w:tcPr>
          <w:p w:rsidR="006C7BEC" w:rsidRPr="006C7BEC" w:rsidRDefault="006C7BEC" w:rsidP="006C7BEC">
            <w:pPr>
              <w:numPr>
                <w:ilvl w:val="0"/>
                <w:numId w:val="21"/>
              </w:numPr>
              <w:contextualSpacing/>
              <w:jc w:val="both"/>
              <w:rPr>
                <w:rFonts w:cs="Arial"/>
                <w:sz w:val="20"/>
              </w:rPr>
            </w:pPr>
            <w:r w:rsidRPr="006C7BEC">
              <w:rPr>
                <w:rFonts w:cs="Arial"/>
                <w:sz w:val="20"/>
              </w:rPr>
              <w:t xml:space="preserve">This is not considered an issue in SA. Midwives holding dual registration working in non-maternity settings can struggle to </w:t>
            </w:r>
            <w:r w:rsidRPr="006C7BEC">
              <w:rPr>
                <w:rFonts w:cs="Arial"/>
                <w:sz w:val="20"/>
              </w:rPr>
              <w:lastRenderedPageBreak/>
              <w:t>meet the requirements of the Nursing and Midwifery Board of Australia’s (NMBA) recency of practice registration standard for with their midwifery registration.</w:t>
            </w:r>
          </w:p>
        </w:tc>
        <w:tc>
          <w:tcPr>
            <w:tcW w:w="4303" w:type="dxa"/>
          </w:tcPr>
          <w:p w:rsidR="006C7BEC" w:rsidRPr="00B1555C" w:rsidRDefault="006C7BEC" w:rsidP="006C7BEC">
            <w:pPr>
              <w:numPr>
                <w:ilvl w:val="0"/>
                <w:numId w:val="21"/>
              </w:numPr>
              <w:contextualSpacing/>
              <w:jc w:val="both"/>
              <w:rPr>
                <w:rFonts w:cs="Arial"/>
                <w:sz w:val="20"/>
              </w:rPr>
            </w:pPr>
            <w:r w:rsidRPr="00B1555C">
              <w:rPr>
                <w:rFonts w:cs="Arial"/>
                <w:sz w:val="20"/>
              </w:rPr>
              <w:lastRenderedPageBreak/>
              <w:t>In 2019 the University of South Australia introduced a re-entry to practice certificate for midwives.</w:t>
            </w:r>
          </w:p>
          <w:p w:rsidR="006C7BEC" w:rsidRPr="00B1555C" w:rsidRDefault="006C7BEC" w:rsidP="006C7BEC">
            <w:pPr>
              <w:numPr>
                <w:ilvl w:val="0"/>
                <w:numId w:val="21"/>
              </w:numPr>
              <w:contextualSpacing/>
              <w:jc w:val="both"/>
              <w:rPr>
                <w:rFonts w:cs="Arial"/>
                <w:sz w:val="20"/>
              </w:rPr>
            </w:pPr>
            <w:r w:rsidRPr="00B1555C">
              <w:rPr>
                <w:rFonts w:cs="Arial"/>
                <w:sz w:val="20"/>
              </w:rPr>
              <w:lastRenderedPageBreak/>
              <w:t>Midwives who hold dual registration and work in non-maternity settings can choose to maintain their registration by seeking employment in hospital casual pools or with employment agencies.</w:t>
            </w:r>
          </w:p>
          <w:p w:rsidR="006C7BEC" w:rsidRPr="000214BF" w:rsidRDefault="006C7BEC" w:rsidP="006C7BEC">
            <w:pPr>
              <w:jc w:val="both"/>
              <w:rPr>
                <w:rFonts w:cs="Arial"/>
                <w:b/>
                <w:color w:val="FFFFFF"/>
                <w:sz w:val="20"/>
              </w:rPr>
            </w:pPr>
          </w:p>
        </w:tc>
      </w:tr>
      <w:tr w:rsidR="006C7BEC" w:rsidRPr="000214BF" w:rsidTr="009E3025">
        <w:tblPrEx>
          <w:tblBorders>
            <w:insideH w:val="single" w:sz="4" w:space="0" w:color="auto"/>
            <w:insideV w:val="single" w:sz="4" w:space="0" w:color="auto"/>
          </w:tblBorders>
        </w:tblPrEx>
        <w:tc>
          <w:tcPr>
            <w:tcW w:w="4353" w:type="dxa"/>
            <w:shd w:val="clear" w:color="auto" w:fill="7030A0"/>
          </w:tcPr>
          <w:p w:rsidR="006C7BEC" w:rsidRPr="000214BF" w:rsidRDefault="006C7BEC" w:rsidP="006C7BEC">
            <w:pPr>
              <w:jc w:val="both"/>
              <w:rPr>
                <w:rFonts w:cs="Arial"/>
                <w:b/>
                <w:color w:val="FFFFFF"/>
                <w:sz w:val="20"/>
              </w:rPr>
            </w:pPr>
            <w:r>
              <w:rPr>
                <w:rFonts w:cs="Arial"/>
                <w:b/>
                <w:color w:val="FFFFFF"/>
                <w:sz w:val="20"/>
              </w:rPr>
              <w:lastRenderedPageBreak/>
              <w:t>Tasmania</w:t>
            </w:r>
            <w:r w:rsidRPr="000214BF">
              <w:rPr>
                <w:rFonts w:cs="Arial"/>
                <w:b/>
                <w:color w:val="FFFFFF"/>
                <w:sz w:val="20"/>
              </w:rPr>
              <w:t xml:space="preserve"> point of view</w:t>
            </w:r>
          </w:p>
        </w:tc>
        <w:tc>
          <w:tcPr>
            <w:tcW w:w="4303" w:type="dxa"/>
            <w:shd w:val="clear" w:color="auto" w:fill="7030A0"/>
          </w:tcPr>
          <w:p w:rsidR="006C7BEC" w:rsidRPr="000214BF" w:rsidRDefault="006C7BEC" w:rsidP="006C7BEC">
            <w:pPr>
              <w:jc w:val="both"/>
              <w:rPr>
                <w:rFonts w:cs="Arial"/>
                <w:b/>
                <w:color w:val="FFFFFF"/>
                <w:sz w:val="20"/>
              </w:rPr>
            </w:pPr>
            <w:r w:rsidRPr="000214BF">
              <w:rPr>
                <w:rFonts w:cs="Arial"/>
                <w:b/>
                <w:color w:val="FFFFFF"/>
                <w:sz w:val="20"/>
              </w:rPr>
              <w:t>Programs or strategies to address the situation</w:t>
            </w:r>
          </w:p>
        </w:tc>
      </w:tr>
      <w:tr w:rsidR="006C7BEC" w:rsidRPr="000214BF" w:rsidTr="00595441">
        <w:tblPrEx>
          <w:tblBorders>
            <w:insideH w:val="single" w:sz="4" w:space="0" w:color="auto"/>
            <w:insideV w:val="single" w:sz="4" w:space="0" w:color="auto"/>
          </w:tblBorders>
        </w:tblPrEx>
        <w:tc>
          <w:tcPr>
            <w:tcW w:w="4353" w:type="dxa"/>
          </w:tcPr>
          <w:p w:rsidR="006C7BEC" w:rsidRPr="00784872" w:rsidRDefault="006C7BEC" w:rsidP="006C7BEC">
            <w:pPr>
              <w:pStyle w:val="ListParagraph"/>
              <w:numPr>
                <w:ilvl w:val="0"/>
                <w:numId w:val="21"/>
              </w:numPr>
              <w:spacing w:after="0"/>
              <w:rPr>
                <w:rFonts w:cs="Arial"/>
                <w:sz w:val="20"/>
              </w:rPr>
            </w:pPr>
            <w:r w:rsidRPr="00784872">
              <w:rPr>
                <w:rFonts w:cs="Arial"/>
                <w:sz w:val="20"/>
              </w:rPr>
              <w:t>If the midwife is a dual registrant working the majority of the time in the context of the other registration (eg nursing, paramedicine etc.), maintaining recency can be problematic.</w:t>
            </w:r>
          </w:p>
          <w:p w:rsidR="006C7BEC" w:rsidRPr="00784872" w:rsidRDefault="006C7BEC" w:rsidP="006C7BEC">
            <w:pPr>
              <w:pStyle w:val="ListParagraph"/>
              <w:numPr>
                <w:ilvl w:val="0"/>
                <w:numId w:val="40"/>
              </w:numPr>
              <w:spacing w:after="0"/>
              <w:rPr>
                <w:rFonts w:cs="Arial"/>
                <w:sz w:val="20"/>
              </w:rPr>
            </w:pPr>
            <w:r w:rsidRPr="00784872">
              <w:rPr>
                <w:rFonts w:cs="Arial"/>
                <w:sz w:val="20"/>
              </w:rPr>
              <w:t>Not aware that this is an issue in Tasmania</w:t>
            </w:r>
          </w:p>
        </w:tc>
        <w:tc>
          <w:tcPr>
            <w:tcW w:w="4303" w:type="dxa"/>
          </w:tcPr>
          <w:p w:rsidR="006C7BEC" w:rsidRPr="001A46AF" w:rsidRDefault="006C7BEC" w:rsidP="006C7BEC">
            <w:pPr>
              <w:numPr>
                <w:ilvl w:val="0"/>
                <w:numId w:val="21"/>
              </w:numPr>
              <w:contextualSpacing/>
              <w:jc w:val="both"/>
              <w:rPr>
                <w:rFonts w:cs="Arial"/>
                <w:sz w:val="20"/>
              </w:rPr>
            </w:pPr>
            <w:r w:rsidRPr="001A46AF">
              <w:rPr>
                <w:rFonts w:cs="Arial"/>
                <w:sz w:val="20"/>
              </w:rPr>
              <w:t>With Child Health and Parenting Service (CHAPS) transferring to the Tasmanian Health Service, it is easier for CHAPS nurses to maintain their recency.</w:t>
            </w:r>
          </w:p>
          <w:p w:rsidR="006C7BEC" w:rsidRDefault="006C7BEC" w:rsidP="006C7BEC">
            <w:pPr>
              <w:numPr>
                <w:ilvl w:val="0"/>
                <w:numId w:val="21"/>
              </w:numPr>
              <w:contextualSpacing/>
              <w:jc w:val="both"/>
              <w:rPr>
                <w:rFonts w:cs="Arial"/>
                <w:sz w:val="20"/>
              </w:rPr>
            </w:pPr>
            <w:r w:rsidRPr="001A46AF">
              <w:rPr>
                <w:rFonts w:cs="Arial"/>
                <w:sz w:val="20"/>
              </w:rPr>
              <w:t>In rural locations in the Northern region where the flexibility of dual registrants is valued, but limited opportunities exist to maintain recency of practice (particularly for midwifery), efforts are being made to enable rotations to larger regional centres, and include rural dual registrants in education opportunities</w:t>
            </w:r>
            <w:r>
              <w:rPr>
                <w:rFonts w:cs="Arial"/>
                <w:sz w:val="20"/>
              </w:rPr>
              <w:t>.</w:t>
            </w:r>
          </w:p>
          <w:p w:rsidR="007E6FAB" w:rsidRPr="000214BF" w:rsidRDefault="007E6FAB" w:rsidP="007E6FAB">
            <w:pPr>
              <w:ind w:left="360"/>
              <w:contextualSpacing/>
              <w:jc w:val="both"/>
              <w:rPr>
                <w:rFonts w:cs="Arial"/>
                <w:sz w:val="20"/>
              </w:rPr>
            </w:pPr>
          </w:p>
        </w:tc>
      </w:tr>
      <w:tr w:rsidR="006C7BEC" w:rsidRPr="000214BF" w:rsidTr="009E3025">
        <w:tblPrEx>
          <w:tblBorders>
            <w:insideH w:val="single" w:sz="4" w:space="0" w:color="auto"/>
            <w:insideV w:val="single" w:sz="4" w:space="0" w:color="auto"/>
          </w:tblBorders>
        </w:tblPrEx>
        <w:tc>
          <w:tcPr>
            <w:tcW w:w="4353" w:type="dxa"/>
            <w:shd w:val="clear" w:color="auto" w:fill="7030A0"/>
          </w:tcPr>
          <w:p w:rsidR="006C7BEC" w:rsidRPr="000214BF" w:rsidRDefault="006C7BEC" w:rsidP="006C7BEC">
            <w:pPr>
              <w:jc w:val="both"/>
              <w:rPr>
                <w:rFonts w:cs="Arial"/>
                <w:b/>
                <w:color w:val="FFFFFF"/>
                <w:sz w:val="20"/>
              </w:rPr>
            </w:pPr>
            <w:r>
              <w:rPr>
                <w:rFonts w:cs="Arial"/>
                <w:b/>
                <w:color w:val="FFFFFF"/>
                <w:sz w:val="20"/>
              </w:rPr>
              <w:t>Victoria</w:t>
            </w:r>
            <w:r w:rsidRPr="000214BF">
              <w:rPr>
                <w:rFonts w:cs="Arial"/>
                <w:b/>
                <w:color w:val="FFFFFF"/>
                <w:sz w:val="20"/>
              </w:rPr>
              <w:t xml:space="preserve"> point of view</w:t>
            </w:r>
          </w:p>
        </w:tc>
        <w:tc>
          <w:tcPr>
            <w:tcW w:w="4303" w:type="dxa"/>
            <w:shd w:val="clear" w:color="auto" w:fill="7030A0"/>
          </w:tcPr>
          <w:p w:rsidR="006C7BEC" w:rsidRPr="000214BF" w:rsidRDefault="006C7BEC" w:rsidP="006C7BEC">
            <w:pPr>
              <w:jc w:val="both"/>
              <w:rPr>
                <w:rFonts w:cs="Arial"/>
                <w:b/>
                <w:color w:val="FFFFFF"/>
                <w:sz w:val="20"/>
              </w:rPr>
            </w:pPr>
            <w:r w:rsidRPr="000214BF">
              <w:rPr>
                <w:rFonts w:cs="Arial"/>
                <w:b/>
                <w:color w:val="FFFFFF"/>
                <w:sz w:val="20"/>
              </w:rPr>
              <w:t>Programs or strategies to address the situation</w:t>
            </w:r>
          </w:p>
        </w:tc>
      </w:tr>
      <w:tr w:rsidR="006C7BEC" w:rsidRPr="000214BF" w:rsidTr="00595441">
        <w:tblPrEx>
          <w:tblBorders>
            <w:insideH w:val="single" w:sz="4" w:space="0" w:color="auto"/>
            <w:insideV w:val="single" w:sz="4" w:space="0" w:color="auto"/>
          </w:tblBorders>
        </w:tblPrEx>
        <w:tc>
          <w:tcPr>
            <w:tcW w:w="4353" w:type="dxa"/>
          </w:tcPr>
          <w:p w:rsidR="006C7BEC" w:rsidRPr="00784872" w:rsidRDefault="006C7BEC" w:rsidP="006C7BEC">
            <w:pPr>
              <w:pStyle w:val="ListParagraph"/>
              <w:numPr>
                <w:ilvl w:val="0"/>
                <w:numId w:val="39"/>
              </w:numPr>
              <w:spacing w:after="0"/>
              <w:rPr>
                <w:rFonts w:cs="Arial"/>
                <w:sz w:val="20"/>
              </w:rPr>
            </w:pPr>
            <w:r w:rsidRPr="00784872">
              <w:rPr>
                <w:rFonts w:cs="Arial"/>
                <w:sz w:val="20"/>
              </w:rPr>
              <w:t>Yes, particularly in smaller, rural maternity services, ensuring each midwife has the required clinical experience annually can be a challenge. .</w:t>
            </w:r>
          </w:p>
        </w:tc>
        <w:tc>
          <w:tcPr>
            <w:tcW w:w="4303" w:type="dxa"/>
          </w:tcPr>
          <w:p w:rsidR="006C7BEC" w:rsidRPr="00FF1C2D" w:rsidRDefault="006C7BEC" w:rsidP="006C7BEC">
            <w:pPr>
              <w:numPr>
                <w:ilvl w:val="0"/>
                <w:numId w:val="21"/>
              </w:numPr>
              <w:contextualSpacing/>
              <w:jc w:val="both"/>
              <w:rPr>
                <w:rFonts w:cs="Arial"/>
                <w:sz w:val="20"/>
              </w:rPr>
            </w:pPr>
            <w:r w:rsidRPr="00FF1C2D">
              <w:rPr>
                <w:rFonts w:cs="Arial"/>
                <w:sz w:val="20"/>
              </w:rPr>
              <w:t xml:space="preserve">The development of midwifery group practices and shared care models is being encouraged. </w:t>
            </w:r>
          </w:p>
          <w:p w:rsidR="006C7BEC" w:rsidRPr="00FF1C2D" w:rsidRDefault="006C7BEC" w:rsidP="006C7BEC">
            <w:pPr>
              <w:numPr>
                <w:ilvl w:val="0"/>
                <w:numId w:val="21"/>
              </w:numPr>
              <w:contextualSpacing/>
              <w:jc w:val="both"/>
              <w:rPr>
                <w:rFonts w:cs="Arial"/>
                <w:sz w:val="20"/>
              </w:rPr>
            </w:pPr>
            <w:r w:rsidRPr="00FF1C2D">
              <w:rPr>
                <w:rFonts w:cs="Arial"/>
                <w:sz w:val="20"/>
              </w:rPr>
              <w:t xml:space="preserve">Victoria has completed a major review of perinatal services and the government is considering the recommendations from this review at present. </w:t>
            </w:r>
          </w:p>
          <w:p w:rsidR="006C7BEC" w:rsidRPr="00FF1C2D" w:rsidRDefault="006C7BEC" w:rsidP="006C7BEC">
            <w:pPr>
              <w:numPr>
                <w:ilvl w:val="0"/>
                <w:numId w:val="21"/>
              </w:numPr>
              <w:contextualSpacing/>
              <w:jc w:val="both"/>
              <w:rPr>
                <w:rFonts w:cs="Arial"/>
                <w:sz w:val="20"/>
              </w:rPr>
            </w:pPr>
            <w:r w:rsidRPr="00FF1C2D">
              <w:rPr>
                <w:rFonts w:cs="Arial"/>
                <w:sz w:val="20"/>
              </w:rPr>
              <w:t>Maternity Connect is a VDHHS project run by Western Health which supports public Rural Maternity Services and their workforce. This program focuses on supporting midwives and nurses working in maternity services to develop and maintain their skills and competence through a clinical exposure placement in higher-level service than in which they normally work.</w:t>
            </w:r>
          </w:p>
          <w:p w:rsidR="007E6FAB" w:rsidRPr="00DD1B03" w:rsidRDefault="006C7BEC" w:rsidP="00DD1B03">
            <w:pPr>
              <w:numPr>
                <w:ilvl w:val="0"/>
                <w:numId w:val="21"/>
              </w:numPr>
              <w:contextualSpacing/>
              <w:jc w:val="both"/>
              <w:rPr>
                <w:rFonts w:cs="Arial"/>
                <w:sz w:val="20"/>
              </w:rPr>
            </w:pPr>
            <w:r w:rsidRPr="00FF1C2D">
              <w:rPr>
                <w:rFonts w:cs="Arial"/>
                <w:sz w:val="20"/>
              </w:rPr>
              <w:t>Maternity Services Education Program, a state-wide clinical education program delivering multidisciplinary education onsite in Victorian maternity services, led by the Ro</w:t>
            </w:r>
            <w:r w:rsidR="007E6FAB">
              <w:rPr>
                <w:rFonts w:cs="Arial"/>
                <w:sz w:val="20"/>
              </w:rPr>
              <w:t>yal Women’s Hospital, Melbourne.</w:t>
            </w:r>
          </w:p>
          <w:p w:rsidR="007E6FAB" w:rsidRPr="00FF1C2D" w:rsidRDefault="007E6FAB" w:rsidP="007E6FAB">
            <w:pPr>
              <w:ind w:left="360"/>
              <w:contextualSpacing/>
              <w:jc w:val="both"/>
              <w:rPr>
                <w:rFonts w:cs="Arial"/>
                <w:sz w:val="20"/>
              </w:rPr>
            </w:pPr>
          </w:p>
        </w:tc>
      </w:tr>
      <w:tr w:rsidR="006C7BEC" w:rsidRPr="000214BF" w:rsidTr="009E3025">
        <w:tblPrEx>
          <w:tblBorders>
            <w:insideH w:val="single" w:sz="4" w:space="0" w:color="auto"/>
            <w:insideV w:val="single" w:sz="4" w:space="0" w:color="auto"/>
          </w:tblBorders>
        </w:tblPrEx>
        <w:tc>
          <w:tcPr>
            <w:tcW w:w="4353" w:type="dxa"/>
            <w:shd w:val="clear" w:color="auto" w:fill="7030A0"/>
          </w:tcPr>
          <w:p w:rsidR="006C7BEC" w:rsidRPr="000214BF" w:rsidRDefault="006C7BEC" w:rsidP="006C7BEC">
            <w:pPr>
              <w:jc w:val="both"/>
              <w:rPr>
                <w:rFonts w:cs="Arial"/>
                <w:b/>
                <w:color w:val="FFFFFF"/>
                <w:sz w:val="20"/>
              </w:rPr>
            </w:pPr>
            <w:r>
              <w:rPr>
                <w:rFonts w:cs="Arial"/>
                <w:b/>
                <w:color w:val="FFFFFF"/>
                <w:sz w:val="20"/>
              </w:rPr>
              <w:t>Western Australia</w:t>
            </w:r>
            <w:r w:rsidRPr="000214BF">
              <w:rPr>
                <w:rFonts w:cs="Arial"/>
                <w:b/>
                <w:color w:val="FFFFFF"/>
                <w:sz w:val="20"/>
              </w:rPr>
              <w:t xml:space="preserve"> point of view</w:t>
            </w:r>
          </w:p>
        </w:tc>
        <w:tc>
          <w:tcPr>
            <w:tcW w:w="4303" w:type="dxa"/>
            <w:shd w:val="clear" w:color="auto" w:fill="7030A0"/>
          </w:tcPr>
          <w:p w:rsidR="006C7BEC" w:rsidRPr="000214BF" w:rsidRDefault="006C7BEC" w:rsidP="006C7BEC">
            <w:pPr>
              <w:jc w:val="both"/>
              <w:rPr>
                <w:rFonts w:cs="Arial"/>
                <w:b/>
                <w:color w:val="FFFFFF"/>
                <w:sz w:val="20"/>
              </w:rPr>
            </w:pPr>
            <w:r w:rsidRPr="000214BF">
              <w:rPr>
                <w:rFonts w:cs="Arial"/>
                <w:b/>
                <w:color w:val="FFFFFF"/>
                <w:sz w:val="20"/>
              </w:rPr>
              <w:t>Programs or strategies to address the situation</w:t>
            </w:r>
          </w:p>
        </w:tc>
      </w:tr>
      <w:tr w:rsidR="006C7BEC" w:rsidRPr="000214BF" w:rsidTr="00595441">
        <w:tblPrEx>
          <w:tblBorders>
            <w:insideH w:val="single" w:sz="4" w:space="0" w:color="auto"/>
            <w:insideV w:val="single" w:sz="4" w:space="0" w:color="auto"/>
          </w:tblBorders>
        </w:tblPrEx>
        <w:tc>
          <w:tcPr>
            <w:tcW w:w="4353" w:type="dxa"/>
          </w:tcPr>
          <w:p w:rsidR="006C7BEC" w:rsidRPr="00B1555C" w:rsidRDefault="006C7BEC" w:rsidP="006C7BEC">
            <w:pPr>
              <w:pStyle w:val="ListParagraph"/>
              <w:numPr>
                <w:ilvl w:val="0"/>
                <w:numId w:val="28"/>
              </w:numPr>
              <w:spacing w:after="0"/>
              <w:rPr>
                <w:rFonts w:cs="Arial"/>
                <w:sz w:val="20"/>
              </w:rPr>
            </w:pPr>
            <w:r w:rsidRPr="00B1555C">
              <w:rPr>
                <w:rFonts w:cs="Arial"/>
                <w:sz w:val="20"/>
              </w:rPr>
              <w:t xml:space="preserve">Recency of practice is not considered an issue. This statement needs to be qualified in that midwives in non-clinical roles that do not involve “hands on” clinical practice would generally meet recency of practice in terms of maintaining adequate connection with advancements and changes to the profession but this may not always equate to actual clinical practice. Approximately </w:t>
            </w:r>
            <w:r w:rsidRPr="00B1555C">
              <w:rPr>
                <w:rFonts w:cs="Arial"/>
                <w:sz w:val="20"/>
              </w:rPr>
              <w:lastRenderedPageBreak/>
              <w:t xml:space="preserve">8% of midwives occupy these types of roles in the public system. </w:t>
            </w:r>
          </w:p>
          <w:p w:rsidR="006C7BEC" w:rsidRPr="00B1555C" w:rsidRDefault="006C7BEC" w:rsidP="006C7BEC">
            <w:pPr>
              <w:pStyle w:val="ListParagraph"/>
              <w:numPr>
                <w:ilvl w:val="0"/>
                <w:numId w:val="28"/>
              </w:numPr>
              <w:spacing w:after="0"/>
              <w:rPr>
                <w:rFonts w:cs="Arial"/>
                <w:sz w:val="20"/>
              </w:rPr>
            </w:pPr>
            <w:r w:rsidRPr="00B1555C">
              <w:rPr>
                <w:rFonts w:cs="Arial"/>
                <w:sz w:val="20"/>
              </w:rPr>
              <w:t>There is significant focus on the birth episode of care, but this is a small component of the midwives practice. More clarity is required around context of practice for those that do not work in a clinical area, but utilise their knowledge and skills to sup</w:t>
            </w:r>
            <w:r w:rsidR="002B3F61">
              <w:rPr>
                <w:rFonts w:cs="Arial"/>
                <w:sz w:val="20"/>
              </w:rPr>
              <w:t>port the profession.</w:t>
            </w:r>
          </w:p>
        </w:tc>
        <w:tc>
          <w:tcPr>
            <w:tcW w:w="4303" w:type="dxa"/>
          </w:tcPr>
          <w:p w:rsidR="006C7BEC" w:rsidRPr="000214BF" w:rsidRDefault="006C7BEC" w:rsidP="006C7BEC">
            <w:pPr>
              <w:numPr>
                <w:ilvl w:val="0"/>
                <w:numId w:val="21"/>
              </w:numPr>
              <w:contextualSpacing/>
              <w:jc w:val="both"/>
              <w:rPr>
                <w:rFonts w:cs="Arial"/>
                <w:sz w:val="20"/>
              </w:rPr>
            </w:pPr>
            <w:r w:rsidRPr="00AB0FC4">
              <w:rPr>
                <w:rFonts w:cs="Arial"/>
                <w:sz w:val="20"/>
              </w:rPr>
              <w:lastRenderedPageBreak/>
              <w:t>WA has a midwifery refresher program for midwives that have not practised in the previous five years, but are still registered as midwives.</w:t>
            </w:r>
          </w:p>
        </w:tc>
      </w:tr>
      <w:bookmarkEnd w:id="224"/>
      <w:bookmarkEnd w:id="225"/>
    </w:tbl>
    <w:p w:rsidR="00650549" w:rsidRDefault="00650549">
      <w:pPr>
        <w:rPr>
          <w:rFonts w:cs="Arial"/>
          <w:szCs w:val="22"/>
        </w:rPr>
      </w:pPr>
    </w:p>
    <w:p w:rsidR="00650549" w:rsidRDefault="00650549">
      <w:pPr>
        <w:rPr>
          <w:rFonts w:cs="Arial"/>
          <w:szCs w:val="22"/>
        </w:rPr>
      </w:pPr>
      <w:r>
        <w:rPr>
          <w:rFonts w:cs="Arial"/>
          <w:szCs w:val="22"/>
        </w:rPr>
        <w:br w:type="page"/>
      </w:r>
    </w:p>
    <w:p w:rsidR="00434995" w:rsidRPr="00434995" w:rsidRDefault="00434995" w:rsidP="003423C0">
      <w:pPr>
        <w:pStyle w:val="ListParagraph"/>
        <w:numPr>
          <w:ilvl w:val="0"/>
          <w:numId w:val="58"/>
        </w:numPr>
        <w:rPr>
          <w:rFonts w:cs="Arial"/>
          <w:szCs w:val="22"/>
        </w:rPr>
      </w:pPr>
      <w:r w:rsidRPr="00434995">
        <w:rPr>
          <w:rFonts w:cs="Arial"/>
          <w:b/>
          <w:szCs w:val="22"/>
        </w:rPr>
        <w:lastRenderedPageBreak/>
        <w:t>Are there currently unfilled vacancies in the midwifery workforce</w:t>
      </w:r>
      <w:r w:rsidRPr="00434995">
        <w:rPr>
          <w:rFonts w:cs="Arial"/>
          <w:szCs w:val="22"/>
        </w:rPr>
        <w:t>?</w:t>
      </w:r>
    </w:p>
    <w:tbl>
      <w:tblPr>
        <w:tblStyle w:val="TableGrid2"/>
        <w:tblW w:w="0" w:type="auto"/>
        <w:tblInd w:w="-113" w:type="dxa"/>
        <w:tblBorders>
          <w:insideH w:val="none" w:sz="0" w:space="0" w:color="auto"/>
          <w:insideV w:val="none" w:sz="0" w:space="0" w:color="auto"/>
        </w:tblBorders>
        <w:tblLook w:val="04A0" w:firstRow="1" w:lastRow="0" w:firstColumn="1" w:lastColumn="0" w:noHBand="0" w:noVBand="1"/>
        <w:tblCaption w:val="Appendix B: Jurisdictional perspectives"/>
        <w:tblDescription w:val="5. Are there currently unfilled vacancies in the midwifery workforce?&#10;Provides all state and territory prespectives if provided.&#10;"/>
      </w:tblPr>
      <w:tblGrid>
        <w:gridCol w:w="4353"/>
        <w:gridCol w:w="4303"/>
      </w:tblGrid>
      <w:tr w:rsidR="00434995" w:rsidRPr="000214BF" w:rsidTr="009E3025">
        <w:trPr>
          <w:tblHeader/>
        </w:trPr>
        <w:tc>
          <w:tcPr>
            <w:tcW w:w="4353" w:type="dxa"/>
            <w:tcBorders>
              <w:top w:val="single" w:sz="4" w:space="0" w:color="auto"/>
              <w:bottom w:val="single" w:sz="4" w:space="0" w:color="auto"/>
              <w:right w:val="nil"/>
            </w:tcBorders>
            <w:shd w:val="clear" w:color="auto" w:fill="7030A0"/>
          </w:tcPr>
          <w:p w:rsidR="00434995" w:rsidRPr="00595441" w:rsidRDefault="00434995" w:rsidP="008A7558">
            <w:pPr>
              <w:rPr>
                <w:rFonts w:cs="Arial"/>
                <w:b/>
                <w:color w:val="FFFFFF"/>
              </w:rPr>
            </w:pPr>
            <w:r w:rsidRPr="00595441">
              <w:rPr>
                <w:rFonts w:cs="Arial"/>
                <w:b/>
                <w:color w:val="FFFFFF"/>
              </w:rPr>
              <w:t>State/Territory point of view</w:t>
            </w:r>
          </w:p>
        </w:tc>
        <w:tc>
          <w:tcPr>
            <w:tcW w:w="4303" w:type="dxa"/>
            <w:tcBorders>
              <w:top w:val="single" w:sz="4" w:space="0" w:color="auto"/>
              <w:left w:val="nil"/>
              <w:bottom w:val="single" w:sz="4" w:space="0" w:color="auto"/>
            </w:tcBorders>
            <w:shd w:val="clear" w:color="auto" w:fill="7030A0"/>
            <w:noWrap/>
            <w:vAlign w:val="center"/>
          </w:tcPr>
          <w:p w:rsidR="00434995" w:rsidRPr="000214BF" w:rsidRDefault="00434995" w:rsidP="008A7558">
            <w:pPr>
              <w:contextualSpacing/>
              <w:jc w:val="both"/>
              <w:rPr>
                <w:rFonts w:cs="Arial"/>
                <w:b/>
                <w:color w:val="FFFFFF"/>
                <w:sz w:val="20"/>
              </w:rPr>
            </w:pPr>
            <w:r w:rsidRPr="00D93F49">
              <w:rPr>
                <w:rFonts w:cs="Arial"/>
                <w:b/>
                <w:color w:val="FFFFFF"/>
              </w:rPr>
              <w:t>Programs or Strategies</w:t>
            </w:r>
          </w:p>
        </w:tc>
      </w:tr>
      <w:tr w:rsidR="0061039D" w:rsidRPr="000214BF" w:rsidTr="009E3025">
        <w:tblPrEx>
          <w:tblBorders>
            <w:insideH w:val="single" w:sz="4" w:space="0" w:color="auto"/>
            <w:insideV w:val="single" w:sz="4" w:space="0" w:color="auto"/>
          </w:tblBorders>
        </w:tblPrEx>
        <w:tc>
          <w:tcPr>
            <w:tcW w:w="4353" w:type="dxa"/>
            <w:shd w:val="clear" w:color="auto" w:fill="7030A0"/>
          </w:tcPr>
          <w:p w:rsidR="0061039D" w:rsidRPr="000214BF" w:rsidRDefault="0061039D" w:rsidP="00633BE7">
            <w:pPr>
              <w:jc w:val="both"/>
              <w:rPr>
                <w:rFonts w:cs="Arial"/>
                <w:b/>
                <w:color w:val="FFFFFF"/>
                <w:sz w:val="20"/>
              </w:rPr>
            </w:pPr>
            <w:r>
              <w:rPr>
                <w:rFonts w:cs="Arial"/>
                <w:b/>
                <w:color w:val="FFFFFF"/>
                <w:sz w:val="20"/>
              </w:rPr>
              <w:t>ACT</w:t>
            </w:r>
            <w:r w:rsidRPr="000214BF">
              <w:rPr>
                <w:rFonts w:cs="Arial"/>
                <w:b/>
                <w:color w:val="FFFFFF"/>
                <w:sz w:val="20"/>
              </w:rPr>
              <w:t xml:space="preserve"> point of view</w:t>
            </w:r>
          </w:p>
        </w:tc>
        <w:tc>
          <w:tcPr>
            <w:tcW w:w="4303" w:type="dxa"/>
            <w:shd w:val="clear" w:color="auto" w:fill="7030A0"/>
          </w:tcPr>
          <w:p w:rsidR="0061039D" w:rsidRPr="000214BF" w:rsidRDefault="0061039D" w:rsidP="00633BE7">
            <w:pPr>
              <w:jc w:val="both"/>
              <w:rPr>
                <w:rFonts w:cs="Arial"/>
                <w:b/>
                <w:color w:val="FFFFFF"/>
                <w:sz w:val="20"/>
              </w:rPr>
            </w:pPr>
            <w:r w:rsidRPr="000214BF">
              <w:rPr>
                <w:rFonts w:cs="Arial"/>
                <w:b/>
                <w:color w:val="FFFFFF"/>
                <w:sz w:val="20"/>
              </w:rPr>
              <w:t>Programs or strategies to address the situation</w:t>
            </w:r>
          </w:p>
        </w:tc>
      </w:tr>
      <w:tr w:rsidR="0061039D" w:rsidRPr="000214BF" w:rsidTr="00434995">
        <w:tblPrEx>
          <w:tblBorders>
            <w:insideH w:val="single" w:sz="4" w:space="0" w:color="auto"/>
            <w:insideV w:val="single" w:sz="4" w:space="0" w:color="auto"/>
          </w:tblBorders>
        </w:tblPrEx>
        <w:tc>
          <w:tcPr>
            <w:tcW w:w="4353" w:type="dxa"/>
          </w:tcPr>
          <w:p w:rsidR="0061039D" w:rsidRPr="000214BF" w:rsidRDefault="0061039D" w:rsidP="0061039D">
            <w:pPr>
              <w:jc w:val="both"/>
              <w:rPr>
                <w:rFonts w:cs="Arial"/>
                <w:sz w:val="20"/>
              </w:rPr>
            </w:pPr>
            <w:r>
              <w:rPr>
                <w:rFonts w:cs="Arial"/>
                <w:sz w:val="20"/>
              </w:rPr>
              <w:t>•</w:t>
            </w:r>
            <w:r w:rsidR="00004CB2">
              <w:rPr>
                <w:rFonts w:cs="Arial"/>
                <w:sz w:val="20"/>
              </w:rPr>
              <w:t xml:space="preserve">Yes </w:t>
            </w:r>
          </w:p>
          <w:p w:rsidR="0061039D" w:rsidRPr="000214BF" w:rsidRDefault="0061039D" w:rsidP="00633BE7">
            <w:pPr>
              <w:jc w:val="both"/>
              <w:rPr>
                <w:rFonts w:cs="Arial"/>
                <w:sz w:val="20"/>
              </w:rPr>
            </w:pPr>
          </w:p>
        </w:tc>
        <w:tc>
          <w:tcPr>
            <w:tcW w:w="4303" w:type="dxa"/>
          </w:tcPr>
          <w:p w:rsidR="00004CB2" w:rsidRPr="00004CB2" w:rsidRDefault="00004CB2" w:rsidP="002B7E32">
            <w:pPr>
              <w:numPr>
                <w:ilvl w:val="0"/>
                <w:numId w:val="21"/>
              </w:numPr>
              <w:contextualSpacing/>
              <w:jc w:val="both"/>
              <w:rPr>
                <w:rFonts w:cs="Arial"/>
                <w:sz w:val="20"/>
              </w:rPr>
            </w:pPr>
            <w:r w:rsidRPr="00004CB2">
              <w:rPr>
                <w:rFonts w:cs="Arial"/>
                <w:sz w:val="20"/>
              </w:rPr>
              <w:t>See section 1 above</w:t>
            </w:r>
            <w:r w:rsidR="007E0BDF">
              <w:rPr>
                <w:rFonts w:cs="Arial"/>
                <w:sz w:val="20"/>
              </w:rPr>
              <w:t>.</w:t>
            </w:r>
          </w:p>
          <w:p w:rsidR="00004CB2" w:rsidRPr="00004CB2" w:rsidRDefault="00004CB2" w:rsidP="002B7E32">
            <w:pPr>
              <w:numPr>
                <w:ilvl w:val="0"/>
                <w:numId w:val="21"/>
              </w:numPr>
              <w:contextualSpacing/>
              <w:jc w:val="both"/>
              <w:rPr>
                <w:rFonts w:cs="Arial"/>
                <w:sz w:val="20"/>
              </w:rPr>
            </w:pPr>
            <w:r w:rsidRPr="00004CB2">
              <w:rPr>
                <w:rFonts w:cs="Arial"/>
                <w:sz w:val="20"/>
              </w:rPr>
              <w:t>Use of agency staff on short term contracts to fill shortfalls</w:t>
            </w:r>
            <w:r w:rsidR="007E0BDF">
              <w:rPr>
                <w:rFonts w:cs="Arial"/>
                <w:sz w:val="20"/>
              </w:rPr>
              <w:t>.</w:t>
            </w:r>
          </w:p>
          <w:p w:rsidR="00004CB2" w:rsidRPr="00004CB2" w:rsidRDefault="00004CB2" w:rsidP="002B7E32">
            <w:pPr>
              <w:numPr>
                <w:ilvl w:val="0"/>
                <w:numId w:val="21"/>
              </w:numPr>
              <w:contextualSpacing/>
              <w:jc w:val="both"/>
              <w:rPr>
                <w:rFonts w:cs="Arial"/>
                <w:sz w:val="20"/>
              </w:rPr>
            </w:pPr>
            <w:r w:rsidRPr="00004CB2">
              <w:rPr>
                <w:rFonts w:cs="Arial"/>
                <w:sz w:val="20"/>
              </w:rPr>
              <w:t>Workforce strategy development, including both recruitment and retention strategies</w:t>
            </w:r>
            <w:r w:rsidR="007E0BDF">
              <w:rPr>
                <w:rFonts w:cs="Arial"/>
                <w:sz w:val="20"/>
              </w:rPr>
              <w:t>.</w:t>
            </w:r>
          </w:p>
          <w:p w:rsidR="00004CB2" w:rsidRPr="00004CB2" w:rsidRDefault="00004CB2" w:rsidP="002B7E32">
            <w:pPr>
              <w:numPr>
                <w:ilvl w:val="0"/>
                <w:numId w:val="21"/>
              </w:numPr>
              <w:contextualSpacing/>
              <w:jc w:val="both"/>
              <w:rPr>
                <w:rFonts w:cs="Arial"/>
                <w:sz w:val="20"/>
              </w:rPr>
            </w:pPr>
            <w:r w:rsidRPr="00004CB2">
              <w:rPr>
                <w:rFonts w:cs="Arial"/>
                <w:sz w:val="20"/>
              </w:rPr>
              <w:t>Robust program in place to retain graduates at the end of the new graduate program</w:t>
            </w:r>
            <w:r w:rsidR="007E0BDF">
              <w:rPr>
                <w:rFonts w:cs="Arial"/>
                <w:sz w:val="20"/>
              </w:rPr>
              <w:t>.</w:t>
            </w:r>
          </w:p>
          <w:p w:rsidR="00004CB2" w:rsidRPr="00004CB2" w:rsidRDefault="00004CB2" w:rsidP="002B7E32">
            <w:pPr>
              <w:numPr>
                <w:ilvl w:val="0"/>
                <w:numId w:val="21"/>
              </w:numPr>
              <w:contextualSpacing/>
              <w:jc w:val="both"/>
              <w:rPr>
                <w:rFonts w:cs="Arial"/>
                <w:sz w:val="20"/>
              </w:rPr>
            </w:pPr>
            <w:r w:rsidRPr="00004CB2">
              <w:rPr>
                <w:rFonts w:cs="Arial"/>
                <w:sz w:val="20"/>
              </w:rPr>
              <w:t>Ongoing education and support program for less experienced midwives</w:t>
            </w:r>
            <w:r w:rsidR="007E0BDF">
              <w:rPr>
                <w:rFonts w:cs="Arial"/>
                <w:sz w:val="20"/>
              </w:rPr>
              <w:t>.</w:t>
            </w:r>
          </w:p>
          <w:p w:rsidR="00004CB2" w:rsidRPr="00004CB2" w:rsidRDefault="00004CB2" w:rsidP="002B7E32">
            <w:pPr>
              <w:numPr>
                <w:ilvl w:val="0"/>
                <w:numId w:val="21"/>
              </w:numPr>
              <w:contextualSpacing/>
              <w:jc w:val="both"/>
              <w:rPr>
                <w:rFonts w:cs="Arial"/>
                <w:sz w:val="20"/>
              </w:rPr>
            </w:pPr>
            <w:r w:rsidRPr="00004CB2">
              <w:rPr>
                <w:rFonts w:cs="Arial"/>
                <w:sz w:val="20"/>
              </w:rPr>
              <w:t>Flexible work conditions, including part time</w:t>
            </w:r>
            <w:r w:rsidR="007E0BDF">
              <w:rPr>
                <w:rFonts w:cs="Arial"/>
                <w:sz w:val="20"/>
              </w:rPr>
              <w:t>.</w:t>
            </w:r>
          </w:p>
          <w:p w:rsidR="00004CB2" w:rsidRPr="00004CB2" w:rsidRDefault="00004CB2" w:rsidP="002B7E32">
            <w:pPr>
              <w:numPr>
                <w:ilvl w:val="0"/>
                <w:numId w:val="21"/>
              </w:numPr>
              <w:contextualSpacing/>
              <w:jc w:val="both"/>
              <w:rPr>
                <w:rFonts w:cs="Arial"/>
                <w:sz w:val="20"/>
              </w:rPr>
            </w:pPr>
            <w:r w:rsidRPr="00004CB2">
              <w:rPr>
                <w:rFonts w:cs="Arial"/>
                <w:sz w:val="20"/>
              </w:rPr>
              <w:t>Introduction of a part time team within the MGP models.</w:t>
            </w:r>
          </w:p>
          <w:p w:rsidR="0061039D" w:rsidRDefault="00004CB2" w:rsidP="002B7E32">
            <w:pPr>
              <w:numPr>
                <w:ilvl w:val="0"/>
                <w:numId w:val="21"/>
              </w:numPr>
              <w:contextualSpacing/>
              <w:jc w:val="both"/>
              <w:rPr>
                <w:rFonts w:cs="Arial"/>
                <w:sz w:val="20"/>
              </w:rPr>
            </w:pPr>
            <w:r w:rsidRPr="00004CB2">
              <w:rPr>
                <w:rFonts w:cs="Arial"/>
                <w:sz w:val="20"/>
              </w:rPr>
              <w:t>Plan to introduce a rostered team within the birth centre to complement the case load models in 2019</w:t>
            </w:r>
            <w:r w:rsidR="007E0BDF">
              <w:rPr>
                <w:rFonts w:cs="Arial"/>
                <w:sz w:val="20"/>
              </w:rPr>
              <w:t>.</w:t>
            </w:r>
          </w:p>
          <w:p w:rsidR="007E6FAB" w:rsidRPr="000214BF" w:rsidRDefault="007E6FAB" w:rsidP="007E6FAB">
            <w:pPr>
              <w:ind w:left="360"/>
              <w:contextualSpacing/>
              <w:jc w:val="both"/>
              <w:rPr>
                <w:rFonts w:cs="Arial"/>
                <w:sz w:val="20"/>
              </w:rPr>
            </w:pPr>
          </w:p>
        </w:tc>
      </w:tr>
      <w:tr w:rsidR="0061039D" w:rsidRPr="000214BF" w:rsidTr="009E3025">
        <w:tblPrEx>
          <w:tblBorders>
            <w:insideH w:val="single" w:sz="4" w:space="0" w:color="auto"/>
            <w:insideV w:val="single" w:sz="4" w:space="0" w:color="auto"/>
          </w:tblBorders>
        </w:tblPrEx>
        <w:tc>
          <w:tcPr>
            <w:tcW w:w="4353" w:type="dxa"/>
            <w:shd w:val="clear" w:color="auto" w:fill="7030A0"/>
          </w:tcPr>
          <w:p w:rsidR="0061039D" w:rsidRPr="000214BF" w:rsidRDefault="0061039D" w:rsidP="00633BE7">
            <w:pPr>
              <w:jc w:val="both"/>
              <w:rPr>
                <w:rFonts w:cs="Arial"/>
                <w:b/>
                <w:color w:val="FFFFFF"/>
                <w:sz w:val="20"/>
              </w:rPr>
            </w:pPr>
            <w:r>
              <w:rPr>
                <w:rFonts w:cs="Arial"/>
                <w:b/>
                <w:color w:val="FFFFFF"/>
                <w:sz w:val="20"/>
              </w:rPr>
              <w:t xml:space="preserve">NSW </w:t>
            </w:r>
            <w:r w:rsidRPr="000214BF">
              <w:rPr>
                <w:rFonts w:cs="Arial"/>
                <w:b/>
                <w:color w:val="FFFFFF"/>
                <w:sz w:val="20"/>
              </w:rPr>
              <w:t>point of view</w:t>
            </w:r>
          </w:p>
        </w:tc>
        <w:tc>
          <w:tcPr>
            <w:tcW w:w="4303" w:type="dxa"/>
            <w:shd w:val="clear" w:color="auto" w:fill="7030A0"/>
          </w:tcPr>
          <w:p w:rsidR="0061039D" w:rsidRPr="000214BF" w:rsidRDefault="0061039D" w:rsidP="00633BE7">
            <w:pPr>
              <w:jc w:val="both"/>
              <w:rPr>
                <w:rFonts w:cs="Arial"/>
                <w:b/>
                <w:color w:val="FFFFFF"/>
                <w:sz w:val="20"/>
              </w:rPr>
            </w:pPr>
            <w:r w:rsidRPr="000214BF">
              <w:rPr>
                <w:rFonts w:cs="Arial"/>
                <w:b/>
                <w:color w:val="FFFFFF"/>
                <w:sz w:val="20"/>
              </w:rPr>
              <w:t>Programs or strategies to address the situation</w:t>
            </w:r>
          </w:p>
        </w:tc>
      </w:tr>
      <w:tr w:rsidR="0061039D" w:rsidRPr="000214BF" w:rsidTr="00434995">
        <w:tblPrEx>
          <w:tblBorders>
            <w:insideH w:val="single" w:sz="4" w:space="0" w:color="auto"/>
            <w:insideV w:val="single" w:sz="4" w:space="0" w:color="auto"/>
          </w:tblBorders>
        </w:tblPrEx>
        <w:tc>
          <w:tcPr>
            <w:tcW w:w="4353" w:type="dxa"/>
          </w:tcPr>
          <w:p w:rsidR="0061039D" w:rsidRPr="00784872" w:rsidRDefault="00FF0413" w:rsidP="00784872">
            <w:pPr>
              <w:pStyle w:val="ListParagraph"/>
              <w:numPr>
                <w:ilvl w:val="0"/>
                <w:numId w:val="38"/>
              </w:numPr>
              <w:spacing w:after="0"/>
              <w:rPr>
                <w:rFonts w:cs="Arial"/>
                <w:sz w:val="20"/>
              </w:rPr>
            </w:pPr>
            <w:r w:rsidRPr="00784872">
              <w:rPr>
                <w:rFonts w:cs="Arial"/>
                <w:sz w:val="20"/>
              </w:rPr>
              <w:t>Vacancies are monitored at a local level</w:t>
            </w:r>
          </w:p>
        </w:tc>
        <w:tc>
          <w:tcPr>
            <w:tcW w:w="4303" w:type="dxa"/>
          </w:tcPr>
          <w:p w:rsidR="00FF0413" w:rsidRPr="00FF0413" w:rsidRDefault="00FF0413" w:rsidP="002B7E32">
            <w:pPr>
              <w:numPr>
                <w:ilvl w:val="0"/>
                <w:numId w:val="21"/>
              </w:numPr>
              <w:contextualSpacing/>
              <w:jc w:val="both"/>
              <w:rPr>
                <w:rFonts w:cs="Arial"/>
                <w:sz w:val="20"/>
              </w:rPr>
            </w:pPr>
            <w:r w:rsidRPr="00FF0413">
              <w:rPr>
                <w:rFonts w:cs="Arial"/>
                <w:sz w:val="20"/>
              </w:rPr>
              <w:t>Birthrate Plus® is a workload tool from the UK developed specifically for maternity services to calculate the required midwifery workforce.</w:t>
            </w:r>
          </w:p>
          <w:p w:rsidR="00FF0413" w:rsidRPr="00FF0413" w:rsidRDefault="00FF0413" w:rsidP="002B7E32">
            <w:pPr>
              <w:numPr>
                <w:ilvl w:val="0"/>
                <w:numId w:val="21"/>
              </w:numPr>
              <w:contextualSpacing/>
              <w:jc w:val="both"/>
              <w:rPr>
                <w:rFonts w:cs="Arial"/>
                <w:sz w:val="20"/>
              </w:rPr>
            </w:pPr>
            <w:r w:rsidRPr="00FF0413">
              <w:rPr>
                <w:rFonts w:cs="Arial"/>
                <w:sz w:val="20"/>
              </w:rPr>
              <w:t>In 2011 it was adopted for use in NSW maternity services following an extensive period of testing to ensure it met the needs of the NSW health environment.</w:t>
            </w:r>
          </w:p>
          <w:p w:rsidR="0061039D" w:rsidRDefault="00FF0413" w:rsidP="002B7E32">
            <w:pPr>
              <w:numPr>
                <w:ilvl w:val="0"/>
                <w:numId w:val="21"/>
              </w:numPr>
              <w:contextualSpacing/>
              <w:jc w:val="both"/>
              <w:rPr>
                <w:rFonts w:cs="Arial"/>
                <w:sz w:val="20"/>
              </w:rPr>
            </w:pPr>
            <w:r w:rsidRPr="00FF0413">
              <w:rPr>
                <w:rFonts w:cs="Arial"/>
                <w:sz w:val="20"/>
              </w:rPr>
              <w:t>It is an industrial requirement for maternity services of sufficient size to use Birthrate Plus® and implement the staffing as calculated (NSW Public Health System Nurses’ a</w:t>
            </w:r>
            <w:r w:rsidR="007E6FAB">
              <w:rPr>
                <w:rFonts w:cs="Arial"/>
                <w:sz w:val="20"/>
              </w:rPr>
              <w:t>nd Midwives (State) Award 2017)</w:t>
            </w:r>
          </w:p>
          <w:p w:rsidR="007E6FAB" w:rsidRPr="000214BF" w:rsidRDefault="007E6FAB" w:rsidP="007E6FAB">
            <w:pPr>
              <w:ind w:left="360"/>
              <w:contextualSpacing/>
              <w:jc w:val="both"/>
              <w:rPr>
                <w:rFonts w:cs="Arial"/>
                <w:sz w:val="20"/>
              </w:rPr>
            </w:pPr>
          </w:p>
        </w:tc>
      </w:tr>
      <w:tr w:rsidR="0061039D" w:rsidRPr="000214BF" w:rsidTr="009E3025">
        <w:tblPrEx>
          <w:tblBorders>
            <w:insideH w:val="single" w:sz="4" w:space="0" w:color="auto"/>
            <w:insideV w:val="single" w:sz="4" w:space="0" w:color="auto"/>
          </w:tblBorders>
        </w:tblPrEx>
        <w:tc>
          <w:tcPr>
            <w:tcW w:w="4353" w:type="dxa"/>
            <w:shd w:val="clear" w:color="auto" w:fill="7030A0"/>
          </w:tcPr>
          <w:p w:rsidR="0061039D" w:rsidRPr="000214BF" w:rsidRDefault="0061039D" w:rsidP="00633BE7">
            <w:pPr>
              <w:jc w:val="both"/>
              <w:rPr>
                <w:rFonts w:cs="Arial"/>
                <w:b/>
                <w:color w:val="FFFFFF"/>
                <w:sz w:val="20"/>
              </w:rPr>
            </w:pPr>
            <w:r>
              <w:rPr>
                <w:rFonts w:cs="Arial"/>
                <w:b/>
                <w:color w:val="FFFFFF"/>
                <w:sz w:val="20"/>
              </w:rPr>
              <w:t xml:space="preserve">Northern Territory </w:t>
            </w:r>
            <w:r w:rsidRPr="000214BF">
              <w:rPr>
                <w:rFonts w:cs="Arial"/>
                <w:b/>
                <w:color w:val="FFFFFF"/>
                <w:sz w:val="20"/>
              </w:rPr>
              <w:t>point of view</w:t>
            </w:r>
          </w:p>
        </w:tc>
        <w:tc>
          <w:tcPr>
            <w:tcW w:w="4303" w:type="dxa"/>
            <w:shd w:val="clear" w:color="auto" w:fill="7030A0"/>
          </w:tcPr>
          <w:p w:rsidR="0061039D" w:rsidRPr="000214BF" w:rsidRDefault="0061039D" w:rsidP="00633BE7">
            <w:pPr>
              <w:jc w:val="both"/>
              <w:rPr>
                <w:rFonts w:cs="Arial"/>
                <w:b/>
                <w:color w:val="FFFFFF"/>
                <w:sz w:val="20"/>
              </w:rPr>
            </w:pPr>
            <w:r w:rsidRPr="000214BF">
              <w:rPr>
                <w:rFonts w:cs="Arial"/>
                <w:b/>
                <w:color w:val="FFFFFF"/>
                <w:sz w:val="20"/>
              </w:rPr>
              <w:t>Programs or strategies to address the situation</w:t>
            </w:r>
          </w:p>
        </w:tc>
      </w:tr>
      <w:tr w:rsidR="0061039D" w:rsidRPr="000214BF" w:rsidTr="00434995">
        <w:tblPrEx>
          <w:tblBorders>
            <w:insideH w:val="single" w:sz="4" w:space="0" w:color="auto"/>
            <w:insideV w:val="single" w:sz="4" w:space="0" w:color="auto"/>
          </w:tblBorders>
        </w:tblPrEx>
        <w:tc>
          <w:tcPr>
            <w:tcW w:w="4353" w:type="dxa"/>
          </w:tcPr>
          <w:p w:rsidR="0061039D" w:rsidRPr="00B1555C" w:rsidRDefault="00173A66" w:rsidP="002B7E32">
            <w:pPr>
              <w:pStyle w:val="ListParagraph"/>
              <w:numPr>
                <w:ilvl w:val="0"/>
                <w:numId w:val="29"/>
              </w:numPr>
              <w:spacing w:after="0"/>
              <w:rPr>
                <w:rFonts w:cs="Arial"/>
                <w:sz w:val="20"/>
              </w:rPr>
            </w:pPr>
            <w:r w:rsidRPr="00B1555C">
              <w:rPr>
                <w:rFonts w:cs="Arial"/>
                <w:sz w:val="20"/>
              </w:rPr>
              <w:t>There are no unfilled vacancies in Royal Darwin Hospital at present, Alice Springs have minimal vacancies at present</w:t>
            </w:r>
          </w:p>
        </w:tc>
        <w:tc>
          <w:tcPr>
            <w:tcW w:w="4303" w:type="dxa"/>
          </w:tcPr>
          <w:p w:rsidR="00173A66" w:rsidRPr="00173A66" w:rsidRDefault="00173A66" w:rsidP="002B7E32">
            <w:pPr>
              <w:numPr>
                <w:ilvl w:val="0"/>
                <w:numId w:val="21"/>
              </w:numPr>
              <w:contextualSpacing/>
              <w:jc w:val="both"/>
              <w:rPr>
                <w:rFonts w:cs="Arial"/>
                <w:sz w:val="20"/>
              </w:rPr>
            </w:pPr>
            <w:r w:rsidRPr="00173A66">
              <w:rPr>
                <w:rFonts w:cs="Arial"/>
                <w:sz w:val="20"/>
              </w:rPr>
              <w:t xml:space="preserve">Current recruitment drive, enhancement of the eRecruit system to make applications more accessible, streamlined and timely in response, innovative opportunities (eg in humanitarian health practice), career opportunities (eg </w:t>
            </w:r>
          </w:p>
          <w:p w:rsidR="00173A66" w:rsidRPr="00173A66" w:rsidRDefault="00173A66" w:rsidP="002B7E32">
            <w:pPr>
              <w:numPr>
                <w:ilvl w:val="0"/>
                <w:numId w:val="21"/>
              </w:numPr>
              <w:contextualSpacing/>
              <w:jc w:val="both"/>
              <w:rPr>
                <w:rFonts w:cs="Arial"/>
                <w:sz w:val="20"/>
              </w:rPr>
            </w:pPr>
            <w:r w:rsidRPr="00173A66">
              <w:rPr>
                <w:rFonts w:cs="Arial"/>
                <w:sz w:val="20"/>
              </w:rPr>
              <w:t>Remote Area Coordinators), single qualified midwives job opportunities (eg in Midwifery Group Practice), New to Practice Program initiatives (as compared to Graduate Programs)</w:t>
            </w:r>
            <w:r w:rsidR="007E0BDF">
              <w:rPr>
                <w:rFonts w:cs="Arial"/>
                <w:sz w:val="20"/>
              </w:rPr>
              <w:t>.</w:t>
            </w:r>
          </w:p>
          <w:p w:rsidR="00173A66" w:rsidRPr="00173A66" w:rsidRDefault="00173A66" w:rsidP="002B7E32">
            <w:pPr>
              <w:numPr>
                <w:ilvl w:val="0"/>
                <w:numId w:val="21"/>
              </w:numPr>
              <w:contextualSpacing/>
              <w:jc w:val="both"/>
              <w:rPr>
                <w:rFonts w:cs="Arial"/>
                <w:sz w:val="20"/>
              </w:rPr>
            </w:pPr>
            <w:r w:rsidRPr="00173A66">
              <w:rPr>
                <w:rFonts w:cs="Arial"/>
                <w:sz w:val="20"/>
              </w:rPr>
              <w:t>Conference booth’s with evolving email list</w:t>
            </w:r>
            <w:r w:rsidR="007E0BDF">
              <w:rPr>
                <w:rFonts w:cs="Arial"/>
                <w:sz w:val="20"/>
              </w:rPr>
              <w:t>.</w:t>
            </w:r>
          </w:p>
          <w:p w:rsidR="00173A66" w:rsidRPr="00173A66" w:rsidRDefault="00173A66" w:rsidP="002B7E32">
            <w:pPr>
              <w:numPr>
                <w:ilvl w:val="0"/>
                <w:numId w:val="21"/>
              </w:numPr>
              <w:contextualSpacing/>
              <w:jc w:val="both"/>
              <w:rPr>
                <w:rFonts w:cs="Arial"/>
                <w:sz w:val="20"/>
              </w:rPr>
            </w:pPr>
            <w:r w:rsidRPr="00173A66">
              <w:rPr>
                <w:rFonts w:cs="Arial"/>
                <w:sz w:val="20"/>
              </w:rPr>
              <w:t>Nursing and Midwifery Strategy 2018-2022 identified recruitment and retention of workforce as a priority</w:t>
            </w:r>
            <w:r w:rsidR="007E0BDF">
              <w:rPr>
                <w:rFonts w:cs="Arial"/>
                <w:sz w:val="20"/>
              </w:rPr>
              <w:t>.</w:t>
            </w:r>
          </w:p>
          <w:p w:rsidR="00173A66" w:rsidRPr="00173A66" w:rsidRDefault="00173A66" w:rsidP="002B7E32">
            <w:pPr>
              <w:numPr>
                <w:ilvl w:val="0"/>
                <w:numId w:val="21"/>
              </w:numPr>
              <w:contextualSpacing/>
              <w:jc w:val="both"/>
              <w:rPr>
                <w:rFonts w:cs="Arial"/>
                <w:sz w:val="20"/>
              </w:rPr>
            </w:pPr>
            <w:r w:rsidRPr="00173A66">
              <w:rPr>
                <w:rFonts w:cs="Arial"/>
                <w:sz w:val="20"/>
              </w:rPr>
              <w:lastRenderedPageBreak/>
              <w:t>Nursing and Midwifery NT Workforce plan in development</w:t>
            </w:r>
            <w:r w:rsidR="00183EB2">
              <w:rPr>
                <w:rFonts w:cs="Arial"/>
                <w:sz w:val="20"/>
              </w:rPr>
              <w:t>.</w:t>
            </w:r>
          </w:p>
          <w:p w:rsidR="00173A66" w:rsidRPr="00173A66" w:rsidRDefault="00173A66" w:rsidP="002B7E32">
            <w:pPr>
              <w:numPr>
                <w:ilvl w:val="0"/>
                <w:numId w:val="21"/>
              </w:numPr>
              <w:contextualSpacing/>
              <w:jc w:val="both"/>
              <w:rPr>
                <w:rFonts w:cs="Arial"/>
                <w:sz w:val="20"/>
              </w:rPr>
            </w:pPr>
            <w:r w:rsidRPr="00173A66">
              <w:rPr>
                <w:rFonts w:cs="Arial"/>
                <w:sz w:val="20"/>
              </w:rPr>
              <w:t>Career pathways for Aboriginal and Torres Strait Islander practitioners in place</w:t>
            </w:r>
            <w:r w:rsidR="00183EB2">
              <w:rPr>
                <w:rFonts w:cs="Arial"/>
                <w:sz w:val="20"/>
              </w:rPr>
              <w:t>.</w:t>
            </w:r>
          </w:p>
          <w:p w:rsidR="0061039D" w:rsidRDefault="00173A66" w:rsidP="002B7E32">
            <w:pPr>
              <w:numPr>
                <w:ilvl w:val="0"/>
                <w:numId w:val="21"/>
              </w:numPr>
              <w:contextualSpacing/>
              <w:jc w:val="both"/>
              <w:rPr>
                <w:rFonts w:cs="Arial"/>
                <w:sz w:val="20"/>
              </w:rPr>
            </w:pPr>
            <w:r w:rsidRPr="00173A66">
              <w:rPr>
                <w:rFonts w:cs="Arial"/>
                <w:sz w:val="20"/>
              </w:rPr>
              <w:t>New to Practice framework to provide support and supervision for midwives in their first 2 year</w:t>
            </w:r>
            <w:r w:rsidR="007E6FAB">
              <w:rPr>
                <w:rFonts w:cs="Arial"/>
                <w:sz w:val="20"/>
              </w:rPr>
              <w:t>s of practice.</w:t>
            </w:r>
          </w:p>
          <w:p w:rsidR="007E6FAB" w:rsidRPr="007E0BDF" w:rsidRDefault="007E6FAB" w:rsidP="007E6FAB">
            <w:pPr>
              <w:ind w:left="360"/>
              <w:contextualSpacing/>
              <w:jc w:val="both"/>
              <w:rPr>
                <w:rFonts w:cs="Arial"/>
                <w:sz w:val="20"/>
              </w:rPr>
            </w:pPr>
          </w:p>
        </w:tc>
      </w:tr>
      <w:tr w:rsidR="006C7BEC" w:rsidRPr="000214BF" w:rsidTr="009E3025">
        <w:tblPrEx>
          <w:tblBorders>
            <w:insideH w:val="single" w:sz="4" w:space="0" w:color="auto"/>
            <w:insideV w:val="single" w:sz="4" w:space="0" w:color="auto"/>
          </w:tblBorders>
        </w:tblPrEx>
        <w:tc>
          <w:tcPr>
            <w:tcW w:w="4353" w:type="dxa"/>
            <w:shd w:val="clear" w:color="auto" w:fill="7030A0"/>
          </w:tcPr>
          <w:p w:rsidR="006C7BEC" w:rsidRDefault="00A17616" w:rsidP="00633BE7">
            <w:pPr>
              <w:jc w:val="both"/>
              <w:rPr>
                <w:rFonts w:cs="Arial"/>
                <w:b/>
                <w:color w:val="FFFFFF"/>
                <w:sz w:val="20"/>
              </w:rPr>
            </w:pPr>
            <w:r>
              <w:rPr>
                <w:rFonts w:cs="Arial"/>
                <w:b/>
                <w:color w:val="FFFFFF"/>
                <w:sz w:val="20"/>
              </w:rPr>
              <w:lastRenderedPageBreak/>
              <w:t>Queensland point of view</w:t>
            </w:r>
          </w:p>
        </w:tc>
        <w:tc>
          <w:tcPr>
            <w:tcW w:w="4303" w:type="dxa"/>
            <w:shd w:val="clear" w:color="auto" w:fill="7030A0"/>
          </w:tcPr>
          <w:p w:rsidR="006C7BEC" w:rsidRPr="000214BF" w:rsidRDefault="00A17616" w:rsidP="00633BE7">
            <w:pPr>
              <w:jc w:val="both"/>
              <w:rPr>
                <w:rFonts w:cs="Arial"/>
                <w:b/>
                <w:color w:val="FFFFFF"/>
                <w:sz w:val="20"/>
              </w:rPr>
            </w:pPr>
            <w:r w:rsidRPr="000214BF">
              <w:rPr>
                <w:rFonts w:cs="Arial"/>
                <w:b/>
                <w:color w:val="FFFFFF"/>
                <w:sz w:val="20"/>
              </w:rPr>
              <w:t>Programs or strategies to address the situation</w:t>
            </w:r>
          </w:p>
        </w:tc>
      </w:tr>
      <w:tr w:rsidR="00DA3E15" w:rsidRPr="000214BF" w:rsidTr="00434995">
        <w:tblPrEx>
          <w:tblBorders>
            <w:insideH w:val="single" w:sz="4" w:space="0" w:color="auto"/>
            <w:insideV w:val="single" w:sz="4" w:space="0" w:color="auto"/>
          </w:tblBorders>
        </w:tblPrEx>
        <w:tc>
          <w:tcPr>
            <w:tcW w:w="4353" w:type="dxa"/>
          </w:tcPr>
          <w:p w:rsidR="00DA3E15" w:rsidRPr="00DA3E15" w:rsidRDefault="00DA3E15" w:rsidP="00DA3E15">
            <w:pPr>
              <w:numPr>
                <w:ilvl w:val="0"/>
                <w:numId w:val="21"/>
              </w:numPr>
              <w:contextualSpacing/>
              <w:jc w:val="both"/>
              <w:rPr>
                <w:rFonts w:cs="Arial"/>
                <w:sz w:val="20"/>
              </w:rPr>
            </w:pPr>
            <w:r w:rsidRPr="00DA3E15">
              <w:rPr>
                <w:rFonts w:cs="Arial"/>
                <w:sz w:val="20"/>
              </w:rPr>
              <w:t>According to the Labour Economics Office Queensland within the Department of Jobs and Small Business as of June 2018, there are no unfilled vacancies in metropolitan areas of the state. However, regional vacancies unfilled decreased from 30% in 2017 to 17% in 2018.</w:t>
            </w:r>
          </w:p>
          <w:p w:rsidR="00DA3E15" w:rsidRPr="00DA3E15" w:rsidRDefault="00DA3E15" w:rsidP="00DA3E15">
            <w:pPr>
              <w:jc w:val="both"/>
              <w:rPr>
                <w:rFonts w:cs="Arial"/>
                <w:sz w:val="20"/>
              </w:rPr>
            </w:pPr>
          </w:p>
          <w:p w:rsidR="00DA3E15" w:rsidRPr="00DA3E15" w:rsidRDefault="00DA3E15" w:rsidP="00DA3E15">
            <w:pPr>
              <w:numPr>
                <w:ilvl w:val="0"/>
                <w:numId w:val="21"/>
              </w:numPr>
              <w:spacing w:line="256" w:lineRule="auto"/>
              <w:contextualSpacing/>
              <w:jc w:val="both"/>
              <w:rPr>
                <w:rFonts w:cs="Arial"/>
                <w:sz w:val="20"/>
              </w:rPr>
            </w:pPr>
            <w:r w:rsidRPr="00DA3E15">
              <w:rPr>
                <w:rFonts w:cs="Arial"/>
                <w:sz w:val="20"/>
              </w:rPr>
              <w:t>Some rural and remote vacancies exist, and are often filled by agency midwives or through offering short term contracts.</w:t>
            </w:r>
          </w:p>
          <w:p w:rsidR="00DA3E15" w:rsidRPr="00DA3E15" w:rsidRDefault="00DA3E15" w:rsidP="00DA3E15">
            <w:pPr>
              <w:jc w:val="both"/>
              <w:rPr>
                <w:rFonts w:cs="Arial"/>
                <w:b/>
                <w:color w:val="FFFFFF"/>
                <w:sz w:val="20"/>
              </w:rPr>
            </w:pPr>
          </w:p>
        </w:tc>
        <w:tc>
          <w:tcPr>
            <w:tcW w:w="4303" w:type="dxa"/>
          </w:tcPr>
          <w:p w:rsidR="00DA3E15" w:rsidRPr="00DA3E15" w:rsidRDefault="00DA3E15" w:rsidP="00DA3E15">
            <w:pPr>
              <w:numPr>
                <w:ilvl w:val="0"/>
                <w:numId w:val="21"/>
              </w:numPr>
              <w:contextualSpacing/>
              <w:jc w:val="both"/>
              <w:rPr>
                <w:rFonts w:cs="Arial"/>
                <w:sz w:val="20"/>
              </w:rPr>
            </w:pPr>
            <w:r w:rsidRPr="00DA3E15">
              <w:rPr>
                <w:rFonts w:cs="Arial"/>
                <w:sz w:val="20"/>
              </w:rPr>
              <w:t xml:space="preserve">Queensland Health is recruiting experienced midwives in regional and rural communities, such as Cape York and Torres Strait, Toowoomba, Rockhampton, Mt Isa, Mackay and Wide Bay, through the regional &amp; rural nursing and midwifery campaign. </w:t>
            </w:r>
          </w:p>
          <w:p w:rsidR="00DA3E15" w:rsidRPr="00DA3E15" w:rsidRDefault="00DA3E15" w:rsidP="00DA3E15">
            <w:pPr>
              <w:numPr>
                <w:ilvl w:val="0"/>
                <w:numId w:val="21"/>
              </w:numPr>
              <w:contextualSpacing/>
              <w:jc w:val="both"/>
              <w:rPr>
                <w:rFonts w:cs="Arial"/>
                <w:b/>
                <w:color w:val="FFFFFF"/>
                <w:sz w:val="20"/>
              </w:rPr>
            </w:pPr>
            <w:r w:rsidRPr="00DA3E15">
              <w:rPr>
                <w:rFonts w:cs="Arial"/>
                <w:sz w:val="20"/>
              </w:rPr>
              <w:t>Queensland Health committed to employ an additional 100 midwives between December 2018 and June 2019 in partnership with the needs identified by the individual Hospital and Health Services across the state</w:t>
            </w:r>
            <w:r>
              <w:rPr>
                <w:rFonts w:cs="Arial"/>
                <w:sz w:val="20"/>
              </w:rPr>
              <w:t>.</w:t>
            </w:r>
          </w:p>
          <w:p w:rsidR="00DA3E15" w:rsidRPr="000214BF" w:rsidRDefault="00DA3E15" w:rsidP="00DA3E15">
            <w:pPr>
              <w:numPr>
                <w:ilvl w:val="0"/>
                <w:numId w:val="21"/>
              </w:numPr>
              <w:contextualSpacing/>
              <w:jc w:val="both"/>
              <w:rPr>
                <w:rFonts w:cs="Arial"/>
                <w:b/>
                <w:color w:val="FFFFFF"/>
                <w:sz w:val="20"/>
              </w:rPr>
            </w:pPr>
            <w:r w:rsidRPr="00DA3E15">
              <w:rPr>
                <w:rFonts w:cs="Arial"/>
                <w:sz w:val="20"/>
              </w:rPr>
              <w:t>The OCNMO initiated a rural exchange program between metropolitan areas that enhances understanding of rural and remote services and provides a period for nurses and midwives to experience the work environment before committing</w:t>
            </w:r>
            <w:r>
              <w:rPr>
                <w:rFonts w:cs="Arial"/>
              </w:rPr>
              <w:t xml:space="preserve"> </w:t>
            </w:r>
          </w:p>
        </w:tc>
      </w:tr>
      <w:tr w:rsidR="00DA3E15" w:rsidRPr="000214BF" w:rsidTr="009E3025">
        <w:tblPrEx>
          <w:tblBorders>
            <w:insideH w:val="single" w:sz="4" w:space="0" w:color="auto"/>
            <w:insideV w:val="single" w:sz="4" w:space="0" w:color="auto"/>
          </w:tblBorders>
        </w:tblPrEx>
        <w:tc>
          <w:tcPr>
            <w:tcW w:w="4353" w:type="dxa"/>
            <w:shd w:val="clear" w:color="auto" w:fill="7030A0"/>
          </w:tcPr>
          <w:p w:rsidR="00DA3E15" w:rsidRDefault="00DA3E15" w:rsidP="00DA3E15">
            <w:pPr>
              <w:jc w:val="both"/>
              <w:rPr>
                <w:rFonts w:cs="Arial"/>
                <w:b/>
                <w:color w:val="FFFFFF"/>
                <w:sz w:val="20"/>
              </w:rPr>
            </w:pPr>
            <w:r>
              <w:rPr>
                <w:rFonts w:cs="Arial"/>
                <w:b/>
                <w:color w:val="FFFFFF"/>
                <w:sz w:val="20"/>
              </w:rPr>
              <w:t xml:space="preserve">South Australia point of view  </w:t>
            </w:r>
          </w:p>
        </w:tc>
        <w:tc>
          <w:tcPr>
            <w:tcW w:w="4303" w:type="dxa"/>
            <w:shd w:val="clear" w:color="auto" w:fill="7030A0"/>
          </w:tcPr>
          <w:p w:rsidR="00DA3E15" w:rsidRPr="000214BF" w:rsidRDefault="00DA3E15" w:rsidP="00DA3E15">
            <w:pPr>
              <w:jc w:val="both"/>
              <w:rPr>
                <w:rFonts w:cs="Arial"/>
                <w:b/>
                <w:color w:val="FFFFFF"/>
                <w:sz w:val="20"/>
              </w:rPr>
            </w:pPr>
            <w:r w:rsidRPr="000214BF">
              <w:rPr>
                <w:rFonts w:cs="Arial"/>
                <w:b/>
                <w:color w:val="FFFFFF"/>
                <w:sz w:val="20"/>
              </w:rPr>
              <w:t>Programs or strategies to address the situation</w:t>
            </w:r>
          </w:p>
        </w:tc>
      </w:tr>
      <w:tr w:rsidR="00DA3E15" w:rsidRPr="000214BF" w:rsidTr="00434995">
        <w:tblPrEx>
          <w:tblBorders>
            <w:insideH w:val="single" w:sz="4" w:space="0" w:color="auto"/>
            <w:insideV w:val="single" w:sz="4" w:space="0" w:color="auto"/>
          </w:tblBorders>
        </w:tblPrEx>
        <w:tc>
          <w:tcPr>
            <w:tcW w:w="4353" w:type="dxa"/>
          </w:tcPr>
          <w:p w:rsidR="00DA3E15" w:rsidRPr="00612DEB" w:rsidRDefault="00DA3E15" w:rsidP="00DA3E15">
            <w:pPr>
              <w:numPr>
                <w:ilvl w:val="0"/>
                <w:numId w:val="21"/>
              </w:numPr>
              <w:contextualSpacing/>
              <w:jc w:val="both"/>
              <w:rPr>
                <w:rFonts w:cs="Arial"/>
                <w:sz w:val="20"/>
              </w:rPr>
            </w:pPr>
            <w:r w:rsidRPr="00612DEB">
              <w:rPr>
                <w:rFonts w:cs="Arial"/>
                <w:sz w:val="20"/>
              </w:rPr>
              <w:t>There are minimal midwife workforce vacancies in SA although some rural and remote vacancies exist.  These are often filled by agency midwives or through offering short term contracts.</w:t>
            </w:r>
          </w:p>
          <w:p w:rsidR="00DA3E15" w:rsidRPr="00612DEB" w:rsidRDefault="00DA3E15" w:rsidP="00DA3E15">
            <w:pPr>
              <w:numPr>
                <w:ilvl w:val="0"/>
                <w:numId w:val="21"/>
              </w:numPr>
              <w:contextualSpacing/>
              <w:jc w:val="both"/>
              <w:rPr>
                <w:rFonts w:cs="Arial"/>
                <w:sz w:val="20"/>
              </w:rPr>
            </w:pPr>
            <w:r w:rsidRPr="00612DEB">
              <w:rPr>
                <w:rFonts w:cs="Arial"/>
                <w:sz w:val="20"/>
              </w:rPr>
              <w:t>From a graduate perspective, all TPPP midwifery programs have been filled on a yearly basis.</w:t>
            </w:r>
          </w:p>
          <w:p w:rsidR="00DA3E15" w:rsidRDefault="00DA3E15" w:rsidP="00DA3E15">
            <w:pPr>
              <w:jc w:val="both"/>
              <w:rPr>
                <w:rFonts w:cs="Arial"/>
                <w:b/>
                <w:color w:val="FFFFFF"/>
                <w:sz w:val="20"/>
              </w:rPr>
            </w:pPr>
          </w:p>
        </w:tc>
        <w:tc>
          <w:tcPr>
            <w:tcW w:w="4303" w:type="dxa"/>
          </w:tcPr>
          <w:p w:rsidR="00DA3E15" w:rsidRPr="00612DEB" w:rsidRDefault="00DA3E15" w:rsidP="00DA3E15">
            <w:pPr>
              <w:numPr>
                <w:ilvl w:val="0"/>
                <w:numId w:val="21"/>
              </w:numPr>
              <w:contextualSpacing/>
              <w:jc w:val="both"/>
              <w:rPr>
                <w:rFonts w:cs="Arial"/>
                <w:sz w:val="20"/>
              </w:rPr>
            </w:pPr>
            <w:r w:rsidRPr="00612DEB">
              <w:rPr>
                <w:rFonts w:cs="Arial"/>
                <w:sz w:val="20"/>
              </w:rPr>
              <w:t>Country Health SA offer study scholarships</w:t>
            </w:r>
            <w:r w:rsidRPr="00612DEB">
              <w:rPr>
                <w:sz w:val="20"/>
                <w:lang w:val="en"/>
              </w:rPr>
              <w:t xml:space="preserve"> </w:t>
            </w:r>
            <w:r w:rsidRPr="00612DEB">
              <w:rPr>
                <w:rFonts w:cs="Arial"/>
                <w:sz w:val="20"/>
                <w:lang w:val="en"/>
              </w:rPr>
              <w:t>for staff who demonstrate a strong commitment to continued professional practice in country and regional areas of South Australia.</w:t>
            </w:r>
          </w:p>
          <w:p w:rsidR="00DA3E15" w:rsidRPr="000214BF" w:rsidRDefault="00DA3E15" w:rsidP="00DA3E15">
            <w:pPr>
              <w:jc w:val="both"/>
              <w:rPr>
                <w:rFonts w:cs="Arial"/>
                <w:b/>
                <w:color w:val="FFFFFF"/>
                <w:sz w:val="20"/>
              </w:rPr>
            </w:pPr>
          </w:p>
        </w:tc>
      </w:tr>
      <w:tr w:rsidR="00DA3E15" w:rsidRPr="000214BF" w:rsidTr="009E3025">
        <w:tblPrEx>
          <w:tblBorders>
            <w:insideH w:val="single" w:sz="4" w:space="0" w:color="auto"/>
            <w:insideV w:val="single" w:sz="4" w:space="0" w:color="auto"/>
          </w:tblBorders>
        </w:tblPrEx>
        <w:tc>
          <w:tcPr>
            <w:tcW w:w="4353" w:type="dxa"/>
            <w:shd w:val="clear" w:color="auto" w:fill="7030A0"/>
          </w:tcPr>
          <w:p w:rsidR="00DA3E15" w:rsidRPr="000214BF" w:rsidRDefault="00DA3E15" w:rsidP="00DA3E15">
            <w:pPr>
              <w:jc w:val="both"/>
              <w:rPr>
                <w:rFonts w:cs="Arial"/>
                <w:b/>
                <w:color w:val="FFFFFF"/>
                <w:sz w:val="20"/>
              </w:rPr>
            </w:pPr>
            <w:r>
              <w:rPr>
                <w:rFonts w:cs="Arial"/>
                <w:b/>
                <w:color w:val="FFFFFF"/>
                <w:sz w:val="20"/>
              </w:rPr>
              <w:t>Tasmania</w:t>
            </w:r>
            <w:r w:rsidRPr="000214BF">
              <w:rPr>
                <w:rFonts w:cs="Arial"/>
                <w:b/>
                <w:color w:val="FFFFFF"/>
                <w:sz w:val="20"/>
              </w:rPr>
              <w:t xml:space="preserve"> point of view</w:t>
            </w:r>
          </w:p>
        </w:tc>
        <w:tc>
          <w:tcPr>
            <w:tcW w:w="4303" w:type="dxa"/>
            <w:shd w:val="clear" w:color="auto" w:fill="7030A0"/>
          </w:tcPr>
          <w:p w:rsidR="00DA3E15" w:rsidRPr="000214BF" w:rsidRDefault="00DA3E15" w:rsidP="00DA3E15">
            <w:pPr>
              <w:jc w:val="both"/>
              <w:rPr>
                <w:rFonts w:cs="Arial"/>
                <w:b/>
                <w:color w:val="FFFFFF"/>
                <w:sz w:val="20"/>
              </w:rPr>
            </w:pPr>
            <w:r w:rsidRPr="000214BF">
              <w:rPr>
                <w:rFonts w:cs="Arial"/>
                <w:b/>
                <w:color w:val="FFFFFF"/>
                <w:sz w:val="20"/>
              </w:rPr>
              <w:t>Programs or strategies to address the situation</w:t>
            </w:r>
          </w:p>
        </w:tc>
      </w:tr>
      <w:tr w:rsidR="00DA3E15" w:rsidRPr="000214BF" w:rsidTr="00434995">
        <w:tblPrEx>
          <w:tblBorders>
            <w:insideH w:val="single" w:sz="4" w:space="0" w:color="auto"/>
            <w:insideV w:val="single" w:sz="4" w:space="0" w:color="auto"/>
          </w:tblBorders>
        </w:tblPrEx>
        <w:tc>
          <w:tcPr>
            <w:tcW w:w="4353" w:type="dxa"/>
          </w:tcPr>
          <w:p w:rsidR="00DA3E15" w:rsidRPr="002B7E32" w:rsidRDefault="00DA3E15" w:rsidP="00DA3E15">
            <w:pPr>
              <w:pStyle w:val="ListParagraph"/>
              <w:numPr>
                <w:ilvl w:val="0"/>
                <w:numId w:val="30"/>
              </w:numPr>
              <w:spacing w:after="0"/>
              <w:rPr>
                <w:rFonts w:cs="Arial"/>
                <w:sz w:val="20"/>
              </w:rPr>
            </w:pPr>
            <w:r w:rsidRPr="002B7E32">
              <w:rPr>
                <w:rFonts w:cs="Arial"/>
                <w:sz w:val="20"/>
              </w:rPr>
              <w:t>Yes</w:t>
            </w:r>
          </w:p>
          <w:p w:rsidR="00DA3E15" w:rsidRPr="002B7E32" w:rsidRDefault="00DA3E15" w:rsidP="00DA3E15">
            <w:pPr>
              <w:pStyle w:val="ListParagraph"/>
              <w:numPr>
                <w:ilvl w:val="0"/>
                <w:numId w:val="30"/>
              </w:numPr>
              <w:spacing w:after="0"/>
              <w:rPr>
                <w:rFonts w:cs="Arial"/>
                <w:sz w:val="20"/>
              </w:rPr>
            </w:pPr>
            <w:r w:rsidRPr="002B7E32">
              <w:rPr>
                <w:rFonts w:cs="Arial"/>
                <w:sz w:val="20"/>
              </w:rPr>
              <w:t>Situation in the North is very fluid, with &lt;5% recurrent vacancies</w:t>
            </w:r>
          </w:p>
        </w:tc>
        <w:tc>
          <w:tcPr>
            <w:tcW w:w="4303" w:type="dxa"/>
          </w:tcPr>
          <w:p w:rsidR="00DA3E15" w:rsidRPr="007751AF" w:rsidRDefault="00DA3E15" w:rsidP="00DA3E15">
            <w:pPr>
              <w:numPr>
                <w:ilvl w:val="0"/>
                <w:numId w:val="21"/>
              </w:numPr>
              <w:contextualSpacing/>
              <w:jc w:val="both"/>
              <w:rPr>
                <w:rFonts w:cs="Arial"/>
                <w:sz w:val="20"/>
              </w:rPr>
            </w:pPr>
            <w:r w:rsidRPr="007751AF">
              <w:rPr>
                <w:rFonts w:cs="Arial"/>
                <w:sz w:val="20"/>
              </w:rPr>
              <w:t>Not a significant issue at present for Tasmania as a whole.  Organisational restructure has helped some dual registrants maintain both registrations.</w:t>
            </w:r>
          </w:p>
          <w:p w:rsidR="00DA3E15" w:rsidRPr="007751AF" w:rsidRDefault="00DA3E15" w:rsidP="00DA3E15">
            <w:pPr>
              <w:numPr>
                <w:ilvl w:val="0"/>
                <w:numId w:val="21"/>
              </w:numPr>
              <w:contextualSpacing/>
              <w:jc w:val="both"/>
              <w:rPr>
                <w:rFonts w:cs="Arial"/>
                <w:sz w:val="20"/>
              </w:rPr>
            </w:pPr>
            <w:r w:rsidRPr="007751AF">
              <w:rPr>
                <w:rFonts w:cs="Arial"/>
                <w:sz w:val="20"/>
              </w:rPr>
              <w:t>Some international recruitment has been undertaken.</w:t>
            </w:r>
          </w:p>
          <w:p w:rsidR="00DA3E15" w:rsidRDefault="00DA3E15" w:rsidP="00DA3E15">
            <w:pPr>
              <w:numPr>
                <w:ilvl w:val="0"/>
                <w:numId w:val="21"/>
              </w:numPr>
              <w:contextualSpacing/>
              <w:jc w:val="both"/>
              <w:rPr>
                <w:rFonts w:cs="Arial"/>
                <w:sz w:val="20"/>
              </w:rPr>
            </w:pPr>
            <w:r w:rsidRPr="007751AF">
              <w:rPr>
                <w:rFonts w:cs="Arial"/>
                <w:sz w:val="20"/>
              </w:rPr>
              <w:t>North region interim fills vacancies with existing employees working over contract until recruitment action is completed.  The main challenge is finding midwifery resources when unexpected spikes in activity occur.</w:t>
            </w:r>
          </w:p>
          <w:p w:rsidR="00DA3E15" w:rsidRPr="000214BF" w:rsidRDefault="00DA3E15" w:rsidP="00DA3E15">
            <w:pPr>
              <w:contextualSpacing/>
              <w:jc w:val="both"/>
              <w:rPr>
                <w:rFonts w:cs="Arial"/>
                <w:sz w:val="20"/>
              </w:rPr>
            </w:pPr>
          </w:p>
        </w:tc>
      </w:tr>
      <w:tr w:rsidR="00DA3E15" w:rsidRPr="000214BF" w:rsidTr="009E3025">
        <w:tblPrEx>
          <w:tblBorders>
            <w:insideH w:val="single" w:sz="4" w:space="0" w:color="auto"/>
            <w:insideV w:val="single" w:sz="4" w:space="0" w:color="auto"/>
          </w:tblBorders>
        </w:tblPrEx>
        <w:tc>
          <w:tcPr>
            <w:tcW w:w="4353" w:type="dxa"/>
            <w:shd w:val="clear" w:color="auto" w:fill="7030A0"/>
          </w:tcPr>
          <w:p w:rsidR="00DA3E15" w:rsidRPr="000214BF" w:rsidRDefault="00DA3E15" w:rsidP="00DA3E15">
            <w:pPr>
              <w:jc w:val="both"/>
              <w:rPr>
                <w:rFonts w:cs="Arial"/>
                <w:b/>
                <w:color w:val="FFFFFF"/>
                <w:sz w:val="20"/>
              </w:rPr>
            </w:pPr>
            <w:r>
              <w:rPr>
                <w:rFonts w:cs="Arial"/>
                <w:b/>
                <w:color w:val="FFFFFF"/>
                <w:sz w:val="20"/>
              </w:rPr>
              <w:t>Victoria</w:t>
            </w:r>
            <w:r w:rsidRPr="000214BF">
              <w:rPr>
                <w:rFonts w:cs="Arial"/>
                <w:b/>
                <w:color w:val="FFFFFF"/>
                <w:sz w:val="20"/>
              </w:rPr>
              <w:t xml:space="preserve"> point of view</w:t>
            </w:r>
          </w:p>
        </w:tc>
        <w:tc>
          <w:tcPr>
            <w:tcW w:w="4303" w:type="dxa"/>
            <w:shd w:val="clear" w:color="auto" w:fill="7030A0"/>
          </w:tcPr>
          <w:p w:rsidR="00DA3E15" w:rsidRPr="000214BF" w:rsidRDefault="00DA3E15" w:rsidP="00DA3E15">
            <w:pPr>
              <w:jc w:val="both"/>
              <w:rPr>
                <w:rFonts w:cs="Arial"/>
                <w:b/>
                <w:color w:val="FFFFFF"/>
                <w:sz w:val="20"/>
              </w:rPr>
            </w:pPr>
            <w:r w:rsidRPr="000214BF">
              <w:rPr>
                <w:rFonts w:cs="Arial"/>
                <w:b/>
                <w:color w:val="FFFFFF"/>
                <w:sz w:val="20"/>
              </w:rPr>
              <w:t>Programs or strategies to address the situation</w:t>
            </w:r>
          </w:p>
        </w:tc>
      </w:tr>
      <w:tr w:rsidR="00DA3E15" w:rsidRPr="000214BF" w:rsidTr="00434995">
        <w:tblPrEx>
          <w:tblBorders>
            <w:insideH w:val="single" w:sz="4" w:space="0" w:color="auto"/>
            <w:insideV w:val="single" w:sz="4" w:space="0" w:color="auto"/>
          </w:tblBorders>
        </w:tblPrEx>
        <w:tc>
          <w:tcPr>
            <w:tcW w:w="4353" w:type="dxa"/>
          </w:tcPr>
          <w:p w:rsidR="00DA3E15" w:rsidRPr="002B7E32" w:rsidRDefault="00DA3E15" w:rsidP="00DA3E15">
            <w:pPr>
              <w:pStyle w:val="ListParagraph"/>
              <w:numPr>
                <w:ilvl w:val="0"/>
                <w:numId w:val="31"/>
              </w:numPr>
              <w:spacing w:after="0"/>
              <w:rPr>
                <w:rFonts w:cs="Arial"/>
                <w:sz w:val="20"/>
              </w:rPr>
            </w:pPr>
            <w:r w:rsidRPr="002B7E32">
              <w:rPr>
                <w:rFonts w:cs="Arial"/>
                <w:sz w:val="20"/>
              </w:rPr>
              <w:lastRenderedPageBreak/>
              <w:t>Yes, and some of these vacancies are understood to have been unfilled for an extended period.</w:t>
            </w:r>
          </w:p>
        </w:tc>
        <w:tc>
          <w:tcPr>
            <w:tcW w:w="4303" w:type="dxa"/>
          </w:tcPr>
          <w:p w:rsidR="00DA3E15" w:rsidRPr="00FF1C2D" w:rsidRDefault="00DA3E15" w:rsidP="00DA3E15">
            <w:pPr>
              <w:numPr>
                <w:ilvl w:val="0"/>
                <w:numId w:val="21"/>
              </w:numPr>
              <w:contextualSpacing/>
              <w:jc w:val="both"/>
              <w:rPr>
                <w:rFonts w:cs="Arial"/>
                <w:sz w:val="20"/>
              </w:rPr>
            </w:pPr>
            <w:r w:rsidRPr="00FF1C2D">
              <w:rPr>
                <w:rFonts w:cs="Arial"/>
                <w:sz w:val="20"/>
              </w:rPr>
              <w:t xml:space="preserve">Many rural health services have difficulty recruiting a wide range of health professionals, including midwives. </w:t>
            </w:r>
          </w:p>
          <w:p w:rsidR="00DA3E15" w:rsidRDefault="00DA3E15" w:rsidP="00DA3E15">
            <w:pPr>
              <w:numPr>
                <w:ilvl w:val="0"/>
                <w:numId w:val="21"/>
              </w:numPr>
              <w:contextualSpacing/>
              <w:jc w:val="both"/>
              <w:rPr>
                <w:rFonts w:cs="Arial"/>
                <w:sz w:val="20"/>
              </w:rPr>
            </w:pPr>
            <w:r>
              <w:rPr>
                <w:rFonts w:cs="Arial"/>
                <w:sz w:val="20"/>
              </w:rPr>
              <w:t xml:space="preserve">The VDHHS </w:t>
            </w:r>
            <w:r w:rsidRPr="00FF1C2D">
              <w:rPr>
                <w:rFonts w:cs="Arial"/>
                <w:sz w:val="20"/>
              </w:rPr>
              <w:t>offers a variety of training and development programs including post-graduate scholarships in regional and rural maternity services.</w:t>
            </w:r>
          </w:p>
          <w:p w:rsidR="007E6FAB" w:rsidRPr="000214BF" w:rsidRDefault="007E6FAB" w:rsidP="007E6FAB">
            <w:pPr>
              <w:ind w:left="360"/>
              <w:contextualSpacing/>
              <w:jc w:val="both"/>
              <w:rPr>
                <w:rFonts w:cs="Arial"/>
                <w:sz w:val="20"/>
              </w:rPr>
            </w:pPr>
          </w:p>
        </w:tc>
      </w:tr>
      <w:tr w:rsidR="00DA3E15" w:rsidRPr="000214BF" w:rsidTr="009E3025">
        <w:tblPrEx>
          <w:tblBorders>
            <w:insideH w:val="single" w:sz="4" w:space="0" w:color="auto"/>
            <w:insideV w:val="single" w:sz="4" w:space="0" w:color="auto"/>
          </w:tblBorders>
        </w:tblPrEx>
        <w:tc>
          <w:tcPr>
            <w:tcW w:w="4353" w:type="dxa"/>
            <w:shd w:val="clear" w:color="auto" w:fill="7030A0"/>
          </w:tcPr>
          <w:p w:rsidR="00DA3E15" w:rsidRPr="000214BF" w:rsidRDefault="00DA3E15" w:rsidP="00DA3E15">
            <w:pPr>
              <w:jc w:val="both"/>
              <w:rPr>
                <w:rFonts w:cs="Arial"/>
                <w:b/>
                <w:color w:val="FFFFFF"/>
                <w:sz w:val="20"/>
              </w:rPr>
            </w:pPr>
            <w:r>
              <w:rPr>
                <w:rFonts w:cs="Arial"/>
                <w:b/>
                <w:color w:val="FFFFFF"/>
                <w:sz w:val="20"/>
              </w:rPr>
              <w:t xml:space="preserve">Western Australia </w:t>
            </w:r>
            <w:r w:rsidRPr="000214BF">
              <w:rPr>
                <w:rFonts w:cs="Arial"/>
                <w:b/>
                <w:color w:val="FFFFFF"/>
                <w:sz w:val="20"/>
              </w:rPr>
              <w:t xml:space="preserve"> point of view</w:t>
            </w:r>
          </w:p>
        </w:tc>
        <w:tc>
          <w:tcPr>
            <w:tcW w:w="4303" w:type="dxa"/>
            <w:shd w:val="clear" w:color="auto" w:fill="7030A0"/>
          </w:tcPr>
          <w:p w:rsidR="00DA3E15" w:rsidRPr="000214BF" w:rsidRDefault="00DA3E15" w:rsidP="00DA3E15">
            <w:pPr>
              <w:jc w:val="both"/>
              <w:rPr>
                <w:rFonts w:cs="Arial"/>
                <w:b/>
                <w:color w:val="FFFFFF"/>
                <w:sz w:val="20"/>
              </w:rPr>
            </w:pPr>
            <w:r w:rsidRPr="000214BF">
              <w:rPr>
                <w:rFonts w:cs="Arial"/>
                <w:b/>
                <w:color w:val="FFFFFF"/>
                <w:sz w:val="20"/>
              </w:rPr>
              <w:t>Programs or strategies to address the situation</w:t>
            </w:r>
          </w:p>
        </w:tc>
      </w:tr>
      <w:tr w:rsidR="00DA3E15" w:rsidRPr="000214BF" w:rsidTr="00434995">
        <w:tblPrEx>
          <w:tblBorders>
            <w:insideH w:val="single" w:sz="4" w:space="0" w:color="auto"/>
            <w:insideV w:val="single" w:sz="4" w:space="0" w:color="auto"/>
          </w:tblBorders>
        </w:tblPrEx>
        <w:tc>
          <w:tcPr>
            <w:tcW w:w="4353" w:type="dxa"/>
          </w:tcPr>
          <w:p w:rsidR="00DA3E15" w:rsidRPr="002B7E32" w:rsidRDefault="00DA3E15" w:rsidP="00DA3E15">
            <w:pPr>
              <w:pStyle w:val="ListParagraph"/>
              <w:numPr>
                <w:ilvl w:val="0"/>
                <w:numId w:val="32"/>
              </w:numPr>
              <w:spacing w:after="0"/>
              <w:rPr>
                <w:rFonts w:cs="Arial"/>
                <w:sz w:val="20"/>
              </w:rPr>
            </w:pPr>
            <w:r w:rsidRPr="002B7E32">
              <w:rPr>
                <w:rFonts w:cs="Arial"/>
                <w:sz w:val="20"/>
              </w:rPr>
              <w:t>Yes in country regions agency midwives are consistently used to backfill vacancies. Casual and part time midwives form a large part of the workforce to meet the work-life balance.</w:t>
            </w:r>
          </w:p>
        </w:tc>
        <w:tc>
          <w:tcPr>
            <w:tcW w:w="4303" w:type="dxa"/>
          </w:tcPr>
          <w:p w:rsidR="00DA3E15" w:rsidRPr="00AB0FC4" w:rsidRDefault="00DA3E15" w:rsidP="00DA3E15">
            <w:pPr>
              <w:numPr>
                <w:ilvl w:val="0"/>
                <w:numId w:val="21"/>
              </w:numPr>
              <w:contextualSpacing/>
              <w:jc w:val="both"/>
              <w:rPr>
                <w:rFonts w:cs="Arial"/>
                <w:sz w:val="20"/>
              </w:rPr>
            </w:pPr>
            <w:r w:rsidRPr="00AB0FC4">
              <w:rPr>
                <w:rFonts w:cs="Arial"/>
                <w:sz w:val="20"/>
              </w:rPr>
              <w:t>Introduction of MGPs or midwifery led units as a recruitment strategy.</w:t>
            </w:r>
          </w:p>
          <w:p w:rsidR="00DA3E15" w:rsidRDefault="00DA3E15" w:rsidP="00DA3E15">
            <w:pPr>
              <w:numPr>
                <w:ilvl w:val="0"/>
                <w:numId w:val="21"/>
              </w:numPr>
              <w:contextualSpacing/>
              <w:jc w:val="both"/>
              <w:rPr>
                <w:rFonts w:cs="Arial"/>
                <w:sz w:val="20"/>
              </w:rPr>
            </w:pPr>
            <w:r w:rsidRPr="00AB0FC4">
              <w:rPr>
                <w:rFonts w:cs="Arial"/>
                <w:sz w:val="20"/>
              </w:rPr>
              <w:t>Amendments to JDFs to support non-registered nurse midwives to work in comm</w:t>
            </w:r>
            <w:r w:rsidR="007E6FAB">
              <w:rPr>
                <w:rFonts w:cs="Arial"/>
                <w:sz w:val="20"/>
              </w:rPr>
              <w:t>unity and child health settings.</w:t>
            </w:r>
          </w:p>
          <w:p w:rsidR="007E6FAB" w:rsidRPr="000214BF" w:rsidRDefault="007E6FAB" w:rsidP="007E6FAB">
            <w:pPr>
              <w:ind w:left="360"/>
              <w:contextualSpacing/>
              <w:jc w:val="both"/>
              <w:rPr>
                <w:rFonts w:cs="Arial"/>
                <w:sz w:val="20"/>
              </w:rPr>
            </w:pPr>
          </w:p>
        </w:tc>
      </w:tr>
    </w:tbl>
    <w:p w:rsidR="00650549" w:rsidRDefault="00650549">
      <w:pPr>
        <w:rPr>
          <w:rFonts w:cs="Arial"/>
          <w:szCs w:val="22"/>
        </w:rPr>
      </w:pPr>
    </w:p>
    <w:p w:rsidR="00650549" w:rsidRDefault="00650549">
      <w:pPr>
        <w:rPr>
          <w:rFonts w:cs="Arial"/>
          <w:szCs w:val="22"/>
        </w:rPr>
      </w:pPr>
      <w:r>
        <w:rPr>
          <w:rFonts w:cs="Arial"/>
          <w:szCs w:val="22"/>
        </w:rPr>
        <w:br w:type="page"/>
      </w:r>
    </w:p>
    <w:p w:rsidR="0061039D" w:rsidRPr="00434995" w:rsidRDefault="00434995" w:rsidP="003423C0">
      <w:pPr>
        <w:pStyle w:val="ListParagraph"/>
        <w:numPr>
          <w:ilvl w:val="0"/>
          <w:numId w:val="58"/>
        </w:numPr>
        <w:jc w:val="left"/>
        <w:rPr>
          <w:rFonts w:cs="Arial"/>
          <w:b/>
          <w:szCs w:val="22"/>
        </w:rPr>
      </w:pPr>
      <w:r w:rsidRPr="00434995">
        <w:rPr>
          <w:rFonts w:cs="Arial"/>
          <w:b/>
          <w:szCs w:val="22"/>
        </w:rPr>
        <w:lastRenderedPageBreak/>
        <w:t>Are there any innovative models of care in place to address supply of or demand for the midwifery workforce?</w:t>
      </w:r>
    </w:p>
    <w:tbl>
      <w:tblPr>
        <w:tblStyle w:val="TableGrid2"/>
        <w:tblW w:w="0" w:type="auto"/>
        <w:tblInd w:w="-113" w:type="dxa"/>
        <w:tblLook w:val="04A0" w:firstRow="1" w:lastRow="0" w:firstColumn="1" w:lastColumn="0" w:noHBand="0" w:noVBand="1"/>
        <w:tblCaption w:val="Appendix B: Jurisdictional perspectives"/>
        <w:tblDescription w:val="6. Are there any innovative models of care in place to address supply of or demand for the midwifery workforce?&#10;Provides all state and territory prespectives if provided."/>
      </w:tblPr>
      <w:tblGrid>
        <w:gridCol w:w="4455"/>
        <w:gridCol w:w="4201"/>
      </w:tblGrid>
      <w:tr w:rsidR="00434995" w:rsidRPr="000214BF" w:rsidTr="00CC2F52">
        <w:trPr>
          <w:tblHeader/>
        </w:trPr>
        <w:tc>
          <w:tcPr>
            <w:tcW w:w="4455" w:type="dxa"/>
            <w:shd w:val="clear" w:color="auto" w:fill="7030A0"/>
          </w:tcPr>
          <w:p w:rsidR="00434995" w:rsidRPr="00434995" w:rsidRDefault="00434995" w:rsidP="00434995">
            <w:pPr>
              <w:rPr>
                <w:rFonts w:cs="Arial"/>
                <w:b/>
                <w:color w:val="FFFFFF"/>
              </w:rPr>
            </w:pPr>
            <w:r w:rsidRPr="00434995">
              <w:rPr>
                <w:rFonts w:cs="Arial"/>
                <w:b/>
                <w:color w:val="FFFFFF"/>
              </w:rPr>
              <w:t>State/Territory point of view</w:t>
            </w:r>
          </w:p>
        </w:tc>
        <w:tc>
          <w:tcPr>
            <w:tcW w:w="4201" w:type="dxa"/>
            <w:shd w:val="clear" w:color="auto" w:fill="7030A0"/>
            <w:vAlign w:val="center"/>
          </w:tcPr>
          <w:p w:rsidR="00434995" w:rsidRPr="00D93F49" w:rsidRDefault="00434995" w:rsidP="00434995">
            <w:pPr>
              <w:contextualSpacing/>
              <w:jc w:val="both"/>
              <w:rPr>
                <w:rFonts w:cs="Arial"/>
                <w:b/>
                <w:color w:val="FFFFFF"/>
              </w:rPr>
            </w:pPr>
            <w:r w:rsidRPr="00D93F49">
              <w:rPr>
                <w:rFonts w:cs="Arial"/>
                <w:b/>
                <w:color w:val="FFFFFF"/>
              </w:rPr>
              <w:t>Programs or Strategies</w:t>
            </w:r>
          </w:p>
        </w:tc>
      </w:tr>
      <w:tr w:rsidR="00434995" w:rsidRPr="000214BF" w:rsidTr="00CC2F52">
        <w:tc>
          <w:tcPr>
            <w:tcW w:w="4455" w:type="dxa"/>
            <w:shd w:val="clear" w:color="auto" w:fill="7030A0"/>
          </w:tcPr>
          <w:p w:rsidR="00434995" w:rsidRPr="000214BF" w:rsidRDefault="00434995" w:rsidP="00434995">
            <w:pPr>
              <w:jc w:val="both"/>
              <w:rPr>
                <w:rFonts w:cs="Arial"/>
                <w:b/>
                <w:color w:val="FFFFFF"/>
                <w:sz w:val="20"/>
              </w:rPr>
            </w:pPr>
            <w:r>
              <w:rPr>
                <w:rFonts w:cs="Arial"/>
                <w:b/>
                <w:color w:val="FFFFFF"/>
                <w:sz w:val="20"/>
              </w:rPr>
              <w:t>ACT</w:t>
            </w:r>
            <w:r w:rsidRPr="000214BF">
              <w:rPr>
                <w:rFonts w:cs="Arial"/>
                <w:b/>
                <w:color w:val="FFFFFF"/>
                <w:sz w:val="20"/>
              </w:rPr>
              <w:t xml:space="preserve"> point of view</w:t>
            </w:r>
          </w:p>
        </w:tc>
        <w:tc>
          <w:tcPr>
            <w:tcW w:w="4201" w:type="dxa"/>
            <w:shd w:val="clear" w:color="auto" w:fill="7030A0"/>
          </w:tcPr>
          <w:p w:rsidR="00434995" w:rsidRPr="000214BF" w:rsidRDefault="00434995" w:rsidP="00434995">
            <w:pPr>
              <w:jc w:val="both"/>
              <w:rPr>
                <w:rFonts w:cs="Arial"/>
                <w:b/>
                <w:color w:val="FFFFFF"/>
                <w:sz w:val="20"/>
              </w:rPr>
            </w:pPr>
            <w:r w:rsidRPr="000214BF">
              <w:rPr>
                <w:rFonts w:cs="Arial"/>
                <w:b/>
                <w:color w:val="FFFFFF"/>
                <w:sz w:val="20"/>
              </w:rPr>
              <w:t>Programs or strategies to address the situation</w:t>
            </w:r>
          </w:p>
        </w:tc>
      </w:tr>
      <w:tr w:rsidR="00434995" w:rsidRPr="000214BF" w:rsidTr="00434995">
        <w:tc>
          <w:tcPr>
            <w:tcW w:w="4455" w:type="dxa"/>
          </w:tcPr>
          <w:p w:rsidR="00434995" w:rsidRPr="002B7E32" w:rsidRDefault="00434995" w:rsidP="00434995">
            <w:pPr>
              <w:pStyle w:val="ListParagraph"/>
              <w:numPr>
                <w:ilvl w:val="0"/>
                <w:numId w:val="33"/>
              </w:numPr>
              <w:spacing w:after="0"/>
              <w:rPr>
                <w:rFonts w:cs="Arial"/>
                <w:sz w:val="20"/>
              </w:rPr>
            </w:pPr>
            <w:r w:rsidRPr="002B7E32">
              <w:rPr>
                <w:rFonts w:cs="Arial"/>
                <w:sz w:val="20"/>
              </w:rPr>
              <w:t>The birth rate in the ACT region is quite stable. However, distribution is disproportionate acro</w:t>
            </w:r>
            <w:r w:rsidR="002B3F61">
              <w:rPr>
                <w:rFonts w:cs="Arial"/>
                <w:sz w:val="20"/>
              </w:rPr>
              <w:t>ss public birthing facilities.</w:t>
            </w:r>
          </w:p>
          <w:p w:rsidR="00434995" w:rsidRPr="002B7E32" w:rsidRDefault="00434995" w:rsidP="00434995">
            <w:pPr>
              <w:pStyle w:val="ListParagraph"/>
              <w:numPr>
                <w:ilvl w:val="0"/>
                <w:numId w:val="33"/>
              </w:numPr>
              <w:spacing w:after="0"/>
              <w:rPr>
                <w:rFonts w:cs="Arial"/>
                <w:sz w:val="20"/>
              </w:rPr>
            </w:pPr>
            <w:r w:rsidRPr="002B7E32">
              <w:rPr>
                <w:rFonts w:cs="Arial"/>
                <w:sz w:val="20"/>
              </w:rPr>
              <w:t>Demand for caseload midwifery models is higher than capacity, with low risk and all risk models in place.</w:t>
            </w:r>
          </w:p>
          <w:p w:rsidR="00434995" w:rsidRPr="000214BF" w:rsidRDefault="00434995" w:rsidP="00434995">
            <w:pPr>
              <w:jc w:val="both"/>
              <w:rPr>
                <w:rFonts w:cs="Arial"/>
                <w:sz w:val="20"/>
              </w:rPr>
            </w:pPr>
          </w:p>
        </w:tc>
        <w:tc>
          <w:tcPr>
            <w:tcW w:w="4201" w:type="dxa"/>
          </w:tcPr>
          <w:p w:rsidR="00434995" w:rsidRPr="00004CB2" w:rsidRDefault="00434995" w:rsidP="00434995">
            <w:pPr>
              <w:numPr>
                <w:ilvl w:val="0"/>
                <w:numId w:val="21"/>
              </w:numPr>
              <w:contextualSpacing/>
              <w:jc w:val="both"/>
              <w:rPr>
                <w:rFonts w:cs="Arial"/>
                <w:sz w:val="20"/>
              </w:rPr>
            </w:pPr>
            <w:r w:rsidRPr="00004CB2">
              <w:rPr>
                <w:rFonts w:cs="Arial"/>
                <w:sz w:val="20"/>
              </w:rPr>
              <w:t>Development of maternity access strategy to manage demand across the region</w:t>
            </w:r>
            <w:r>
              <w:rPr>
                <w:rFonts w:cs="Arial"/>
                <w:sz w:val="20"/>
              </w:rPr>
              <w:t>.</w:t>
            </w:r>
          </w:p>
          <w:p w:rsidR="00434995" w:rsidRPr="00004CB2" w:rsidRDefault="00434995" w:rsidP="00434995">
            <w:pPr>
              <w:numPr>
                <w:ilvl w:val="0"/>
                <w:numId w:val="21"/>
              </w:numPr>
              <w:contextualSpacing/>
              <w:jc w:val="both"/>
              <w:rPr>
                <w:rFonts w:cs="Arial"/>
                <w:sz w:val="20"/>
              </w:rPr>
            </w:pPr>
            <w:r w:rsidRPr="00004CB2">
              <w:rPr>
                <w:rFonts w:cs="Arial"/>
                <w:sz w:val="20"/>
              </w:rPr>
              <w:t>Single intake for the Territory to support appropriate allocation to models for maternity care</w:t>
            </w:r>
            <w:r>
              <w:rPr>
                <w:rFonts w:cs="Arial"/>
                <w:sz w:val="20"/>
              </w:rPr>
              <w:t>.</w:t>
            </w:r>
          </w:p>
          <w:p w:rsidR="00434995" w:rsidRPr="00004CB2" w:rsidRDefault="00434995" w:rsidP="00434995">
            <w:pPr>
              <w:numPr>
                <w:ilvl w:val="0"/>
                <w:numId w:val="21"/>
              </w:numPr>
              <w:contextualSpacing/>
              <w:jc w:val="both"/>
              <w:rPr>
                <w:rFonts w:cs="Arial"/>
                <w:sz w:val="20"/>
              </w:rPr>
            </w:pPr>
            <w:r w:rsidRPr="00004CB2">
              <w:rPr>
                <w:rFonts w:cs="Arial"/>
                <w:sz w:val="20"/>
              </w:rPr>
              <w:t>Planned introduction of rostered team for birth centre to complement case load models.</w:t>
            </w:r>
          </w:p>
          <w:p w:rsidR="00434995" w:rsidRDefault="00434995" w:rsidP="00434995">
            <w:pPr>
              <w:numPr>
                <w:ilvl w:val="0"/>
                <w:numId w:val="21"/>
              </w:numPr>
              <w:contextualSpacing/>
              <w:jc w:val="both"/>
              <w:rPr>
                <w:rFonts w:cs="Arial"/>
                <w:sz w:val="20"/>
              </w:rPr>
            </w:pPr>
            <w:r w:rsidRPr="00004CB2">
              <w:rPr>
                <w:rFonts w:cs="Arial"/>
                <w:sz w:val="20"/>
              </w:rPr>
              <w:t>Focus on flexible working arrangements.</w:t>
            </w:r>
          </w:p>
          <w:p w:rsidR="00434995" w:rsidRPr="000214BF" w:rsidRDefault="00434995" w:rsidP="00434995">
            <w:pPr>
              <w:ind w:left="360"/>
              <w:contextualSpacing/>
              <w:jc w:val="both"/>
              <w:rPr>
                <w:rFonts w:cs="Arial"/>
                <w:sz w:val="20"/>
              </w:rPr>
            </w:pPr>
          </w:p>
        </w:tc>
      </w:tr>
      <w:tr w:rsidR="00434995" w:rsidRPr="000214BF" w:rsidTr="00CC2F52">
        <w:tc>
          <w:tcPr>
            <w:tcW w:w="4455" w:type="dxa"/>
            <w:shd w:val="clear" w:color="auto" w:fill="7030A0"/>
          </w:tcPr>
          <w:p w:rsidR="00434995" w:rsidRPr="000214BF" w:rsidRDefault="00CC2F52" w:rsidP="00434995">
            <w:pPr>
              <w:jc w:val="both"/>
              <w:rPr>
                <w:rFonts w:cs="Arial"/>
                <w:b/>
                <w:color w:val="FFFFFF"/>
                <w:sz w:val="20"/>
              </w:rPr>
            </w:pPr>
            <w:r>
              <w:rPr>
                <w:rFonts w:cs="Arial"/>
                <w:b/>
                <w:color w:val="FFFFFF"/>
                <w:sz w:val="20"/>
              </w:rPr>
              <w:t>NSW</w:t>
            </w:r>
            <w:r w:rsidR="00434995">
              <w:rPr>
                <w:rFonts w:cs="Arial"/>
                <w:b/>
                <w:color w:val="FFFFFF"/>
                <w:sz w:val="20"/>
              </w:rPr>
              <w:t xml:space="preserve"> </w:t>
            </w:r>
            <w:r w:rsidR="00434995" w:rsidRPr="000214BF">
              <w:rPr>
                <w:rFonts w:cs="Arial"/>
                <w:b/>
                <w:color w:val="FFFFFF"/>
                <w:sz w:val="20"/>
              </w:rPr>
              <w:t>point of view</w:t>
            </w:r>
          </w:p>
        </w:tc>
        <w:tc>
          <w:tcPr>
            <w:tcW w:w="4201" w:type="dxa"/>
            <w:shd w:val="clear" w:color="auto" w:fill="7030A0"/>
          </w:tcPr>
          <w:p w:rsidR="00434995" w:rsidRPr="000214BF" w:rsidRDefault="00434995" w:rsidP="00434995">
            <w:pPr>
              <w:jc w:val="both"/>
              <w:rPr>
                <w:rFonts w:cs="Arial"/>
                <w:b/>
                <w:color w:val="FFFFFF"/>
                <w:sz w:val="20"/>
              </w:rPr>
            </w:pPr>
            <w:r w:rsidRPr="000214BF">
              <w:rPr>
                <w:rFonts w:cs="Arial"/>
                <w:b/>
                <w:color w:val="FFFFFF"/>
                <w:sz w:val="20"/>
              </w:rPr>
              <w:t>Programs or strategies to address the situation</w:t>
            </w:r>
          </w:p>
        </w:tc>
      </w:tr>
      <w:tr w:rsidR="00434995" w:rsidRPr="000214BF" w:rsidTr="00434995">
        <w:tc>
          <w:tcPr>
            <w:tcW w:w="4455" w:type="dxa"/>
          </w:tcPr>
          <w:p w:rsidR="00434995" w:rsidRPr="002B7E32" w:rsidRDefault="00434995" w:rsidP="00434995">
            <w:pPr>
              <w:pStyle w:val="ListParagraph"/>
              <w:numPr>
                <w:ilvl w:val="0"/>
                <w:numId w:val="34"/>
              </w:numPr>
              <w:spacing w:after="0"/>
              <w:rPr>
                <w:rFonts w:cs="Arial"/>
                <w:sz w:val="20"/>
              </w:rPr>
            </w:pPr>
            <w:r w:rsidRPr="002B7E32">
              <w:rPr>
                <w:rFonts w:cs="Arial"/>
                <w:sz w:val="20"/>
              </w:rPr>
              <w:t>NSW Health already uses an evidence-based midwifery workforce planning methodology to determine the staffing requirements in maternity services based on the needs of women for midwifery care throughout pregnancy, labour and the postnatal period.</w:t>
            </w:r>
          </w:p>
        </w:tc>
        <w:tc>
          <w:tcPr>
            <w:tcW w:w="4201" w:type="dxa"/>
          </w:tcPr>
          <w:p w:rsidR="00434995" w:rsidRPr="00FF0413" w:rsidRDefault="00434995" w:rsidP="00434995">
            <w:pPr>
              <w:numPr>
                <w:ilvl w:val="0"/>
                <w:numId w:val="21"/>
              </w:numPr>
              <w:contextualSpacing/>
              <w:jc w:val="both"/>
              <w:rPr>
                <w:rFonts w:cs="Arial"/>
                <w:sz w:val="20"/>
              </w:rPr>
            </w:pPr>
            <w:r w:rsidRPr="00FF0413">
              <w:rPr>
                <w:rFonts w:cs="Arial"/>
                <w:sz w:val="20"/>
              </w:rPr>
              <w:t>Rural postgraduate midwifery student scholarships support the sustainability of small rural maternity units by funding a local registered nurse to train as a midwife.  These services could not otherwise fund the employment of a midwifery student, in addition to their existing FTE profile.  NSW Health funds 10 positions per year</w:t>
            </w:r>
            <w:r>
              <w:rPr>
                <w:rFonts w:cs="Arial"/>
                <w:sz w:val="20"/>
              </w:rPr>
              <w:t>.</w:t>
            </w:r>
          </w:p>
          <w:p w:rsidR="00434995" w:rsidRDefault="00434995" w:rsidP="00434995">
            <w:pPr>
              <w:numPr>
                <w:ilvl w:val="0"/>
                <w:numId w:val="21"/>
              </w:numPr>
              <w:contextualSpacing/>
              <w:jc w:val="both"/>
              <w:rPr>
                <w:rFonts w:cs="Arial"/>
                <w:sz w:val="20"/>
              </w:rPr>
            </w:pPr>
            <w:r w:rsidRPr="00FF0413">
              <w:rPr>
                <w:rFonts w:cs="Arial"/>
                <w:sz w:val="20"/>
              </w:rPr>
              <w:t>Some LHDs have implemented modified case load models of care (antenatal/postnatal) as an innovative model to support continuity of care for women and to support the midwifery workforce</w:t>
            </w:r>
            <w:r>
              <w:rPr>
                <w:rFonts w:cs="Arial"/>
                <w:sz w:val="20"/>
              </w:rPr>
              <w:t>.</w:t>
            </w:r>
            <w:r w:rsidRPr="00FF0413">
              <w:rPr>
                <w:rFonts w:cs="Arial"/>
                <w:sz w:val="20"/>
              </w:rPr>
              <w:t xml:space="preserve"> </w:t>
            </w:r>
          </w:p>
          <w:p w:rsidR="00434995" w:rsidRPr="00650549" w:rsidRDefault="00434995" w:rsidP="00434995">
            <w:pPr>
              <w:ind w:left="360"/>
              <w:contextualSpacing/>
              <w:jc w:val="both"/>
              <w:rPr>
                <w:rFonts w:cs="Arial"/>
                <w:sz w:val="20"/>
              </w:rPr>
            </w:pPr>
          </w:p>
        </w:tc>
      </w:tr>
      <w:tr w:rsidR="00434995" w:rsidRPr="000214BF" w:rsidTr="00CC2F52">
        <w:tc>
          <w:tcPr>
            <w:tcW w:w="4455" w:type="dxa"/>
            <w:shd w:val="clear" w:color="auto" w:fill="7030A0"/>
          </w:tcPr>
          <w:p w:rsidR="00434995" w:rsidRPr="000214BF" w:rsidRDefault="00434995" w:rsidP="00434995">
            <w:pPr>
              <w:jc w:val="both"/>
              <w:rPr>
                <w:rFonts w:cs="Arial"/>
                <w:b/>
                <w:color w:val="FFFFFF"/>
                <w:sz w:val="20"/>
              </w:rPr>
            </w:pPr>
            <w:r>
              <w:rPr>
                <w:rFonts w:cs="Arial"/>
                <w:b/>
                <w:color w:val="FFFFFF"/>
                <w:sz w:val="20"/>
              </w:rPr>
              <w:t xml:space="preserve">Northern Territory </w:t>
            </w:r>
            <w:r w:rsidRPr="000214BF">
              <w:rPr>
                <w:rFonts w:cs="Arial"/>
                <w:b/>
                <w:color w:val="FFFFFF"/>
                <w:sz w:val="20"/>
              </w:rPr>
              <w:t>point of view</w:t>
            </w:r>
          </w:p>
        </w:tc>
        <w:tc>
          <w:tcPr>
            <w:tcW w:w="4201" w:type="dxa"/>
            <w:shd w:val="clear" w:color="auto" w:fill="7030A0"/>
          </w:tcPr>
          <w:p w:rsidR="00434995" w:rsidRPr="000214BF" w:rsidRDefault="00434995" w:rsidP="00434995">
            <w:pPr>
              <w:jc w:val="both"/>
              <w:rPr>
                <w:rFonts w:cs="Arial"/>
                <w:b/>
                <w:color w:val="FFFFFF"/>
                <w:sz w:val="20"/>
              </w:rPr>
            </w:pPr>
            <w:r w:rsidRPr="000214BF">
              <w:rPr>
                <w:rFonts w:cs="Arial"/>
                <w:b/>
                <w:color w:val="FFFFFF"/>
                <w:sz w:val="20"/>
              </w:rPr>
              <w:t>Programs or strategies to address the situation</w:t>
            </w:r>
          </w:p>
        </w:tc>
      </w:tr>
      <w:tr w:rsidR="00434995" w:rsidRPr="000214BF" w:rsidTr="00434995">
        <w:tc>
          <w:tcPr>
            <w:tcW w:w="4455" w:type="dxa"/>
          </w:tcPr>
          <w:p w:rsidR="00434995" w:rsidRPr="002B7E32" w:rsidRDefault="00434995" w:rsidP="00434995">
            <w:pPr>
              <w:pStyle w:val="ListParagraph"/>
              <w:numPr>
                <w:ilvl w:val="0"/>
                <w:numId w:val="35"/>
              </w:numPr>
              <w:spacing w:after="0"/>
              <w:rPr>
                <w:rFonts w:cs="Arial"/>
                <w:sz w:val="20"/>
              </w:rPr>
            </w:pPr>
            <w:r w:rsidRPr="002B7E32">
              <w:rPr>
                <w:rFonts w:cs="Arial"/>
                <w:sz w:val="20"/>
              </w:rPr>
              <w:t>Yes</w:t>
            </w:r>
          </w:p>
        </w:tc>
        <w:tc>
          <w:tcPr>
            <w:tcW w:w="4201" w:type="dxa"/>
          </w:tcPr>
          <w:p w:rsidR="00434995" w:rsidRPr="00173A66" w:rsidRDefault="00434995" w:rsidP="00434995">
            <w:pPr>
              <w:numPr>
                <w:ilvl w:val="0"/>
                <w:numId w:val="21"/>
              </w:numPr>
              <w:contextualSpacing/>
              <w:jc w:val="both"/>
              <w:rPr>
                <w:rFonts w:cs="Arial"/>
                <w:sz w:val="20"/>
              </w:rPr>
            </w:pPr>
            <w:r w:rsidRPr="00173A66">
              <w:rPr>
                <w:rFonts w:cs="Arial"/>
                <w:sz w:val="20"/>
              </w:rPr>
              <w:t>Continuity of care/carer models to support patient centred care eg for vulnerable women involving continuity of carer, and continuity of care planning. These include Midwifery Group practices, collaborative models (Health Services and NGO’s eg Aboriginal Controlled Community Health Organisations)</w:t>
            </w:r>
            <w:r>
              <w:rPr>
                <w:rFonts w:cs="Arial"/>
                <w:sz w:val="20"/>
              </w:rPr>
              <w:t>.</w:t>
            </w:r>
          </w:p>
          <w:p w:rsidR="00434995" w:rsidRPr="00173A66" w:rsidRDefault="00434995" w:rsidP="00434995">
            <w:pPr>
              <w:numPr>
                <w:ilvl w:val="0"/>
                <w:numId w:val="21"/>
              </w:numPr>
              <w:contextualSpacing/>
              <w:jc w:val="both"/>
              <w:rPr>
                <w:rFonts w:cs="Arial"/>
                <w:sz w:val="20"/>
              </w:rPr>
            </w:pPr>
            <w:r w:rsidRPr="00173A66">
              <w:rPr>
                <w:rFonts w:cs="Arial"/>
                <w:sz w:val="20"/>
              </w:rPr>
              <w:t>Charles Darwin University (CDU) commencing Bachelor of Nursing Master of Midwifery dual degree (2020).</w:t>
            </w:r>
          </w:p>
          <w:p w:rsidR="00434995" w:rsidRDefault="00434995" w:rsidP="00434995">
            <w:pPr>
              <w:numPr>
                <w:ilvl w:val="0"/>
                <w:numId w:val="21"/>
              </w:numPr>
              <w:contextualSpacing/>
              <w:jc w:val="both"/>
              <w:rPr>
                <w:rFonts w:cs="Arial"/>
                <w:sz w:val="20"/>
              </w:rPr>
            </w:pPr>
            <w:r w:rsidRPr="00173A66">
              <w:rPr>
                <w:rFonts w:cs="Arial"/>
                <w:sz w:val="20"/>
              </w:rPr>
              <w:t>CDU commencing Nurse Practitioner Advanced Midwifery Practice (2021)</w:t>
            </w:r>
            <w:r>
              <w:rPr>
                <w:rFonts w:cs="Arial"/>
                <w:sz w:val="20"/>
              </w:rPr>
              <w:t>.</w:t>
            </w:r>
          </w:p>
          <w:p w:rsidR="00434995" w:rsidRPr="00173A66" w:rsidRDefault="00434995" w:rsidP="00434995">
            <w:pPr>
              <w:ind w:left="360"/>
              <w:contextualSpacing/>
              <w:jc w:val="both"/>
              <w:rPr>
                <w:rFonts w:cs="Arial"/>
                <w:sz w:val="20"/>
              </w:rPr>
            </w:pPr>
          </w:p>
        </w:tc>
      </w:tr>
      <w:tr w:rsidR="00434995" w:rsidRPr="000214BF" w:rsidTr="00CC2F52">
        <w:tc>
          <w:tcPr>
            <w:tcW w:w="4455" w:type="dxa"/>
            <w:shd w:val="clear" w:color="auto" w:fill="7030A0"/>
          </w:tcPr>
          <w:p w:rsidR="00434995" w:rsidRDefault="00434995" w:rsidP="00434995">
            <w:pPr>
              <w:jc w:val="both"/>
              <w:rPr>
                <w:rFonts w:cs="Arial"/>
                <w:b/>
                <w:color w:val="FFFFFF"/>
                <w:sz w:val="20"/>
              </w:rPr>
            </w:pPr>
            <w:r>
              <w:rPr>
                <w:rFonts w:cs="Arial"/>
                <w:b/>
                <w:color w:val="FFFFFF"/>
                <w:sz w:val="20"/>
              </w:rPr>
              <w:t xml:space="preserve">Queensland point of view </w:t>
            </w:r>
          </w:p>
        </w:tc>
        <w:tc>
          <w:tcPr>
            <w:tcW w:w="4201" w:type="dxa"/>
            <w:shd w:val="clear" w:color="auto" w:fill="7030A0"/>
          </w:tcPr>
          <w:p w:rsidR="00434995" w:rsidRPr="000214BF" w:rsidRDefault="00434995" w:rsidP="00434995">
            <w:pPr>
              <w:jc w:val="both"/>
              <w:rPr>
                <w:rFonts w:cs="Arial"/>
                <w:b/>
                <w:color w:val="FFFFFF"/>
                <w:sz w:val="20"/>
              </w:rPr>
            </w:pPr>
            <w:r w:rsidRPr="000214BF">
              <w:rPr>
                <w:rFonts w:cs="Arial"/>
                <w:b/>
                <w:color w:val="FFFFFF"/>
                <w:sz w:val="20"/>
              </w:rPr>
              <w:t>Programs or strategies to address the situation</w:t>
            </w:r>
          </w:p>
        </w:tc>
      </w:tr>
      <w:tr w:rsidR="00434995" w:rsidRPr="000214BF" w:rsidTr="00434995">
        <w:tc>
          <w:tcPr>
            <w:tcW w:w="4455" w:type="dxa"/>
          </w:tcPr>
          <w:p w:rsidR="00434995" w:rsidRPr="00DA3E15" w:rsidRDefault="00434995" w:rsidP="00434995">
            <w:pPr>
              <w:numPr>
                <w:ilvl w:val="0"/>
                <w:numId w:val="21"/>
              </w:numPr>
              <w:contextualSpacing/>
              <w:jc w:val="both"/>
              <w:rPr>
                <w:rFonts w:cs="Arial"/>
                <w:sz w:val="20"/>
              </w:rPr>
            </w:pPr>
            <w:r w:rsidRPr="00DA3E15">
              <w:rPr>
                <w:rFonts w:cs="Arial"/>
                <w:sz w:val="20"/>
              </w:rPr>
              <w:t>There are eight main options for maternity care in Queensland. Access to these maternity models depends on the services provided in the local area.</w:t>
            </w:r>
          </w:p>
          <w:p w:rsidR="00434995" w:rsidRPr="00DA3E15" w:rsidRDefault="00434995" w:rsidP="00434995">
            <w:pPr>
              <w:contextualSpacing/>
              <w:jc w:val="both"/>
              <w:rPr>
                <w:rFonts w:cs="Arial"/>
                <w:sz w:val="20"/>
              </w:rPr>
            </w:pPr>
          </w:p>
          <w:p w:rsidR="00434995" w:rsidRPr="00DA3E15" w:rsidRDefault="00434995" w:rsidP="00434995">
            <w:pPr>
              <w:ind w:left="360"/>
              <w:contextualSpacing/>
              <w:jc w:val="both"/>
              <w:rPr>
                <w:rFonts w:cs="Arial"/>
                <w:sz w:val="20"/>
              </w:rPr>
            </w:pPr>
            <w:r w:rsidRPr="00DA3E15">
              <w:rPr>
                <w:rFonts w:cs="Arial"/>
                <w:sz w:val="20"/>
              </w:rPr>
              <w:t>The eight main options:</w:t>
            </w:r>
          </w:p>
          <w:p w:rsidR="00434995" w:rsidRPr="00DA3E15" w:rsidRDefault="00434995" w:rsidP="00434995">
            <w:pPr>
              <w:contextualSpacing/>
              <w:jc w:val="both"/>
              <w:rPr>
                <w:rFonts w:cs="Arial"/>
                <w:sz w:val="20"/>
              </w:rPr>
            </w:pPr>
          </w:p>
          <w:p w:rsidR="00434995" w:rsidRPr="00DA3E15" w:rsidRDefault="00434995" w:rsidP="003423C0">
            <w:pPr>
              <w:pStyle w:val="ListParagraph"/>
              <w:numPr>
                <w:ilvl w:val="0"/>
                <w:numId w:val="56"/>
              </w:numPr>
              <w:spacing w:before="0"/>
              <w:ind w:left="714" w:hanging="357"/>
              <w:contextualSpacing w:val="0"/>
              <w:rPr>
                <w:rFonts w:cs="Arial"/>
                <w:sz w:val="20"/>
              </w:rPr>
            </w:pPr>
            <w:r w:rsidRPr="00DA3E15">
              <w:rPr>
                <w:rFonts w:cs="Arial"/>
                <w:sz w:val="20"/>
              </w:rPr>
              <w:t>Midwifery led continuity of care: Maternity care is provided by a midwife or small group of midwives (2 to 3) and is provided in most public hospitals. Access to a hospital-based midwife care usually requires a GP referral. This model also enables midwives to provide care for women with complicated pregnancies by working collaboratively with doctors and other healthcare providers.</w:t>
            </w:r>
          </w:p>
          <w:p w:rsidR="00434995" w:rsidRPr="00DA3E15" w:rsidRDefault="00434995" w:rsidP="003423C0">
            <w:pPr>
              <w:pStyle w:val="ListParagraph"/>
              <w:numPr>
                <w:ilvl w:val="0"/>
                <w:numId w:val="56"/>
              </w:numPr>
              <w:spacing w:before="0"/>
              <w:contextualSpacing w:val="0"/>
              <w:rPr>
                <w:rFonts w:cs="Arial"/>
                <w:sz w:val="20"/>
              </w:rPr>
            </w:pPr>
            <w:r w:rsidRPr="00DA3E15">
              <w:rPr>
                <w:rFonts w:cs="Arial"/>
                <w:sz w:val="20"/>
              </w:rPr>
              <w:t>Private midwife care: Maternity care is provided by a midwife or group of midwives from a private group practice for your pregnancy, birth and postnatal care. In this model you have the option of choosing whether to have your baby in hospital or at home.</w:t>
            </w:r>
          </w:p>
          <w:p w:rsidR="00434995" w:rsidRPr="00DA3E15" w:rsidRDefault="00434995" w:rsidP="003423C0">
            <w:pPr>
              <w:pStyle w:val="ListParagraph"/>
              <w:numPr>
                <w:ilvl w:val="0"/>
                <w:numId w:val="56"/>
              </w:numPr>
              <w:spacing w:before="0"/>
              <w:contextualSpacing w:val="0"/>
              <w:rPr>
                <w:rFonts w:cs="Arial"/>
                <w:sz w:val="20"/>
              </w:rPr>
            </w:pPr>
            <w:r w:rsidRPr="00DA3E15">
              <w:rPr>
                <w:rFonts w:cs="Arial"/>
                <w:sz w:val="20"/>
              </w:rPr>
              <w:t>GP share care: Maternity care is shared between the GP and the local hospital doctors and midwives. Not all GPs provide maternity shared care.</w:t>
            </w:r>
          </w:p>
          <w:p w:rsidR="00434995" w:rsidRPr="00DA3E15" w:rsidRDefault="00434995" w:rsidP="003423C0">
            <w:pPr>
              <w:pStyle w:val="ListParagraph"/>
              <w:numPr>
                <w:ilvl w:val="0"/>
                <w:numId w:val="56"/>
              </w:numPr>
              <w:spacing w:before="0"/>
              <w:contextualSpacing w:val="0"/>
              <w:rPr>
                <w:rFonts w:cs="Arial"/>
                <w:sz w:val="20"/>
              </w:rPr>
            </w:pPr>
            <w:r w:rsidRPr="00DA3E15">
              <w:rPr>
                <w:rFonts w:cs="Arial"/>
                <w:sz w:val="20"/>
              </w:rPr>
              <w:t>Private obstetric care: Maternity care is provided by an obstetrician who is a medical doctor specialised in caring for pregnant women, including those with complicated pregnancies or special circumstances. Private care can be provided in a public or private hospital.</w:t>
            </w:r>
          </w:p>
          <w:p w:rsidR="00434995" w:rsidRPr="00DA3E15" w:rsidRDefault="00434995" w:rsidP="003423C0">
            <w:pPr>
              <w:pStyle w:val="ListParagraph"/>
              <w:numPr>
                <w:ilvl w:val="0"/>
                <w:numId w:val="56"/>
              </w:numPr>
              <w:spacing w:before="0"/>
              <w:contextualSpacing w:val="0"/>
              <w:rPr>
                <w:rFonts w:cs="Arial"/>
                <w:sz w:val="20"/>
              </w:rPr>
            </w:pPr>
            <w:r w:rsidRPr="00DA3E15">
              <w:rPr>
                <w:rStyle w:val="Strong"/>
                <w:rFonts w:cs="Arial"/>
                <w:b w:val="0"/>
                <w:sz w:val="20"/>
                <w:lang w:val="en"/>
              </w:rPr>
              <w:t>Public hospital maternity care:</w:t>
            </w:r>
            <w:r w:rsidRPr="00DA3E15">
              <w:rPr>
                <w:rFonts w:cs="Arial"/>
                <w:sz w:val="20"/>
                <w:lang w:val="en"/>
              </w:rPr>
              <w:t xml:space="preserve"> Antenatal care is provided in hospital outpatient clinics (either onsite or in the community or woman’s home) by hospital-employed midwives and/or doctors. Care could also be provided by a multidisciplinary team dependent on the complexity of care needed. Collaborative intrapartum and postnatal care is provided in the hospital by midwives and doctors. Postnatal care may continue in the home or community by hospital midwives.</w:t>
            </w:r>
          </w:p>
          <w:p w:rsidR="00434995" w:rsidRPr="00DA3E15" w:rsidRDefault="00434995" w:rsidP="003423C0">
            <w:pPr>
              <w:pStyle w:val="ListParagraph"/>
              <w:numPr>
                <w:ilvl w:val="0"/>
                <w:numId w:val="56"/>
              </w:numPr>
              <w:spacing w:before="0"/>
              <w:contextualSpacing w:val="0"/>
              <w:rPr>
                <w:rStyle w:val="Strong"/>
                <w:rFonts w:cs="Arial"/>
                <w:b w:val="0"/>
                <w:bCs w:val="0"/>
                <w:sz w:val="20"/>
              </w:rPr>
            </w:pPr>
            <w:r w:rsidRPr="00DA3E15">
              <w:rPr>
                <w:rStyle w:val="Strong"/>
                <w:rFonts w:cs="Arial"/>
                <w:b w:val="0"/>
                <w:sz w:val="20"/>
                <w:lang w:val="en"/>
              </w:rPr>
              <w:t>It has been researched and reported that continuity of carer models are a sound workforce attraction and retention strategy due to decreased stress and improved satisfaction of midwives who work in these models.</w:t>
            </w:r>
          </w:p>
          <w:p w:rsidR="00434995" w:rsidRPr="00DA3E15" w:rsidRDefault="00434995" w:rsidP="003423C0">
            <w:pPr>
              <w:pStyle w:val="ListParagraph"/>
              <w:numPr>
                <w:ilvl w:val="0"/>
                <w:numId w:val="56"/>
              </w:numPr>
              <w:spacing w:before="0"/>
              <w:contextualSpacing w:val="0"/>
              <w:rPr>
                <w:rFonts w:cs="Arial"/>
                <w:sz w:val="20"/>
              </w:rPr>
            </w:pPr>
            <w:r w:rsidRPr="00DA3E15">
              <w:rPr>
                <w:rStyle w:val="Strong"/>
                <w:rFonts w:cs="Arial"/>
                <w:b w:val="0"/>
                <w:sz w:val="20"/>
                <w:lang w:val="en"/>
              </w:rPr>
              <w:t xml:space="preserve">Some closures of private hospitals in the state and a shift away from private obstetric care has increased demand on public hospital care. </w:t>
            </w:r>
            <w:r w:rsidRPr="00DA3E15">
              <w:rPr>
                <w:rFonts w:cs="Arial"/>
                <w:sz w:val="20"/>
              </w:rPr>
              <w:t xml:space="preserve">State-wide, the demand for midwifery continuity of care models far exceeds places available, although opportunities to maximise </w:t>
            </w:r>
            <w:r w:rsidRPr="00DA3E15">
              <w:rPr>
                <w:rFonts w:cs="Arial"/>
                <w:sz w:val="20"/>
              </w:rPr>
              <w:lastRenderedPageBreak/>
              <w:t>women’s access to these models is continually being reviewed and assessed.</w:t>
            </w:r>
          </w:p>
          <w:p w:rsidR="00434995" w:rsidRPr="00DA3E15" w:rsidRDefault="00434995" w:rsidP="003423C0">
            <w:pPr>
              <w:pStyle w:val="ListParagraph"/>
              <w:numPr>
                <w:ilvl w:val="0"/>
                <w:numId w:val="56"/>
              </w:numPr>
              <w:spacing w:before="0"/>
              <w:contextualSpacing w:val="0"/>
              <w:rPr>
                <w:rFonts w:cs="Arial"/>
                <w:sz w:val="20"/>
              </w:rPr>
            </w:pPr>
            <w:r w:rsidRPr="00DA3E15">
              <w:rPr>
                <w:rFonts w:cs="Arial"/>
                <w:sz w:val="20"/>
              </w:rPr>
              <w:t>Queensland is one of two jurisdictions in Australia without a publicly funded home birth model.</w:t>
            </w:r>
          </w:p>
          <w:p w:rsidR="00434995" w:rsidRPr="00DA3E15" w:rsidRDefault="00434995" w:rsidP="00434995">
            <w:pPr>
              <w:jc w:val="both"/>
              <w:rPr>
                <w:rFonts w:cs="Arial"/>
                <w:color w:val="FFFFFF"/>
                <w:sz w:val="20"/>
              </w:rPr>
            </w:pPr>
          </w:p>
        </w:tc>
        <w:tc>
          <w:tcPr>
            <w:tcW w:w="4201" w:type="dxa"/>
          </w:tcPr>
          <w:p w:rsidR="00434995" w:rsidRPr="007E6FAB" w:rsidRDefault="00434995" w:rsidP="00434995">
            <w:pPr>
              <w:numPr>
                <w:ilvl w:val="0"/>
                <w:numId w:val="21"/>
              </w:numPr>
              <w:contextualSpacing/>
              <w:jc w:val="both"/>
              <w:rPr>
                <w:rFonts w:cs="Arial"/>
                <w:sz w:val="20"/>
              </w:rPr>
            </w:pPr>
            <w:r w:rsidRPr="007E6FAB">
              <w:rPr>
                <w:rFonts w:cs="Arial"/>
                <w:sz w:val="20"/>
              </w:rPr>
              <w:lastRenderedPageBreak/>
              <w:t xml:space="preserve">The Office of the Chief Nursing and Midwifery Officer commits to strengthening sustainable primary midwifery models of care that are responsive to women’s and community </w:t>
            </w:r>
            <w:r w:rsidRPr="007E6FAB">
              <w:rPr>
                <w:rFonts w:cs="Arial"/>
                <w:sz w:val="20"/>
              </w:rPr>
              <w:lastRenderedPageBreak/>
              <w:t>needs through optimising professional midwifery resourcing.</w:t>
            </w:r>
          </w:p>
          <w:p w:rsidR="00434995" w:rsidRPr="00DA3E15" w:rsidRDefault="00434995" w:rsidP="00434995">
            <w:pPr>
              <w:contextualSpacing/>
              <w:jc w:val="both"/>
              <w:rPr>
                <w:rFonts w:cs="Arial"/>
              </w:rPr>
            </w:pPr>
          </w:p>
          <w:p w:rsidR="00434995" w:rsidRPr="00DA3E15" w:rsidRDefault="00434995" w:rsidP="00434995">
            <w:pPr>
              <w:numPr>
                <w:ilvl w:val="0"/>
                <w:numId w:val="21"/>
              </w:numPr>
              <w:contextualSpacing/>
              <w:jc w:val="both"/>
              <w:rPr>
                <w:rFonts w:cs="Arial"/>
                <w:sz w:val="20"/>
              </w:rPr>
            </w:pPr>
            <w:r w:rsidRPr="00DA3E15">
              <w:rPr>
                <w:rFonts w:cs="Arial"/>
                <w:sz w:val="20"/>
              </w:rPr>
              <w:t>The Office of the Chief Nursing and Midwifery Officer values and supports women being offered their option of maternity care. Queensland Health supports midwives working in all models of care across public and private health care sectors and settings.</w:t>
            </w:r>
          </w:p>
          <w:p w:rsidR="00434995" w:rsidRPr="00DA3E15" w:rsidRDefault="00434995" w:rsidP="00434995">
            <w:pPr>
              <w:numPr>
                <w:ilvl w:val="0"/>
                <w:numId w:val="21"/>
              </w:numPr>
              <w:contextualSpacing/>
              <w:jc w:val="both"/>
              <w:rPr>
                <w:rFonts w:cs="Arial"/>
                <w:sz w:val="20"/>
              </w:rPr>
            </w:pPr>
            <w:r w:rsidRPr="00DA3E15">
              <w:rPr>
                <w:rFonts w:cs="Arial"/>
                <w:sz w:val="20"/>
              </w:rPr>
              <w:t xml:space="preserve">The Office of the Chief Nursing and Midwifery Officer has developed a maternity decision-making framework to scale up and roll out midwifery continuity of carer models. </w:t>
            </w:r>
          </w:p>
          <w:p w:rsidR="00434995" w:rsidRPr="00DA3E15" w:rsidRDefault="00434995" w:rsidP="00434995">
            <w:pPr>
              <w:numPr>
                <w:ilvl w:val="0"/>
                <w:numId w:val="21"/>
              </w:numPr>
              <w:contextualSpacing/>
              <w:jc w:val="both"/>
              <w:rPr>
                <w:rFonts w:cs="Arial"/>
                <w:sz w:val="20"/>
              </w:rPr>
            </w:pPr>
            <w:r w:rsidRPr="00DA3E15">
              <w:rPr>
                <w:rFonts w:cs="Arial"/>
                <w:sz w:val="20"/>
              </w:rPr>
              <w:t>The Office of the Chief Nursing and Midwifery Officer has also developed interactive costing tools to support hospital and health services to build their business case for continuity of midwifery models.</w:t>
            </w:r>
          </w:p>
          <w:p w:rsidR="00434995" w:rsidRPr="00DA3E15" w:rsidRDefault="00434995" w:rsidP="00434995">
            <w:pPr>
              <w:numPr>
                <w:ilvl w:val="0"/>
                <w:numId w:val="21"/>
              </w:numPr>
              <w:contextualSpacing/>
              <w:jc w:val="both"/>
              <w:rPr>
                <w:rFonts w:cs="Arial"/>
                <w:sz w:val="20"/>
              </w:rPr>
            </w:pPr>
            <w:r w:rsidRPr="00DA3E15">
              <w:rPr>
                <w:rFonts w:cs="Arial"/>
                <w:sz w:val="20"/>
              </w:rPr>
              <w:t xml:space="preserve">Midwifery navigators have been introduced across health services to recognise the unique skills of experienced midwives and to improve co-ordination of care for women with complex needs and for those who are hard to engage and otherwise less likely to receive optimal recommended levels of care, </w:t>
            </w:r>
          </w:p>
          <w:p w:rsidR="00434995" w:rsidRPr="00DA3E15" w:rsidRDefault="00434995" w:rsidP="00434995">
            <w:pPr>
              <w:numPr>
                <w:ilvl w:val="0"/>
                <w:numId w:val="21"/>
              </w:numPr>
              <w:contextualSpacing/>
              <w:jc w:val="both"/>
              <w:rPr>
                <w:rFonts w:cs="Arial"/>
                <w:sz w:val="20"/>
              </w:rPr>
            </w:pPr>
            <w:r w:rsidRPr="00DA3E15">
              <w:rPr>
                <w:rFonts w:cs="Arial"/>
                <w:sz w:val="20"/>
              </w:rPr>
              <w:t>Existing evidence has demonstrated that midwives are well placed and suited to extend their scope to improve outcomes across the first one thousand days. A scoping project is underway to determine best models for the first one thousand days of life appropriate to demographic and geographic needs of populations.</w:t>
            </w:r>
          </w:p>
          <w:p w:rsidR="00434995" w:rsidRPr="00DA3E15" w:rsidRDefault="00434995" w:rsidP="00434995">
            <w:pPr>
              <w:numPr>
                <w:ilvl w:val="0"/>
                <w:numId w:val="21"/>
              </w:numPr>
              <w:contextualSpacing/>
              <w:jc w:val="both"/>
              <w:rPr>
                <w:rFonts w:cs="Arial"/>
                <w:sz w:val="20"/>
              </w:rPr>
            </w:pPr>
            <w:r w:rsidRPr="00DA3E15">
              <w:rPr>
                <w:rFonts w:cs="Arial"/>
                <w:sz w:val="20"/>
              </w:rPr>
              <w:t>Private practicing midwives have access agreements in place across 11 of the 15 HHSs in the state.</w:t>
            </w:r>
          </w:p>
          <w:p w:rsidR="00434995" w:rsidRPr="007E6FAB" w:rsidRDefault="00434995" w:rsidP="00434995">
            <w:pPr>
              <w:pStyle w:val="ListParagraph"/>
              <w:numPr>
                <w:ilvl w:val="0"/>
                <w:numId w:val="21"/>
              </w:numPr>
              <w:spacing w:before="0" w:after="0" w:line="256" w:lineRule="auto"/>
              <w:rPr>
                <w:rFonts w:cs="Arial"/>
                <w:sz w:val="20"/>
              </w:rPr>
            </w:pPr>
            <w:r w:rsidRPr="007E6FAB">
              <w:rPr>
                <w:rFonts w:cs="Arial"/>
                <w:sz w:val="20"/>
              </w:rPr>
              <w:t xml:space="preserve">OCNMO has provided guidance to Hospital and Health Services across the state to enable Midwives holding the NMBA </w:t>
            </w:r>
            <w:r w:rsidRPr="007E6FAB">
              <w:rPr>
                <w:rFonts w:cs="Arial"/>
                <w:i/>
                <w:sz w:val="20"/>
              </w:rPr>
              <w:t>Endorsement for scheduled medicines for midwives</w:t>
            </w:r>
            <w:r w:rsidRPr="007E6FAB">
              <w:rPr>
                <w:rFonts w:cs="Arial"/>
                <w:sz w:val="20"/>
              </w:rPr>
              <w:t xml:space="preserve"> to prescribe in public sector roles, albeit acceptance and uptake by HHSs is slow.</w:t>
            </w:r>
          </w:p>
          <w:p w:rsidR="00434995" w:rsidRPr="00DA3E15" w:rsidRDefault="00434995" w:rsidP="00434995">
            <w:pPr>
              <w:jc w:val="both"/>
              <w:rPr>
                <w:rFonts w:cs="Arial"/>
                <w:color w:val="FFFFFF"/>
                <w:sz w:val="20"/>
              </w:rPr>
            </w:pPr>
          </w:p>
        </w:tc>
      </w:tr>
      <w:tr w:rsidR="00434995" w:rsidRPr="000214BF" w:rsidTr="00CC2F52">
        <w:tc>
          <w:tcPr>
            <w:tcW w:w="4455" w:type="dxa"/>
            <w:shd w:val="clear" w:color="auto" w:fill="7030A0"/>
          </w:tcPr>
          <w:p w:rsidR="00434995" w:rsidRDefault="00434995" w:rsidP="00434995">
            <w:pPr>
              <w:jc w:val="both"/>
              <w:rPr>
                <w:rFonts w:cs="Arial"/>
                <w:b/>
                <w:color w:val="FFFFFF"/>
                <w:sz w:val="20"/>
              </w:rPr>
            </w:pPr>
            <w:r>
              <w:rPr>
                <w:rFonts w:cs="Arial"/>
                <w:b/>
                <w:color w:val="FFFFFF"/>
                <w:sz w:val="20"/>
              </w:rPr>
              <w:lastRenderedPageBreak/>
              <w:t>South Australia</w:t>
            </w:r>
            <w:r w:rsidRPr="000214BF">
              <w:rPr>
                <w:rFonts w:cs="Arial"/>
                <w:b/>
                <w:color w:val="FFFFFF"/>
                <w:sz w:val="20"/>
              </w:rPr>
              <w:t xml:space="preserve"> point of view</w:t>
            </w:r>
          </w:p>
        </w:tc>
        <w:tc>
          <w:tcPr>
            <w:tcW w:w="4201" w:type="dxa"/>
            <w:shd w:val="clear" w:color="auto" w:fill="7030A0"/>
          </w:tcPr>
          <w:p w:rsidR="00434995" w:rsidRPr="000214BF" w:rsidRDefault="00434995" w:rsidP="00434995">
            <w:pPr>
              <w:jc w:val="both"/>
              <w:rPr>
                <w:rFonts w:cs="Arial"/>
                <w:b/>
                <w:color w:val="FFFFFF"/>
                <w:sz w:val="20"/>
              </w:rPr>
            </w:pPr>
            <w:r w:rsidRPr="000214BF">
              <w:rPr>
                <w:rFonts w:cs="Arial"/>
                <w:b/>
                <w:color w:val="FFFFFF"/>
                <w:sz w:val="20"/>
              </w:rPr>
              <w:t>Programs or strategies to address the situation</w:t>
            </w:r>
          </w:p>
        </w:tc>
      </w:tr>
      <w:tr w:rsidR="00434995" w:rsidRPr="000214BF" w:rsidTr="00434995">
        <w:tc>
          <w:tcPr>
            <w:tcW w:w="4455" w:type="dxa"/>
          </w:tcPr>
          <w:p w:rsidR="00434995" w:rsidRPr="007855D7" w:rsidRDefault="00434995" w:rsidP="00434995">
            <w:pPr>
              <w:numPr>
                <w:ilvl w:val="0"/>
                <w:numId w:val="21"/>
              </w:numPr>
              <w:contextualSpacing/>
              <w:rPr>
                <w:rFonts w:cs="Arial"/>
                <w:sz w:val="20"/>
              </w:rPr>
            </w:pPr>
            <w:r w:rsidRPr="007855D7">
              <w:rPr>
                <w:rFonts w:cs="Arial"/>
                <w:sz w:val="20"/>
              </w:rPr>
              <w:t>Overall the birth rate in SA remains stable.</w:t>
            </w:r>
          </w:p>
          <w:p w:rsidR="00434995" w:rsidRPr="007855D7" w:rsidRDefault="00434995" w:rsidP="00434995">
            <w:pPr>
              <w:pStyle w:val="ListParagraph"/>
              <w:numPr>
                <w:ilvl w:val="0"/>
                <w:numId w:val="21"/>
              </w:numPr>
              <w:spacing w:after="0"/>
              <w:rPr>
                <w:rFonts w:cs="Arial"/>
                <w:sz w:val="20"/>
              </w:rPr>
            </w:pPr>
            <w:r w:rsidRPr="007855D7">
              <w:rPr>
                <w:rFonts w:cs="Arial"/>
                <w:sz w:val="20"/>
              </w:rPr>
              <w:t>Several private maternity services are scheduled to close which will increase the demand for maternity care in the public sector.</w:t>
            </w:r>
          </w:p>
          <w:p w:rsidR="00434995" w:rsidRPr="007855D7" w:rsidRDefault="00434995" w:rsidP="00434995">
            <w:pPr>
              <w:numPr>
                <w:ilvl w:val="0"/>
                <w:numId w:val="21"/>
              </w:numPr>
              <w:contextualSpacing/>
              <w:rPr>
                <w:rFonts w:cs="Arial"/>
                <w:sz w:val="20"/>
              </w:rPr>
            </w:pPr>
            <w:r w:rsidRPr="007855D7">
              <w:rPr>
                <w:rFonts w:cs="Arial"/>
                <w:sz w:val="20"/>
              </w:rPr>
              <w:t>SA offers a variety of models of care including GP Shared Care, midwifery continuity of care models for women of all risk, public hospital midwifery clinics, Aboriginal Family Birthing Programs and medically-led clinics in both the public and private sector.</w:t>
            </w:r>
          </w:p>
          <w:p w:rsidR="00434995" w:rsidRPr="007855D7" w:rsidRDefault="00434995" w:rsidP="00434995">
            <w:pPr>
              <w:numPr>
                <w:ilvl w:val="0"/>
                <w:numId w:val="21"/>
              </w:numPr>
              <w:contextualSpacing/>
              <w:rPr>
                <w:rFonts w:cs="Arial"/>
                <w:sz w:val="20"/>
              </w:rPr>
            </w:pPr>
            <w:r w:rsidRPr="007855D7">
              <w:rPr>
                <w:rFonts w:cs="Arial"/>
                <w:sz w:val="20"/>
              </w:rPr>
              <w:t>State-wide, the demand for midwifery continuity of care models far exceeds places available, although opportunities to maximise women’s access to these models is continually being reviewed and assessed.</w:t>
            </w:r>
          </w:p>
          <w:p w:rsidR="00434995" w:rsidRDefault="00434995" w:rsidP="00434995">
            <w:pPr>
              <w:jc w:val="both"/>
              <w:rPr>
                <w:rFonts w:cs="Arial"/>
                <w:b/>
                <w:color w:val="FFFFFF"/>
                <w:sz w:val="20"/>
              </w:rPr>
            </w:pPr>
          </w:p>
        </w:tc>
        <w:tc>
          <w:tcPr>
            <w:tcW w:w="4201" w:type="dxa"/>
          </w:tcPr>
          <w:p w:rsidR="00434995" w:rsidRPr="007855D7" w:rsidRDefault="00434995" w:rsidP="00434995">
            <w:pPr>
              <w:numPr>
                <w:ilvl w:val="0"/>
                <w:numId w:val="21"/>
              </w:numPr>
              <w:contextualSpacing/>
              <w:rPr>
                <w:rFonts w:cs="Arial"/>
                <w:sz w:val="20"/>
              </w:rPr>
            </w:pPr>
            <w:r w:rsidRPr="007855D7">
              <w:rPr>
                <w:rFonts w:cs="Arial"/>
                <w:sz w:val="20"/>
              </w:rPr>
              <w:t>SA Health offers publically-funded home birth through the major tertiary maternity hospitals through group practice models of care.</w:t>
            </w:r>
          </w:p>
          <w:p w:rsidR="00434995" w:rsidRPr="007855D7" w:rsidRDefault="00434995" w:rsidP="00434995">
            <w:pPr>
              <w:pStyle w:val="ListParagraph"/>
              <w:numPr>
                <w:ilvl w:val="0"/>
                <w:numId w:val="21"/>
              </w:numPr>
              <w:spacing w:after="0"/>
              <w:rPr>
                <w:rFonts w:cs="Arial"/>
                <w:sz w:val="20"/>
              </w:rPr>
            </w:pPr>
            <w:r w:rsidRPr="007855D7">
              <w:rPr>
                <w:rFonts w:cs="Arial"/>
                <w:sz w:val="20"/>
              </w:rPr>
              <w:t>In July 2019 an all-risk midwifery caseload model of care will commence in country SA’s Yorke and Northern Region. This model will span across five country hospitals that provide birthing services.  It is anticipated that this new model will improve the long-term sustainability and increase the capability of rural birthing services. This program will initially be trialled as a pilot program with the intent to implement in other rural regions following evaluation.</w:t>
            </w:r>
          </w:p>
          <w:p w:rsidR="00434995" w:rsidRDefault="00434995" w:rsidP="00434995">
            <w:pPr>
              <w:numPr>
                <w:ilvl w:val="0"/>
                <w:numId w:val="21"/>
              </w:numPr>
              <w:contextualSpacing/>
              <w:rPr>
                <w:rFonts w:cs="Arial"/>
                <w:sz w:val="20"/>
              </w:rPr>
            </w:pPr>
            <w:r w:rsidRPr="007855D7">
              <w:rPr>
                <w:rFonts w:cs="Arial"/>
                <w:sz w:val="20"/>
              </w:rPr>
              <w:t xml:space="preserve">Midwives holding the NMBA </w:t>
            </w:r>
            <w:r w:rsidRPr="00DA3E15">
              <w:rPr>
                <w:rFonts w:cs="Arial"/>
                <w:sz w:val="20"/>
              </w:rPr>
              <w:t>Endorsement for scheduled medicines for midwives</w:t>
            </w:r>
            <w:r w:rsidRPr="007855D7">
              <w:rPr>
                <w:rFonts w:cs="Arial"/>
                <w:sz w:val="20"/>
              </w:rPr>
              <w:t xml:space="preserve"> have been enabled to prescribe </w:t>
            </w:r>
            <w:r>
              <w:rPr>
                <w:rFonts w:cs="Arial"/>
                <w:sz w:val="20"/>
              </w:rPr>
              <w:t>in public sector roles.</w:t>
            </w:r>
          </w:p>
          <w:p w:rsidR="00434995" w:rsidRDefault="00434995" w:rsidP="00434995">
            <w:pPr>
              <w:numPr>
                <w:ilvl w:val="0"/>
                <w:numId w:val="21"/>
              </w:numPr>
              <w:contextualSpacing/>
              <w:rPr>
                <w:rFonts w:cs="Arial"/>
                <w:sz w:val="20"/>
              </w:rPr>
            </w:pPr>
            <w:r w:rsidRPr="00DA3E15">
              <w:rPr>
                <w:rFonts w:cs="Arial"/>
                <w:sz w:val="20"/>
              </w:rPr>
              <w:t xml:space="preserve">Private midwifery care is able to be provided in SA public hospitals under the SA Health </w:t>
            </w:r>
            <w:hyperlink r:id="rId44" w:tgtFrame="_blank" w:tooltip="Link opens in a new window" w:history="1">
              <w:r w:rsidRPr="00DA3E15">
                <w:rPr>
                  <w:rFonts w:cs="Arial"/>
                  <w:sz w:val="20"/>
                </w:rPr>
                <w:t>Privately Practising Midwives Access to Public Sector Maternity Services Policy Directive</w:t>
              </w:r>
            </w:hyperlink>
          </w:p>
          <w:p w:rsidR="00434995" w:rsidRPr="00DA3E15" w:rsidRDefault="00434995" w:rsidP="00434995">
            <w:pPr>
              <w:ind w:left="360"/>
              <w:contextualSpacing/>
              <w:rPr>
                <w:rFonts w:cs="Arial"/>
                <w:sz w:val="20"/>
              </w:rPr>
            </w:pPr>
          </w:p>
        </w:tc>
      </w:tr>
      <w:tr w:rsidR="00434995" w:rsidRPr="000214BF" w:rsidTr="00CC2F52">
        <w:tc>
          <w:tcPr>
            <w:tcW w:w="4455" w:type="dxa"/>
            <w:shd w:val="clear" w:color="auto" w:fill="7030A0"/>
          </w:tcPr>
          <w:p w:rsidR="00434995" w:rsidRPr="000214BF" w:rsidRDefault="00434995" w:rsidP="00434995">
            <w:pPr>
              <w:jc w:val="both"/>
              <w:rPr>
                <w:rFonts w:cs="Arial"/>
                <w:b/>
                <w:color w:val="FFFFFF"/>
                <w:sz w:val="20"/>
              </w:rPr>
            </w:pPr>
            <w:r>
              <w:rPr>
                <w:rFonts w:cs="Arial"/>
                <w:b/>
                <w:color w:val="FFFFFF"/>
                <w:sz w:val="20"/>
              </w:rPr>
              <w:t>Tasmania</w:t>
            </w:r>
            <w:r w:rsidRPr="000214BF">
              <w:rPr>
                <w:rFonts w:cs="Arial"/>
                <w:b/>
                <w:color w:val="FFFFFF"/>
                <w:sz w:val="20"/>
              </w:rPr>
              <w:t xml:space="preserve"> point of view</w:t>
            </w:r>
          </w:p>
        </w:tc>
        <w:tc>
          <w:tcPr>
            <w:tcW w:w="4201" w:type="dxa"/>
            <w:shd w:val="clear" w:color="auto" w:fill="7030A0"/>
          </w:tcPr>
          <w:p w:rsidR="00434995" w:rsidRPr="000214BF" w:rsidRDefault="00434995" w:rsidP="00434995">
            <w:pPr>
              <w:jc w:val="both"/>
              <w:rPr>
                <w:rFonts w:cs="Arial"/>
                <w:b/>
                <w:color w:val="FFFFFF"/>
                <w:sz w:val="20"/>
              </w:rPr>
            </w:pPr>
            <w:r w:rsidRPr="000214BF">
              <w:rPr>
                <w:rFonts w:cs="Arial"/>
                <w:b/>
                <w:color w:val="FFFFFF"/>
                <w:sz w:val="20"/>
              </w:rPr>
              <w:t>Programs or strategies to address the situation</w:t>
            </w:r>
          </w:p>
        </w:tc>
      </w:tr>
      <w:tr w:rsidR="00434995" w:rsidRPr="000214BF" w:rsidTr="00434995">
        <w:tc>
          <w:tcPr>
            <w:tcW w:w="4455" w:type="dxa"/>
          </w:tcPr>
          <w:p w:rsidR="00434995" w:rsidRPr="002B7E32" w:rsidRDefault="00434995" w:rsidP="00434995">
            <w:pPr>
              <w:pStyle w:val="ListParagraph"/>
              <w:numPr>
                <w:ilvl w:val="0"/>
                <w:numId w:val="36"/>
              </w:numPr>
              <w:spacing w:after="0"/>
              <w:rPr>
                <w:rFonts w:cs="Arial"/>
                <w:sz w:val="20"/>
              </w:rPr>
            </w:pPr>
            <w:r w:rsidRPr="002B7E32">
              <w:rPr>
                <w:rFonts w:cs="Arial"/>
                <w:sz w:val="20"/>
              </w:rPr>
              <w:t>As above – midwifery led models will grow into the future to maximise professional satisfaction of midwives</w:t>
            </w:r>
          </w:p>
          <w:p w:rsidR="00434995" w:rsidRPr="002B7E32" w:rsidRDefault="00434995" w:rsidP="00434995">
            <w:pPr>
              <w:pStyle w:val="ListParagraph"/>
              <w:numPr>
                <w:ilvl w:val="0"/>
                <w:numId w:val="36"/>
              </w:numPr>
              <w:spacing w:after="0"/>
              <w:rPr>
                <w:rFonts w:cs="Arial"/>
                <w:sz w:val="20"/>
              </w:rPr>
            </w:pPr>
            <w:r w:rsidRPr="002B7E32">
              <w:rPr>
                <w:rFonts w:cs="Arial"/>
                <w:sz w:val="20"/>
              </w:rPr>
              <w:t>Job satisfaction in the North is good, but this information is informally obtained.</w:t>
            </w:r>
          </w:p>
        </w:tc>
        <w:tc>
          <w:tcPr>
            <w:tcW w:w="4201" w:type="dxa"/>
          </w:tcPr>
          <w:p w:rsidR="00434995" w:rsidRPr="007751AF" w:rsidRDefault="00434995" w:rsidP="00434995">
            <w:pPr>
              <w:numPr>
                <w:ilvl w:val="0"/>
                <w:numId w:val="21"/>
              </w:numPr>
              <w:contextualSpacing/>
              <w:jc w:val="both"/>
              <w:rPr>
                <w:rFonts w:cs="Arial"/>
                <w:sz w:val="20"/>
              </w:rPr>
            </w:pPr>
            <w:r w:rsidRPr="007751AF">
              <w:rPr>
                <w:rFonts w:cs="Arial"/>
                <w:sz w:val="20"/>
              </w:rPr>
              <w:t>Growing acceptance of less traditional midwifery models: Women in the North region have been used to a fairly traditional midwifery model.  As midwifery group practice becomes a more longstanding feature of the local health environment, women are accepting and seeking it more.  Team Midwifery (KIM) has been well accepted as a step between the traditional model and MGP, without early discharge but with smaller teams for better continuity of care.</w:t>
            </w:r>
          </w:p>
          <w:p w:rsidR="00434995" w:rsidRPr="000214BF" w:rsidRDefault="00434995" w:rsidP="00434995">
            <w:pPr>
              <w:numPr>
                <w:ilvl w:val="0"/>
                <w:numId w:val="21"/>
              </w:numPr>
              <w:contextualSpacing/>
              <w:jc w:val="both"/>
              <w:rPr>
                <w:rFonts w:cs="Arial"/>
                <w:sz w:val="20"/>
              </w:rPr>
            </w:pPr>
            <w:r w:rsidRPr="007751AF">
              <w:rPr>
                <w:rFonts w:cs="Arial"/>
                <w:sz w:val="20"/>
              </w:rPr>
              <w:t>Formal measures of job satisfaction, and reason for leaving (exit interview/survey) are not strongly maintained.</w:t>
            </w:r>
          </w:p>
        </w:tc>
      </w:tr>
      <w:tr w:rsidR="00434995" w:rsidRPr="000214BF" w:rsidTr="00CC2F52">
        <w:tc>
          <w:tcPr>
            <w:tcW w:w="4455" w:type="dxa"/>
            <w:shd w:val="clear" w:color="auto" w:fill="7030A0"/>
          </w:tcPr>
          <w:p w:rsidR="00434995" w:rsidRPr="000214BF" w:rsidRDefault="00434995" w:rsidP="00434995">
            <w:pPr>
              <w:jc w:val="both"/>
              <w:rPr>
                <w:rFonts w:cs="Arial"/>
                <w:b/>
                <w:color w:val="FFFFFF"/>
                <w:sz w:val="20"/>
              </w:rPr>
            </w:pPr>
            <w:r>
              <w:rPr>
                <w:rFonts w:cs="Arial"/>
                <w:b/>
                <w:color w:val="FFFFFF"/>
                <w:sz w:val="20"/>
              </w:rPr>
              <w:t>Victoria</w:t>
            </w:r>
            <w:r w:rsidRPr="000214BF">
              <w:rPr>
                <w:rFonts w:cs="Arial"/>
                <w:b/>
                <w:color w:val="FFFFFF"/>
                <w:sz w:val="20"/>
              </w:rPr>
              <w:t xml:space="preserve"> point of view</w:t>
            </w:r>
          </w:p>
        </w:tc>
        <w:tc>
          <w:tcPr>
            <w:tcW w:w="4201" w:type="dxa"/>
            <w:shd w:val="clear" w:color="auto" w:fill="7030A0"/>
          </w:tcPr>
          <w:p w:rsidR="00434995" w:rsidRPr="000214BF" w:rsidRDefault="00434995" w:rsidP="00434995">
            <w:pPr>
              <w:jc w:val="both"/>
              <w:rPr>
                <w:rFonts w:cs="Arial"/>
                <w:b/>
                <w:color w:val="FFFFFF"/>
                <w:sz w:val="20"/>
              </w:rPr>
            </w:pPr>
            <w:r w:rsidRPr="000214BF">
              <w:rPr>
                <w:rFonts w:cs="Arial"/>
                <w:b/>
                <w:color w:val="FFFFFF"/>
                <w:sz w:val="20"/>
              </w:rPr>
              <w:t>Programs or strategies to address the situation</w:t>
            </w:r>
          </w:p>
        </w:tc>
      </w:tr>
      <w:tr w:rsidR="00434995" w:rsidRPr="000214BF" w:rsidTr="00434995">
        <w:tc>
          <w:tcPr>
            <w:tcW w:w="4455" w:type="dxa"/>
          </w:tcPr>
          <w:p w:rsidR="00434995" w:rsidRPr="002B7E32" w:rsidRDefault="00434995" w:rsidP="00434995">
            <w:pPr>
              <w:pStyle w:val="ListParagraph"/>
              <w:numPr>
                <w:ilvl w:val="0"/>
                <w:numId w:val="37"/>
              </w:numPr>
              <w:spacing w:after="0"/>
              <w:rPr>
                <w:rFonts w:cs="Arial"/>
                <w:sz w:val="20"/>
              </w:rPr>
            </w:pPr>
            <w:r w:rsidRPr="002B7E32">
              <w:rPr>
                <w:rFonts w:cs="Arial"/>
                <w:sz w:val="20"/>
              </w:rPr>
              <w:t xml:space="preserve">Yes, quite a lot is being done to develop innovative models of care, partly to address </w:t>
            </w:r>
            <w:r w:rsidRPr="002B7E32">
              <w:rPr>
                <w:rFonts w:cs="Arial"/>
                <w:sz w:val="20"/>
              </w:rPr>
              <w:lastRenderedPageBreak/>
              <w:t xml:space="preserve">supply issues but also to improve the client experience for mothers. </w:t>
            </w:r>
          </w:p>
          <w:p w:rsidR="00434995" w:rsidRPr="002B7E32" w:rsidRDefault="00434995" w:rsidP="00434995">
            <w:pPr>
              <w:pStyle w:val="ListParagraph"/>
              <w:numPr>
                <w:ilvl w:val="0"/>
                <w:numId w:val="37"/>
              </w:numPr>
              <w:spacing w:after="0"/>
              <w:rPr>
                <w:rFonts w:cs="Arial"/>
                <w:sz w:val="20"/>
              </w:rPr>
            </w:pPr>
            <w:r w:rsidRPr="002B7E32">
              <w:rPr>
                <w:rFonts w:cs="Arial"/>
                <w:sz w:val="20"/>
              </w:rPr>
              <w:t>In rural areas there is a preference for dual-qualified nurse and midwife, but this can make it difficult for individual midwives to maintain recency of practice.</w:t>
            </w:r>
          </w:p>
        </w:tc>
        <w:tc>
          <w:tcPr>
            <w:tcW w:w="4201" w:type="dxa"/>
          </w:tcPr>
          <w:p w:rsidR="00434995" w:rsidRDefault="00434995" w:rsidP="00434995">
            <w:pPr>
              <w:numPr>
                <w:ilvl w:val="0"/>
                <w:numId w:val="21"/>
              </w:numPr>
              <w:contextualSpacing/>
              <w:jc w:val="both"/>
              <w:rPr>
                <w:rFonts w:cs="Arial"/>
                <w:sz w:val="20"/>
              </w:rPr>
            </w:pPr>
            <w:r w:rsidRPr="00FF1C2D">
              <w:rPr>
                <w:rFonts w:cs="Arial"/>
                <w:sz w:val="20"/>
              </w:rPr>
              <w:lastRenderedPageBreak/>
              <w:t xml:space="preserve">There are a number of innovative midwife-led models being developed and expanded, including Midwifery Group </w:t>
            </w:r>
            <w:r w:rsidRPr="00FF1C2D">
              <w:rPr>
                <w:rFonts w:cs="Arial"/>
                <w:sz w:val="20"/>
              </w:rPr>
              <w:lastRenderedPageBreak/>
              <w:t>Practices. Some of the proposed or piloted models are more costly than existing models. Collaborative arrangements which see private midwives able to care for women in public maternity services are being considered.</w:t>
            </w:r>
          </w:p>
          <w:p w:rsidR="00434995" w:rsidRPr="000214BF" w:rsidRDefault="00434995" w:rsidP="00434995">
            <w:pPr>
              <w:ind w:left="360"/>
              <w:contextualSpacing/>
              <w:jc w:val="both"/>
              <w:rPr>
                <w:rFonts w:cs="Arial"/>
                <w:sz w:val="20"/>
              </w:rPr>
            </w:pPr>
          </w:p>
        </w:tc>
      </w:tr>
      <w:tr w:rsidR="00434995" w:rsidRPr="000214BF" w:rsidTr="00CC2F52">
        <w:tc>
          <w:tcPr>
            <w:tcW w:w="4455" w:type="dxa"/>
            <w:shd w:val="clear" w:color="auto" w:fill="7030A0"/>
          </w:tcPr>
          <w:p w:rsidR="00434995" w:rsidRPr="000214BF" w:rsidRDefault="00434995" w:rsidP="00434995">
            <w:pPr>
              <w:jc w:val="both"/>
              <w:rPr>
                <w:rFonts w:cs="Arial"/>
                <w:b/>
                <w:color w:val="FFFFFF"/>
                <w:sz w:val="20"/>
              </w:rPr>
            </w:pPr>
            <w:r>
              <w:rPr>
                <w:rFonts w:cs="Arial"/>
                <w:b/>
                <w:color w:val="FFFFFF"/>
                <w:sz w:val="20"/>
              </w:rPr>
              <w:lastRenderedPageBreak/>
              <w:t xml:space="preserve">Western Australia </w:t>
            </w:r>
            <w:r w:rsidRPr="000214BF">
              <w:rPr>
                <w:rFonts w:cs="Arial"/>
                <w:b/>
                <w:color w:val="FFFFFF"/>
                <w:sz w:val="20"/>
              </w:rPr>
              <w:t xml:space="preserve"> point of view</w:t>
            </w:r>
          </w:p>
        </w:tc>
        <w:tc>
          <w:tcPr>
            <w:tcW w:w="4201" w:type="dxa"/>
            <w:shd w:val="clear" w:color="auto" w:fill="7030A0"/>
          </w:tcPr>
          <w:p w:rsidR="00434995" w:rsidRPr="000214BF" w:rsidRDefault="00434995" w:rsidP="00434995">
            <w:pPr>
              <w:jc w:val="both"/>
              <w:rPr>
                <w:rFonts w:cs="Arial"/>
                <w:b/>
                <w:color w:val="FFFFFF"/>
                <w:sz w:val="20"/>
              </w:rPr>
            </w:pPr>
            <w:r w:rsidRPr="000214BF">
              <w:rPr>
                <w:rFonts w:cs="Arial"/>
                <w:b/>
                <w:color w:val="FFFFFF"/>
                <w:sz w:val="20"/>
              </w:rPr>
              <w:t>Programs or strategies to address the situation</w:t>
            </w:r>
          </w:p>
        </w:tc>
      </w:tr>
      <w:tr w:rsidR="00434995" w:rsidRPr="000214BF" w:rsidTr="00434995">
        <w:tc>
          <w:tcPr>
            <w:tcW w:w="4455" w:type="dxa"/>
          </w:tcPr>
          <w:p w:rsidR="00434995" w:rsidRPr="002B7E32" w:rsidRDefault="00434995" w:rsidP="00434995">
            <w:pPr>
              <w:pStyle w:val="ListParagraph"/>
              <w:numPr>
                <w:ilvl w:val="0"/>
                <w:numId w:val="21"/>
              </w:numPr>
              <w:spacing w:after="0"/>
              <w:rPr>
                <w:rFonts w:cs="Arial"/>
                <w:sz w:val="20"/>
              </w:rPr>
            </w:pPr>
            <w:r w:rsidRPr="002B7E32">
              <w:rPr>
                <w:rFonts w:cs="Arial"/>
                <w:sz w:val="20"/>
              </w:rPr>
              <w:t>13 Group practice models</w:t>
            </w:r>
          </w:p>
          <w:p w:rsidR="00434995" w:rsidRPr="002B7E32" w:rsidRDefault="00434995" w:rsidP="00434995">
            <w:pPr>
              <w:pStyle w:val="ListParagraph"/>
              <w:numPr>
                <w:ilvl w:val="0"/>
                <w:numId w:val="21"/>
              </w:numPr>
              <w:spacing w:after="0"/>
              <w:rPr>
                <w:rFonts w:cs="Arial"/>
                <w:sz w:val="20"/>
              </w:rPr>
            </w:pPr>
            <w:r w:rsidRPr="002B7E32">
              <w:rPr>
                <w:rFonts w:cs="Arial"/>
                <w:sz w:val="20"/>
              </w:rPr>
              <w:t>Career pathways for direct entry midwives to extend practice to include family and child health care.</w:t>
            </w:r>
          </w:p>
        </w:tc>
        <w:tc>
          <w:tcPr>
            <w:tcW w:w="4201" w:type="dxa"/>
          </w:tcPr>
          <w:p w:rsidR="00434995" w:rsidRPr="00AB0FC4" w:rsidRDefault="00434995" w:rsidP="00434995">
            <w:pPr>
              <w:numPr>
                <w:ilvl w:val="0"/>
                <w:numId w:val="21"/>
              </w:numPr>
              <w:contextualSpacing/>
              <w:jc w:val="both"/>
              <w:rPr>
                <w:rFonts w:cs="Arial"/>
                <w:sz w:val="20"/>
              </w:rPr>
            </w:pPr>
            <w:r w:rsidRPr="00AB0FC4">
              <w:rPr>
                <w:rFonts w:cs="Arial"/>
                <w:sz w:val="20"/>
              </w:rPr>
              <w:t>Introduction of a midwifery led unit in a regional centre.</w:t>
            </w:r>
          </w:p>
          <w:p w:rsidR="00434995" w:rsidRPr="00AB0FC4" w:rsidRDefault="00434995" w:rsidP="00434995">
            <w:pPr>
              <w:numPr>
                <w:ilvl w:val="0"/>
                <w:numId w:val="21"/>
              </w:numPr>
              <w:contextualSpacing/>
              <w:jc w:val="both"/>
              <w:rPr>
                <w:rFonts w:cs="Arial"/>
                <w:sz w:val="20"/>
              </w:rPr>
            </w:pPr>
            <w:r w:rsidRPr="00AB0FC4">
              <w:rPr>
                <w:rFonts w:cs="Arial"/>
                <w:sz w:val="20"/>
              </w:rPr>
              <w:t>Introduction of a Community midwife role.</w:t>
            </w:r>
          </w:p>
          <w:p w:rsidR="00434995" w:rsidRDefault="00434995" w:rsidP="00434995">
            <w:pPr>
              <w:numPr>
                <w:ilvl w:val="0"/>
                <w:numId w:val="21"/>
              </w:numPr>
              <w:contextualSpacing/>
              <w:jc w:val="both"/>
              <w:rPr>
                <w:rFonts w:cs="Arial"/>
                <w:sz w:val="20"/>
              </w:rPr>
            </w:pPr>
            <w:r w:rsidRPr="00AB0FC4">
              <w:rPr>
                <w:rFonts w:cs="Arial"/>
                <w:sz w:val="20"/>
              </w:rPr>
              <w:t>Investigation of career pathways for endorsed midwives.</w:t>
            </w:r>
          </w:p>
          <w:p w:rsidR="00434995" w:rsidRPr="000214BF" w:rsidRDefault="00434995" w:rsidP="00434995">
            <w:pPr>
              <w:ind w:left="360"/>
              <w:contextualSpacing/>
              <w:jc w:val="both"/>
              <w:rPr>
                <w:rFonts w:cs="Arial"/>
                <w:sz w:val="20"/>
              </w:rPr>
            </w:pPr>
          </w:p>
        </w:tc>
      </w:tr>
    </w:tbl>
    <w:p w:rsidR="00DE6033" w:rsidRDefault="00DE6033">
      <w:pPr>
        <w:rPr>
          <w:rFonts w:cs="Arial"/>
          <w:szCs w:val="22"/>
        </w:rPr>
      </w:pPr>
    </w:p>
    <w:p w:rsidR="00DE6033" w:rsidRDefault="00DE6033">
      <w:pPr>
        <w:rPr>
          <w:rFonts w:cs="Arial"/>
          <w:szCs w:val="22"/>
        </w:rPr>
      </w:pPr>
      <w:r>
        <w:rPr>
          <w:rFonts w:cs="Arial"/>
          <w:szCs w:val="22"/>
        </w:rPr>
        <w:br w:type="page"/>
      </w:r>
    </w:p>
    <w:p w:rsidR="0039515B" w:rsidRDefault="00620D1A" w:rsidP="0039515B">
      <w:pPr>
        <w:pStyle w:val="Heading1"/>
      </w:pPr>
      <w:bookmarkStart w:id="227" w:name="_Toc10808424"/>
      <w:r w:rsidRPr="008A7558">
        <w:lastRenderedPageBreak/>
        <w:t>Appendix C</w:t>
      </w:r>
      <w:r w:rsidR="00804BE5" w:rsidRPr="008A7558">
        <w:t xml:space="preserve">: </w:t>
      </w:r>
      <w:r w:rsidR="0057674E">
        <w:t>Governance</w:t>
      </w:r>
      <w:r w:rsidR="00192F9A" w:rsidRPr="008A7558">
        <w:br/>
      </w:r>
      <w:bookmarkEnd w:id="227"/>
    </w:p>
    <w:p w:rsidR="00620D1A" w:rsidRPr="00D75771" w:rsidRDefault="0039515B" w:rsidP="0039515B">
      <w:pPr>
        <w:pStyle w:val="Heading2"/>
      </w:pPr>
      <w:r>
        <w:t xml:space="preserve">National Nursing and Midwifery Education and Advisory Network </w:t>
      </w:r>
      <w:r w:rsidR="00192F9A">
        <w:t>Representatives</w:t>
      </w:r>
    </w:p>
    <w:p w:rsidR="00620D1A" w:rsidRDefault="00355576">
      <w:pPr>
        <w:rPr>
          <w:rFonts w:cs="Arial"/>
          <w:szCs w:val="22"/>
        </w:rPr>
      </w:pPr>
      <w:r>
        <w:rPr>
          <w:rFonts w:cs="Arial"/>
          <w:szCs w:val="22"/>
        </w:rPr>
        <w:t>Adjunct Professor Debra Thoms</w:t>
      </w:r>
      <w:r w:rsidR="00A967CC">
        <w:rPr>
          <w:rFonts w:cs="Arial"/>
          <w:szCs w:val="22"/>
        </w:rPr>
        <w:t xml:space="preserve"> (Chair)</w:t>
      </w:r>
      <w:r w:rsidR="009867D5">
        <w:rPr>
          <w:rFonts w:cs="Arial"/>
          <w:szCs w:val="22"/>
        </w:rPr>
        <w:t>,</w:t>
      </w:r>
      <w:r>
        <w:rPr>
          <w:rFonts w:cs="Arial"/>
          <w:szCs w:val="22"/>
        </w:rPr>
        <w:t xml:space="preserve"> Commonwealth Chief Nursing and Midwifery Officer</w:t>
      </w:r>
    </w:p>
    <w:p w:rsidR="00355576" w:rsidRDefault="00927D28" w:rsidP="00927D28">
      <w:pPr>
        <w:rPr>
          <w:rFonts w:cs="Arial"/>
          <w:szCs w:val="22"/>
        </w:rPr>
      </w:pPr>
      <w:r w:rsidRPr="00927D28">
        <w:rPr>
          <w:rFonts w:cs="Arial"/>
          <w:szCs w:val="22"/>
        </w:rPr>
        <w:t xml:space="preserve">Adjunct Associate Professor </w:t>
      </w:r>
      <w:r w:rsidR="00355576">
        <w:rPr>
          <w:rFonts w:cs="Arial"/>
          <w:szCs w:val="22"/>
        </w:rPr>
        <w:t>Francine Douce</w:t>
      </w:r>
      <w:r w:rsidR="009867D5">
        <w:rPr>
          <w:rFonts w:cs="Arial"/>
          <w:szCs w:val="22"/>
        </w:rPr>
        <w:t>,</w:t>
      </w:r>
      <w:r>
        <w:rPr>
          <w:rFonts w:cs="Arial"/>
          <w:szCs w:val="22"/>
        </w:rPr>
        <w:t xml:space="preserve"> Chief Nurse and Midwife</w:t>
      </w:r>
      <w:r w:rsidR="006E3D89">
        <w:rPr>
          <w:rFonts w:cs="Arial"/>
          <w:szCs w:val="22"/>
        </w:rPr>
        <w:t>,</w:t>
      </w:r>
      <w:r>
        <w:rPr>
          <w:rFonts w:cs="Arial"/>
          <w:szCs w:val="22"/>
        </w:rPr>
        <w:t xml:space="preserve"> Department of Health</w:t>
      </w:r>
      <w:r w:rsidR="006E3D89">
        <w:rPr>
          <w:rFonts w:cs="Arial"/>
          <w:szCs w:val="22"/>
        </w:rPr>
        <w:t>,</w:t>
      </w:r>
      <w:r>
        <w:rPr>
          <w:rFonts w:cs="Arial"/>
          <w:szCs w:val="22"/>
        </w:rPr>
        <w:t xml:space="preserve"> </w:t>
      </w:r>
      <w:r w:rsidRPr="00927D28">
        <w:rPr>
          <w:rFonts w:cs="Arial"/>
          <w:szCs w:val="22"/>
        </w:rPr>
        <w:t>Tasmania</w:t>
      </w:r>
    </w:p>
    <w:p w:rsidR="00355576" w:rsidRPr="00927D28" w:rsidRDefault="00927D28" w:rsidP="00927D28">
      <w:pPr>
        <w:rPr>
          <w:rFonts w:cs="Arial"/>
          <w:szCs w:val="22"/>
        </w:rPr>
      </w:pPr>
      <w:r w:rsidRPr="00927D28">
        <w:rPr>
          <w:rFonts w:cs="Arial"/>
          <w:szCs w:val="22"/>
        </w:rPr>
        <w:t xml:space="preserve">Adjunct Associate Professor </w:t>
      </w:r>
      <w:r w:rsidR="00355576">
        <w:rPr>
          <w:rFonts w:cs="Arial"/>
          <w:szCs w:val="22"/>
        </w:rPr>
        <w:t>Ann</w:t>
      </w:r>
      <w:r>
        <w:rPr>
          <w:rFonts w:cs="Arial"/>
          <w:szCs w:val="22"/>
        </w:rPr>
        <w:t xml:space="preserve"> </w:t>
      </w:r>
      <w:r w:rsidR="00355576">
        <w:rPr>
          <w:rFonts w:cs="Arial"/>
          <w:szCs w:val="22"/>
        </w:rPr>
        <w:t>Maree Keenan</w:t>
      </w:r>
      <w:r w:rsidR="009867D5">
        <w:rPr>
          <w:rFonts w:cs="Arial"/>
          <w:szCs w:val="22"/>
        </w:rPr>
        <w:t>,</w:t>
      </w:r>
      <w:r w:rsidRPr="00927D28">
        <w:t xml:space="preserve"> </w:t>
      </w:r>
      <w:r>
        <w:rPr>
          <w:rFonts w:cs="Arial"/>
          <w:szCs w:val="22"/>
        </w:rPr>
        <w:t>Deputy CEO</w:t>
      </w:r>
      <w:r w:rsidR="006E3D89">
        <w:rPr>
          <w:rFonts w:cs="Arial"/>
          <w:szCs w:val="22"/>
        </w:rPr>
        <w:t>,</w:t>
      </w:r>
      <w:r>
        <w:rPr>
          <w:rFonts w:cs="Arial"/>
          <w:szCs w:val="22"/>
        </w:rPr>
        <w:t xml:space="preserve"> Safer Care Victoria</w:t>
      </w:r>
      <w:r w:rsidR="006E3D89">
        <w:rPr>
          <w:rFonts w:cs="Arial"/>
          <w:szCs w:val="22"/>
        </w:rPr>
        <w:t>,</w:t>
      </w:r>
      <w:r w:rsidRPr="00927D28">
        <w:rPr>
          <w:rFonts w:cs="Arial"/>
          <w:szCs w:val="22"/>
        </w:rPr>
        <w:t xml:space="preserve"> Chief Nurse and Midwifery Officer</w:t>
      </w:r>
      <w:r w:rsidR="006E3D89">
        <w:rPr>
          <w:rFonts w:cs="Arial"/>
          <w:szCs w:val="22"/>
        </w:rPr>
        <w:t>, Victoria</w:t>
      </w:r>
    </w:p>
    <w:p w:rsidR="00355576" w:rsidRDefault="00355576" w:rsidP="00355576">
      <w:pPr>
        <w:rPr>
          <w:rFonts w:cs="Arial"/>
          <w:szCs w:val="22"/>
        </w:rPr>
      </w:pPr>
      <w:r>
        <w:rPr>
          <w:rFonts w:cs="Arial"/>
          <w:szCs w:val="22"/>
        </w:rPr>
        <w:t>Ms Carole Little</w:t>
      </w:r>
      <w:r w:rsidR="009867D5">
        <w:rPr>
          <w:rFonts w:cs="Arial"/>
          <w:szCs w:val="22"/>
        </w:rPr>
        <w:t>,</w:t>
      </w:r>
      <w:r>
        <w:rPr>
          <w:rFonts w:cs="Arial"/>
          <w:szCs w:val="22"/>
        </w:rPr>
        <w:t xml:space="preserve"> Acting Executive Director </w:t>
      </w:r>
      <w:r w:rsidRPr="00355576">
        <w:rPr>
          <w:rFonts w:cs="Arial"/>
          <w:szCs w:val="22"/>
        </w:rPr>
        <w:t>A</w:t>
      </w:r>
      <w:r>
        <w:rPr>
          <w:rFonts w:cs="Arial"/>
          <w:szCs w:val="22"/>
        </w:rPr>
        <w:t>MEP, Access, Community &amp; Health</w:t>
      </w:r>
      <w:r w:rsidR="006E3D89">
        <w:rPr>
          <w:rFonts w:cs="Arial"/>
          <w:szCs w:val="22"/>
        </w:rPr>
        <w:t>,</w:t>
      </w:r>
      <w:r>
        <w:rPr>
          <w:rFonts w:cs="Arial"/>
          <w:szCs w:val="22"/>
        </w:rPr>
        <w:t xml:space="preserve"> South Metropolitan TAFE</w:t>
      </w:r>
      <w:r w:rsidR="006E3D89">
        <w:rPr>
          <w:rFonts w:cs="Arial"/>
          <w:szCs w:val="22"/>
        </w:rPr>
        <w:t>,</w:t>
      </w:r>
      <w:r>
        <w:rPr>
          <w:rFonts w:cs="Arial"/>
          <w:szCs w:val="22"/>
        </w:rPr>
        <w:t xml:space="preserve"> </w:t>
      </w:r>
      <w:r w:rsidRPr="00355576">
        <w:rPr>
          <w:rFonts w:cs="Arial"/>
          <w:szCs w:val="22"/>
        </w:rPr>
        <w:t>Western Australia</w:t>
      </w:r>
    </w:p>
    <w:p w:rsidR="00A967CC" w:rsidRDefault="00A967CC" w:rsidP="00355576">
      <w:pPr>
        <w:rPr>
          <w:rFonts w:cs="Arial"/>
          <w:szCs w:val="22"/>
        </w:rPr>
      </w:pPr>
      <w:r>
        <w:rPr>
          <w:rFonts w:cs="Arial"/>
          <w:szCs w:val="22"/>
        </w:rPr>
        <w:t xml:space="preserve">Professor Tracey Moroney, </w:t>
      </w:r>
      <w:r w:rsidRPr="006E3D89">
        <w:rPr>
          <w:rFonts w:cs="Arial"/>
          <w:szCs w:val="22"/>
        </w:rPr>
        <w:t>Deputy Dean, Faculty of Science, Medicine and Health</w:t>
      </w:r>
      <w:r>
        <w:rPr>
          <w:rFonts w:cs="Arial"/>
          <w:szCs w:val="22"/>
        </w:rPr>
        <w:t xml:space="preserve">, </w:t>
      </w:r>
      <w:r w:rsidRPr="006E3D89">
        <w:rPr>
          <w:rFonts w:cs="Arial"/>
          <w:szCs w:val="22"/>
        </w:rPr>
        <w:t>Head of School</w:t>
      </w:r>
      <w:r>
        <w:rPr>
          <w:rFonts w:cs="Arial"/>
          <w:szCs w:val="22"/>
        </w:rPr>
        <w:t xml:space="preserve">, </w:t>
      </w:r>
      <w:r w:rsidRPr="006E3D89">
        <w:rPr>
          <w:rFonts w:cs="Arial"/>
          <w:szCs w:val="22"/>
        </w:rPr>
        <w:t>Chair, Council of Deans of Nursing and Midwifery</w:t>
      </w:r>
    </w:p>
    <w:p w:rsidR="00355576" w:rsidRDefault="00355576" w:rsidP="006E3D89">
      <w:pPr>
        <w:rPr>
          <w:rFonts w:cs="Arial"/>
          <w:szCs w:val="22"/>
        </w:rPr>
      </w:pPr>
      <w:r>
        <w:rPr>
          <w:rFonts w:cs="Arial"/>
          <w:szCs w:val="22"/>
        </w:rPr>
        <w:t>Ms Elizabeth Porritt</w:t>
      </w:r>
      <w:r w:rsidR="009867D5">
        <w:rPr>
          <w:rFonts w:cs="Arial"/>
          <w:szCs w:val="22"/>
        </w:rPr>
        <w:t>,</w:t>
      </w:r>
      <w:r w:rsidR="006E3D89">
        <w:rPr>
          <w:rFonts w:cs="Arial"/>
          <w:szCs w:val="22"/>
        </w:rPr>
        <w:t xml:space="preserve"> </w:t>
      </w:r>
      <w:r w:rsidR="009867D5">
        <w:rPr>
          <w:rFonts w:cs="Arial"/>
          <w:szCs w:val="22"/>
        </w:rPr>
        <w:t>General Manager,</w:t>
      </w:r>
      <w:r w:rsidR="006E3D89" w:rsidRPr="006E3D89">
        <w:rPr>
          <w:rFonts w:cs="Arial"/>
          <w:szCs w:val="22"/>
        </w:rPr>
        <w:t xml:space="preserve"> National Capital Private Hospital, Canberra</w:t>
      </w:r>
      <w:r w:rsidR="001271BD">
        <w:rPr>
          <w:rFonts w:cs="Arial"/>
          <w:szCs w:val="22"/>
        </w:rPr>
        <w:t xml:space="preserve">, </w:t>
      </w:r>
      <w:r w:rsidR="009867D5">
        <w:rPr>
          <w:rFonts w:cs="Arial"/>
          <w:szCs w:val="22"/>
        </w:rPr>
        <w:t>Acting State Manager,</w:t>
      </w:r>
      <w:r w:rsidR="006E3D89">
        <w:rPr>
          <w:rFonts w:cs="Arial"/>
          <w:szCs w:val="22"/>
        </w:rPr>
        <w:t xml:space="preserve"> </w:t>
      </w:r>
      <w:r w:rsidR="006E3D89" w:rsidRPr="006E3D89">
        <w:rPr>
          <w:rFonts w:cs="Arial"/>
          <w:szCs w:val="22"/>
        </w:rPr>
        <w:t>ACT/NSW Southern Region</w:t>
      </w:r>
    </w:p>
    <w:p w:rsidR="00620D1A" w:rsidRPr="00D75771" w:rsidRDefault="00A967CC" w:rsidP="00D75771">
      <w:pPr>
        <w:rPr>
          <w:rFonts w:cs="Arial"/>
          <w:szCs w:val="22"/>
        </w:rPr>
      </w:pPr>
      <w:r>
        <w:rPr>
          <w:rFonts w:cs="Arial"/>
          <w:szCs w:val="22"/>
        </w:rPr>
        <w:t>Professor Di Tw</w:t>
      </w:r>
      <w:r w:rsidR="00E256A8">
        <w:rPr>
          <w:rFonts w:cs="Arial"/>
          <w:szCs w:val="22"/>
        </w:rPr>
        <w:t>i</w:t>
      </w:r>
      <w:r>
        <w:rPr>
          <w:rFonts w:cs="Arial"/>
          <w:szCs w:val="22"/>
        </w:rPr>
        <w:t xml:space="preserve">gg, Executive Dean, Professor of Nursing School of Nursing and Midwifery, </w:t>
      </w:r>
      <w:r w:rsidRPr="006E3D89">
        <w:rPr>
          <w:rFonts w:cs="Arial"/>
          <w:szCs w:val="22"/>
        </w:rPr>
        <w:t>Research Consulta</w:t>
      </w:r>
      <w:r>
        <w:rPr>
          <w:rFonts w:cs="Arial"/>
          <w:szCs w:val="22"/>
        </w:rPr>
        <w:t xml:space="preserve">nt, Centre for Nursing Research Sir Charles Gairdner Hospital, </w:t>
      </w:r>
      <w:r w:rsidRPr="006E3D89">
        <w:rPr>
          <w:rFonts w:cs="Arial"/>
          <w:szCs w:val="22"/>
        </w:rPr>
        <w:t>Edith Cowan University</w:t>
      </w:r>
    </w:p>
    <w:p w:rsidR="00620D1A" w:rsidRPr="00D75771" w:rsidRDefault="00022409" w:rsidP="00D75771">
      <w:pPr>
        <w:pStyle w:val="Heading2"/>
      </w:pPr>
      <w:r w:rsidRPr="00D75771">
        <w:t xml:space="preserve">Midwifery </w:t>
      </w:r>
      <w:r w:rsidR="00620D1A" w:rsidRPr="00D75771">
        <w:t>Technical Advisory Group</w:t>
      </w:r>
    </w:p>
    <w:p w:rsidR="004C12B9" w:rsidRDefault="004C12B9" w:rsidP="004C12B9">
      <w:r>
        <w:t xml:space="preserve">Ms Lynne Gillam (Chair), Assistant Secretary, Health Workforce Reform Branch, Department of Health </w:t>
      </w:r>
    </w:p>
    <w:p w:rsidR="004C12B9" w:rsidRDefault="004C12B9" w:rsidP="004C12B9">
      <w:r>
        <w:t xml:space="preserve">Professor Fiona Bogossian, Practice Education in Health and Academic Lead, Sunshine Coast Health Institute (Former role, Associate Professor, University of Queensland) </w:t>
      </w:r>
    </w:p>
    <w:p w:rsidR="004C12B9" w:rsidRDefault="004C12B9" w:rsidP="004C12B9">
      <w:r>
        <w:t xml:space="preserve">Ms Karen Cook, Senior Nursing and Midwifery Advisor, </w:t>
      </w:r>
      <w:r w:rsidR="00A562D7">
        <w:t xml:space="preserve">Office of the Chief Nursing and Midwifery Officer, </w:t>
      </w:r>
      <w:r>
        <w:t>Department of Health</w:t>
      </w:r>
    </w:p>
    <w:p w:rsidR="004C12B9" w:rsidRDefault="004C12B9" w:rsidP="004C12B9">
      <w:r>
        <w:t>Ms Chris Cornwell, Member, Australian College of Midwives</w:t>
      </w:r>
    </w:p>
    <w:p w:rsidR="004C12B9" w:rsidRDefault="004C12B9" w:rsidP="004C12B9">
      <w:r>
        <w:t xml:space="preserve">Professor Hannah Dahlen, Professor of Midwifery, Western Sydney University </w:t>
      </w:r>
    </w:p>
    <w:p w:rsidR="004C12B9" w:rsidRPr="007C4381" w:rsidRDefault="004C12B9" w:rsidP="004C12B9">
      <w:r>
        <w:t xml:space="preserve">Ms Colleen Gibbs, Senior Policy Officer, Congress of Aboriginal and Torres Strait Islander Nurses and Midwives </w:t>
      </w:r>
    </w:p>
    <w:p w:rsidR="004C12B9" w:rsidRDefault="004C12B9" w:rsidP="004C12B9">
      <w:r>
        <w:t xml:space="preserve">Associate Professor Joanna Gray, Associate Dean, University of Technology Sydney </w:t>
      </w:r>
    </w:p>
    <w:p w:rsidR="004C12B9" w:rsidRPr="00E30F30" w:rsidRDefault="004C12B9" w:rsidP="004C12B9">
      <w:r>
        <w:t xml:space="preserve">Ms Ann Kinnear, CEO, Australian College of Midwives </w:t>
      </w:r>
    </w:p>
    <w:p w:rsidR="004C12B9" w:rsidRDefault="004C12B9" w:rsidP="004C12B9">
      <w:r w:rsidRPr="00E30F30">
        <w:t>Ms Maureen McCarty</w:t>
      </w:r>
      <w:r>
        <w:rPr>
          <w:b/>
        </w:rPr>
        <w:t xml:space="preserve">, </w:t>
      </w:r>
      <w:r>
        <w:t>Director,</w:t>
      </w:r>
      <w:r w:rsidR="006064DC">
        <w:t xml:space="preserve"> Workforce Data Analysis Section,</w:t>
      </w:r>
      <w:r>
        <w:t xml:space="preserve"> Department of Health </w:t>
      </w:r>
    </w:p>
    <w:p w:rsidR="004C12B9" w:rsidRDefault="004C12B9" w:rsidP="004C12B9">
      <w:r>
        <w:t>Dr Michelle Newton, Bachelor of Nursing and Bachelor of Midwifery Course Coordinator</w:t>
      </w:r>
      <w:r w:rsidR="00DA23C8">
        <w:t>,</w:t>
      </w:r>
      <w:r w:rsidR="00DA23C8">
        <w:br/>
      </w:r>
      <w:r>
        <w:t>La Trobe University</w:t>
      </w:r>
      <w:r w:rsidR="00B20109">
        <w:t>, Bundoora</w:t>
      </w:r>
    </w:p>
    <w:p w:rsidR="00620D1A" w:rsidRPr="004C12B9" w:rsidRDefault="004C12B9">
      <w:pPr>
        <w:rPr>
          <w:b/>
        </w:rPr>
      </w:pPr>
      <w:r>
        <w:t>Adjunct Professor Debra Thoms, Commonwealth Chie</w:t>
      </w:r>
      <w:r w:rsidR="00DA23C8">
        <w:t>f Nursing and Midwifery Officer</w:t>
      </w:r>
    </w:p>
    <w:sectPr w:rsidR="00620D1A" w:rsidRPr="004C12B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33232" w:rsidRDefault="00B33232" w:rsidP="008564AE">
      <w:pPr>
        <w:spacing w:after="0" w:line="240" w:lineRule="auto"/>
      </w:pPr>
      <w:r>
        <w:separator/>
      </w:r>
    </w:p>
  </w:endnote>
  <w:endnote w:type="continuationSeparator" w:id="0">
    <w:p w:rsidR="00B33232" w:rsidRDefault="00B33232" w:rsidP="008564A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PMingLiU">
    <w:altName w:val="新細明體"/>
    <w:panose1 w:val="02010601000101010101"/>
    <w:charset w:val="88"/>
    <w:family w:val="roman"/>
    <w:pitch w:val="variable"/>
    <w:sig w:usb0="A00002FF" w:usb1="2A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ArialMT">
    <w:altName w:val="Times New Roman"/>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6582123"/>
      <w:docPartObj>
        <w:docPartGallery w:val="Page Numbers (Bottom of Page)"/>
        <w:docPartUnique/>
      </w:docPartObj>
    </w:sdtPr>
    <w:sdtEndPr>
      <w:rPr>
        <w:rFonts w:cs="Arial"/>
        <w:noProof/>
      </w:rPr>
    </w:sdtEndPr>
    <w:sdtContent>
      <w:p w:rsidR="00B33232" w:rsidRPr="00F92FF3" w:rsidRDefault="00B33232">
        <w:pPr>
          <w:pStyle w:val="Footer"/>
          <w:jc w:val="right"/>
          <w:rPr>
            <w:rFonts w:cs="Arial"/>
          </w:rPr>
        </w:pPr>
        <w:r w:rsidRPr="00F92FF3">
          <w:rPr>
            <w:rFonts w:cs="Arial"/>
          </w:rPr>
          <w:fldChar w:fldCharType="begin"/>
        </w:r>
        <w:r w:rsidRPr="00F92FF3">
          <w:rPr>
            <w:rFonts w:cs="Arial"/>
          </w:rPr>
          <w:instrText xml:space="preserve"> PAGE   \* MERGEFORMAT </w:instrText>
        </w:r>
        <w:r w:rsidRPr="00F92FF3">
          <w:rPr>
            <w:rFonts w:cs="Arial"/>
          </w:rPr>
          <w:fldChar w:fldCharType="separate"/>
        </w:r>
        <w:r w:rsidR="001B1897">
          <w:rPr>
            <w:rFonts w:cs="Arial"/>
            <w:noProof/>
          </w:rPr>
          <w:t>1</w:t>
        </w:r>
        <w:r w:rsidRPr="00F92FF3">
          <w:rPr>
            <w:rFonts w:cs="Arial"/>
            <w:noProof/>
          </w:rPr>
          <w:fldChar w:fldCharType="end"/>
        </w:r>
      </w:p>
    </w:sdtContent>
  </w:sdt>
  <w:p w:rsidR="00B33232" w:rsidRDefault="00B3323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66865453"/>
      <w:docPartObj>
        <w:docPartGallery w:val="Page Numbers (Bottom of Page)"/>
        <w:docPartUnique/>
      </w:docPartObj>
    </w:sdtPr>
    <w:sdtEndPr>
      <w:rPr>
        <w:noProof/>
      </w:rPr>
    </w:sdtEndPr>
    <w:sdtContent>
      <w:p w:rsidR="00B33232" w:rsidRDefault="00B33232">
        <w:pPr>
          <w:pStyle w:val="Footer"/>
          <w:jc w:val="right"/>
        </w:pPr>
        <w:r>
          <w:fldChar w:fldCharType="begin"/>
        </w:r>
        <w:r>
          <w:instrText xml:space="preserve"> PAGE   \* MERGEFORMAT </w:instrText>
        </w:r>
        <w:r>
          <w:fldChar w:fldCharType="separate"/>
        </w:r>
        <w:r w:rsidR="001B1897">
          <w:rPr>
            <w:noProof/>
          </w:rPr>
          <w:t>23</w:t>
        </w:r>
        <w:r>
          <w:rPr>
            <w:noProof/>
          </w:rPr>
          <w:fldChar w:fldCharType="end"/>
        </w:r>
      </w:p>
    </w:sdtContent>
  </w:sdt>
  <w:p w:rsidR="00B33232" w:rsidRDefault="00B3323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33232" w:rsidRDefault="00B33232" w:rsidP="008564AE">
      <w:pPr>
        <w:spacing w:after="0" w:line="240" w:lineRule="auto"/>
      </w:pPr>
      <w:r>
        <w:separator/>
      </w:r>
    </w:p>
  </w:footnote>
  <w:footnote w:type="continuationSeparator" w:id="0">
    <w:p w:rsidR="00B33232" w:rsidRDefault="00B33232" w:rsidP="008564AE">
      <w:pPr>
        <w:spacing w:after="0" w:line="240" w:lineRule="auto"/>
      </w:pPr>
      <w:r>
        <w:continuationSeparator/>
      </w:r>
    </w:p>
  </w:footnote>
  <w:footnote w:id="1">
    <w:p w:rsidR="00B33232" w:rsidRDefault="00B33232">
      <w:pPr>
        <w:pStyle w:val="FootnoteText"/>
      </w:pPr>
      <w:r>
        <w:rPr>
          <w:rStyle w:val="FootnoteReference"/>
        </w:rPr>
        <w:footnoteRef/>
      </w:r>
      <w:r>
        <w:t xml:space="preserve"> </w:t>
      </w:r>
      <w:hyperlink r:id="rId1" w:history="1">
        <w:r w:rsidRPr="00885BE2">
          <w:rPr>
            <w:rStyle w:val="Hyperlink"/>
            <w:color w:val="auto"/>
            <w:sz w:val="16"/>
            <w:szCs w:val="16"/>
          </w:rPr>
          <w:t xml:space="preserve">Codes-Guidelines-Statements - Midwife Professional-standards </w:t>
        </w:r>
      </w:hyperlink>
    </w:p>
    <w:p w:rsidR="00B33232" w:rsidRDefault="00B33232">
      <w:pPr>
        <w:pStyle w:val="FootnoteText"/>
      </w:pPr>
    </w:p>
  </w:footnote>
  <w:footnote w:id="2">
    <w:p w:rsidR="00B33232" w:rsidRPr="00885BE2" w:rsidRDefault="00B33232">
      <w:pPr>
        <w:pStyle w:val="FootnoteText"/>
        <w:rPr>
          <w:sz w:val="16"/>
          <w:szCs w:val="16"/>
        </w:rPr>
      </w:pPr>
      <w:r w:rsidRPr="00885BE2">
        <w:rPr>
          <w:rStyle w:val="FootnoteReference"/>
          <w:sz w:val="16"/>
          <w:szCs w:val="16"/>
        </w:rPr>
        <w:footnoteRef/>
      </w:r>
      <w:r w:rsidRPr="00885BE2">
        <w:rPr>
          <w:sz w:val="16"/>
          <w:szCs w:val="16"/>
        </w:rPr>
        <w:t xml:space="preserve"> </w:t>
      </w:r>
      <w:r w:rsidRPr="00885BE2">
        <w:rPr>
          <w:rFonts w:cs="Arial"/>
          <w:sz w:val="16"/>
          <w:szCs w:val="16"/>
        </w:rPr>
        <w:t>https://www.nursingmidwiferyboard.gov.au/Codes-Guidelines-Statements/Codes-Guidelines.aspx</w:t>
      </w:r>
    </w:p>
  </w:footnote>
  <w:footnote w:id="3">
    <w:p w:rsidR="00B33232" w:rsidRPr="00885BE2" w:rsidRDefault="00B33232">
      <w:pPr>
        <w:pStyle w:val="FootnoteText"/>
        <w:rPr>
          <w:sz w:val="16"/>
          <w:szCs w:val="16"/>
        </w:rPr>
      </w:pPr>
      <w:r w:rsidRPr="00885BE2">
        <w:rPr>
          <w:rStyle w:val="FootnoteReference"/>
          <w:sz w:val="16"/>
          <w:szCs w:val="16"/>
        </w:rPr>
        <w:footnoteRef/>
      </w:r>
      <w:r w:rsidRPr="00885BE2">
        <w:rPr>
          <w:sz w:val="16"/>
          <w:szCs w:val="16"/>
        </w:rPr>
        <w:t xml:space="preserve"> </w:t>
      </w:r>
      <w:r w:rsidRPr="00885BE2">
        <w:rPr>
          <w:rFonts w:cs="Arial"/>
          <w:sz w:val="16"/>
          <w:szCs w:val="16"/>
        </w:rPr>
        <w:t>https://www.nursingmidwiferyboard.gov.au/Registration-and-Endorsement/Endorsements-Notations.aspx#eligible</w:t>
      </w:r>
    </w:p>
  </w:footnote>
  <w:footnote w:id="4">
    <w:p w:rsidR="00B33232" w:rsidRPr="007515FE" w:rsidRDefault="00B33232" w:rsidP="00C41EFA">
      <w:pPr>
        <w:spacing w:after="0"/>
        <w:rPr>
          <w:rFonts w:cs="Arial"/>
          <w:sz w:val="16"/>
          <w:szCs w:val="16"/>
        </w:rPr>
      </w:pPr>
      <w:r w:rsidRPr="007515FE">
        <w:rPr>
          <w:rStyle w:val="FootnoteReference"/>
          <w:sz w:val="16"/>
          <w:szCs w:val="16"/>
        </w:rPr>
        <w:footnoteRef/>
      </w:r>
      <w:r w:rsidRPr="007515FE">
        <w:rPr>
          <w:sz w:val="16"/>
          <w:szCs w:val="16"/>
        </w:rPr>
        <w:t xml:space="preserve"> </w:t>
      </w:r>
      <w:r w:rsidRPr="007515FE">
        <w:rPr>
          <w:rFonts w:cs="Arial"/>
          <w:color w:val="0E0E0E"/>
          <w:kern w:val="36"/>
          <w:sz w:val="16"/>
          <w:szCs w:val="16"/>
        </w:rPr>
        <w:t xml:space="preserve">Antenatal care for uncomplicated pregnancies, </w:t>
      </w:r>
      <w:r w:rsidRPr="007515FE">
        <w:rPr>
          <w:rFonts w:cs="Arial"/>
          <w:color w:val="0E0E0E"/>
          <w:sz w:val="16"/>
          <w:szCs w:val="16"/>
        </w:rPr>
        <w:t>Clinical guideline [CG62] </w:t>
      </w:r>
      <w:r w:rsidRPr="007515FE">
        <w:rPr>
          <w:rFonts w:eastAsia="Times New Roman" w:cs="Arial"/>
          <w:color w:val="0E0E0E"/>
          <w:sz w:val="16"/>
          <w:szCs w:val="16"/>
        </w:rPr>
        <w:t>Published date: March 2008</w:t>
      </w:r>
      <w:r w:rsidRPr="007515FE">
        <w:rPr>
          <w:rFonts w:cs="Arial"/>
          <w:color w:val="0E0E0E"/>
          <w:sz w:val="16"/>
          <w:szCs w:val="16"/>
        </w:rPr>
        <w:t xml:space="preserve">, </w:t>
      </w:r>
      <w:r w:rsidRPr="007515FE">
        <w:rPr>
          <w:rFonts w:eastAsia="Times New Roman" w:cs="Arial"/>
          <w:color w:val="0E0E0E"/>
          <w:sz w:val="16"/>
          <w:szCs w:val="16"/>
        </w:rPr>
        <w:t xml:space="preserve">Last </w:t>
      </w:r>
      <w:r w:rsidRPr="007515FE">
        <w:rPr>
          <w:rFonts w:cs="Arial"/>
          <w:color w:val="0E0E0E"/>
          <w:sz w:val="16"/>
          <w:szCs w:val="16"/>
        </w:rPr>
        <w:t>u</w:t>
      </w:r>
      <w:r w:rsidRPr="007515FE">
        <w:rPr>
          <w:rFonts w:eastAsia="Times New Roman" w:cs="Arial"/>
          <w:color w:val="0E0E0E"/>
          <w:sz w:val="16"/>
          <w:szCs w:val="16"/>
        </w:rPr>
        <w:t>pdated: January 2017</w:t>
      </w:r>
    </w:p>
  </w:footnote>
  <w:footnote w:id="5">
    <w:p w:rsidR="00B33232" w:rsidRPr="007515FE" w:rsidRDefault="00B33232" w:rsidP="00042B08">
      <w:pPr>
        <w:pStyle w:val="FootnoteText"/>
        <w:rPr>
          <w:sz w:val="16"/>
          <w:szCs w:val="16"/>
        </w:rPr>
      </w:pPr>
      <w:r w:rsidRPr="007515FE">
        <w:rPr>
          <w:rStyle w:val="FootnoteReference"/>
          <w:sz w:val="16"/>
          <w:szCs w:val="16"/>
        </w:rPr>
        <w:footnoteRef/>
      </w:r>
      <w:r w:rsidRPr="007515FE">
        <w:rPr>
          <w:sz w:val="16"/>
          <w:szCs w:val="16"/>
        </w:rPr>
        <w:t xml:space="preserve"> </w:t>
      </w:r>
      <w:r w:rsidRPr="007515FE">
        <w:rPr>
          <w:rFonts w:cs="Helvetica"/>
          <w:color w:val="000000"/>
          <w:sz w:val="16"/>
          <w:szCs w:val="16"/>
        </w:rPr>
        <w:t>Cochrane Database Syst Rev.</w:t>
      </w:r>
      <w:r w:rsidRPr="007515FE">
        <w:rPr>
          <w:rStyle w:val="apple-converted-space"/>
          <w:rFonts w:cs="Helvetica"/>
          <w:color w:val="000000"/>
          <w:sz w:val="16"/>
          <w:szCs w:val="16"/>
        </w:rPr>
        <w:t> </w:t>
      </w:r>
      <w:r w:rsidRPr="007515FE">
        <w:rPr>
          <w:rFonts w:cs="Helvetica"/>
          <w:color w:val="000000"/>
          <w:sz w:val="16"/>
          <w:szCs w:val="16"/>
        </w:rPr>
        <w:t xml:space="preserve">2010 Oct 6;(10), Alternative versus standard packages of antenatal care for low-risk pregnancy, </w:t>
      </w:r>
      <w:r w:rsidRPr="007515FE">
        <w:rPr>
          <w:rFonts w:cs="Helvetica"/>
          <w:sz w:val="16"/>
          <w:szCs w:val="16"/>
          <w:shd w:val="clear" w:color="auto" w:fill="FFFFFF"/>
        </w:rPr>
        <w:t>Dowswell et al 2010</w:t>
      </w:r>
    </w:p>
  </w:footnote>
  <w:footnote w:id="6">
    <w:p w:rsidR="00B33232" w:rsidRPr="00C57747" w:rsidRDefault="00B33232" w:rsidP="0044098E">
      <w:pPr>
        <w:pStyle w:val="FootnoteText"/>
        <w:rPr>
          <w:sz w:val="16"/>
        </w:rPr>
      </w:pPr>
      <w:r w:rsidRPr="00C57747">
        <w:rPr>
          <w:rStyle w:val="FootnoteReference"/>
          <w:sz w:val="16"/>
        </w:rPr>
        <w:footnoteRef/>
      </w:r>
      <w:r w:rsidRPr="00C57747">
        <w:rPr>
          <w:sz w:val="16"/>
        </w:rPr>
        <w:t xml:space="preserve"> </w:t>
      </w:r>
      <w:r w:rsidRPr="00C57747">
        <w:rPr>
          <w:sz w:val="16"/>
          <w:szCs w:val="24"/>
        </w:rPr>
        <w:t>Australian Institute of Health and Welfare 2015, Australia’s mothers and babies 2013—in brief, Perinatal statistics series no. 31. Cat no. PER 72. Canberra: AIHW.</w:t>
      </w:r>
    </w:p>
  </w:footnote>
  <w:footnote w:id="7">
    <w:p w:rsidR="00B33232" w:rsidRPr="003423C0" w:rsidRDefault="00B33232" w:rsidP="0044098E">
      <w:pPr>
        <w:pStyle w:val="FootnoteText"/>
        <w:rPr>
          <w:sz w:val="14"/>
          <w:szCs w:val="14"/>
        </w:rPr>
      </w:pPr>
      <w:r w:rsidRPr="003423C0">
        <w:rPr>
          <w:rStyle w:val="FootnoteReference"/>
          <w:sz w:val="14"/>
          <w:szCs w:val="14"/>
        </w:rPr>
        <w:footnoteRef/>
      </w:r>
      <w:r w:rsidRPr="003423C0">
        <w:rPr>
          <w:sz w:val="14"/>
          <w:szCs w:val="14"/>
        </w:rPr>
        <w:t xml:space="preserve"> Department of Health (2018) </w:t>
      </w:r>
      <w:r w:rsidRPr="003423C0">
        <w:rPr>
          <w:i/>
          <w:iCs/>
          <w:sz w:val="14"/>
          <w:szCs w:val="14"/>
        </w:rPr>
        <w:t>Clinical Practice Guidelines: Pregnancy Care</w:t>
      </w:r>
      <w:r w:rsidRPr="003423C0">
        <w:rPr>
          <w:sz w:val="14"/>
          <w:szCs w:val="14"/>
        </w:rPr>
        <w:t>. Canberra: Australian Government Department of Health.</w:t>
      </w:r>
    </w:p>
  </w:footnote>
  <w:footnote w:id="8">
    <w:p w:rsidR="00B33232" w:rsidRPr="003423C0" w:rsidRDefault="00B33232" w:rsidP="0044098E">
      <w:pPr>
        <w:pStyle w:val="FootnoteText"/>
        <w:rPr>
          <w:sz w:val="14"/>
          <w:szCs w:val="14"/>
        </w:rPr>
      </w:pPr>
      <w:r w:rsidRPr="003423C0">
        <w:rPr>
          <w:rStyle w:val="FootnoteReference"/>
          <w:sz w:val="14"/>
          <w:szCs w:val="14"/>
        </w:rPr>
        <w:footnoteRef/>
      </w:r>
      <w:r w:rsidRPr="003423C0">
        <w:rPr>
          <w:sz w:val="14"/>
          <w:szCs w:val="14"/>
        </w:rPr>
        <w:t xml:space="preserve"> Mathai Matthews, von Xylander Severin and Zupan Jelka based on the WHO Technical consultation on postpartum and postnatal care held in Geneva, October 29-31, 2008</w:t>
      </w:r>
    </w:p>
  </w:footnote>
  <w:footnote w:id="9">
    <w:p w:rsidR="00B33232" w:rsidRPr="00E87126" w:rsidRDefault="00B33232" w:rsidP="00B740AD">
      <w:pPr>
        <w:pStyle w:val="FootnoteText"/>
        <w:rPr>
          <w:rFonts w:cs="Arial"/>
          <w:sz w:val="16"/>
          <w:szCs w:val="16"/>
        </w:rPr>
      </w:pPr>
      <w:r w:rsidRPr="00E87126">
        <w:rPr>
          <w:rStyle w:val="FootnoteReference"/>
          <w:rFonts w:cs="Arial"/>
          <w:sz w:val="16"/>
          <w:szCs w:val="16"/>
        </w:rPr>
        <w:footnoteRef/>
      </w:r>
      <w:r w:rsidRPr="00E87126">
        <w:rPr>
          <w:rFonts w:cs="Arial"/>
          <w:sz w:val="16"/>
          <w:szCs w:val="16"/>
        </w:rPr>
        <w:t xml:space="preserve"> </w:t>
      </w:r>
      <w:r w:rsidRPr="00E87126">
        <w:rPr>
          <w:rFonts w:cs="Arial"/>
          <w:iCs/>
          <w:sz w:val="16"/>
          <w:szCs w:val="16"/>
          <w:shd w:val="clear" w:color="auto" w:fill="FFFFFF"/>
        </w:rPr>
        <w:t>Australian Demographic Statistics, September quarter 2017</w:t>
      </w:r>
    </w:p>
  </w:footnote>
  <w:footnote w:id="10">
    <w:p w:rsidR="00B33232" w:rsidRPr="00FD1864" w:rsidRDefault="00B33232" w:rsidP="00B740AD">
      <w:pPr>
        <w:pStyle w:val="FootnoteText"/>
        <w:rPr>
          <w:rFonts w:cs="Arial"/>
          <w:sz w:val="16"/>
        </w:rPr>
      </w:pPr>
      <w:r w:rsidRPr="00FD1864">
        <w:rPr>
          <w:rStyle w:val="FootnoteReference"/>
          <w:rFonts w:cs="Arial"/>
          <w:sz w:val="16"/>
        </w:rPr>
        <w:footnoteRef/>
      </w:r>
      <w:r w:rsidRPr="00FD1864">
        <w:rPr>
          <w:rFonts w:cs="Arial"/>
          <w:sz w:val="16"/>
        </w:rPr>
        <w:t xml:space="preserve"> Early shift tends to be 7am – 2.30pm (some end at 3pm)</w:t>
      </w:r>
    </w:p>
    <w:p w:rsidR="00B33232" w:rsidRPr="00FD1864" w:rsidRDefault="00B33232" w:rsidP="00B740AD">
      <w:pPr>
        <w:pStyle w:val="FootnoteText"/>
        <w:rPr>
          <w:rFonts w:cs="Arial"/>
          <w:sz w:val="16"/>
        </w:rPr>
      </w:pPr>
      <w:r w:rsidRPr="00FD1864">
        <w:rPr>
          <w:rFonts w:cs="Arial"/>
          <w:sz w:val="16"/>
        </w:rPr>
        <w:t>Late shift tends to be 2pm – 9.30pm (some start 1.30pm or finish 10pm)</w:t>
      </w:r>
    </w:p>
    <w:p w:rsidR="00B33232" w:rsidRPr="00FD1864" w:rsidRDefault="00B33232" w:rsidP="00B740AD">
      <w:pPr>
        <w:pStyle w:val="FootnoteText"/>
        <w:rPr>
          <w:rFonts w:cs="Arial"/>
          <w:sz w:val="16"/>
        </w:rPr>
      </w:pPr>
      <w:r w:rsidRPr="00FD1864">
        <w:rPr>
          <w:rFonts w:cs="Arial"/>
          <w:sz w:val="16"/>
        </w:rPr>
        <w:t>Night shift tends to be 9pm – 7.30am (some start at 9.10pm or 9.30pm)</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3232" w:rsidRDefault="00B3323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3232" w:rsidRDefault="00B3323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3232" w:rsidRDefault="00B3323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300054"/>
    <w:multiLevelType w:val="hybridMultilevel"/>
    <w:tmpl w:val="2436B22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7ED4118"/>
    <w:multiLevelType w:val="multilevel"/>
    <w:tmpl w:val="3418E0F8"/>
    <w:styleLink w:val="Listbulleted"/>
    <w:lvl w:ilvl="0">
      <w:start w:val="1"/>
      <w:numFmt w:val="bullet"/>
      <w:lvlText w:val=""/>
      <w:lvlJc w:val="left"/>
      <w:pPr>
        <w:ind w:left="720" w:hanging="363"/>
      </w:pPr>
      <w:rPr>
        <w:rFonts w:ascii="Wingdings" w:hAnsi="Wingdings" w:hint="default"/>
        <w:color w:val="0079C1"/>
        <w:sz w:val="18"/>
      </w:rPr>
    </w:lvl>
    <w:lvl w:ilvl="1">
      <w:start w:val="1"/>
      <w:numFmt w:val="bullet"/>
      <w:lvlText w:val=""/>
      <w:lvlJc w:val="left"/>
      <w:pPr>
        <w:ind w:left="1077" w:hanging="357"/>
      </w:pPr>
      <w:rPr>
        <w:rFonts w:ascii="Symbol" w:hAnsi="Symbol" w:hint="default"/>
        <w:color w:val="0079C1"/>
        <w:sz w:val="18"/>
      </w:rPr>
    </w:lvl>
    <w:lvl w:ilvl="2">
      <w:start w:val="1"/>
      <w:numFmt w:val="bullet"/>
      <w:lvlText w:val=""/>
      <w:lvlJc w:val="left"/>
      <w:pPr>
        <w:ind w:left="1435" w:hanging="358"/>
      </w:pPr>
      <w:rPr>
        <w:rFonts w:ascii="Wingdings" w:hAnsi="Wingdings" w:hint="default"/>
        <w:color w:val="0079C1"/>
      </w:rPr>
    </w:lvl>
    <w:lvl w:ilvl="3">
      <w:start w:val="1"/>
      <w:numFmt w:val="none"/>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0D7625B6"/>
    <w:multiLevelType w:val="hybridMultilevel"/>
    <w:tmpl w:val="F90E53EE"/>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0E2D1619"/>
    <w:multiLevelType w:val="hybridMultilevel"/>
    <w:tmpl w:val="E0CEF82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12DD4C66"/>
    <w:multiLevelType w:val="hybridMultilevel"/>
    <w:tmpl w:val="52B08C0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136B23DD"/>
    <w:multiLevelType w:val="hybridMultilevel"/>
    <w:tmpl w:val="0D30476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13B007C8"/>
    <w:multiLevelType w:val="hybridMultilevel"/>
    <w:tmpl w:val="78003AA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14C45D23"/>
    <w:multiLevelType w:val="hybridMultilevel"/>
    <w:tmpl w:val="95C04A0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7A256B6"/>
    <w:multiLevelType w:val="hybridMultilevel"/>
    <w:tmpl w:val="8102A0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7C400F9"/>
    <w:multiLevelType w:val="hybridMultilevel"/>
    <w:tmpl w:val="E4B2140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17C92CF1"/>
    <w:multiLevelType w:val="hybridMultilevel"/>
    <w:tmpl w:val="CB8E90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8F63890"/>
    <w:multiLevelType w:val="hybridMultilevel"/>
    <w:tmpl w:val="4D0AD5EA"/>
    <w:lvl w:ilvl="0" w:tplc="0CE4CBC8">
      <w:start w:val="3"/>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1B1228DE"/>
    <w:multiLevelType w:val="multilevel"/>
    <w:tmpl w:val="27DEE49A"/>
    <w:lvl w:ilvl="0">
      <w:start w:val="1"/>
      <w:numFmt w:val="bullet"/>
      <w:lvlText w:val=""/>
      <w:lvlJc w:val="left"/>
      <w:pPr>
        <w:ind w:left="363" w:hanging="363"/>
      </w:pPr>
      <w:rPr>
        <w:rFonts w:ascii="Symbol" w:hAnsi="Symbol" w:hint="default"/>
        <w:color w:val="7030A0"/>
        <w:sz w:val="24"/>
        <w:szCs w:val="18"/>
      </w:rPr>
    </w:lvl>
    <w:lvl w:ilvl="1">
      <w:start w:val="1"/>
      <w:numFmt w:val="bullet"/>
      <w:lvlText w:val=""/>
      <w:lvlJc w:val="left"/>
      <w:pPr>
        <w:ind w:left="720" w:hanging="357"/>
      </w:pPr>
      <w:rPr>
        <w:rFonts w:ascii="Symbol" w:hAnsi="Symbol" w:hint="default"/>
        <w:color w:val="7030A0"/>
        <w:sz w:val="24"/>
      </w:rPr>
    </w:lvl>
    <w:lvl w:ilvl="2">
      <w:start w:val="1"/>
      <w:numFmt w:val="bullet"/>
      <w:lvlText w:val=""/>
      <w:lvlJc w:val="left"/>
      <w:pPr>
        <w:ind w:left="1078" w:hanging="358"/>
      </w:pPr>
      <w:rPr>
        <w:rFonts w:ascii="Wingdings" w:hAnsi="Wingdings" w:hint="default"/>
        <w:color w:val="0079C1"/>
      </w:rPr>
    </w:lvl>
    <w:lvl w:ilvl="3">
      <w:start w:val="1"/>
      <w:numFmt w:val="none"/>
      <w:lvlText w:val="(%4)"/>
      <w:lvlJc w:val="left"/>
      <w:pPr>
        <w:ind w:left="1083" w:hanging="360"/>
      </w:pPr>
      <w:rPr>
        <w:rFonts w:hint="default"/>
      </w:rPr>
    </w:lvl>
    <w:lvl w:ilvl="4">
      <w:start w:val="1"/>
      <w:numFmt w:val="lowerLetter"/>
      <w:lvlText w:val="(%5)"/>
      <w:lvlJc w:val="left"/>
      <w:pPr>
        <w:ind w:left="1443" w:hanging="360"/>
      </w:pPr>
      <w:rPr>
        <w:rFonts w:hint="default"/>
      </w:rPr>
    </w:lvl>
    <w:lvl w:ilvl="5">
      <w:start w:val="1"/>
      <w:numFmt w:val="lowerRoman"/>
      <w:lvlText w:val="(%6)"/>
      <w:lvlJc w:val="left"/>
      <w:pPr>
        <w:ind w:left="1803" w:hanging="360"/>
      </w:pPr>
      <w:rPr>
        <w:rFonts w:hint="default"/>
      </w:rPr>
    </w:lvl>
    <w:lvl w:ilvl="6">
      <w:start w:val="1"/>
      <w:numFmt w:val="decimal"/>
      <w:lvlText w:val="%7."/>
      <w:lvlJc w:val="left"/>
      <w:pPr>
        <w:ind w:left="2163" w:hanging="360"/>
      </w:pPr>
      <w:rPr>
        <w:rFonts w:hint="default"/>
      </w:rPr>
    </w:lvl>
    <w:lvl w:ilvl="7">
      <w:start w:val="1"/>
      <w:numFmt w:val="lowerLetter"/>
      <w:lvlText w:val="%8."/>
      <w:lvlJc w:val="left"/>
      <w:pPr>
        <w:ind w:left="2523" w:hanging="360"/>
      </w:pPr>
      <w:rPr>
        <w:rFonts w:hint="default"/>
      </w:rPr>
    </w:lvl>
    <w:lvl w:ilvl="8">
      <w:start w:val="1"/>
      <w:numFmt w:val="lowerRoman"/>
      <w:lvlText w:val="%9."/>
      <w:lvlJc w:val="left"/>
      <w:pPr>
        <w:ind w:left="2883" w:hanging="360"/>
      </w:pPr>
      <w:rPr>
        <w:rFonts w:hint="default"/>
      </w:rPr>
    </w:lvl>
  </w:abstractNum>
  <w:abstractNum w:abstractNumId="13" w15:restartNumberingAfterBreak="0">
    <w:nsid w:val="1D882190"/>
    <w:multiLevelType w:val="hybridMultilevel"/>
    <w:tmpl w:val="9042BC6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1F7E4B9C"/>
    <w:multiLevelType w:val="hybridMultilevel"/>
    <w:tmpl w:val="A8D4502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1FA649DC"/>
    <w:multiLevelType w:val="hybridMultilevel"/>
    <w:tmpl w:val="1974D5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29270D6"/>
    <w:multiLevelType w:val="hybridMultilevel"/>
    <w:tmpl w:val="36A0EDAE"/>
    <w:styleLink w:val="TableListbulleted1"/>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7" w15:restartNumberingAfterBreak="0">
    <w:nsid w:val="22CB7B0D"/>
    <w:multiLevelType w:val="hybridMultilevel"/>
    <w:tmpl w:val="D96C9D6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23A47296"/>
    <w:multiLevelType w:val="multilevel"/>
    <w:tmpl w:val="7A48B9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26FF2DEB"/>
    <w:multiLevelType w:val="hybridMultilevel"/>
    <w:tmpl w:val="961C3DA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270A6930"/>
    <w:multiLevelType w:val="hybridMultilevel"/>
    <w:tmpl w:val="2D6017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285B6421"/>
    <w:multiLevelType w:val="hybridMultilevel"/>
    <w:tmpl w:val="CB90EC42"/>
    <w:lvl w:ilvl="0" w:tplc="46A6D404">
      <w:start w:val="1"/>
      <w:numFmt w:val="bullet"/>
      <w:pStyle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2A1F2700"/>
    <w:multiLevelType w:val="hybridMultilevel"/>
    <w:tmpl w:val="CD4A23D6"/>
    <w:styleLink w:val="Listbulleted1"/>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3" w15:restartNumberingAfterBreak="0">
    <w:nsid w:val="2A303838"/>
    <w:multiLevelType w:val="hybridMultilevel"/>
    <w:tmpl w:val="1DB0594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2BE93EEE"/>
    <w:multiLevelType w:val="hybridMultilevel"/>
    <w:tmpl w:val="F856925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2E3B3D37"/>
    <w:multiLevelType w:val="hybridMultilevel"/>
    <w:tmpl w:val="FDCC0E7E"/>
    <w:lvl w:ilvl="0" w:tplc="63B0C7FE">
      <w:start w:val="1"/>
      <w:numFmt w:val="decimal"/>
      <w:lvlText w:val="%1."/>
      <w:lvlJc w:val="left"/>
      <w:pPr>
        <w:ind w:left="360" w:hanging="360"/>
      </w:pPr>
      <w:rPr>
        <w:rFonts w:hint="default"/>
        <w:b/>
        <w:color w:val="auto"/>
        <w:sz w:val="24"/>
      </w:rPr>
    </w:lvl>
    <w:lvl w:ilvl="1" w:tplc="0C090019" w:tentative="1">
      <w:start w:val="1"/>
      <w:numFmt w:val="lowerLetter"/>
      <w:lvlText w:val="%2."/>
      <w:lvlJc w:val="left"/>
      <w:pPr>
        <w:ind w:left="1004" w:hanging="360"/>
      </w:pPr>
    </w:lvl>
    <w:lvl w:ilvl="2" w:tplc="0C09001B" w:tentative="1">
      <w:start w:val="1"/>
      <w:numFmt w:val="lowerRoman"/>
      <w:lvlText w:val="%3."/>
      <w:lvlJc w:val="right"/>
      <w:pPr>
        <w:ind w:left="1724" w:hanging="180"/>
      </w:pPr>
    </w:lvl>
    <w:lvl w:ilvl="3" w:tplc="0C09000F" w:tentative="1">
      <w:start w:val="1"/>
      <w:numFmt w:val="decimal"/>
      <w:lvlText w:val="%4."/>
      <w:lvlJc w:val="left"/>
      <w:pPr>
        <w:ind w:left="2444" w:hanging="360"/>
      </w:pPr>
    </w:lvl>
    <w:lvl w:ilvl="4" w:tplc="0C090019" w:tentative="1">
      <w:start w:val="1"/>
      <w:numFmt w:val="lowerLetter"/>
      <w:lvlText w:val="%5."/>
      <w:lvlJc w:val="left"/>
      <w:pPr>
        <w:ind w:left="3164" w:hanging="360"/>
      </w:pPr>
    </w:lvl>
    <w:lvl w:ilvl="5" w:tplc="0C09001B" w:tentative="1">
      <w:start w:val="1"/>
      <w:numFmt w:val="lowerRoman"/>
      <w:lvlText w:val="%6."/>
      <w:lvlJc w:val="right"/>
      <w:pPr>
        <w:ind w:left="3884" w:hanging="180"/>
      </w:pPr>
    </w:lvl>
    <w:lvl w:ilvl="6" w:tplc="0C09000F" w:tentative="1">
      <w:start w:val="1"/>
      <w:numFmt w:val="decimal"/>
      <w:lvlText w:val="%7."/>
      <w:lvlJc w:val="left"/>
      <w:pPr>
        <w:ind w:left="4604" w:hanging="360"/>
      </w:pPr>
    </w:lvl>
    <w:lvl w:ilvl="7" w:tplc="0C090019" w:tentative="1">
      <w:start w:val="1"/>
      <w:numFmt w:val="lowerLetter"/>
      <w:lvlText w:val="%8."/>
      <w:lvlJc w:val="left"/>
      <w:pPr>
        <w:ind w:left="5324" w:hanging="360"/>
      </w:pPr>
    </w:lvl>
    <w:lvl w:ilvl="8" w:tplc="0C09001B" w:tentative="1">
      <w:start w:val="1"/>
      <w:numFmt w:val="lowerRoman"/>
      <w:lvlText w:val="%9."/>
      <w:lvlJc w:val="right"/>
      <w:pPr>
        <w:ind w:left="6044" w:hanging="180"/>
      </w:pPr>
    </w:lvl>
  </w:abstractNum>
  <w:abstractNum w:abstractNumId="26" w15:restartNumberingAfterBreak="0">
    <w:nsid w:val="2E7339F0"/>
    <w:multiLevelType w:val="hybridMultilevel"/>
    <w:tmpl w:val="FCB42F46"/>
    <w:styleLink w:val="Listbulleted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7" w15:restartNumberingAfterBreak="0">
    <w:nsid w:val="2F453591"/>
    <w:multiLevelType w:val="hybridMultilevel"/>
    <w:tmpl w:val="777A009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2FF8723C"/>
    <w:multiLevelType w:val="hybridMultilevel"/>
    <w:tmpl w:val="D2628CC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374D548B"/>
    <w:multiLevelType w:val="hybridMultilevel"/>
    <w:tmpl w:val="33D8689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0" w15:restartNumberingAfterBreak="0">
    <w:nsid w:val="37E17E17"/>
    <w:multiLevelType w:val="hybridMultilevel"/>
    <w:tmpl w:val="9D66E3A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3E225E52"/>
    <w:multiLevelType w:val="hybridMultilevel"/>
    <w:tmpl w:val="795A06D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2" w15:restartNumberingAfterBreak="0">
    <w:nsid w:val="43CF1D9F"/>
    <w:multiLevelType w:val="hybridMultilevel"/>
    <w:tmpl w:val="0D62EAC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3" w15:restartNumberingAfterBreak="0">
    <w:nsid w:val="44FF3974"/>
    <w:multiLevelType w:val="hybridMultilevel"/>
    <w:tmpl w:val="B6CAE5B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4" w15:restartNumberingAfterBreak="0">
    <w:nsid w:val="4A3E6C97"/>
    <w:multiLevelType w:val="hybridMultilevel"/>
    <w:tmpl w:val="C81670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5" w15:restartNumberingAfterBreak="0">
    <w:nsid w:val="4A5A2BF8"/>
    <w:multiLevelType w:val="hybridMultilevel"/>
    <w:tmpl w:val="FC7EFF4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6" w15:restartNumberingAfterBreak="0">
    <w:nsid w:val="4C7F68EF"/>
    <w:multiLevelType w:val="hybridMultilevel"/>
    <w:tmpl w:val="E138DCF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7" w15:restartNumberingAfterBreak="0">
    <w:nsid w:val="4E487758"/>
    <w:multiLevelType w:val="hybridMultilevel"/>
    <w:tmpl w:val="731EBCE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8" w15:restartNumberingAfterBreak="0">
    <w:nsid w:val="4EA56351"/>
    <w:multiLevelType w:val="hybridMultilevel"/>
    <w:tmpl w:val="A808D98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9" w15:restartNumberingAfterBreak="0">
    <w:nsid w:val="52A13EB7"/>
    <w:multiLevelType w:val="hybridMultilevel"/>
    <w:tmpl w:val="52668A5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0" w15:restartNumberingAfterBreak="0">
    <w:nsid w:val="52DE5B61"/>
    <w:multiLevelType w:val="hybridMultilevel"/>
    <w:tmpl w:val="AB926DF0"/>
    <w:lvl w:ilvl="0" w:tplc="0C09000F">
      <w:start w:val="1"/>
      <w:numFmt w:val="decimal"/>
      <w:lvlText w:val="%1."/>
      <w:lvlJc w:val="left"/>
      <w:pPr>
        <w:ind w:left="360" w:hanging="360"/>
      </w:pPr>
      <w:rPr>
        <w:rFonts w:hint="default"/>
        <w:color w:val="7030A0"/>
        <w:sz w:val="24"/>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1" w15:restartNumberingAfterBreak="0">
    <w:nsid w:val="534371A8"/>
    <w:multiLevelType w:val="hybridMultilevel"/>
    <w:tmpl w:val="FAF652C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2" w15:restartNumberingAfterBreak="0">
    <w:nsid w:val="54505228"/>
    <w:multiLevelType w:val="hybridMultilevel"/>
    <w:tmpl w:val="9F74C05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3" w15:restartNumberingAfterBreak="0">
    <w:nsid w:val="54A16EDE"/>
    <w:multiLevelType w:val="hybridMultilevel"/>
    <w:tmpl w:val="986ACA36"/>
    <w:lvl w:ilvl="0" w:tplc="682A7C36">
      <w:start w:val="4"/>
      <w:numFmt w:val="decimal"/>
      <w:lvlText w:val="%1."/>
      <w:lvlJc w:val="left"/>
      <w:pPr>
        <w:ind w:left="360" w:hanging="360"/>
      </w:pPr>
      <w:rPr>
        <w:rFonts w:hint="default"/>
        <w:b/>
        <w:color w:val="auto"/>
        <w:sz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559C02A3"/>
    <w:multiLevelType w:val="multilevel"/>
    <w:tmpl w:val="B9186086"/>
    <w:styleLink w:val="TabledListnumbered"/>
    <w:lvl w:ilvl="0">
      <w:start w:val="1"/>
      <w:numFmt w:val="decimal"/>
      <w:lvlText w:val="%1."/>
      <w:lvlJc w:val="left"/>
      <w:pPr>
        <w:tabs>
          <w:tab w:val="num" w:pos="567"/>
        </w:tabs>
        <w:ind w:left="567" w:hanging="283"/>
      </w:pPr>
      <w:rPr>
        <w:rFonts w:ascii="Century Gothic" w:hAnsi="Century Gothic" w:hint="default"/>
        <w:b w:val="0"/>
        <w:i w:val="0"/>
        <w:color w:val="0079C1"/>
        <w:sz w:val="18"/>
      </w:rPr>
    </w:lvl>
    <w:lvl w:ilvl="1">
      <w:start w:val="1"/>
      <w:numFmt w:val="lowerRoman"/>
      <w:lvlText w:val="%2)"/>
      <w:lvlJc w:val="left"/>
      <w:pPr>
        <w:tabs>
          <w:tab w:val="num" w:pos="851"/>
        </w:tabs>
        <w:ind w:left="851" w:hanging="284"/>
      </w:pPr>
      <w:rPr>
        <w:rFonts w:ascii="Century Gothic" w:hAnsi="Century Gothic" w:hint="default"/>
        <w:b w:val="0"/>
        <w:i w:val="0"/>
        <w:color w:val="0079C1"/>
        <w:sz w:val="18"/>
      </w:rPr>
    </w:lvl>
    <w:lvl w:ilvl="2">
      <w:start w:val="1"/>
      <w:numFmt w:val="lowerLetter"/>
      <w:lvlText w:val="%3)"/>
      <w:lvlJc w:val="left"/>
      <w:pPr>
        <w:ind w:left="1134" w:hanging="283"/>
      </w:pPr>
      <w:rPr>
        <w:rFonts w:ascii="Arial" w:hAnsi="Arial" w:hint="default"/>
        <w:b w:val="0"/>
        <w:i w:val="0"/>
        <w:color w:val="0079C1"/>
        <w:sz w:val="20"/>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5" w15:restartNumberingAfterBreak="0">
    <w:nsid w:val="56E14984"/>
    <w:multiLevelType w:val="multilevel"/>
    <w:tmpl w:val="86DE5726"/>
    <w:styleLink w:val="TabledListnumbered1"/>
    <w:lvl w:ilvl="0">
      <w:start w:val="1"/>
      <w:numFmt w:val="decimal"/>
      <w:lvlText w:val="%1."/>
      <w:lvlJc w:val="left"/>
      <w:pPr>
        <w:ind w:left="720" w:hanging="363"/>
      </w:pPr>
      <w:rPr>
        <w:rFonts w:ascii="Century Gothic" w:hAnsi="Century Gothic" w:hint="default"/>
        <w:b w:val="0"/>
        <w:i w:val="0"/>
        <w:color w:val="0079C1"/>
        <w:sz w:val="20"/>
      </w:rPr>
    </w:lvl>
    <w:lvl w:ilvl="1">
      <w:start w:val="1"/>
      <w:numFmt w:val="lowerRoman"/>
      <w:lvlText w:val="%2."/>
      <w:lvlJc w:val="left"/>
      <w:pPr>
        <w:tabs>
          <w:tab w:val="num" w:pos="1080"/>
        </w:tabs>
        <w:ind w:left="1077" w:hanging="357"/>
      </w:pPr>
      <w:rPr>
        <w:rFonts w:ascii="Century Gothic" w:hAnsi="Century Gothic" w:hint="default"/>
        <w:b w:val="0"/>
        <w:i w:val="0"/>
        <w:color w:val="0079C1"/>
        <w:sz w:val="20"/>
      </w:rPr>
    </w:lvl>
    <w:lvl w:ilvl="2">
      <w:start w:val="1"/>
      <w:numFmt w:val="lowerLetter"/>
      <w:lvlText w:val="%3)"/>
      <w:lvlJc w:val="left"/>
      <w:pPr>
        <w:ind w:left="1435" w:hanging="358"/>
      </w:pPr>
      <w:rPr>
        <w:rFonts w:ascii="Arial" w:hAnsi="Arial" w:hint="default"/>
        <w:b w:val="0"/>
        <w:i w:val="0"/>
        <w:color w:val="0079C1"/>
        <w:sz w:val="22"/>
      </w:rPr>
    </w:lvl>
    <w:lvl w:ilvl="3">
      <w:start w:val="1"/>
      <w:numFmt w:val="none"/>
      <w:lvlText w:val="(%4)"/>
      <w:lvlJc w:val="left"/>
      <w:pPr>
        <w:ind w:left="1139" w:hanging="360"/>
      </w:pPr>
      <w:rPr>
        <w:rFonts w:hint="default"/>
      </w:rPr>
    </w:lvl>
    <w:lvl w:ilvl="4">
      <w:start w:val="1"/>
      <w:numFmt w:val="lowerLetter"/>
      <w:lvlText w:val="(%5)"/>
      <w:lvlJc w:val="left"/>
      <w:pPr>
        <w:ind w:left="1499" w:hanging="360"/>
      </w:pPr>
      <w:rPr>
        <w:rFonts w:hint="default"/>
      </w:rPr>
    </w:lvl>
    <w:lvl w:ilvl="5">
      <w:start w:val="1"/>
      <w:numFmt w:val="lowerRoman"/>
      <w:lvlText w:val="(%6)"/>
      <w:lvlJc w:val="left"/>
      <w:pPr>
        <w:ind w:left="1859" w:hanging="360"/>
      </w:pPr>
      <w:rPr>
        <w:rFonts w:hint="default"/>
      </w:rPr>
    </w:lvl>
    <w:lvl w:ilvl="6">
      <w:start w:val="1"/>
      <w:numFmt w:val="decimal"/>
      <w:lvlText w:val="%7."/>
      <w:lvlJc w:val="left"/>
      <w:pPr>
        <w:ind w:left="2219" w:hanging="360"/>
      </w:pPr>
      <w:rPr>
        <w:rFonts w:hint="default"/>
      </w:rPr>
    </w:lvl>
    <w:lvl w:ilvl="7">
      <w:start w:val="1"/>
      <w:numFmt w:val="lowerLetter"/>
      <w:lvlText w:val="%8."/>
      <w:lvlJc w:val="left"/>
      <w:pPr>
        <w:ind w:left="2579" w:hanging="360"/>
      </w:pPr>
      <w:rPr>
        <w:rFonts w:hint="default"/>
      </w:rPr>
    </w:lvl>
    <w:lvl w:ilvl="8">
      <w:start w:val="1"/>
      <w:numFmt w:val="lowerRoman"/>
      <w:lvlText w:val="%9."/>
      <w:lvlJc w:val="left"/>
      <w:pPr>
        <w:ind w:left="2939" w:hanging="360"/>
      </w:pPr>
      <w:rPr>
        <w:rFonts w:hint="default"/>
      </w:rPr>
    </w:lvl>
  </w:abstractNum>
  <w:abstractNum w:abstractNumId="46" w15:restartNumberingAfterBreak="0">
    <w:nsid w:val="5A0B26CC"/>
    <w:multiLevelType w:val="hybridMultilevel"/>
    <w:tmpl w:val="E35E2086"/>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7" w15:restartNumberingAfterBreak="0">
    <w:nsid w:val="5FD9530B"/>
    <w:multiLevelType w:val="hybridMultilevel"/>
    <w:tmpl w:val="25E63C4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8" w15:restartNumberingAfterBreak="0">
    <w:nsid w:val="632D7E3C"/>
    <w:multiLevelType w:val="multilevel"/>
    <w:tmpl w:val="149ACDA0"/>
    <w:lvl w:ilvl="0">
      <w:start w:val="1"/>
      <w:numFmt w:val="bullet"/>
      <w:lvlText w:val=""/>
      <w:lvlJc w:val="left"/>
      <w:pPr>
        <w:ind w:left="363" w:hanging="363"/>
      </w:pPr>
      <w:rPr>
        <w:rFonts w:ascii="Symbol" w:hAnsi="Symbol" w:hint="default"/>
        <w:color w:val="7030A0"/>
        <w:sz w:val="24"/>
        <w:szCs w:val="18"/>
      </w:rPr>
    </w:lvl>
    <w:lvl w:ilvl="1">
      <w:start w:val="1"/>
      <w:numFmt w:val="bullet"/>
      <w:lvlText w:val=""/>
      <w:lvlJc w:val="left"/>
      <w:pPr>
        <w:ind w:left="720" w:hanging="357"/>
      </w:pPr>
      <w:rPr>
        <w:rFonts w:ascii="Symbol" w:hAnsi="Symbol" w:hint="default"/>
        <w:color w:val="0079C1"/>
      </w:rPr>
    </w:lvl>
    <w:lvl w:ilvl="2">
      <w:start w:val="1"/>
      <w:numFmt w:val="bullet"/>
      <w:lvlText w:val=""/>
      <w:lvlJc w:val="left"/>
      <w:pPr>
        <w:ind w:left="1078" w:hanging="358"/>
      </w:pPr>
      <w:rPr>
        <w:rFonts w:ascii="Wingdings" w:hAnsi="Wingdings" w:hint="default"/>
        <w:color w:val="0079C1"/>
      </w:rPr>
    </w:lvl>
    <w:lvl w:ilvl="3">
      <w:start w:val="1"/>
      <w:numFmt w:val="none"/>
      <w:lvlText w:val="(%4)"/>
      <w:lvlJc w:val="left"/>
      <w:pPr>
        <w:ind w:left="1083" w:hanging="360"/>
      </w:pPr>
      <w:rPr>
        <w:rFonts w:hint="default"/>
      </w:rPr>
    </w:lvl>
    <w:lvl w:ilvl="4">
      <w:start w:val="1"/>
      <w:numFmt w:val="lowerLetter"/>
      <w:lvlText w:val="(%5)"/>
      <w:lvlJc w:val="left"/>
      <w:pPr>
        <w:ind w:left="1443" w:hanging="360"/>
      </w:pPr>
      <w:rPr>
        <w:rFonts w:hint="default"/>
      </w:rPr>
    </w:lvl>
    <w:lvl w:ilvl="5">
      <w:start w:val="1"/>
      <w:numFmt w:val="lowerRoman"/>
      <w:lvlText w:val="(%6)"/>
      <w:lvlJc w:val="left"/>
      <w:pPr>
        <w:ind w:left="1803" w:hanging="360"/>
      </w:pPr>
      <w:rPr>
        <w:rFonts w:hint="default"/>
      </w:rPr>
    </w:lvl>
    <w:lvl w:ilvl="6">
      <w:start w:val="1"/>
      <w:numFmt w:val="decimal"/>
      <w:lvlText w:val="%7."/>
      <w:lvlJc w:val="left"/>
      <w:pPr>
        <w:ind w:left="2163" w:hanging="360"/>
      </w:pPr>
      <w:rPr>
        <w:rFonts w:hint="default"/>
      </w:rPr>
    </w:lvl>
    <w:lvl w:ilvl="7">
      <w:start w:val="1"/>
      <w:numFmt w:val="lowerLetter"/>
      <w:lvlText w:val="%8."/>
      <w:lvlJc w:val="left"/>
      <w:pPr>
        <w:ind w:left="2523" w:hanging="360"/>
      </w:pPr>
      <w:rPr>
        <w:rFonts w:hint="default"/>
      </w:rPr>
    </w:lvl>
    <w:lvl w:ilvl="8">
      <w:start w:val="1"/>
      <w:numFmt w:val="lowerRoman"/>
      <w:lvlText w:val="%9."/>
      <w:lvlJc w:val="left"/>
      <w:pPr>
        <w:ind w:left="2883" w:hanging="360"/>
      </w:pPr>
      <w:rPr>
        <w:rFonts w:hint="default"/>
      </w:rPr>
    </w:lvl>
  </w:abstractNum>
  <w:abstractNum w:abstractNumId="49" w15:restartNumberingAfterBreak="0">
    <w:nsid w:val="64473F7B"/>
    <w:multiLevelType w:val="hybridMultilevel"/>
    <w:tmpl w:val="03A66B3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0" w15:restartNumberingAfterBreak="0">
    <w:nsid w:val="67766382"/>
    <w:multiLevelType w:val="multilevel"/>
    <w:tmpl w:val="F404F67C"/>
    <w:styleLink w:val="TableListbulleted"/>
    <w:lvl w:ilvl="0">
      <w:start w:val="1"/>
      <w:numFmt w:val="bullet"/>
      <w:lvlText w:val=""/>
      <w:lvlJc w:val="left"/>
      <w:pPr>
        <w:tabs>
          <w:tab w:val="num" w:pos="567"/>
        </w:tabs>
        <w:ind w:left="567" w:hanging="283"/>
      </w:pPr>
      <w:rPr>
        <w:rFonts w:ascii="Wingdings" w:hAnsi="Wingdings" w:hint="default"/>
        <w:color w:val="0079C1"/>
        <w:sz w:val="20"/>
      </w:rPr>
    </w:lvl>
    <w:lvl w:ilvl="1">
      <w:start w:val="1"/>
      <w:numFmt w:val="bullet"/>
      <w:lvlText w:val=""/>
      <w:lvlJc w:val="left"/>
      <w:pPr>
        <w:tabs>
          <w:tab w:val="num" w:pos="851"/>
        </w:tabs>
        <w:ind w:left="851" w:hanging="284"/>
      </w:pPr>
      <w:rPr>
        <w:rFonts w:ascii="Symbol" w:hAnsi="Symbol" w:hint="default"/>
        <w:color w:val="0079C1"/>
        <w:sz w:val="18"/>
      </w:rPr>
    </w:lvl>
    <w:lvl w:ilvl="2">
      <w:start w:val="1"/>
      <w:numFmt w:val="lowerLetter"/>
      <w:lvlText w:val="%3)"/>
      <w:lvlJc w:val="left"/>
      <w:pPr>
        <w:ind w:left="1435" w:hanging="358"/>
      </w:pPr>
      <w:rPr>
        <w:rFonts w:ascii="Arial" w:hAnsi="Arial" w:hint="default"/>
        <w:b w:val="0"/>
        <w:i w:val="0"/>
        <w:color w:val="0079C1"/>
        <w:sz w:val="20"/>
      </w:rPr>
    </w:lvl>
    <w:lvl w:ilvl="3">
      <w:start w:val="1"/>
      <w:numFmt w:val="none"/>
      <w:lvlText w:val="(%4)"/>
      <w:lvlJc w:val="left"/>
      <w:pPr>
        <w:ind w:left="1139" w:hanging="360"/>
      </w:pPr>
      <w:rPr>
        <w:rFonts w:hint="default"/>
      </w:rPr>
    </w:lvl>
    <w:lvl w:ilvl="4">
      <w:start w:val="1"/>
      <w:numFmt w:val="lowerLetter"/>
      <w:lvlText w:val="(%5)"/>
      <w:lvlJc w:val="left"/>
      <w:pPr>
        <w:ind w:left="1499" w:hanging="360"/>
      </w:pPr>
      <w:rPr>
        <w:rFonts w:hint="default"/>
      </w:rPr>
    </w:lvl>
    <w:lvl w:ilvl="5">
      <w:start w:val="1"/>
      <w:numFmt w:val="lowerRoman"/>
      <w:lvlText w:val="(%6)"/>
      <w:lvlJc w:val="left"/>
      <w:pPr>
        <w:ind w:left="1859" w:hanging="360"/>
      </w:pPr>
      <w:rPr>
        <w:rFonts w:hint="default"/>
      </w:rPr>
    </w:lvl>
    <w:lvl w:ilvl="6">
      <w:start w:val="1"/>
      <w:numFmt w:val="decimal"/>
      <w:lvlText w:val="%7."/>
      <w:lvlJc w:val="left"/>
      <w:pPr>
        <w:ind w:left="2219" w:hanging="360"/>
      </w:pPr>
      <w:rPr>
        <w:rFonts w:hint="default"/>
      </w:rPr>
    </w:lvl>
    <w:lvl w:ilvl="7">
      <w:start w:val="1"/>
      <w:numFmt w:val="lowerLetter"/>
      <w:lvlText w:val="%8."/>
      <w:lvlJc w:val="left"/>
      <w:pPr>
        <w:ind w:left="2579" w:hanging="360"/>
      </w:pPr>
      <w:rPr>
        <w:rFonts w:hint="default"/>
      </w:rPr>
    </w:lvl>
    <w:lvl w:ilvl="8">
      <w:start w:val="1"/>
      <w:numFmt w:val="lowerRoman"/>
      <w:lvlText w:val="%9."/>
      <w:lvlJc w:val="left"/>
      <w:pPr>
        <w:ind w:left="2939" w:hanging="360"/>
      </w:pPr>
      <w:rPr>
        <w:rFonts w:hint="default"/>
      </w:rPr>
    </w:lvl>
  </w:abstractNum>
  <w:abstractNum w:abstractNumId="51" w15:restartNumberingAfterBreak="0">
    <w:nsid w:val="67A748EF"/>
    <w:multiLevelType w:val="hybridMultilevel"/>
    <w:tmpl w:val="79064658"/>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6B6143AF"/>
    <w:multiLevelType w:val="hybridMultilevel"/>
    <w:tmpl w:val="9252EEF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3" w15:restartNumberingAfterBreak="0">
    <w:nsid w:val="6D2E5A33"/>
    <w:multiLevelType w:val="hybridMultilevel"/>
    <w:tmpl w:val="4E9AC26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4" w15:restartNumberingAfterBreak="0">
    <w:nsid w:val="70BB119E"/>
    <w:multiLevelType w:val="hybridMultilevel"/>
    <w:tmpl w:val="3E8846D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5" w15:restartNumberingAfterBreak="0">
    <w:nsid w:val="75BA370A"/>
    <w:multiLevelType w:val="multilevel"/>
    <w:tmpl w:val="7DD61BB8"/>
    <w:lvl w:ilvl="0">
      <w:start w:val="1"/>
      <w:numFmt w:val="bullet"/>
      <w:lvlText w:val=""/>
      <w:lvlJc w:val="left"/>
      <w:pPr>
        <w:ind w:left="360" w:hanging="360"/>
      </w:pPr>
      <w:rPr>
        <w:rFonts w:ascii="Symbol" w:hAnsi="Symbol" w:hint="default"/>
        <w:color w:val="7030A0"/>
        <w:sz w:val="24"/>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56" w15:restartNumberingAfterBreak="0">
    <w:nsid w:val="7AC654BB"/>
    <w:multiLevelType w:val="hybridMultilevel"/>
    <w:tmpl w:val="BFFCD9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15:restartNumberingAfterBreak="0">
    <w:nsid w:val="7E136C50"/>
    <w:multiLevelType w:val="hybridMultilevel"/>
    <w:tmpl w:val="36420042"/>
    <w:lvl w:ilvl="0" w:tplc="0C090001">
      <w:start w:val="1"/>
      <w:numFmt w:val="bullet"/>
      <w:lvlText w:val=""/>
      <w:lvlJc w:val="left"/>
      <w:pPr>
        <w:ind w:left="1141" w:hanging="360"/>
      </w:pPr>
      <w:rPr>
        <w:rFonts w:ascii="Symbol" w:hAnsi="Symbol" w:hint="default"/>
      </w:rPr>
    </w:lvl>
    <w:lvl w:ilvl="1" w:tplc="0C090003" w:tentative="1">
      <w:start w:val="1"/>
      <w:numFmt w:val="bullet"/>
      <w:lvlText w:val="o"/>
      <w:lvlJc w:val="left"/>
      <w:pPr>
        <w:ind w:left="1501" w:hanging="360"/>
      </w:pPr>
      <w:rPr>
        <w:rFonts w:ascii="Courier New" w:hAnsi="Courier New" w:cs="Courier New" w:hint="default"/>
      </w:rPr>
    </w:lvl>
    <w:lvl w:ilvl="2" w:tplc="0C090005" w:tentative="1">
      <w:start w:val="1"/>
      <w:numFmt w:val="bullet"/>
      <w:lvlText w:val=""/>
      <w:lvlJc w:val="left"/>
      <w:pPr>
        <w:ind w:left="2221" w:hanging="360"/>
      </w:pPr>
      <w:rPr>
        <w:rFonts w:ascii="Wingdings" w:hAnsi="Wingdings" w:hint="default"/>
      </w:rPr>
    </w:lvl>
    <w:lvl w:ilvl="3" w:tplc="0C090001" w:tentative="1">
      <w:start w:val="1"/>
      <w:numFmt w:val="bullet"/>
      <w:lvlText w:val=""/>
      <w:lvlJc w:val="left"/>
      <w:pPr>
        <w:ind w:left="2941" w:hanging="360"/>
      </w:pPr>
      <w:rPr>
        <w:rFonts w:ascii="Symbol" w:hAnsi="Symbol" w:hint="default"/>
      </w:rPr>
    </w:lvl>
    <w:lvl w:ilvl="4" w:tplc="0C090003" w:tentative="1">
      <w:start w:val="1"/>
      <w:numFmt w:val="bullet"/>
      <w:lvlText w:val="o"/>
      <w:lvlJc w:val="left"/>
      <w:pPr>
        <w:ind w:left="3661" w:hanging="360"/>
      </w:pPr>
      <w:rPr>
        <w:rFonts w:ascii="Courier New" w:hAnsi="Courier New" w:cs="Courier New" w:hint="default"/>
      </w:rPr>
    </w:lvl>
    <w:lvl w:ilvl="5" w:tplc="0C090005" w:tentative="1">
      <w:start w:val="1"/>
      <w:numFmt w:val="bullet"/>
      <w:lvlText w:val=""/>
      <w:lvlJc w:val="left"/>
      <w:pPr>
        <w:ind w:left="4381" w:hanging="360"/>
      </w:pPr>
      <w:rPr>
        <w:rFonts w:ascii="Wingdings" w:hAnsi="Wingdings" w:hint="default"/>
      </w:rPr>
    </w:lvl>
    <w:lvl w:ilvl="6" w:tplc="0C090001" w:tentative="1">
      <w:start w:val="1"/>
      <w:numFmt w:val="bullet"/>
      <w:lvlText w:val=""/>
      <w:lvlJc w:val="left"/>
      <w:pPr>
        <w:ind w:left="5101" w:hanging="360"/>
      </w:pPr>
      <w:rPr>
        <w:rFonts w:ascii="Symbol" w:hAnsi="Symbol" w:hint="default"/>
      </w:rPr>
    </w:lvl>
    <w:lvl w:ilvl="7" w:tplc="0C090003" w:tentative="1">
      <w:start w:val="1"/>
      <w:numFmt w:val="bullet"/>
      <w:lvlText w:val="o"/>
      <w:lvlJc w:val="left"/>
      <w:pPr>
        <w:ind w:left="5821" w:hanging="360"/>
      </w:pPr>
      <w:rPr>
        <w:rFonts w:ascii="Courier New" w:hAnsi="Courier New" w:cs="Courier New" w:hint="default"/>
      </w:rPr>
    </w:lvl>
    <w:lvl w:ilvl="8" w:tplc="0C090005" w:tentative="1">
      <w:start w:val="1"/>
      <w:numFmt w:val="bullet"/>
      <w:lvlText w:val=""/>
      <w:lvlJc w:val="left"/>
      <w:pPr>
        <w:ind w:left="6541" w:hanging="360"/>
      </w:pPr>
      <w:rPr>
        <w:rFonts w:ascii="Wingdings" w:hAnsi="Wingdings" w:hint="default"/>
      </w:rPr>
    </w:lvl>
  </w:abstractNum>
  <w:abstractNum w:abstractNumId="58" w15:restartNumberingAfterBreak="0">
    <w:nsid w:val="7F31597E"/>
    <w:multiLevelType w:val="hybridMultilevel"/>
    <w:tmpl w:val="FA7ADC6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18"/>
  </w:num>
  <w:num w:numId="2">
    <w:abstractNumId w:val="20"/>
  </w:num>
  <w:num w:numId="3">
    <w:abstractNumId w:val="2"/>
  </w:num>
  <w:num w:numId="4">
    <w:abstractNumId w:val="26"/>
  </w:num>
  <w:num w:numId="5">
    <w:abstractNumId w:val="22"/>
  </w:num>
  <w:num w:numId="6">
    <w:abstractNumId w:val="16"/>
  </w:num>
  <w:num w:numId="7">
    <w:abstractNumId w:val="1"/>
  </w:num>
  <w:num w:numId="8">
    <w:abstractNumId w:val="45"/>
  </w:num>
  <w:num w:numId="9">
    <w:abstractNumId w:val="50"/>
  </w:num>
  <w:num w:numId="10">
    <w:abstractNumId w:val="44"/>
  </w:num>
  <w:num w:numId="11">
    <w:abstractNumId w:val="21"/>
  </w:num>
  <w:num w:numId="12">
    <w:abstractNumId w:val="48"/>
  </w:num>
  <w:num w:numId="13">
    <w:abstractNumId w:val="12"/>
  </w:num>
  <w:num w:numId="14">
    <w:abstractNumId w:val="55"/>
  </w:num>
  <w:num w:numId="15">
    <w:abstractNumId w:val="46"/>
  </w:num>
  <w:num w:numId="16">
    <w:abstractNumId w:val="40"/>
  </w:num>
  <w:num w:numId="17">
    <w:abstractNumId w:val="58"/>
  </w:num>
  <w:num w:numId="18">
    <w:abstractNumId w:val="9"/>
  </w:num>
  <w:num w:numId="19">
    <w:abstractNumId w:val="51"/>
  </w:num>
  <w:num w:numId="20">
    <w:abstractNumId w:val="56"/>
  </w:num>
  <w:num w:numId="21">
    <w:abstractNumId w:val="0"/>
  </w:num>
  <w:num w:numId="22">
    <w:abstractNumId w:val="25"/>
  </w:num>
  <w:num w:numId="23">
    <w:abstractNumId w:val="8"/>
  </w:num>
  <w:num w:numId="24">
    <w:abstractNumId w:val="57"/>
  </w:num>
  <w:num w:numId="25">
    <w:abstractNumId w:val="32"/>
  </w:num>
  <w:num w:numId="26">
    <w:abstractNumId w:val="6"/>
  </w:num>
  <w:num w:numId="27">
    <w:abstractNumId w:val="23"/>
  </w:num>
  <w:num w:numId="28">
    <w:abstractNumId w:val="36"/>
  </w:num>
  <w:num w:numId="29">
    <w:abstractNumId w:val="54"/>
  </w:num>
  <w:num w:numId="30">
    <w:abstractNumId w:val="13"/>
  </w:num>
  <w:num w:numId="31">
    <w:abstractNumId w:val="31"/>
  </w:num>
  <w:num w:numId="32">
    <w:abstractNumId w:val="39"/>
  </w:num>
  <w:num w:numId="33">
    <w:abstractNumId w:val="52"/>
  </w:num>
  <w:num w:numId="34">
    <w:abstractNumId w:val="24"/>
  </w:num>
  <w:num w:numId="35">
    <w:abstractNumId w:val="27"/>
  </w:num>
  <w:num w:numId="36">
    <w:abstractNumId w:val="28"/>
  </w:num>
  <w:num w:numId="37">
    <w:abstractNumId w:val="30"/>
  </w:num>
  <w:num w:numId="38">
    <w:abstractNumId w:val="4"/>
  </w:num>
  <w:num w:numId="39">
    <w:abstractNumId w:val="47"/>
  </w:num>
  <w:num w:numId="40">
    <w:abstractNumId w:val="53"/>
  </w:num>
  <w:num w:numId="41">
    <w:abstractNumId w:val="49"/>
  </w:num>
  <w:num w:numId="42">
    <w:abstractNumId w:val="37"/>
  </w:num>
  <w:num w:numId="43">
    <w:abstractNumId w:val="41"/>
  </w:num>
  <w:num w:numId="44">
    <w:abstractNumId w:val="33"/>
  </w:num>
  <w:num w:numId="45">
    <w:abstractNumId w:val="19"/>
  </w:num>
  <w:num w:numId="46">
    <w:abstractNumId w:val="17"/>
  </w:num>
  <w:num w:numId="47">
    <w:abstractNumId w:val="29"/>
  </w:num>
  <w:num w:numId="48">
    <w:abstractNumId w:val="38"/>
  </w:num>
  <w:num w:numId="49">
    <w:abstractNumId w:val="3"/>
  </w:num>
  <w:num w:numId="50">
    <w:abstractNumId w:val="42"/>
  </w:num>
  <w:num w:numId="51">
    <w:abstractNumId w:val="5"/>
  </w:num>
  <w:num w:numId="52">
    <w:abstractNumId w:val="14"/>
  </w:num>
  <w:num w:numId="53">
    <w:abstractNumId w:val="35"/>
  </w:num>
  <w:num w:numId="54">
    <w:abstractNumId w:val="10"/>
  </w:num>
  <w:num w:numId="55">
    <w:abstractNumId w:val="15"/>
  </w:num>
  <w:num w:numId="56">
    <w:abstractNumId w:val="7"/>
  </w:num>
  <w:num w:numId="57">
    <w:abstractNumId w:val="11"/>
  </w:num>
  <w:num w:numId="58">
    <w:abstractNumId w:val="43"/>
  </w:num>
  <w:num w:numId="59">
    <w:abstractNumId w:val="34"/>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defaultTabStop w:val="720"/>
  <w:characterSpacingControl w:val="doNotCompress"/>
  <w:hdrShapeDefaults>
    <o:shapedefaults v:ext="edit" spidmax="43009">
      <o:colormenu v:ext="edit" fillcolor="#8064a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64AE"/>
    <w:rsid w:val="00004CB2"/>
    <w:rsid w:val="000214BF"/>
    <w:rsid w:val="00022409"/>
    <w:rsid w:val="00042B08"/>
    <w:rsid w:val="00060FEE"/>
    <w:rsid w:val="00061596"/>
    <w:rsid w:val="000624EA"/>
    <w:rsid w:val="00063DA4"/>
    <w:rsid w:val="0007288C"/>
    <w:rsid w:val="00073506"/>
    <w:rsid w:val="0007507A"/>
    <w:rsid w:val="000908BD"/>
    <w:rsid w:val="000A27AF"/>
    <w:rsid w:val="000A6121"/>
    <w:rsid w:val="000A6329"/>
    <w:rsid w:val="000B07E4"/>
    <w:rsid w:val="000B3995"/>
    <w:rsid w:val="000C08F8"/>
    <w:rsid w:val="000C0B2A"/>
    <w:rsid w:val="000C4A81"/>
    <w:rsid w:val="000C6E44"/>
    <w:rsid w:val="000C7E48"/>
    <w:rsid w:val="000E1189"/>
    <w:rsid w:val="000E381A"/>
    <w:rsid w:val="000E6FC8"/>
    <w:rsid w:val="000F4834"/>
    <w:rsid w:val="00100829"/>
    <w:rsid w:val="00103628"/>
    <w:rsid w:val="00107E26"/>
    <w:rsid w:val="00110243"/>
    <w:rsid w:val="0011358D"/>
    <w:rsid w:val="001161E4"/>
    <w:rsid w:val="0011685D"/>
    <w:rsid w:val="00121283"/>
    <w:rsid w:val="001271BD"/>
    <w:rsid w:val="001340A0"/>
    <w:rsid w:val="00134B5F"/>
    <w:rsid w:val="001363B9"/>
    <w:rsid w:val="001377AE"/>
    <w:rsid w:val="001410E9"/>
    <w:rsid w:val="001433E3"/>
    <w:rsid w:val="00160CA5"/>
    <w:rsid w:val="00167ABC"/>
    <w:rsid w:val="00172644"/>
    <w:rsid w:val="00173A66"/>
    <w:rsid w:val="00173D83"/>
    <w:rsid w:val="00176EB8"/>
    <w:rsid w:val="00183EB2"/>
    <w:rsid w:val="00185015"/>
    <w:rsid w:val="00192F9A"/>
    <w:rsid w:val="001943BD"/>
    <w:rsid w:val="001A17F4"/>
    <w:rsid w:val="001A1EA6"/>
    <w:rsid w:val="001A216B"/>
    <w:rsid w:val="001A46AF"/>
    <w:rsid w:val="001A7C9B"/>
    <w:rsid w:val="001B1897"/>
    <w:rsid w:val="001B3D79"/>
    <w:rsid w:val="001C5C07"/>
    <w:rsid w:val="001D7AC5"/>
    <w:rsid w:val="001F11F0"/>
    <w:rsid w:val="001F2CD3"/>
    <w:rsid w:val="0020180F"/>
    <w:rsid w:val="00202BC1"/>
    <w:rsid w:val="00213F57"/>
    <w:rsid w:val="002177F2"/>
    <w:rsid w:val="00224595"/>
    <w:rsid w:val="00225559"/>
    <w:rsid w:val="002317FB"/>
    <w:rsid w:val="002340BC"/>
    <w:rsid w:val="00240ED0"/>
    <w:rsid w:val="00241DC8"/>
    <w:rsid w:val="00244CAD"/>
    <w:rsid w:val="00247C41"/>
    <w:rsid w:val="002508F4"/>
    <w:rsid w:val="002569A9"/>
    <w:rsid w:val="00256DD3"/>
    <w:rsid w:val="002570AB"/>
    <w:rsid w:val="002617FF"/>
    <w:rsid w:val="00263342"/>
    <w:rsid w:val="0026461C"/>
    <w:rsid w:val="00266A88"/>
    <w:rsid w:val="00267124"/>
    <w:rsid w:val="00271713"/>
    <w:rsid w:val="002745A7"/>
    <w:rsid w:val="0027544C"/>
    <w:rsid w:val="00280050"/>
    <w:rsid w:val="002A4D9E"/>
    <w:rsid w:val="002A5249"/>
    <w:rsid w:val="002A750C"/>
    <w:rsid w:val="002B0ECA"/>
    <w:rsid w:val="002B2F2B"/>
    <w:rsid w:val="002B336B"/>
    <w:rsid w:val="002B3F61"/>
    <w:rsid w:val="002B3FBF"/>
    <w:rsid w:val="002B7E32"/>
    <w:rsid w:val="002E331D"/>
    <w:rsid w:val="002E744E"/>
    <w:rsid w:val="002F3C55"/>
    <w:rsid w:val="002F4606"/>
    <w:rsid w:val="002F6A06"/>
    <w:rsid w:val="00301189"/>
    <w:rsid w:val="00301B19"/>
    <w:rsid w:val="00317489"/>
    <w:rsid w:val="003177A8"/>
    <w:rsid w:val="00317C06"/>
    <w:rsid w:val="0032043A"/>
    <w:rsid w:val="00330A99"/>
    <w:rsid w:val="00332CFC"/>
    <w:rsid w:val="003423C0"/>
    <w:rsid w:val="0034663C"/>
    <w:rsid w:val="003507A2"/>
    <w:rsid w:val="00355576"/>
    <w:rsid w:val="00363895"/>
    <w:rsid w:val="00363897"/>
    <w:rsid w:val="00367351"/>
    <w:rsid w:val="00376FE4"/>
    <w:rsid w:val="003805E8"/>
    <w:rsid w:val="00384D48"/>
    <w:rsid w:val="0039515B"/>
    <w:rsid w:val="00396C22"/>
    <w:rsid w:val="00397E8E"/>
    <w:rsid w:val="003A1523"/>
    <w:rsid w:val="003A4C94"/>
    <w:rsid w:val="003B3489"/>
    <w:rsid w:val="003B3748"/>
    <w:rsid w:val="003D0C48"/>
    <w:rsid w:val="003D217A"/>
    <w:rsid w:val="003D2DC0"/>
    <w:rsid w:val="003D4D3C"/>
    <w:rsid w:val="003D79E4"/>
    <w:rsid w:val="003E2146"/>
    <w:rsid w:val="003E334C"/>
    <w:rsid w:val="003E675E"/>
    <w:rsid w:val="003E7373"/>
    <w:rsid w:val="003F2A15"/>
    <w:rsid w:val="003F6D03"/>
    <w:rsid w:val="0040262C"/>
    <w:rsid w:val="0040478E"/>
    <w:rsid w:val="004056B4"/>
    <w:rsid w:val="00405BE9"/>
    <w:rsid w:val="004200DE"/>
    <w:rsid w:val="004234F0"/>
    <w:rsid w:val="00431D1C"/>
    <w:rsid w:val="00432179"/>
    <w:rsid w:val="00434995"/>
    <w:rsid w:val="0044098E"/>
    <w:rsid w:val="00441705"/>
    <w:rsid w:val="0046043D"/>
    <w:rsid w:val="00460494"/>
    <w:rsid w:val="00460E93"/>
    <w:rsid w:val="004711A7"/>
    <w:rsid w:val="004756DA"/>
    <w:rsid w:val="00477A29"/>
    <w:rsid w:val="00486E0D"/>
    <w:rsid w:val="004876B4"/>
    <w:rsid w:val="0049602F"/>
    <w:rsid w:val="00497359"/>
    <w:rsid w:val="004A4B6F"/>
    <w:rsid w:val="004B041C"/>
    <w:rsid w:val="004B1F4F"/>
    <w:rsid w:val="004B4204"/>
    <w:rsid w:val="004C12B9"/>
    <w:rsid w:val="004D0320"/>
    <w:rsid w:val="004D53D1"/>
    <w:rsid w:val="004E3FB2"/>
    <w:rsid w:val="004E6DF2"/>
    <w:rsid w:val="00500E1F"/>
    <w:rsid w:val="0050548D"/>
    <w:rsid w:val="00507ED4"/>
    <w:rsid w:val="005142DA"/>
    <w:rsid w:val="00520585"/>
    <w:rsid w:val="00541D61"/>
    <w:rsid w:val="00542DE0"/>
    <w:rsid w:val="00543598"/>
    <w:rsid w:val="00550B20"/>
    <w:rsid w:val="00554722"/>
    <w:rsid w:val="0056203A"/>
    <w:rsid w:val="005645EF"/>
    <w:rsid w:val="00565E9E"/>
    <w:rsid w:val="00565FD0"/>
    <w:rsid w:val="00573BAD"/>
    <w:rsid w:val="0057674E"/>
    <w:rsid w:val="0059464B"/>
    <w:rsid w:val="00595441"/>
    <w:rsid w:val="00596724"/>
    <w:rsid w:val="005A3AE6"/>
    <w:rsid w:val="005A5091"/>
    <w:rsid w:val="005A73BE"/>
    <w:rsid w:val="005B028C"/>
    <w:rsid w:val="005B0746"/>
    <w:rsid w:val="005B0FAE"/>
    <w:rsid w:val="005B2A3F"/>
    <w:rsid w:val="005B3CAB"/>
    <w:rsid w:val="005D0270"/>
    <w:rsid w:val="005D2B69"/>
    <w:rsid w:val="005D6EF6"/>
    <w:rsid w:val="005E48AF"/>
    <w:rsid w:val="005E56AB"/>
    <w:rsid w:val="005E7E94"/>
    <w:rsid w:val="005F4AF5"/>
    <w:rsid w:val="005F68BF"/>
    <w:rsid w:val="0060154B"/>
    <w:rsid w:val="006064DC"/>
    <w:rsid w:val="0061039D"/>
    <w:rsid w:val="0061273E"/>
    <w:rsid w:val="00612DEB"/>
    <w:rsid w:val="006139E7"/>
    <w:rsid w:val="00620D1A"/>
    <w:rsid w:val="006278CD"/>
    <w:rsid w:val="00633BE7"/>
    <w:rsid w:val="0063764A"/>
    <w:rsid w:val="006376E5"/>
    <w:rsid w:val="00646921"/>
    <w:rsid w:val="00650549"/>
    <w:rsid w:val="0065418E"/>
    <w:rsid w:val="0065582D"/>
    <w:rsid w:val="00657C08"/>
    <w:rsid w:val="00673352"/>
    <w:rsid w:val="00677D7C"/>
    <w:rsid w:val="00683611"/>
    <w:rsid w:val="00686D4C"/>
    <w:rsid w:val="00693716"/>
    <w:rsid w:val="00695EDA"/>
    <w:rsid w:val="006A21CD"/>
    <w:rsid w:val="006C08AE"/>
    <w:rsid w:val="006C1F5E"/>
    <w:rsid w:val="006C7BEC"/>
    <w:rsid w:val="006D05E2"/>
    <w:rsid w:val="006D11F9"/>
    <w:rsid w:val="006E3585"/>
    <w:rsid w:val="006E3D89"/>
    <w:rsid w:val="006F2EBA"/>
    <w:rsid w:val="006F3785"/>
    <w:rsid w:val="006F5994"/>
    <w:rsid w:val="006F646B"/>
    <w:rsid w:val="006F75CD"/>
    <w:rsid w:val="00703661"/>
    <w:rsid w:val="00703887"/>
    <w:rsid w:val="00720FDC"/>
    <w:rsid w:val="007243BA"/>
    <w:rsid w:val="0074464B"/>
    <w:rsid w:val="007515FE"/>
    <w:rsid w:val="00752C2D"/>
    <w:rsid w:val="00757338"/>
    <w:rsid w:val="0076169A"/>
    <w:rsid w:val="00763D93"/>
    <w:rsid w:val="007751AF"/>
    <w:rsid w:val="007768A8"/>
    <w:rsid w:val="007827CE"/>
    <w:rsid w:val="00784872"/>
    <w:rsid w:val="007855D7"/>
    <w:rsid w:val="0078723F"/>
    <w:rsid w:val="0078734D"/>
    <w:rsid w:val="007932DC"/>
    <w:rsid w:val="007968C4"/>
    <w:rsid w:val="007A1FCD"/>
    <w:rsid w:val="007A53DD"/>
    <w:rsid w:val="007B1DB6"/>
    <w:rsid w:val="007B4C6E"/>
    <w:rsid w:val="007B50C5"/>
    <w:rsid w:val="007C5F6A"/>
    <w:rsid w:val="007D4B79"/>
    <w:rsid w:val="007D607B"/>
    <w:rsid w:val="007E0BDF"/>
    <w:rsid w:val="007E6FAB"/>
    <w:rsid w:val="007F463E"/>
    <w:rsid w:val="007F76F1"/>
    <w:rsid w:val="008005F4"/>
    <w:rsid w:val="00801608"/>
    <w:rsid w:val="00802FC6"/>
    <w:rsid w:val="00804BE5"/>
    <w:rsid w:val="008067D0"/>
    <w:rsid w:val="00807C1A"/>
    <w:rsid w:val="008110E3"/>
    <w:rsid w:val="008145E3"/>
    <w:rsid w:val="00825339"/>
    <w:rsid w:val="00826015"/>
    <w:rsid w:val="00826C99"/>
    <w:rsid w:val="00832CC0"/>
    <w:rsid w:val="008377F0"/>
    <w:rsid w:val="008564AE"/>
    <w:rsid w:val="00857CC0"/>
    <w:rsid w:val="00860B5C"/>
    <w:rsid w:val="008645BF"/>
    <w:rsid w:val="00873BDF"/>
    <w:rsid w:val="008817CB"/>
    <w:rsid w:val="0088469E"/>
    <w:rsid w:val="00885BE2"/>
    <w:rsid w:val="00886A2F"/>
    <w:rsid w:val="00887176"/>
    <w:rsid w:val="008914CB"/>
    <w:rsid w:val="00893ECE"/>
    <w:rsid w:val="008A2BE1"/>
    <w:rsid w:val="008A5053"/>
    <w:rsid w:val="008A7558"/>
    <w:rsid w:val="008B32F8"/>
    <w:rsid w:val="008B36BF"/>
    <w:rsid w:val="008C3218"/>
    <w:rsid w:val="008C4DD3"/>
    <w:rsid w:val="008C7823"/>
    <w:rsid w:val="008D0E63"/>
    <w:rsid w:val="008D2549"/>
    <w:rsid w:val="008D6048"/>
    <w:rsid w:val="008E2713"/>
    <w:rsid w:val="008E6D56"/>
    <w:rsid w:val="00927D28"/>
    <w:rsid w:val="0093348E"/>
    <w:rsid w:val="00941260"/>
    <w:rsid w:val="00941C2E"/>
    <w:rsid w:val="009448A4"/>
    <w:rsid w:val="00954D39"/>
    <w:rsid w:val="0095561D"/>
    <w:rsid w:val="009620DE"/>
    <w:rsid w:val="009844A4"/>
    <w:rsid w:val="00986025"/>
    <w:rsid w:val="009867D5"/>
    <w:rsid w:val="00991206"/>
    <w:rsid w:val="00995263"/>
    <w:rsid w:val="009970A2"/>
    <w:rsid w:val="009A6160"/>
    <w:rsid w:val="009B016C"/>
    <w:rsid w:val="009B14A1"/>
    <w:rsid w:val="009B7071"/>
    <w:rsid w:val="009C0853"/>
    <w:rsid w:val="009C0C67"/>
    <w:rsid w:val="009C6D99"/>
    <w:rsid w:val="009D0037"/>
    <w:rsid w:val="009D4FCE"/>
    <w:rsid w:val="009D7EBB"/>
    <w:rsid w:val="009E3025"/>
    <w:rsid w:val="009E3D72"/>
    <w:rsid w:val="009E5C09"/>
    <w:rsid w:val="009F4C78"/>
    <w:rsid w:val="00A008FB"/>
    <w:rsid w:val="00A0127D"/>
    <w:rsid w:val="00A024D9"/>
    <w:rsid w:val="00A15A65"/>
    <w:rsid w:val="00A162FB"/>
    <w:rsid w:val="00A17616"/>
    <w:rsid w:val="00A22745"/>
    <w:rsid w:val="00A2415B"/>
    <w:rsid w:val="00A26779"/>
    <w:rsid w:val="00A37254"/>
    <w:rsid w:val="00A379ED"/>
    <w:rsid w:val="00A402D5"/>
    <w:rsid w:val="00A44FE8"/>
    <w:rsid w:val="00A502B9"/>
    <w:rsid w:val="00A562D7"/>
    <w:rsid w:val="00A767C9"/>
    <w:rsid w:val="00A8161E"/>
    <w:rsid w:val="00A81ABF"/>
    <w:rsid w:val="00A92440"/>
    <w:rsid w:val="00A93607"/>
    <w:rsid w:val="00A967CC"/>
    <w:rsid w:val="00AA3E45"/>
    <w:rsid w:val="00AA3E8B"/>
    <w:rsid w:val="00AB0FC4"/>
    <w:rsid w:val="00AB1C07"/>
    <w:rsid w:val="00AC1D2D"/>
    <w:rsid w:val="00AC2014"/>
    <w:rsid w:val="00AC5B85"/>
    <w:rsid w:val="00AD2EA3"/>
    <w:rsid w:val="00AD3D83"/>
    <w:rsid w:val="00AD4FE0"/>
    <w:rsid w:val="00AD7801"/>
    <w:rsid w:val="00AE1226"/>
    <w:rsid w:val="00AE144F"/>
    <w:rsid w:val="00AF71F0"/>
    <w:rsid w:val="00B00976"/>
    <w:rsid w:val="00B1555C"/>
    <w:rsid w:val="00B171EB"/>
    <w:rsid w:val="00B17D86"/>
    <w:rsid w:val="00B20109"/>
    <w:rsid w:val="00B33232"/>
    <w:rsid w:val="00B336F4"/>
    <w:rsid w:val="00B33EE7"/>
    <w:rsid w:val="00B3607E"/>
    <w:rsid w:val="00B40DF5"/>
    <w:rsid w:val="00B5591A"/>
    <w:rsid w:val="00B616DB"/>
    <w:rsid w:val="00B70443"/>
    <w:rsid w:val="00B709E8"/>
    <w:rsid w:val="00B72169"/>
    <w:rsid w:val="00B740AD"/>
    <w:rsid w:val="00B75F53"/>
    <w:rsid w:val="00B7744B"/>
    <w:rsid w:val="00B82FF8"/>
    <w:rsid w:val="00B83EDE"/>
    <w:rsid w:val="00B85FC5"/>
    <w:rsid w:val="00B87044"/>
    <w:rsid w:val="00B97C92"/>
    <w:rsid w:val="00BA4D19"/>
    <w:rsid w:val="00BA503F"/>
    <w:rsid w:val="00BB0C0E"/>
    <w:rsid w:val="00BB7C16"/>
    <w:rsid w:val="00BC06A3"/>
    <w:rsid w:val="00BF08C3"/>
    <w:rsid w:val="00BF27C5"/>
    <w:rsid w:val="00BF4B6F"/>
    <w:rsid w:val="00BF7AA9"/>
    <w:rsid w:val="00C11D8B"/>
    <w:rsid w:val="00C15F0D"/>
    <w:rsid w:val="00C21E9B"/>
    <w:rsid w:val="00C26D66"/>
    <w:rsid w:val="00C30FEC"/>
    <w:rsid w:val="00C3213B"/>
    <w:rsid w:val="00C343AA"/>
    <w:rsid w:val="00C35325"/>
    <w:rsid w:val="00C353D1"/>
    <w:rsid w:val="00C41EFA"/>
    <w:rsid w:val="00C469D7"/>
    <w:rsid w:val="00C47783"/>
    <w:rsid w:val="00C5057B"/>
    <w:rsid w:val="00C55AED"/>
    <w:rsid w:val="00C5671E"/>
    <w:rsid w:val="00C57DFD"/>
    <w:rsid w:val="00C60248"/>
    <w:rsid w:val="00C623D4"/>
    <w:rsid w:val="00C66949"/>
    <w:rsid w:val="00C7029A"/>
    <w:rsid w:val="00C80664"/>
    <w:rsid w:val="00C80B47"/>
    <w:rsid w:val="00C8415E"/>
    <w:rsid w:val="00C86BBD"/>
    <w:rsid w:val="00C87913"/>
    <w:rsid w:val="00C960C9"/>
    <w:rsid w:val="00C97607"/>
    <w:rsid w:val="00CA2032"/>
    <w:rsid w:val="00CB3152"/>
    <w:rsid w:val="00CB63DE"/>
    <w:rsid w:val="00CC053F"/>
    <w:rsid w:val="00CC2F52"/>
    <w:rsid w:val="00CC3527"/>
    <w:rsid w:val="00CC79C4"/>
    <w:rsid w:val="00CC7BA3"/>
    <w:rsid w:val="00CD55CF"/>
    <w:rsid w:val="00CE00BE"/>
    <w:rsid w:val="00CE5B6A"/>
    <w:rsid w:val="00CF31F3"/>
    <w:rsid w:val="00CF5B4D"/>
    <w:rsid w:val="00D01AAC"/>
    <w:rsid w:val="00D0405E"/>
    <w:rsid w:val="00D07144"/>
    <w:rsid w:val="00D1021A"/>
    <w:rsid w:val="00D11102"/>
    <w:rsid w:val="00D12BB1"/>
    <w:rsid w:val="00D13F54"/>
    <w:rsid w:val="00D157DA"/>
    <w:rsid w:val="00D219A9"/>
    <w:rsid w:val="00D2425C"/>
    <w:rsid w:val="00D32B04"/>
    <w:rsid w:val="00D40DF8"/>
    <w:rsid w:val="00D43740"/>
    <w:rsid w:val="00D43D56"/>
    <w:rsid w:val="00D444AE"/>
    <w:rsid w:val="00D52392"/>
    <w:rsid w:val="00D57C8A"/>
    <w:rsid w:val="00D622ED"/>
    <w:rsid w:val="00D65221"/>
    <w:rsid w:val="00D67934"/>
    <w:rsid w:val="00D75771"/>
    <w:rsid w:val="00D8290E"/>
    <w:rsid w:val="00D84B47"/>
    <w:rsid w:val="00D84D6C"/>
    <w:rsid w:val="00D93F49"/>
    <w:rsid w:val="00DA1A6F"/>
    <w:rsid w:val="00DA23C8"/>
    <w:rsid w:val="00DA2B68"/>
    <w:rsid w:val="00DA3E15"/>
    <w:rsid w:val="00DA3FB8"/>
    <w:rsid w:val="00DA7172"/>
    <w:rsid w:val="00DB0527"/>
    <w:rsid w:val="00DB47D2"/>
    <w:rsid w:val="00DB626D"/>
    <w:rsid w:val="00DC2D0D"/>
    <w:rsid w:val="00DC380C"/>
    <w:rsid w:val="00DD1B03"/>
    <w:rsid w:val="00DE384C"/>
    <w:rsid w:val="00DE6033"/>
    <w:rsid w:val="00DE7963"/>
    <w:rsid w:val="00DF7980"/>
    <w:rsid w:val="00E02467"/>
    <w:rsid w:val="00E037F6"/>
    <w:rsid w:val="00E1143A"/>
    <w:rsid w:val="00E15271"/>
    <w:rsid w:val="00E15AC7"/>
    <w:rsid w:val="00E16340"/>
    <w:rsid w:val="00E256A8"/>
    <w:rsid w:val="00E27408"/>
    <w:rsid w:val="00E27DD7"/>
    <w:rsid w:val="00E32732"/>
    <w:rsid w:val="00E561A4"/>
    <w:rsid w:val="00E60AE3"/>
    <w:rsid w:val="00E62757"/>
    <w:rsid w:val="00E65628"/>
    <w:rsid w:val="00E67323"/>
    <w:rsid w:val="00E674D9"/>
    <w:rsid w:val="00E82F19"/>
    <w:rsid w:val="00E838D2"/>
    <w:rsid w:val="00E847AA"/>
    <w:rsid w:val="00E85564"/>
    <w:rsid w:val="00E85E7B"/>
    <w:rsid w:val="00E87126"/>
    <w:rsid w:val="00E878A8"/>
    <w:rsid w:val="00E906C1"/>
    <w:rsid w:val="00E962B5"/>
    <w:rsid w:val="00EA328F"/>
    <w:rsid w:val="00EA42CD"/>
    <w:rsid w:val="00EB1AC2"/>
    <w:rsid w:val="00EB6109"/>
    <w:rsid w:val="00EB706D"/>
    <w:rsid w:val="00EC1B28"/>
    <w:rsid w:val="00EC53B1"/>
    <w:rsid w:val="00EC5F11"/>
    <w:rsid w:val="00EC6435"/>
    <w:rsid w:val="00EC7673"/>
    <w:rsid w:val="00ED2FDB"/>
    <w:rsid w:val="00ED592C"/>
    <w:rsid w:val="00ED73EC"/>
    <w:rsid w:val="00ED7D7D"/>
    <w:rsid w:val="00EF48AD"/>
    <w:rsid w:val="00EF4F95"/>
    <w:rsid w:val="00EF4FC8"/>
    <w:rsid w:val="00F0040F"/>
    <w:rsid w:val="00F008AE"/>
    <w:rsid w:val="00F029AB"/>
    <w:rsid w:val="00F05DDE"/>
    <w:rsid w:val="00F0661C"/>
    <w:rsid w:val="00F14D6C"/>
    <w:rsid w:val="00F31D7F"/>
    <w:rsid w:val="00F336DE"/>
    <w:rsid w:val="00F369BC"/>
    <w:rsid w:val="00F373AA"/>
    <w:rsid w:val="00F42365"/>
    <w:rsid w:val="00F46D06"/>
    <w:rsid w:val="00F4753F"/>
    <w:rsid w:val="00F47E14"/>
    <w:rsid w:val="00F5653E"/>
    <w:rsid w:val="00F57799"/>
    <w:rsid w:val="00F61309"/>
    <w:rsid w:val="00F62F9B"/>
    <w:rsid w:val="00F65609"/>
    <w:rsid w:val="00F70D30"/>
    <w:rsid w:val="00F7136B"/>
    <w:rsid w:val="00F75567"/>
    <w:rsid w:val="00F76208"/>
    <w:rsid w:val="00F92344"/>
    <w:rsid w:val="00F92490"/>
    <w:rsid w:val="00F92C41"/>
    <w:rsid w:val="00F9587D"/>
    <w:rsid w:val="00FB2CD7"/>
    <w:rsid w:val="00FB2D85"/>
    <w:rsid w:val="00FB4BE9"/>
    <w:rsid w:val="00FC3AD0"/>
    <w:rsid w:val="00FD1FF3"/>
    <w:rsid w:val="00FF0413"/>
    <w:rsid w:val="00FF1C2D"/>
    <w:rsid w:val="00FF26E3"/>
    <w:rsid w:val="00FF3C13"/>
    <w:rsid w:val="00FF5FAA"/>
    <w:rsid w:val="00FF66B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3009">
      <o:colormenu v:ext="edit" fillcolor="#8064a2"/>
    </o:shapedefaults>
    <o:shapelayout v:ext="edit">
      <o:idmap v:ext="edit" data="1"/>
    </o:shapelayout>
  </w:shapeDefaults>
  <w:decimalSymbol w:val="."/>
  <w:listSeparator w:val=","/>
  <w15:chartTrackingRefBased/>
  <w15:docId w15:val="{13002C94-4252-48D0-BAFE-90F6AC3E07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4"/>
        <w:szCs w:val="24"/>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2" w:qFormat="1"/>
    <w:lsdException w:name="heading 2" w:semiHidden="1" w:uiPriority="2" w:unhideWhenUsed="1" w:qFormat="1"/>
    <w:lsdException w:name="heading 3" w:semiHidden="1" w:uiPriority="9" w:unhideWhenUsed="1" w:qFormat="1"/>
    <w:lsdException w:name="heading 4" w:semiHidden="1" w:uiPriority="2"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9"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iPriority="0" w:unhideWhenUsed="1"/>
    <w:lsdException w:name="Table Classic 3" w:semiHidden="1" w:unhideWhenUsed="1"/>
    <w:lsdException w:name="Table Classic 4" w:semiHidden="1" w:unhideWhenUsed="1"/>
    <w:lsdException w:name="Table Colorful 1" w:semiHidden="1" w:uiPriority="0"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iPriority="0"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6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66"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1039D"/>
    <w:rPr>
      <w:rFonts w:ascii="Arial" w:hAnsi="Arial"/>
      <w:sz w:val="22"/>
    </w:rPr>
  </w:style>
  <w:style w:type="paragraph" w:styleId="Heading1">
    <w:name w:val="heading 1"/>
    <w:basedOn w:val="Normal"/>
    <w:next w:val="Normal"/>
    <w:link w:val="Heading1Char"/>
    <w:uiPriority w:val="2"/>
    <w:qFormat/>
    <w:rsid w:val="00063DA4"/>
    <w:pPr>
      <w:keepNext/>
      <w:keepLines/>
      <w:spacing w:before="240" w:after="0"/>
      <w:outlineLvl w:val="0"/>
    </w:pPr>
    <w:rPr>
      <w:rFonts w:eastAsiaTheme="majorEastAsia" w:cstheme="majorBidi"/>
      <w:color w:val="7030A0"/>
      <w:sz w:val="28"/>
      <w:szCs w:val="32"/>
    </w:rPr>
  </w:style>
  <w:style w:type="paragraph" w:styleId="Heading2">
    <w:name w:val="heading 2"/>
    <w:basedOn w:val="Normal"/>
    <w:next w:val="Normal"/>
    <w:link w:val="Heading2Char"/>
    <w:uiPriority w:val="2"/>
    <w:qFormat/>
    <w:rsid w:val="00E85564"/>
    <w:pPr>
      <w:keepNext/>
      <w:spacing w:before="240" w:after="120" w:line="240" w:lineRule="auto"/>
      <w:jc w:val="both"/>
      <w:outlineLvl w:val="1"/>
    </w:pPr>
    <w:rPr>
      <w:rFonts w:eastAsia="Times New Roman" w:cs="Arial"/>
      <w:bCs/>
      <w:iCs/>
      <w:color w:val="7030A0"/>
      <w:szCs w:val="28"/>
    </w:rPr>
  </w:style>
  <w:style w:type="paragraph" w:styleId="Heading3">
    <w:name w:val="heading 3"/>
    <w:basedOn w:val="Normal"/>
    <w:next w:val="Normal"/>
    <w:link w:val="Heading3Char"/>
    <w:uiPriority w:val="9"/>
    <w:qFormat/>
    <w:rsid w:val="008564AE"/>
    <w:pPr>
      <w:keepNext/>
      <w:spacing w:before="240" w:after="120" w:line="240" w:lineRule="auto"/>
      <w:jc w:val="both"/>
      <w:outlineLvl w:val="2"/>
    </w:pPr>
    <w:rPr>
      <w:rFonts w:eastAsia="Times New Roman" w:cs="Arial"/>
      <w:b/>
      <w:bCs/>
      <w:color w:val="44546A" w:themeColor="text2"/>
      <w:sz w:val="26"/>
      <w:szCs w:val="26"/>
    </w:rPr>
  </w:style>
  <w:style w:type="paragraph" w:styleId="Heading4">
    <w:name w:val="heading 4"/>
    <w:basedOn w:val="Normal"/>
    <w:next w:val="Normal"/>
    <w:link w:val="Heading4Char"/>
    <w:uiPriority w:val="2"/>
    <w:qFormat/>
    <w:rsid w:val="00063DA4"/>
    <w:pPr>
      <w:keepNext/>
      <w:spacing w:before="240" w:after="60" w:line="240" w:lineRule="auto"/>
      <w:jc w:val="both"/>
      <w:outlineLvl w:val="3"/>
    </w:pPr>
    <w:rPr>
      <w:rFonts w:eastAsia="Times New Roman"/>
      <w:bCs/>
      <w:color w:val="7030A0"/>
      <w:szCs w:val="28"/>
    </w:rPr>
  </w:style>
  <w:style w:type="paragraph" w:styleId="Heading5">
    <w:name w:val="heading 5"/>
    <w:basedOn w:val="Normal"/>
    <w:next w:val="Normal"/>
    <w:link w:val="Heading5Char"/>
    <w:uiPriority w:val="9"/>
    <w:qFormat/>
    <w:rsid w:val="0007288C"/>
    <w:pPr>
      <w:keepNext/>
      <w:spacing w:before="240" w:after="60" w:line="240" w:lineRule="auto"/>
      <w:jc w:val="both"/>
      <w:outlineLvl w:val="4"/>
    </w:pPr>
    <w:rPr>
      <w:rFonts w:ascii="Helvetica" w:eastAsia="Times New Roman" w:hAnsi="Helvetica"/>
      <w:b/>
      <w:bCs/>
      <w:iCs/>
      <w:sz w:val="20"/>
      <w:szCs w:val="26"/>
    </w:rPr>
  </w:style>
  <w:style w:type="paragraph" w:styleId="Heading6">
    <w:name w:val="heading 6"/>
    <w:basedOn w:val="Normal"/>
    <w:next w:val="Normal"/>
    <w:link w:val="Heading6Char"/>
    <w:uiPriority w:val="9"/>
    <w:qFormat/>
    <w:rsid w:val="0007288C"/>
    <w:pPr>
      <w:keepNext/>
      <w:spacing w:before="240" w:after="60" w:line="240" w:lineRule="auto"/>
      <w:jc w:val="both"/>
      <w:outlineLvl w:val="5"/>
    </w:pPr>
    <w:rPr>
      <w:rFonts w:ascii="Helvetica" w:eastAsia="Times New Roman" w:hAnsi="Helvetica"/>
      <w:b/>
      <w:bCs/>
      <w:i/>
      <w:sz w:val="20"/>
      <w:szCs w:val="22"/>
    </w:rPr>
  </w:style>
  <w:style w:type="paragraph" w:styleId="Heading7">
    <w:name w:val="heading 7"/>
    <w:basedOn w:val="Normal"/>
    <w:next w:val="Normal"/>
    <w:link w:val="Heading7Char"/>
    <w:uiPriority w:val="9"/>
    <w:semiHidden/>
    <w:unhideWhenUsed/>
    <w:qFormat/>
    <w:rsid w:val="00B740AD"/>
    <w:pPr>
      <w:keepNext/>
      <w:keepLines/>
      <w:spacing w:before="40" w:after="0"/>
      <w:outlineLvl w:val="6"/>
    </w:pPr>
    <w:rPr>
      <w:rFonts w:ascii="Cambria" w:eastAsia="Times New Roman" w:hAnsi="Cambria"/>
      <w:i/>
      <w:iCs/>
      <w:color w:val="404040"/>
    </w:rPr>
  </w:style>
  <w:style w:type="paragraph" w:styleId="Heading8">
    <w:name w:val="heading 8"/>
    <w:basedOn w:val="Normal"/>
    <w:next w:val="Normal"/>
    <w:link w:val="Heading8Char"/>
    <w:uiPriority w:val="9"/>
    <w:semiHidden/>
    <w:unhideWhenUsed/>
    <w:qFormat/>
    <w:rsid w:val="00B740AD"/>
    <w:pPr>
      <w:keepNext/>
      <w:keepLines/>
      <w:spacing w:before="40" w:after="0"/>
      <w:outlineLvl w:val="7"/>
    </w:pPr>
    <w:rPr>
      <w:rFonts w:ascii="Cambria" w:eastAsia="Times New Roman" w:hAnsi="Cambria"/>
      <w:color w:val="404040"/>
      <w:sz w:val="20"/>
      <w:szCs w:val="20"/>
    </w:rPr>
  </w:style>
  <w:style w:type="paragraph" w:styleId="Heading9">
    <w:name w:val="heading 9"/>
    <w:basedOn w:val="Normal"/>
    <w:next w:val="Normal"/>
    <w:link w:val="Heading9Char"/>
    <w:uiPriority w:val="9"/>
    <w:semiHidden/>
    <w:unhideWhenUsed/>
    <w:qFormat/>
    <w:rsid w:val="00B740AD"/>
    <w:pPr>
      <w:keepNext/>
      <w:keepLines/>
      <w:spacing w:before="40" w:after="0"/>
      <w:outlineLvl w:val="8"/>
    </w:pPr>
    <w:rPr>
      <w:rFonts w:ascii="Cambria" w:eastAsia="Times New Roman"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2"/>
    <w:rsid w:val="00E85564"/>
    <w:rPr>
      <w:rFonts w:ascii="Arial" w:eastAsia="Times New Roman" w:hAnsi="Arial" w:cs="Arial"/>
      <w:bCs/>
      <w:iCs/>
      <w:color w:val="7030A0"/>
      <w:sz w:val="22"/>
      <w:szCs w:val="28"/>
    </w:rPr>
  </w:style>
  <w:style w:type="character" w:customStyle="1" w:styleId="Heading3Char">
    <w:name w:val="Heading 3 Char"/>
    <w:basedOn w:val="DefaultParagraphFont"/>
    <w:link w:val="Heading3"/>
    <w:uiPriority w:val="9"/>
    <w:rsid w:val="008564AE"/>
    <w:rPr>
      <w:rFonts w:ascii="Arial" w:eastAsia="Times New Roman" w:hAnsi="Arial" w:cs="Arial"/>
      <w:b/>
      <w:bCs/>
      <w:color w:val="44546A" w:themeColor="text2"/>
      <w:sz w:val="26"/>
      <w:szCs w:val="26"/>
    </w:rPr>
  </w:style>
  <w:style w:type="paragraph" w:styleId="ListParagraph">
    <w:name w:val="List Paragraph"/>
    <w:basedOn w:val="Normal"/>
    <w:link w:val="ListParagraphChar"/>
    <w:uiPriority w:val="34"/>
    <w:qFormat/>
    <w:rsid w:val="008564AE"/>
    <w:pPr>
      <w:spacing w:before="120" w:after="120" w:line="240" w:lineRule="auto"/>
      <w:ind w:left="720"/>
      <w:contextualSpacing/>
      <w:jc w:val="both"/>
    </w:pPr>
    <w:rPr>
      <w:rFonts w:eastAsia="Times New Roman"/>
    </w:rPr>
  </w:style>
  <w:style w:type="character" w:customStyle="1" w:styleId="ListParagraphChar">
    <w:name w:val="List Paragraph Char"/>
    <w:link w:val="ListParagraph"/>
    <w:uiPriority w:val="34"/>
    <w:locked/>
    <w:rsid w:val="008564AE"/>
    <w:rPr>
      <w:rFonts w:ascii="Arial" w:eastAsia="Times New Roman" w:hAnsi="Arial"/>
      <w:sz w:val="22"/>
    </w:rPr>
  </w:style>
  <w:style w:type="character" w:customStyle="1" w:styleId="Heading1Char">
    <w:name w:val="Heading 1 Char"/>
    <w:basedOn w:val="DefaultParagraphFont"/>
    <w:link w:val="Heading1"/>
    <w:uiPriority w:val="2"/>
    <w:rsid w:val="00063DA4"/>
    <w:rPr>
      <w:rFonts w:ascii="Arial" w:eastAsiaTheme="majorEastAsia" w:hAnsi="Arial" w:cstheme="majorBidi"/>
      <w:color w:val="7030A0"/>
      <w:sz w:val="28"/>
      <w:szCs w:val="32"/>
    </w:rPr>
  </w:style>
  <w:style w:type="paragraph" w:styleId="FootnoteText">
    <w:name w:val="footnote text"/>
    <w:basedOn w:val="Normal"/>
    <w:link w:val="FootnoteTextChar"/>
    <w:uiPriority w:val="99"/>
    <w:unhideWhenUsed/>
    <w:rsid w:val="008564AE"/>
    <w:pPr>
      <w:spacing w:after="0" w:line="240" w:lineRule="auto"/>
    </w:pPr>
    <w:rPr>
      <w:sz w:val="20"/>
      <w:szCs w:val="20"/>
    </w:rPr>
  </w:style>
  <w:style w:type="character" w:customStyle="1" w:styleId="FootnoteTextChar">
    <w:name w:val="Footnote Text Char"/>
    <w:basedOn w:val="DefaultParagraphFont"/>
    <w:link w:val="FootnoteText"/>
    <w:uiPriority w:val="99"/>
    <w:rsid w:val="008564AE"/>
    <w:rPr>
      <w:sz w:val="20"/>
      <w:szCs w:val="20"/>
    </w:rPr>
  </w:style>
  <w:style w:type="character" w:styleId="FootnoteReference">
    <w:name w:val="footnote reference"/>
    <w:basedOn w:val="DefaultParagraphFont"/>
    <w:rsid w:val="008564AE"/>
    <w:rPr>
      <w:vertAlign w:val="superscript"/>
    </w:rPr>
  </w:style>
  <w:style w:type="character" w:customStyle="1" w:styleId="Hyperlink1">
    <w:name w:val="Hyperlink1"/>
    <w:basedOn w:val="DefaultParagraphFont"/>
    <w:uiPriority w:val="99"/>
    <w:unhideWhenUsed/>
    <w:rsid w:val="008564AE"/>
    <w:rPr>
      <w:color w:val="0000FF"/>
      <w:u w:val="single"/>
    </w:rPr>
  </w:style>
  <w:style w:type="character" w:styleId="Hyperlink">
    <w:name w:val="Hyperlink"/>
    <w:basedOn w:val="DefaultParagraphFont"/>
    <w:uiPriority w:val="99"/>
    <w:unhideWhenUsed/>
    <w:rsid w:val="008564AE"/>
    <w:rPr>
      <w:color w:val="0563C1" w:themeColor="hyperlink"/>
      <w:u w:val="single"/>
    </w:rPr>
  </w:style>
  <w:style w:type="paragraph" w:styleId="EndnoteText">
    <w:name w:val="endnote text"/>
    <w:basedOn w:val="Normal"/>
    <w:link w:val="EndnoteTextChar"/>
    <w:uiPriority w:val="99"/>
    <w:unhideWhenUsed/>
    <w:rsid w:val="008564AE"/>
    <w:pPr>
      <w:spacing w:after="0" w:line="240" w:lineRule="auto"/>
    </w:pPr>
    <w:rPr>
      <w:sz w:val="20"/>
      <w:szCs w:val="20"/>
    </w:rPr>
  </w:style>
  <w:style w:type="character" w:customStyle="1" w:styleId="EndnoteTextChar">
    <w:name w:val="Endnote Text Char"/>
    <w:basedOn w:val="DefaultParagraphFont"/>
    <w:link w:val="EndnoteText"/>
    <w:uiPriority w:val="99"/>
    <w:rsid w:val="008564AE"/>
    <w:rPr>
      <w:sz w:val="20"/>
      <w:szCs w:val="20"/>
    </w:rPr>
  </w:style>
  <w:style w:type="character" w:styleId="EndnoteReference">
    <w:name w:val="endnote reference"/>
    <w:basedOn w:val="DefaultParagraphFont"/>
    <w:unhideWhenUsed/>
    <w:rsid w:val="008564AE"/>
    <w:rPr>
      <w:vertAlign w:val="superscript"/>
    </w:rPr>
  </w:style>
  <w:style w:type="character" w:customStyle="1" w:styleId="Heading4Char">
    <w:name w:val="Heading 4 Char"/>
    <w:basedOn w:val="DefaultParagraphFont"/>
    <w:link w:val="Heading4"/>
    <w:uiPriority w:val="2"/>
    <w:rsid w:val="00063DA4"/>
    <w:rPr>
      <w:rFonts w:ascii="Arial" w:eastAsia="Times New Roman" w:hAnsi="Arial"/>
      <w:bCs/>
      <w:color w:val="7030A0"/>
      <w:szCs w:val="28"/>
    </w:rPr>
  </w:style>
  <w:style w:type="character" w:customStyle="1" w:styleId="Heading5Char">
    <w:name w:val="Heading 5 Char"/>
    <w:basedOn w:val="DefaultParagraphFont"/>
    <w:link w:val="Heading5"/>
    <w:uiPriority w:val="9"/>
    <w:rsid w:val="0007288C"/>
    <w:rPr>
      <w:rFonts w:ascii="Helvetica" w:eastAsia="Times New Roman" w:hAnsi="Helvetica"/>
      <w:b/>
      <w:bCs/>
      <w:iCs/>
      <w:sz w:val="20"/>
      <w:szCs w:val="26"/>
    </w:rPr>
  </w:style>
  <w:style w:type="character" w:customStyle="1" w:styleId="Heading6Char">
    <w:name w:val="Heading 6 Char"/>
    <w:basedOn w:val="DefaultParagraphFont"/>
    <w:link w:val="Heading6"/>
    <w:uiPriority w:val="9"/>
    <w:rsid w:val="0007288C"/>
    <w:rPr>
      <w:rFonts w:ascii="Helvetica" w:eastAsia="Times New Roman" w:hAnsi="Helvetica"/>
      <w:b/>
      <w:bCs/>
      <w:i/>
      <w:sz w:val="20"/>
      <w:szCs w:val="22"/>
    </w:rPr>
  </w:style>
  <w:style w:type="numbering" w:customStyle="1" w:styleId="NoList1">
    <w:name w:val="No List1"/>
    <w:next w:val="NoList"/>
    <w:uiPriority w:val="99"/>
    <w:semiHidden/>
    <w:unhideWhenUsed/>
    <w:rsid w:val="0007288C"/>
  </w:style>
  <w:style w:type="character" w:styleId="Emphasis">
    <w:name w:val="Emphasis"/>
    <w:basedOn w:val="DefaultParagraphFont"/>
    <w:uiPriority w:val="20"/>
    <w:qFormat/>
    <w:rsid w:val="0007288C"/>
    <w:rPr>
      <w:i/>
      <w:iCs/>
    </w:rPr>
  </w:style>
  <w:style w:type="character" w:styleId="Strong">
    <w:name w:val="Strong"/>
    <w:basedOn w:val="DefaultParagraphFont"/>
    <w:uiPriority w:val="22"/>
    <w:qFormat/>
    <w:rsid w:val="0007288C"/>
    <w:rPr>
      <w:b/>
      <w:bCs/>
    </w:rPr>
  </w:style>
  <w:style w:type="paragraph" w:customStyle="1" w:styleId="Subtitle1">
    <w:name w:val="Subtitle1"/>
    <w:basedOn w:val="Normal"/>
    <w:next w:val="Normal"/>
    <w:qFormat/>
    <w:rsid w:val="0007288C"/>
    <w:pPr>
      <w:numPr>
        <w:ilvl w:val="1"/>
      </w:numPr>
      <w:spacing w:before="120" w:after="120" w:line="240" w:lineRule="auto"/>
      <w:jc w:val="both"/>
    </w:pPr>
    <w:rPr>
      <w:rFonts w:ascii="Cambria" w:eastAsia="PMingLiU" w:hAnsi="Cambria"/>
      <w:iCs/>
      <w:spacing w:val="15"/>
      <w:sz w:val="20"/>
    </w:rPr>
  </w:style>
  <w:style w:type="character" w:customStyle="1" w:styleId="SubtitleChar">
    <w:name w:val="Subtitle Char"/>
    <w:basedOn w:val="DefaultParagraphFont"/>
    <w:link w:val="Subtitle"/>
    <w:uiPriority w:val="9"/>
    <w:rsid w:val="0007288C"/>
    <w:rPr>
      <w:rFonts w:ascii="Cambria" w:eastAsia="PMingLiU" w:hAnsi="Cambria" w:cs="Times New Roman"/>
      <w:iCs/>
      <w:spacing w:val="15"/>
      <w:sz w:val="24"/>
      <w:szCs w:val="24"/>
      <w:lang w:eastAsia="en-US"/>
    </w:rPr>
  </w:style>
  <w:style w:type="paragraph" w:customStyle="1" w:styleId="Title1">
    <w:name w:val="Title1"/>
    <w:basedOn w:val="Normal"/>
    <w:next w:val="Normal"/>
    <w:qFormat/>
    <w:rsid w:val="0007288C"/>
    <w:pPr>
      <w:pBdr>
        <w:bottom w:val="single" w:sz="8" w:space="4" w:color="C00000"/>
      </w:pBdr>
      <w:spacing w:before="120" w:after="300" w:line="240" w:lineRule="auto"/>
      <w:contextualSpacing/>
      <w:jc w:val="both"/>
    </w:pPr>
    <w:rPr>
      <w:rFonts w:eastAsia="PMingLiU"/>
      <w:b/>
      <w:color w:val="000080"/>
      <w:kern w:val="28"/>
      <w:sz w:val="32"/>
      <w:szCs w:val="52"/>
    </w:rPr>
  </w:style>
  <w:style w:type="character" w:customStyle="1" w:styleId="TitleChar">
    <w:name w:val="Title Char"/>
    <w:basedOn w:val="DefaultParagraphFont"/>
    <w:link w:val="Title"/>
    <w:uiPriority w:val="9"/>
    <w:rsid w:val="0007288C"/>
    <w:rPr>
      <w:rFonts w:ascii="Arial" w:eastAsia="PMingLiU" w:hAnsi="Arial" w:cs="Times New Roman"/>
      <w:b/>
      <w:color w:val="000080"/>
      <w:kern w:val="28"/>
      <w:sz w:val="32"/>
      <w:szCs w:val="52"/>
      <w:lang w:eastAsia="en-US"/>
    </w:rPr>
  </w:style>
  <w:style w:type="paragraph" w:styleId="NoSpacing">
    <w:name w:val="No Spacing"/>
    <w:link w:val="NoSpacingChar"/>
    <w:uiPriority w:val="1"/>
    <w:qFormat/>
    <w:rsid w:val="0007288C"/>
    <w:pPr>
      <w:spacing w:after="0" w:line="240" w:lineRule="auto"/>
    </w:pPr>
    <w:rPr>
      <w:rFonts w:eastAsia="Times New Roman"/>
    </w:rPr>
  </w:style>
  <w:style w:type="character" w:customStyle="1" w:styleId="SubtleEmphasis1">
    <w:name w:val="Subtle Emphasis1"/>
    <w:basedOn w:val="DefaultParagraphFont"/>
    <w:uiPriority w:val="19"/>
    <w:qFormat/>
    <w:rsid w:val="0007288C"/>
    <w:rPr>
      <w:i/>
      <w:iCs/>
      <w:color w:val="808080"/>
    </w:rPr>
  </w:style>
  <w:style w:type="character" w:customStyle="1" w:styleId="IntenseEmphasis1">
    <w:name w:val="Intense Emphasis1"/>
    <w:basedOn w:val="DefaultParagraphFont"/>
    <w:uiPriority w:val="21"/>
    <w:qFormat/>
    <w:rsid w:val="0007288C"/>
    <w:rPr>
      <w:b/>
      <w:bCs/>
      <w:i/>
      <w:iCs/>
      <w:color w:val="4F81BD"/>
    </w:rPr>
  </w:style>
  <w:style w:type="paragraph" w:customStyle="1" w:styleId="Quote1">
    <w:name w:val="Quote1"/>
    <w:basedOn w:val="Normal"/>
    <w:next w:val="Normal"/>
    <w:uiPriority w:val="29"/>
    <w:qFormat/>
    <w:rsid w:val="0007288C"/>
    <w:pPr>
      <w:spacing w:before="120" w:after="120" w:line="240" w:lineRule="auto"/>
      <w:jc w:val="both"/>
    </w:pPr>
    <w:rPr>
      <w:rFonts w:ascii="Helvetica" w:eastAsia="Times New Roman" w:hAnsi="Helvetica"/>
      <w:i/>
      <w:iCs/>
      <w:color w:val="000000"/>
      <w:sz w:val="20"/>
    </w:rPr>
  </w:style>
  <w:style w:type="character" w:customStyle="1" w:styleId="QuoteChar">
    <w:name w:val="Quote Char"/>
    <w:basedOn w:val="DefaultParagraphFont"/>
    <w:link w:val="Quote"/>
    <w:uiPriority w:val="29"/>
    <w:rsid w:val="0007288C"/>
    <w:rPr>
      <w:i/>
      <w:iCs/>
      <w:color w:val="000000"/>
      <w:sz w:val="24"/>
      <w:szCs w:val="24"/>
      <w:lang w:eastAsia="en-US"/>
    </w:rPr>
  </w:style>
  <w:style w:type="paragraph" w:customStyle="1" w:styleId="IntenseQuote1">
    <w:name w:val="Intense Quote1"/>
    <w:basedOn w:val="Normal"/>
    <w:next w:val="Normal"/>
    <w:uiPriority w:val="30"/>
    <w:qFormat/>
    <w:rsid w:val="0007288C"/>
    <w:pPr>
      <w:pBdr>
        <w:bottom w:val="single" w:sz="4" w:space="4" w:color="4F81BD"/>
      </w:pBdr>
      <w:spacing w:before="200" w:after="280" w:line="240" w:lineRule="auto"/>
      <w:ind w:left="936" w:right="936"/>
      <w:jc w:val="both"/>
    </w:pPr>
    <w:rPr>
      <w:rFonts w:ascii="Helvetica" w:eastAsia="Times New Roman" w:hAnsi="Helvetica"/>
      <w:b/>
      <w:bCs/>
      <w:i/>
      <w:iCs/>
      <w:color w:val="4F81BD"/>
      <w:sz w:val="20"/>
    </w:rPr>
  </w:style>
  <w:style w:type="character" w:customStyle="1" w:styleId="IntenseQuoteChar">
    <w:name w:val="Intense Quote Char"/>
    <w:basedOn w:val="DefaultParagraphFont"/>
    <w:link w:val="IntenseQuote"/>
    <w:uiPriority w:val="60"/>
    <w:rsid w:val="0007288C"/>
    <w:rPr>
      <w:b/>
      <w:bCs/>
      <w:i/>
      <w:iCs/>
      <w:color w:val="4F81BD"/>
      <w:sz w:val="24"/>
      <w:szCs w:val="24"/>
      <w:lang w:eastAsia="en-US"/>
    </w:rPr>
  </w:style>
  <w:style w:type="character" w:customStyle="1" w:styleId="SubtleReference1">
    <w:name w:val="Subtle Reference1"/>
    <w:basedOn w:val="DefaultParagraphFont"/>
    <w:uiPriority w:val="31"/>
    <w:qFormat/>
    <w:rsid w:val="0007288C"/>
    <w:rPr>
      <w:smallCaps/>
      <w:color w:val="C0504D"/>
      <w:u w:val="single"/>
    </w:rPr>
  </w:style>
  <w:style w:type="character" w:customStyle="1" w:styleId="IntenseReference1">
    <w:name w:val="Intense Reference1"/>
    <w:basedOn w:val="DefaultParagraphFont"/>
    <w:uiPriority w:val="32"/>
    <w:qFormat/>
    <w:rsid w:val="0007288C"/>
    <w:rPr>
      <w:b/>
      <w:bCs/>
      <w:i/>
      <w:smallCaps/>
      <w:color w:val="C0504D"/>
      <w:spacing w:val="5"/>
      <w:u w:val="none"/>
    </w:rPr>
  </w:style>
  <w:style w:type="character" w:styleId="BookTitle">
    <w:name w:val="Book Title"/>
    <w:basedOn w:val="DefaultParagraphFont"/>
    <w:uiPriority w:val="33"/>
    <w:qFormat/>
    <w:rsid w:val="0007288C"/>
    <w:rPr>
      <w:b/>
      <w:bCs/>
      <w:smallCaps/>
      <w:spacing w:val="5"/>
    </w:rPr>
  </w:style>
  <w:style w:type="paragraph" w:customStyle="1" w:styleId="BalloonText1">
    <w:name w:val="Balloon Text1"/>
    <w:basedOn w:val="Normal"/>
    <w:next w:val="BalloonText"/>
    <w:link w:val="BalloonTextChar"/>
    <w:uiPriority w:val="99"/>
    <w:unhideWhenUsed/>
    <w:rsid w:val="0007288C"/>
    <w:pPr>
      <w:spacing w:before="120" w:after="120" w:line="240" w:lineRule="auto"/>
      <w:jc w:val="both"/>
    </w:pPr>
    <w:rPr>
      <w:rFonts w:ascii="Tahoma" w:eastAsia="Calibri" w:hAnsi="Tahoma" w:cs="Tahoma"/>
      <w:sz w:val="16"/>
      <w:szCs w:val="16"/>
    </w:rPr>
  </w:style>
  <w:style w:type="character" w:customStyle="1" w:styleId="BalloonTextChar">
    <w:name w:val="Balloon Text Char"/>
    <w:basedOn w:val="DefaultParagraphFont"/>
    <w:link w:val="BalloonText1"/>
    <w:uiPriority w:val="99"/>
    <w:rsid w:val="0007288C"/>
    <w:rPr>
      <w:rFonts w:ascii="Tahoma" w:eastAsia="Calibri" w:hAnsi="Tahoma" w:cs="Tahoma"/>
      <w:sz w:val="16"/>
      <w:szCs w:val="16"/>
      <w:lang w:eastAsia="en-US"/>
    </w:rPr>
  </w:style>
  <w:style w:type="paragraph" w:customStyle="1" w:styleId="Header1">
    <w:name w:val="Header1"/>
    <w:basedOn w:val="Normal"/>
    <w:next w:val="Header"/>
    <w:link w:val="HeaderChar"/>
    <w:uiPriority w:val="99"/>
    <w:unhideWhenUsed/>
    <w:rsid w:val="0007288C"/>
    <w:pPr>
      <w:tabs>
        <w:tab w:val="center" w:pos="4513"/>
        <w:tab w:val="right" w:pos="9026"/>
      </w:tabs>
      <w:spacing w:before="120" w:after="120" w:line="240" w:lineRule="auto"/>
      <w:jc w:val="both"/>
    </w:pPr>
    <w:rPr>
      <w:rFonts w:ascii="Calibri" w:eastAsia="Calibri" w:hAnsi="Calibri"/>
      <w:szCs w:val="22"/>
    </w:rPr>
  </w:style>
  <w:style w:type="character" w:customStyle="1" w:styleId="HeaderChar">
    <w:name w:val="Header Char"/>
    <w:basedOn w:val="DefaultParagraphFont"/>
    <w:link w:val="Header1"/>
    <w:uiPriority w:val="99"/>
    <w:rsid w:val="0007288C"/>
    <w:rPr>
      <w:rFonts w:ascii="Calibri" w:eastAsia="Calibri" w:hAnsi="Calibri" w:cs="Times New Roman"/>
      <w:sz w:val="22"/>
      <w:szCs w:val="22"/>
      <w:lang w:eastAsia="en-US"/>
    </w:rPr>
  </w:style>
  <w:style w:type="paragraph" w:customStyle="1" w:styleId="Footer1">
    <w:name w:val="Footer1"/>
    <w:basedOn w:val="Normal"/>
    <w:next w:val="Footer"/>
    <w:link w:val="FooterChar"/>
    <w:uiPriority w:val="99"/>
    <w:unhideWhenUsed/>
    <w:rsid w:val="0007288C"/>
    <w:pPr>
      <w:tabs>
        <w:tab w:val="center" w:pos="4513"/>
        <w:tab w:val="right" w:pos="9026"/>
      </w:tabs>
      <w:spacing w:before="120" w:after="120" w:line="240" w:lineRule="auto"/>
      <w:jc w:val="both"/>
    </w:pPr>
    <w:rPr>
      <w:rFonts w:ascii="Calibri" w:eastAsia="Calibri" w:hAnsi="Calibri"/>
      <w:szCs w:val="22"/>
    </w:rPr>
  </w:style>
  <w:style w:type="character" w:customStyle="1" w:styleId="FooterChar">
    <w:name w:val="Footer Char"/>
    <w:basedOn w:val="DefaultParagraphFont"/>
    <w:link w:val="Footer1"/>
    <w:uiPriority w:val="99"/>
    <w:rsid w:val="0007288C"/>
    <w:rPr>
      <w:rFonts w:ascii="Calibri" w:eastAsia="Calibri" w:hAnsi="Calibri" w:cs="Times New Roman"/>
      <w:sz w:val="22"/>
      <w:szCs w:val="22"/>
      <w:lang w:eastAsia="en-US"/>
    </w:rPr>
  </w:style>
  <w:style w:type="paragraph" w:customStyle="1" w:styleId="RANZCPBodyText">
    <w:name w:val="RANZCP Body Text"/>
    <w:basedOn w:val="Normal"/>
    <w:qFormat/>
    <w:rsid w:val="0007288C"/>
    <w:pPr>
      <w:widowControl w:val="0"/>
      <w:autoSpaceDE w:val="0"/>
      <w:autoSpaceDN w:val="0"/>
      <w:adjustRightInd w:val="0"/>
      <w:spacing w:before="120" w:after="40" w:line="240" w:lineRule="auto"/>
      <w:jc w:val="both"/>
      <w:textAlignment w:val="center"/>
    </w:pPr>
    <w:rPr>
      <w:rFonts w:eastAsia="Calibri" w:cs="ArialMT"/>
      <w:color w:val="000000"/>
      <w:sz w:val="20"/>
      <w:szCs w:val="22"/>
      <w:lang w:eastAsia="en-AU"/>
    </w:rPr>
  </w:style>
  <w:style w:type="paragraph" w:customStyle="1" w:styleId="RANZCPLevel1SubHeading">
    <w:name w:val="RANZCP Level 1 Sub Heading"/>
    <w:basedOn w:val="Normal"/>
    <w:next w:val="RANZCPBodyText"/>
    <w:qFormat/>
    <w:rsid w:val="0007288C"/>
    <w:pPr>
      <w:spacing w:before="120" w:after="80" w:line="240" w:lineRule="auto"/>
      <w:jc w:val="both"/>
    </w:pPr>
    <w:rPr>
      <w:rFonts w:eastAsia="Cambria"/>
      <w:b/>
      <w:sz w:val="25"/>
      <w:lang w:val="en-US"/>
    </w:rPr>
  </w:style>
  <w:style w:type="paragraph" w:styleId="Caption">
    <w:name w:val="caption"/>
    <w:basedOn w:val="Normal"/>
    <w:next w:val="Normal"/>
    <w:uiPriority w:val="35"/>
    <w:qFormat/>
    <w:rsid w:val="00CA2032"/>
    <w:pPr>
      <w:spacing w:before="120" w:after="120" w:line="240" w:lineRule="auto"/>
    </w:pPr>
    <w:rPr>
      <w:rFonts w:eastAsia="Times New Roman"/>
      <w:bCs/>
      <w:i/>
      <w:color w:val="954ECA"/>
      <w:sz w:val="20"/>
      <w:szCs w:val="20"/>
    </w:rPr>
  </w:style>
  <w:style w:type="paragraph" w:customStyle="1" w:styleId="H2">
    <w:name w:val="H2"/>
    <w:basedOn w:val="Normal"/>
    <w:next w:val="Normal"/>
    <w:uiPriority w:val="99"/>
    <w:rsid w:val="0007288C"/>
    <w:pPr>
      <w:keepNext/>
      <w:autoSpaceDE w:val="0"/>
      <w:autoSpaceDN w:val="0"/>
      <w:adjustRightInd w:val="0"/>
      <w:spacing w:before="100" w:after="100" w:line="240" w:lineRule="auto"/>
      <w:jc w:val="both"/>
      <w:outlineLvl w:val="2"/>
    </w:pPr>
    <w:rPr>
      <w:rFonts w:ascii="Helvetica" w:hAnsi="Helvetica"/>
      <w:b/>
      <w:bCs/>
      <w:sz w:val="36"/>
      <w:szCs w:val="36"/>
    </w:rPr>
  </w:style>
  <w:style w:type="character" w:styleId="PlaceholderText">
    <w:name w:val="Placeholder Text"/>
    <w:basedOn w:val="DefaultParagraphFont"/>
    <w:uiPriority w:val="99"/>
    <w:semiHidden/>
    <w:rsid w:val="0007288C"/>
    <w:rPr>
      <w:color w:val="808080"/>
    </w:rPr>
  </w:style>
  <w:style w:type="character" w:customStyle="1" w:styleId="NoSpacingChar">
    <w:name w:val="No Spacing Char"/>
    <w:basedOn w:val="DefaultParagraphFont"/>
    <w:link w:val="NoSpacing"/>
    <w:uiPriority w:val="1"/>
    <w:rsid w:val="0007288C"/>
    <w:rPr>
      <w:rFonts w:eastAsia="Times New Roman"/>
    </w:rPr>
  </w:style>
  <w:style w:type="paragraph" w:customStyle="1" w:styleId="TOCHeading1">
    <w:name w:val="TOC Heading1"/>
    <w:basedOn w:val="Heading1"/>
    <w:next w:val="Normal"/>
    <w:uiPriority w:val="39"/>
    <w:unhideWhenUsed/>
    <w:qFormat/>
    <w:rsid w:val="0007288C"/>
    <w:pPr>
      <w:spacing w:before="480" w:line="276" w:lineRule="auto"/>
      <w:jc w:val="both"/>
      <w:outlineLvl w:val="9"/>
    </w:pPr>
    <w:rPr>
      <w:b/>
      <w:bCs/>
      <w:sz w:val="30"/>
      <w:szCs w:val="28"/>
      <w:lang w:val="en-US" w:eastAsia="ja-JP"/>
    </w:rPr>
  </w:style>
  <w:style w:type="paragraph" w:styleId="TOC1">
    <w:name w:val="toc 1"/>
    <w:basedOn w:val="Normal"/>
    <w:next w:val="Normal"/>
    <w:autoRedefine/>
    <w:uiPriority w:val="39"/>
    <w:qFormat/>
    <w:rsid w:val="00C97607"/>
    <w:pPr>
      <w:tabs>
        <w:tab w:val="right" w:leader="dot" w:pos="9026"/>
      </w:tabs>
      <w:spacing w:after="0" w:line="240" w:lineRule="auto"/>
      <w:jc w:val="both"/>
    </w:pPr>
    <w:rPr>
      <w:rFonts w:eastAsia="Calibri"/>
      <w:noProof/>
    </w:rPr>
  </w:style>
  <w:style w:type="paragraph" w:styleId="TOC2">
    <w:name w:val="toc 2"/>
    <w:basedOn w:val="Normal"/>
    <w:next w:val="Normal"/>
    <w:autoRedefine/>
    <w:uiPriority w:val="39"/>
    <w:qFormat/>
    <w:rsid w:val="0007288C"/>
    <w:pPr>
      <w:spacing w:before="120" w:after="100" w:line="240" w:lineRule="auto"/>
      <w:ind w:left="220"/>
      <w:jc w:val="both"/>
    </w:pPr>
    <w:rPr>
      <w:rFonts w:ascii="Helvetica" w:eastAsia="Times New Roman" w:hAnsi="Helvetica"/>
      <w:sz w:val="20"/>
    </w:rPr>
  </w:style>
  <w:style w:type="paragraph" w:styleId="TOC3">
    <w:name w:val="toc 3"/>
    <w:basedOn w:val="Normal"/>
    <w:next w:val="Normal"/>
    <w:autoRedefine/>
    <w:uiPriority w:val="39"/>
    <w:qFormat/>
    <w:rsid w:val="0007288C"/>
    <w:pPr>
      <w:spacing w:before="120" w:after="100" w:line="240" w:lineRule="auto"/>
      <w:ind w:left="440"/>
      <w:jc w:val="both"/>
    </w:pPr>
    <w:rPr>
      <w:rFonts w:ascii="Helvetica" w:eastAsia="Times New Roman" w:hAnsi="Helvetica"/>
      <w:sz w:val="20"/>
    </w:rPr>
  </w:style>
  <w:style w:type="table" w:styleId="TableColorful1">
    <w:name w:val="Table Colorful 1"/>
    <w:basedOn w:val="TableNormal"/>
    <w:rsid w:val="0007288C"/>
    <w:pPr>
      <w:spacing w:after="0" w:line="240" w:lineRule="auto"/>
    </w:pPr>
    <w:rPr>
      <w:rFonts w:eastAsia="Times New Roman"/>
      <w:color w:val="FFFFFF"/>
      <w:lang w:eastAsia="en-AU"/>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List8">
    <w:name w:val="Table List 8"/>
    <w:basedOn w:val="TableNormal"/>
    <w:rsid w:val="0007288C"/>
    <w:pPr>
      <w:spacing w:after="0" w:line="240" w:lineRule="auto"/>
    </w:pPr>
    <w:rPr>
      <w:rFonts w:eastAsia="Times New Roman"/>
      <w:lang w:eastAsia="en-AU"/>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ColorfulList-Accent11">
    <w:name w:val="Colorful List - Accent 11"/>
    <w:basedOn w:val="TableNormal"/>
    <w:next w:val="ColorfulList-Accent1"/>
    <w:uiPriority w:val="72"/>
    <w:rsid w:val="0007288C"/>
    <w:pPr>
      <w:spacing w:after="0" w:line="240" w:lineRule="auto"/>
    </w:pPr>
    <w:rPr>
      <w:rFonts w:eastAsia="Times New Roman"/>
      <w:color w:val="000000"/>
      <w:lang w:eastAsia="en-AU"/>
    </w:rPr>
    <w:tblPr>
      <w:tblStyleRowBandSize w:val="1"/>
      <w:tblStyleColBandSize w:val="1"/>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customStyle="1" w:styleId="ColorfulList-Accent21">
    <w:name w:val="Colorful List - Accent 21"/>
    <w:basedOn w:val="TableNormal"/>
    <w:next w:val="ColorfulList-Accent2"/>
    <w:uiPriority w:val="72"/>
    <w:rsid w:val="0007288C"/>
    <w:pPr>
      <w:spacing w:after="0" w:line="240" w:lineRule="auto"/>
    </w:pPr>
    <w:rPr>
      <w:rFonts w:eastAsia="Times New Roman"/>
      <w:color w:val="000000"/>
      <w:lang w:eastAsia="en-AU"/>
    </w:rPr>
    <w:tblPr>
      <w:tblStyleRowBandSize w:val="1"/>
      <w:tblStyleColBandSize w:val="1"/>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customStyle="1" w:styleId="ColorfulList-Accent61">
    <w:name w:val="Colorful List - Accent 61"/>
    <w:basedOn w:val="TableNormal"/>
    <w:next w:val="ColorfulList-Accent6"/>
    <w:uiPriority w:val="72"/>
    <w:rsid w:val="0007288C"/>
    <w:pPr>
      <w:spacing w:after="0" w:line="240" w:lineRule="auto"/>
    </w:pPr>
    <w:rPr>
      <w:rFonts w:eastAsia="Times New Roman"/>
      <w:color w:val="000000"/>
      <w:lang w:eastAsia="en-AU"/>
    </w:rPr>
    <w:tblPr>
      <w:tblStyleRowBandSize w:val="1"/>
      <w:tblStyleColBandSize w:val="1"/>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styleId="TableClassic2">
    <w:name w:val="Table Classic 2"/>
    <w:basedOn w:val="TableNormal"/>
    <w:rsid w:val="0007288C"/>
    <w:pPr>
      <w:spacing w:after="0" w:line="240" w:lineRule="auto"/>
    </w:pPr>
    <w:rPr>
      <w:rFonts w:eastAsia="Times New Roman"/>
      <w:lang w:eastAsia="en-AU"/>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MediumShading2-Accent11">
    <w:name w:val="Medium Shading 2 - Accent 11"/>
    <w:basedOn w:val="TableNormal"/>
    <w:uiPriority w:val="64"/>
    <w:rsid w:val="0007288C"/>
    <w:pPr>
      <w:spacing w:after="0" w:line="240" w:lineRule="auto"/>
    </w:pPr>
    <w:rPr>
      <w:rFonts w:eastAsia="Times New Roman"/>
      <w:lang w:eastAsia="en-AU"/>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paragraph" w:styleId="NormalWeb">
    <w:name w:val="Normal (Web)"/>
    <w:basedOn w:val="Normal"/>
    <w:uiPriority w:val="99"/>
    <w:unhideWhenUsed/>
    <w:rsid w:val="0007288C"/>
    <w:pPr>
      <w:spacing w:before="100" w:beforeAutospacing="1" w:after="100" w:afterAutospacing="1" w:line="240" w:lineRule="auto"/>
      <w:jc w:val="both"/>
    </w:pPr>
    <w:rPr>
      <w:rFonts w:ascii="Helvetica" w:eastAsia="Times New Roman" w:hAnsi="Helvetica"/>
      <w:sz w:val="20"/>
      <w:lang w:eastAsia="en-AU"/>
    </w:rPr>
  </w:style>
  <w:style w:type="paragraph" w:styleId="CommentText">
    <w:name w:val="annotation text"/>
    <w:basedOn w:val="Normal"/>
    <w:link w:val="CommentTextChar"/>
    <w:uiPriority w:val="99"/>
    <w:unhideWhenUsed/>
    <w:rsid w:val="0007288C"/>
    <w:pPr>
      <w:spacing w:before="120" w:after="200" w:line="240" w:lineRule="auto"/>
      <w:jc w:val="both"/>
    </w:pPr>
    <w:rPr>
      <w:rFonts w:ascii="Century Gothic" w:eastAsia="Calibri" w:hAnsi="Century Gothic"/>
      <w:sz w:val="20"/>
      <w:szCs w:val="20"/>
    </w:rPr>
  </w:style>
  <w:style w:type="character" w:customStyle="1" w:styleId="CommentTextChar">
    <w:name w:val="Comment Text Char"/>
    <w:basedOn w:val="DefaultParagraphFont"/>
    <w:link w:val="CommentText"/>
    <w:uiPriority w:val="99"/>
    <w:rsid w:val="0007288C"/>
    <w:rPr>
      <w:rFonts w:ascii="Century Gothic" w:eastAsia="Calibri" w:hAnsi="Century Gothic"/>
      <w:sz w:val="20"/>
      <w:szCs w:val="20"/>
    </w:rPr>
  </w:style>
  <w:style w:type="paragraph" w:customStyle="1" w:styleId="TableText">
    <w:name w:val="Table Text"/>
    <w:basedOn w:val="Normal"/>
    <w:uiPriority w:val="5"/>
    <w:qFormat/>
    <w:rsid w:val="00C35325"/>
    <w:pPr>
      <w:spacing w:before="120" w:after="120" w:line="120" w:lineRule="atLeast"/>
      <w:jc w:val="both"/>
    </w:pPr>
    <w:rPr>
      <w:rFonts w:eastAsia="Calibri"/>
      <w:i/>
      <w:color w:val="954ECA"/>
      <w:sz w:val="20"/>
      <w:szCs w:val="22"/>
    </w:rPr>
  </w:style>
  <w:style w:type="paragraph" w:customStyle="1" w:styleId="TableHeader">
    <w:name w:val="Table Header"/>
    <w:basedOn w:val="Normal"/>
    <w:uiPriority w:val="5"/>
    <w:qFormat/>
    <w:rsid w:val="0007288C"/>
    <w:pPr>
      <w:spacing w:before="120" w:after="120" w:line="240" w:lineRule="auto"/>
      <w:jc w:val="both"/>
    </w:pPr>
    <w:rPr>
      <w:rFonts w:ascii="Century Gothic" w:eastAsia="Calibri" w:hAnsi="Century Gothic"/>
      <w:b/>
      <w:sz w:val="20"/>
      <w:szCs w:val="20"/>
    </w:rPr>
  </w:style>
  <w:style w:type="paragraph" w:customStyle="1" w:styleId="TableTextcentred">
    <w:name w:val="Table Text (centred)"/>
    <w:basedOn w:val="TableText"/>
    <w:uiPriority w:val="5"/>
    <w:qFormat/>
    <w:rsid w:val="0007288C"/>
    <w:pPr>
      <w:jc w:val="center"/>
    </w:pPr>
  </w:style>
  <w:style w:type="paragraph" w:customStyle="1" w:styleId="InstructionalText">
    <w:name w:val="Instructional Text"/>
    <w:basedOn w:val="Normal"/>
    <w:qFormat/>
    <w:rsid w:val="0007288C"/>
    <w:pPr>
      <w:spacing w:before="120" w:after="120" w:line="240" w:lineRule="auto"/>
      <w:jc w:val="both"/>
    </w:pPr>
    <w:rPr>
      <w:rFonts w:ascii="Century Gothic" w:eastAsia="Calibri" w:hAnsi="Century Gothic"/>
      <w:vanish/>
      <w:color w:val="800000"/>
      <w:sz w:val="20"/>
      <w:szCs w:val="16"/>
    </w:rPr>
  </w:style>
  <w:style w:type="character" w:styleId="CommentReference">
    <w:name w:val="annotation reference"/>
    <w:basedOn w:val="DefaultParagraphFont"/>
    <w:uiPriority w:val="99"/>
    <w:unhideWhenUsed/>
    <w:rsid w:val="0007288C"/>
    <w:rPr>
      <w:sz w:val="16"/>
      <w:szCs w:val="16"/>
    </w:rPr>
  </w:style>
  <w:style w:type="table" w:styleId="TableGrid">
    <w:name w:val="Table Grid"/>
    <w:basedOn w:val="TableNormal"/>
    <w:rsid w:val="0007288C"/>
    <w:pPr>
      <w:spacing w:after="0" w:line="240" w:lineRule="auto"/>
    </w:pPr>
    <w:rPr>
      <w:rFonts w:eastAsia="Times New Roman"/>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ColorfulShading-Accent51">
    <w:name w:val="Colorful Shading - Accent 51"/>
    <w:basedOn w:val="TableNormal"/>
    <w:next w:val="ColorfulShading-Accent5"/>
    <w:uiPriority w:val="71"/>
    <w:rsid w:val="0007288C"/>
    <w:pPr>
      <w:spacing w:after="0" w:line="240" w:lineRule="auto"/>
    </w:pPr>
    <w:rPr>
      <w:rFonts w:eastAsia="Times New Roman"/>
      <w:color w:val="000000"/>
      <w:lang w:eastAsia="en-AU"/>
    </w:rPr>
    <w:tblPr>
      <w:tblStyleRowBandSize w:val="1"/>
      <w:tblStyleColBandSize w:val="1"/>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customStyle="1" w:styleId="ColorfulGrid-Accent11">
    <w:name w:val="Colorful Grid - Accent 11"/>
    <w:basedOn w:val="TableNormal"/>
    <w:next w:val="ColorfulGrid-Accent1"/>
    <w:uiPriority w:val="73"/>
    <w:rsid w:val="0007288C"/>
    <w:pPr>
      <w:spacing w:after="0" w:line="240" w:lineRule="auto"/>
    </w:pPr>
    <w:rPr>
      <w:rFonts w:eastAsia="Times New Roman"/>
      <w:color w:val="000000"/>
      <w:lang w:eastAsia="en-AU"/>
    </w:rPr>
    <w:tblPr>
      <w:tblStyleRowBandSize w:val="1"/>
      <w:tblStyleColBandSize w:val="1"/>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customStyle="1" w:styleId="ColorfulShading-Accent41">
    <w:name w:val="Colorful Shading - Accent 41"/>
    <w:basedOn w:val="TableNormal"/>
    <w:next w:val="ColorfulShading-Accent4"/>
    <w:uiPriority w:val="71"/>
    <w:rsid w:val="0007288C"/>
    <w:pPr>
      <w:spacing w:after="0" w:line="240" w:lineRule="auto"/>
    </w:pPr>
    <w:rPr>
      <w:rFonts w:eastAsia="Times New Roman"/>
      <w:color w:val="000000"/>
      <w:lang w:eastAsia="en-AU"/>
    </w:rPr>
    <w:tblPr>
      <w:tblStyleRowBandSize w:val="1"/>
      <w:tblStyleColBandSize w:val="1"/>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Pr>
    <w:tcPr>
      <w:shd w:val="clear" w:color="auto" w:fill="F2EF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C3B62"/>
      </w:tcPr>
    </w:tblStylePr>
    <w:tblStylePr w:type="firstCol">
      <w:rPr>
        <w:color w:val="FFFFFF"/>
      </w:rPr>
      <w:tblPr/>
      <w:tcPr>
        <w:tcBorders>
          <w:top w:val="nil"/>
          <w:left w:val="nil"/>
          <w:bottom w:val="nil"/>
          <w:right w:val="nil"/>
          <w:insideH w:val="single" w:sz="4" w:space="0" w:color="4C3B62"/>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character" w:customStyle="1" w:styleId="FollowedHyperlink1">
    <w:name w:val="FollowedHyperlink1"/>
    <w:basedOn w:val="DefaultParagraphFont"/>
    <w:rsid w:val="0007288C"/>
    <w:rPr>
      <w:color w:val="800080"/>
      <w:u w:val="single"/>
    </w:rPr>
  </w:style>
  <w:style w:type="table" w:customStyle="1" w:styleId="ColorfulList-Accent51">
    <w:name w:val="Colorful List - Accent 51"/>
    <w:basedOn w:val="TableNormal"/>
    <w:next w:val="ColorfulList-Accent5"/>
    <w:uiPriority w:val="72"/>
    <w:rsid w:val="0007288C"/>
    <w:pPr>
      <w:spacing w:after="0" w:line="240" w:lineRule="auto"/>
    </w:pPr>
    <w:rPr>
      <w:rFonts w:eastAsia="Times New Roman"/>
      <w:color w:val="000000"/>
      <w:lang w:eastAsia="en-AU"/>
    </w:rPr>
    <w:tblPr>
      <w:tblStyleRowBandSize w:val="1"/>
      <w:tblStyleColBandSize w:val="1"/>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customStyle="1" w:styleId="MediumGrid3-Accent51">
    <w:name w:val="Medium Grid 3 - Accent 51"/>
    <w:basedOn w:val="TableNormal"/>
    <w:next w:val="MediumGrid3-Accent5"/>
    <w:uiPriority w:val="69"/>
    <w:rsid w:val="0007288C"/>
    <w:pPr>
      <w:spacing w:after="0" w:line="240" w:lineRule="auto"/>
    </w:pPr>
    <w:rPr>
      <w:rFonts w:eastAsia="Times New Roman"/>
      <w:lang w:eastAsia="en-AU"/>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character" w:customStyle="1" w:styleId="apple-converted-space">
    <w:name w:val="apple-converted-space"/>
    <w:basedOn w:val="DefaultParagraphFont"/>
    <w:rsid w:val="0007288C"/>
  </w:style>
  <w:style w:type="table" w:customStyle="1" w:styleId="MediumShading2-Accent21">
    <w:name w:val="Medium Shading 2 - Accent 21"/>
    <w:basedOn w:val="TableNormal"/>
    <w:next w:val="MediumShading2-Accent2"/>
    <w:uiPriority w:val="64"/>
    <w:rsid w:val="0007288C"/>
    <w:pPr>
      <w:spacing w:after="0" w:line="240" w:lineRule="auto"/>
    </w:pPr>
    <w:rPr>
      <w:rFonts w:eastAsia="Times New Roman"/>
      <w:lang w:eastAsia="en-AU"/>
    </w:rPr>
    <w:tblPr>
      <w:tblStyleRowBandSize w:val="1"/>
      <w:tblStyleColBandSize w:val="1"/>
      <w:tblBorders>
        <w:top w:val="single" w:sz="18" w:space="0" w:color="auto"/>
        <w:bottom w:val="single" w:sz="18" w:space="0" w:color="auto"/>
      </w:tblBorders>
    </w:tblPr>
    <w:tblStylePr w:type="firstRow">
      <w:pPr>
        <w:spacing w:before="0" w:after="0" w:line="240" w:lineRule="auto"/>
      </w:pPr>
      <w:rPr>
        <w:rFonts w:ascii="Arial" w:hAnsi="Arial"/>
        <w:b w:val="0"/>
        <w:bCs/>
        <w:color w:val="FFFFFF"/>
        <w:sz w:val="20"/>
      </w:rPr>
      <w:tblPr/>
      <w:tcPr>
        <w:shd w:val="clear" w:color="auto" w:fill="00008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ascii="Arial" w:hAnsi="Arial"/>
        <w:b/>
        <w:bCs/>
        <w:color w:val="FFFFFF"/>
        <w:sz w:val="20"/>
      </w:rPr>
      <w:tblPr/>
      <w:tcPr>
        <w:shd w:val="clear" w:color="auto" w:fill="000080"/>
      </w:tcPr>
    </w:tblStylePr>
    <w:tblStylePr w:type="lastCol">
      <w:rPr>
        <w:b/>
        <w:bCs/>
        <w:color w:val="FFFFFF"/>
      </w:rPr>
      <w:tblPr/>
      <w:tcPr>
        <w:tcBorders>
          <w:left w:val="nil"/>
          <w:right w:val="nil"/>
          <w:insideH w:val="nil"/>
          <w:insideV w:val="nil"/>
        </w:tcBorders>
        <w:shd w:val="clear" w:color="auto" w:fill="C0504D"/>
      </w:tcPr>
    </w:tblStylePr>
    <w:tblStylePr w:type="band1Vert">
      <w:rPr>
        <w:color w:val="FFFFFF"/>
      </w:rPr>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paragraph" w:styleId="CommentSubject">
    <w:name w:val="annotation subject"/>
    <w:basedOn w:val="CommentText"/>
    <w:next w:val="CommentText"/>
    <w:link w:val="CommentSubjectChar"/>
    <w:uiPriority w:val="99"/>
    <w:rsid w:val="0007288C"/>
    <w:pPr>
      <w:spacing w:after="0"/>
      <w:jc w:val="left"/>
    </w:pPr>
    <w:rPr>
      <w:rFonts w:ascii="Times New Roman" w:eastAsia="Times New Roman" w:hAnsi="Times New Roman"/>
      <w:b/>
      <w:bCs/>
    </w:rPr>
  </w:style>
  <w:style w:type="character" w:customStyle="1" w:styleId="CommentSubjectChar">
    <w:name w:val="Comment Subject Char"/>
    <w:basedOn w:val="CommentTextChar"/>
    <w:link w:val="CommentSubject"/>
    <w:uiPriority w:val="99"/>
    <w:rsid w:val="0007288C"/>
    <w:rPr>
      <w:rFonts w:ascii="Century Gothic" w:eastAsia="Times New Roman" w:hAnsi="Century Gothic"/>
      <w:b/>
      <w:bCs/>
      <w:sz w:val="20"/>
      <w:szCs w:val="20"/>
    </w:rPr>
  </w:style>
  <w:style w:type="paragraph" w:styleId="Revision">
    <w:name w:val="Revision"/>
    <w:hidden/>
    <w:uiPriority w:val="99"/>
    <w:rsid w:val="0007288C"/>
    <w:pPr>
      <w:spacing w:after="0" w:line="240" w:lineRule="auto"/>
    </w:pPr>
    <w:rPr>
      <w:rFonts w:eastAsia="Times New Roman"/>
      <w:sz w:val="22"/>
    </w:rPr>
  </w:style>
  <w:style w:type="paragraph" w:customStyle="1" w:styleId="TableofFigures1">
    <w:name w:val="Table of Figures1"/>
    <w:basedOn w:val="Normal"/>
    <w:next w:val="Normal"/>
    <w:link w:val="TableofFiguresChar"/>
    <w:uiPriority w:val="99"/>
    <w:rsid w:val="0007288C"/>
    <w:pPr>
      <w:spacing w:before="120" w:after="120" w:line="240" w:lineRule="auto"/>
      <w:ind w:left="440" w:hanging="440"/>
      <w:jc w:val="both"/>
    </w:pPr>
    <w:rPr>
      <w:rFonts w:ascii="Calibri" w:eastAsia="Times New Roman" w:hAnsi="Calibri"/>
      <w:b/>
      <w:bCs/>
      <w:sz w:val="20"/>
      <w:szCs w:val="20"/>
    </w:rPr>
  </w:style>
  <w:style w:type="paragraph" w:customStyle="1" w:styleId="Default">
    <w:name w:val="Default"/>
    <w:rsid w:val="0007288C"/>
    <w:pPr>
      <w:autoSpaceDE w:val="0"/>
      <w:autoSpaceDN w:val="0"/>
      <w:adjustRightInd w:val="0"/>
      <w:spacing w:after="0" w:line="240" w:lineRule="auto"/>
    </w:pPr>
    <w:rPr>
      <w:rFonts w:ascii="Arial" w:eastAsia="Times New Roman" w:hAnsi="Arial" w:cs="Arial"/>
      <w:color w:val="000000"/>
      <w:lang w:eastAsia="en-AU"/>
    </w:rPr>
  </w:style>
  <w:style w:type="paragraph" w:customStyle="1" w:styleId="Style1">
    <w:name w:val="Style1"/>
    <w:basedOn w:val="TableofFigures"/>
    <w:link w:val="Style1Char"/>
    <w:qFormat/>
    <w:rsid w:val="0007288C"/>
    <w:pPr>
      <w:tabs>
        <w:tab w:val="right" w:leader="dot" w:pos="8471"/>
      </w:tabs>
      <w:spacing w:before="120" w:after="120" w:line="240" w:lineRule="auto"/>
      <w:ind w:left="440" w:hanging="440"/>
      <w:jc w:val="both"/>
    </w:pPr>
    <w:rPr>
      <w:rFonts w:ascii="Calibri" w:eastAsia="Times New Roman" w:hAnsi="Calibri"/>
      <w:bCs/>
      <w:noProof/>
      <w:szCs w:val="20"/>
    </w:rPr>
  </w:style>
  <w:style w:type="character" w:customStyle="1" w:styleId="TableofFiguresChar">
    <w:name w:val="Table of Figures Char"/>
    <w:basedOn w:val="DefaultParagraphFont"/>
    <w:link w:val="TableofFigures1"/>
    <w:uiPriority w:val="99"/>
    <w:rsid w:val="0007288C"/>
    <w:rPr>
      <w:rFonts w:ascii="Calibri" w:hAnsi="Calibri"/>
      <w:b/>
      <w:bCs/>
      <w:sz w:val="20"/>
      <w:szCs w:val="20"/>
      <w:lang w:eastAsia="en-US"/>
    </w:rPr>
  </w:style>
  <w:style w:type="character" w:customStyle="1" w:styleId="Style1Char">
    <w:name w:val="Style1 Char"/>
    <w:basedOn w:val="TableofFiguresChar"/>
    <w:link w:val="Style1"/>
    <w:rsid w:val="0007288C"/>
    <w:rPr>
      <w:rFonts w:ascii="Calibri" w:eastAsia="Times New Roman" w:hAnsi="Calibri"/>
      <w:b w:val="0"/>
      <w:bCs/>
      <w:noProof/>
      <w:sz w:val="22"/>
      <w:szCs w:val="20"/>
      <w:lang w:eastAsia="en-US"/>
    </w:rPr>
  </w:style>
  <w:style w:type="table" w:customStyle="1" w:styleId="LightShading1">
    <w:name w:val="Light Shading1"/>
    <w:basedOn w:val="TableNormal"/>
    <w:next w:val="LightShading"/>
    <w:rsid w:val="0007288C"/>
    <w:pPr>
      <w:spacing w:after="0" w:line="240" w:lineRule="auto"/>
    </w:pPr>
    <w:rPr>
      <w:rFonts w:eastAsia="Times New Roman"/>
      <w:color w:val="000000"/>
      <w:lang w:eastAsia="en-AU"/>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customStyle="1" w:styleId="EndNoteBibliographyTitle">
    <w:name w:val="EndNote Bibliography Title"/>
    <w:basedOn w:val="Normal"/>
    <w:link w:val="EndNoteBibliographyTitleChar"/>
    <w:rsid w:val="0007288C"/>
    <w:pPr>
      <w:spacing w:before="120" w:after="0" w:line="240" w:lineRule="auto"/>
      <w:jc w:val="center"/>
    </w:pPr>
    <w:rPr>
      <w:rFonts w:ascii="Helvetica" w:eastAsia="Times New Roman" w:hAnsi="Helvetica"/>
      <w:noProof/>
      <w:sz w:val="20"/>
      <w:lang w:val="en-US"/>
    </w:rPr>
  </w:style>
  <w:style w:type="character" w:customStyle="1" w:styleId="EndNoteBibliographyTitleChar">
    <w:name w:val="EndNote Bibliography Title Char"/>
    <w:basedOn w:val="DefaultParagraphFont"/>
    <w:link w:val="EndNoteBibliographyTitle"/>
    <w:rsid w:val="0007288C"/>
    <w:rPr>
      <w:rFonts w:ascii="Helvetica" w:eastAsia="Times New Roman" w:hAnsi="Helvetica"/>
      <w:noProof/>
      <w:sz w:val="20"/>
      <w:lang w:val="en-US"/>
    </w:rPr>
  </w:style>
  <w:style w:type="paragraph" w:customStyle="1" w:styleId="EndNoteBibliography">
    <w:name w:val="EndNote Bibliography"/>
    <w:basedOn w:val="Normal"/>
    <w:link w:val="EndNoteBibliographyChar"/>
    <w:rsid w:val="0007288C"/>
    <w:pPr>
      <w:spacing w:before="120" w:after="120" w:line="240" w:lineRule="auto"/>
      <w:jc w:val="both"/>
    </w:pPr>
    <w:rPr>
      <w:rFonts w:ascii="Helvetica" w:eastAsia="Times New Roman" w:hAnsi="Helvetica"/>
      <w:noProof/>
      <w:sz w:val="20"/>
      <w:lang w:val="en-US"/>
    </w:rPr>
  </w:style>
  <w:style w:type="character" w:customStyle="1" w:styleId="EndNoteBibliographyChar">
    <w:name w:val="EndNote Bibliography Char"/>
    <w:basedOn w:val="DefaultParagraphFont"/>
    <w:link w:val="EndNoteBibliography"/>
    <w:rsid w:val="0007288C"/>
    <w:rPr>
      <w:rFonts w:ascii="Helvetica" w:eastAsia="Times New Roman" w:hAnsi="Helvetica"/>
      <w:noProof/>
      <w:sz w:val="20"/>
      <w:lang w:val="en-US"/>
    </w:rPr>
  </w:style>
  <w:style w:type="table" w:customStyle="1" w:styleId="LightShading-Accent31">
    <w:name w:val="Light Shading - Accent 31"/>
    <w:basedOn w:val="TableNormal"/>
    <w:next w:val="LightShading-Accent3"/>
    <w:rsid w:val="0007288C"/>
    <w:pPr>
      <w:spacing w:after="0" w:line="240" w:lineRule="auto"/>
    </w:pPr>
    <w:rPr>
      <w:rFonts w:eastAsia="Times New Roman"/>
      <w:color w:val="76923C"/>
      <w:lang w:eastAsia="en-AU"/>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ColorfulGrid-Accent41">
    <w:name w:val="Colorful Grid - Accent 41"/>
    <w:basedOn w:val="TableNormal"/>
    <w:next w:val="ColorfulGrid-Accent4"/>
    <w:rsid w:val="0007288C"/>
    <w:pPr>
      <w:spacing w:after="0" w:line="240" w:lineRule="auto"/>
    </w:pPr>
    <w:rPr>
      <w:rFonts w:eastAsia="Times New Roman"/>
      <w:color w:val="000000"/>
      <w:lang w:eastAsia="en-AU"/>
    </w:rPr>
    <w:tblPr>
      <w:tblStyleRowBandSize w:val="1"/>
      <w:tblStyleColBandSize w:val="1"/>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customStyle="1" w:styleId="LightShading-Accent41">
    <w:name w:val="Light Shading - Accent 41"/>
    <w:basedOn w:val="TableNormal"/>
    <w:next w:val="LightShading-Accent4"/>
    <w:rsid w:val="0007288C"/>
    <w:pPr>
      <w:spacing w:after="0" w:line="240" w:lineRule="auto"/>
    </w:pPr>
    <w:rPr>
      <w:rFonts w:eastAsia="Times New Roman"/>
      <w:color w:val="5F497A"/>
      <w:lang w:eastAsia="en-AU"/>
    </w:rPr>
    <w:tblPr>
      <w:tblStyleRowBandSize w:val="1"/>
      <w:tblStyleColBandSize w:val="1"/>
      <w:tblBorders>
        <w:top w:val="single" w:sz="8" w:space="0" w:color="8064A2"/>
        <w:bottom w:val="single" w:sz="8" w:space="0" w:color="8064A2"/>
      </w:tblBorders>
    </w:tblPr>
    <w:tblStylePr w:type="fir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customStyle="1" w:styleId="MediumShading1-Accent41">
    <w:name w:val="Medium Shading 1 - Accent 41"/>
    <w:basedOn w:val="TableNormal"/>
    <w:next w:val="MediumShading1-Accent4"/>
    <w:rsid w:val="0007288C"/>
    <w:pPr>
      <w:spacing w:after="0" w:line="240" w:lineRule="auto"/>
    </w:pPr>
    <w:rPr>
      <w:rFonts w:eastAsia="Times New Roman"/>
      <w:lang w:eastAsia="en-AU"/>
    </w:rPr>
    <w:tblPr>
      <w:tblStyleRowBandSize w:val="1"/>
      <w:tblStyleColBandSize w:val="1"/>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0" w:after="0" w:line="240" w:lineRule="auto"/>
      </w:pPr>
      <w:rPr>
        <w:b/>
        <w:bCs/>
        <w:color w:val="FFFFFF"/>
      </w:rPr>
      <w:tblPr/>
      <w:tcPr>
        <w:shd w:val="clear" w:color="auto" w:fill="80276C"/>
      </w:tcPr>
    </w:tblStylePr>
    <w:tblStylePr w:type="lastRow">
      <w:pPr>
        <w:spacing w:before="0" w:after="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customStyle="1" w:styleId="MidTables">
    <w:name w:val="Mid Tables"/>
    <w:basedOn w:val="TableNormal"/>
    <w:uiPriority w:val="99"/>
    <w:rsid w:val="0007288C"/>
    <w:pPr>
      <w:spacing w:after="0" w:line="240" w:lineRule="auto"/>
    </w:pPr>
    <w:rPr>
      <w:rFonts w:eastAsia="Times New Roman"/>
      <w:lang w:eastAsia="en-AU"/>
    </w:rPr>
    <w:tblPr/>
  </w:style>
  <w:style w:type="table" w:customStyle="1" w:styleId="MediumList11">
    <w:name w:val="Medium List 11"/>
    <w:basedOn w:val="TableNormal"/>
    <w:next w:val="MediumList1"/>
    <w:rsid w:val="0007288C"/>
    <w:pPr>
      <w:spacing w:after="0" w:line="240" w:lineRule="auto"/>
    </w:pPr>
    <w:rPr>
      <w:rFonts w:eastAsia="Times New Roman"/>
      <w:color w:val="000000"/>
      <w:lang w:eastAsia="en-AU"/>
    </w:rPr>
    <w:tblPr>
      <w:tblStyleRowBandSize w:val="1"/>
      <w:tblStyleColBandSize w:val="1"/>
      <w:tblBorders>
        <w:top w:val="single" w:sz="8" w:space="0" w:color="000000"/>
        <w:bottom w:val="single" w:sz="8" w:space="0" w:color="000000"/>
      </w:tblBorders>
    </w:tblPr>
    <w:tblStylePr w:type="firstRow">
      <w:rPr>
        <w:rFonts w:ascii="Cambria" w:eastAsia="PMingLiU"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paragraph" w:styleId="Subtitle">
    <w:name w:val="Subtitle"/>
    <w:basedOn w:val="Normal"/>
    <w:next w:val="Normal"/>
    <w:link w:val="SubtitleChar"/>
    <w:uiPriority w:val="9"/>
    <w:qFormat/>
    <w:rsid w:val="0007288C"/>
    <w:pPr>
      <w:numPr>
        <w:ilvl w:val="1"/>
      </w:numPr>
    </w:pPr>
    <w:rPr>
      <w:rFonts w:ascii="Cambria" w:eastAsia="PMingLiU" w:hAnsi="Cambria"/>
      <w:iCs/>
      <w:spacing w:val="15"/>
    </w:rPr>
  </w:style>
  <w:style w:type="character" w:customStyle="1" w:styleId="SubtitleChar1">
    <w:name w:val="Subtitle Char1"/>
    <w:basedOn w:val="DefaultParagraphFont"/>
    <w:uiPriority w:val="11"/>
    <w:rsid w:val="0007288C"/>
    <w:rPr>
      <w:rFonts w:asciiTheme="minorHAnsi" w:eastAsiaTheme="minorEastAsia" w:hAnsiTheme="minorHAnsi" w:cstheme="minorBidi"/>
      <w:color w:val="5A5A5A" w:themeColor="text1" w:themeTint="A5"/>
      <w:spacing w:val="15"/>
      <w:sz w:val="22"/>
      <w:szCs w:val="22"/>
    </w:rPr>
  </w:style>
  <w:style w:type="paragraph" w:styleId="Title">
    <w:name w:val="Title"/>
    <w:basedOn w:val="Normal"/>
    <w:next w:val="Normal"/>
    <w:link w:val="TitleChar"/>
    <w:uiPriority w:val="9"/>
    <w:qFormat/>
    <w:rsid w:val="0007288C"/>
    <w:pPr>
      <w:spacing w:after="0" w:line="240" w:lineRule="auto"/>
      <w:contextualSpacing/>
    </w:pPr>
    <w:rPr>
      <w:rFonts w:eastAsia="PMingLiU"/>
      <w:b/>
      <w:color w:val="000080"/>
      <w:kern w:val="28"/>
      <w:sz w:val="32"/>
      <w:szCs w:val="52"/>
    </w:rPr>
  </w:style>
  <w:style w:type="character" w:customStyle="1" w:styleId="TitleChar1">
    <w:name w:val="Title Char1"/>
    <w:basedOn w:val="DefaultParagraphFont"/>
    <w:uiPriority w:val="10"/>
    <w:rsid w:val="0007288C"/>
    <w:rPr>
      <w:rFonts w:asciiTheme="majorHAnsi" w:eastAsiaTheme="majorEastAsia" w:hAnsiTheme="majorHAnsi" w:cstheme="majorBidi"/>
      <w:spacing w:val="-10"/>
      <w:kern w:val="28"/>
      <w:sz w:val="56"/>
      <w:szCs w:val="56"/>
    </w:rPr>
  </w:style>
  <w:style w:type="character" w:styleId="SubtleEmphasis">
    <w:name w:val="Subtle Emphasis"/>
    <w:basedOn w:val="DefaultParagraphFont"/>
    <w:uiPriority w:val="19"/>
    <w:qFormat/>
    <w:rsid w:val="0007288C"/>
    <w:rPr>
      <w:i/>
      <w:iCs/>
      <w:color w:val="404040" w:themeColor="text1" w:themeTint="BF"/>
    </w:rPr>
  </w:style>
  <w:style w:type="character" w:styleId="IntenseEmphasis">
    <w:name w:val="Intense Emphasis"/>
    <w:basedOn w:val="DefaultParagraphFont"/>
    <w:uiPriority w:val="66"/>
    <w:qFormat/>
    <w:rsid w:val="0007288C"/>
    <w:rPr>
      <w:i/>
      <w:iCs/>
      <w:color w:val="5B9BD5" w:themeColor="accent1"/>
    </w:rPr>
  </w:style>
  <w:style w:type="paragraph" w:styleId="Quote">
    <w:name w:val="Quote"/>
    <w:basedOn w:val="Normal"/>
    <w:next w:val="Normal"/>
    <w:link w:val="QuoteChar"/>
    <w:uiPriority w:val="29"/>
    <w:qFormat/>
    <w:rsid w:val="0007288C"/>
    <w:pPr>
      <w:spacing w:before="200"/>
      <w:ind w:left="864" w:right="864"/>
      <w:jc w:val="center"/>
    </w:pPr>
    <w:rPr>
      <w:i/>
      <w:iCs/>
      <w:color w:val="000000"/>
    </w:rPr>
  </w:style>
  <w:style w:type="character" w:customStyle="1" w:styleId="QuoteChar1">
    <w:name w:val="Quote Char1"/>
    <w:basedOn w:val="DefaultParagraphFont"/>
    <w:uiPriority w:val="29"/>
    <w:rsid w:val="0007288C"/>
    <w:rPr>
      <w:i/>
      <w:iCs/>
      <w:color w:val="404040" w:themeColor="text1" w:themeTint="BF"/>
    </w:rPr>
  </w:style>
  <w:style w:type="paragraph" w:styleId="IntenseQuote">
    <w:name w:val="Intense Quote"/>
    <w:basedOn w:val="Normal"/>
    <w:next w:val="Normal"/>
    <w:link w:val="IntenseQuoteChar"/>
    <w:uiPriority w:val="60"/>
    <w:qFormat/>
    <w:rsid w:val="0007288C"/>
    <w:pPr>
      <w:pBdr>
        <w:top w:val="single" w:sz="4" w:space="10" w:color="5B9BD5" w:themeColor="accent1"/>
        <w:bottom w:val="single" w:sz="4" w:space="10" w:color="5B9BD5" w:themeColor="accent1"/>
      </w:pBdr>
      <w:spacing w:before="360" w:after="360"/>
      <w:ind w:left="864" w:right="864"/>
      <w:jc w:val="center"/>
    </w:pPr>
    <w:rPr>
      <w:b/>
      <w:bCs/>
      <w:i/>
      <w:iCs/>
      <w:color w:val="4F81BD"/>
    </w:rPr>
  </w:style>
  <w:style w:type="character" w:customStyle="1" w:styleId="IntenseQuoteChar1">
    <w:name w:val="Intense Quote Char1"/>
    <w:basedOn w:val="DefaultParagraphFont"/>
    <w:uiPriority w:val="30"/>
    <w:rsid w:val="0007288C"/>
    <w:rPr>
      <w:i/>
      <w:iCs/>
      <w:color w:val="5B9BD5" w:themeColor="accent1"/>
    </w:rPr>
  </w:style>
  <w:style w:type="character" w:styleId="SubtleReference">
    <w:name w:val="Subtle Reference"/>
    <w:basedOn w:val="DefaultParagraphFont"/>
    <w:uiPriority w:val="31"/>
    <w:qFormat/>
    <w:rsid w:val="0007288C"/>
    <w:rPr>
      <w:smallCaps/>
      <w:color w:val="5A5A5A" w:themeColor="text1" w:themeTint="A5"/>
    </w:rPr>
  </w:style>
  <w:style w:type="character" w:styleId="IntenseReference">
    <w:name w:val="Intense Reference"/>
    <w:basedOn w:val="DefaultParagraphFont"/>
    <w:uiPriority w:val="32"/>
    <w:qFormat/>
    <w:rsid w:val="0007288C"/>
    <w:rPr>
      <w:b/>
      <w:bCs/>
      <w:smallCaps/>
      <w:color w:val="5B9BD5" w:themeColor="accent1"/>
      <w:spacing w:val="5"/>
    </w:rPr>
  </w:style>
  <w:style w:type="paragraph" w:styleId="BalloonText">
    <w:name w:val="Balloon Text"/>
    <w:basedOn w:val="Normal"/>
    <w:link w:val="BalloonTextChar1"/>
    <w:uiPriority w:val="99"/>
    <w:semiHidden/>
    <w:unhideWhenUsed/>
    <w:rsid w:val="0007288C"/>
    <w:pPr>
      <w:spacing w:after="0" w:line="240" w:lineRule="auto"/>
    </w:pPr>
    <w:rPr>
      <w:rFonts w:ascii="Segoe UI" w:hAnsi="Segoe UI" w:cs="Segoe UI"/>
      <w:sz w:val="18"/>
      <w:szCs w:val="18"/>
    </w:rPr>
  </w:style>
  <w:style w:type="character" w:customStyle="1" w:styleId="BalloonTextChar1">
    <w:name w:val="Balloon Text Char1"/>
    <w:basedOn w:val="DefaultParagraphFont"/>
    <w:link w:val="BalloonText"/>
    <w:uiPriority w:val="99"/>
    <w:semiHidden/>
    <w:rsid w:val="0007288C"/>
    <w:rPr>
      <w:rFonts w:ascii="Segoe UI" w:hAnsi="Segoe UI" w:cs="Segoe UI"/>
      <w:sz w:val="18"/>
      <w:szCs w:val="18"/>
    </w:rPr>
  </w:style>
  <w:style w:type="paragraph" w:styleId="Header">
    <w:name w:val="header"/>
    <w:basedOn w:val="Normal"/>
    <w:link w:val="HeaderChar1"/>
    <w:uiPriority w:val="99"/>
    <w:unhideWhenUsed/>
    <w:rsid w:val="0007288C"/>
    <w:pPr>
      <w:tabs>
        <w:tab w:val="center" w:pos="4513"/>
        <w:tab w:val="right" w:pos="9026"/>
      </w:tabs>
      <w:spacing w:after="0" w:line="240" w:lineRule="auto"/>
    </w:pPr>
  </w:style>
  <w:style w:type="character" w:customStyle="1" w:styleId="HeaderChar1">
    <w:name w:val="Header Char1"/>
    <w:basedOn w:val="DefaultParagraphFont"/>
    <w:link w:val="Header"/>
    <w:uiPriority w:val="99"/>
    <w:semiHidden/>
    <w:rsid w:val="0007288C"/>
  </w:style>
  <w:style w:type="paragraph" w:styleId="Footer">
    <w:name w:val="footer"/>
    <w:basedOn w:val="Normal"/>
    <w:link w:val="FooterChar1"/>
    <w:uiPriority w:val="99"/>
    <w:unhideWhenUsed/>
    <w:rsid w:val="0007288C"/>
    <w:pPr>
      <w:tabs>
        <w:tab w:val="center" w:pos="4513"/>
        <w:tab w:val="right" w:pos="9026"/>
      </w:tabs>
      <w:spacing w:after="0" w:line="240" w:lineRule="auto"/>
    </w:pPr>
  </w:style>
  <w:style w:type="character" w:customStyle="1" w:styleId="FooterChar1">
    <w:name w:val="Footer Char1"/>
    <w:basedOn w:val="DefaultParagraphFont"/>
    <w:link w:val="Footer"/>
    <w:uiPriority w:val="99"/>
    <w:semiHidden/>
    <w:rsid w:val="0007288C"/>
  </w:style>
  <w:style w:type="table" w:styleId="ColorfulList-Accent1">
    <w:name w:val="Colorful List Accent 1"/>
    <w:basedOn w:val="TableNormal"/>
    <w:uiPriority w:val="72"/>
    <w:semiHidden/>
    <w:unhideWhenUsed/>
    <w:rsid w:val="0007288C"/>
    <w:pPr>
      <w:spacing w:after="0" w:line="240" w:lineRule="auto"/>
    </w:pPr>
    <w:rPr>
      <w:color w:val="000000" w:themeColor="text1"/>
    </w:rPr>
    <w:tblPr>
      <w:tblStyleRowBandSize w:val="1"/>
      <w:tblStyleColBandSize w:val="1"/>
    </w:tblPr>
    <w:tcPr>
      <w:shd w:val="clear" w:color="auto" w:fill="EEF5FB" w:themeFill="accent1" w:themeFillTint="19"/>
    </w:tcPr>
    <w:tblStylePr w:type="firstRow">
      <w:rPr>
        <w:b/>
        <w:bCs/>
        <w:color w:val="FFFFFF" w:themeColor="background1"/>
      </w:rPr>
      <w:tblPr/>
      <w:tcPr>
        <w:tcBorders>
          <w:bottom w:val="single" w:sz="12" w:space="0" w:color="FFFFFF" w:themeColor="background1"/>
        </w:tcBorders>
        <w:shd w:val="clear" w:color="auto" w:fill="D25F12" w:themeFill="accent2" w:themeFillShade="CC"/>
      </w:tcPr>
    </w:tblStylePr>
    <w:tblStylePr w:type="lastRow">
      <w:rPr>
        <w:b/>
        <w:bCs/>
        <w:color w:val="D25F12"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6E6F4" w:themeFill="accent1" w:themeFillTint="3F"/>
      </w:tcPr>
    </w:tblStylePr>
    <w:tblStylePr w:type="band1Horz">
      <w:tblPr/>
      <w:tcPr>
        <w:shd w:val="clear" w:color="auto" w:fill="DEEAF6" w:themeFill="accent1" w:themeFillTint="33"/>
      </w:tcPr>
    </w:tblStylePr>
  </w:style>
  <w:style w:type="table" w:styleId="ColorfulList-Accent2">
    <w:name w:val="Colorful List Accent 2"/>
    <w:basedOn w:val="TableNormal"/>
    <w:uiPriority w:val="72"/>
    <w:semiHidden/>
    <w:unhideWhenUsed/>
    <w:rsid w:val="0007288C"/>
    <w:pPr>
      <w:spacing w:after="0" w:line="240" w:lineRule="auto"/>
    </w:pPr>
    <w:rPr>
      <w:color w:val="000000" w:themeColor="text1"/>
    </w:rPr>
    <w:tblPr>
      <w:tblStyleRowBandSize w:val="1"/>
      <w:tblStyleColBandSize w:val="1"/>
    </w:tblPr>
    <w:tcPr>
      <w:shd w:val="clear" w:color="auto" w:fill="FDF2EA" w:themeFill="accent2" w:themeFillTint="19"/>
    </w:tcPr>
    <w:tblStylePr w:type="firstRow">
      <w:rPr>
        <w:b/>
        <w:bCs/>
        <w:color w:val="FFFFFF" w:themeColor="background1"/>
      </w:rPr>
      <w:tblPr/>
      <w:tcPr>
        <w:tcBorders>
          <w:bottom w:val="single" w:sz="12" w:space="0" w:color="FFFFFF" w:themeColor="background1"/>
        </w:tcBorders>
        <w:shd w:val="clear" w:color="auto" w:fill="D25F12" w:themeFill="accent2" w:themeFillShade="CC"/>
      </w:tcPr>
    </w:tblStylePr>
    <w:tblStylePr w:type="lastRow">
      <w:rPr>
        <w:b/>
        <w:bCs/>
        <w:color w:val="D25F12"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ADECB" w:themeFill="accent2" w:themeFillTint="3F"/>
      </w:tcPr>
    </w:tblStylePr>
    <w:tblStylePr w:type="band1Horz">
      <w:tblPr/>
      <w:tcPr>
        <w:shd w:val="clear" w:color="auto" w:fill="FBE4D5" w:themeFill="accent2" w:themeFillTint="33"/>
      </w:tcPr>
    </w:tblStylePr>
  </w:style>
  <w:style w:type="table" w:styleId="ColorfulList-Accent6">
    <w:name w:val="Colorful List Accent 6"/>
    <w:basedOn w:val="TableNormal"/>
    <w:uiPriority w:val="72"/>
    <w:semiHidden/>
    <w:unhideWhenUsed/>
    <w:rsid w:val="0007288C"/>
    <w:pPr>
      <w:spacing w:after="0" w:line="240" w:lineRule="auto"/>
    </w:pPr>
    <w:rPr>
      <w:color w:val="000000" w:themeColor="text1"/>
    </w:rPr>
    <w:tblPr>
      <w:tblStyleRowBandSize w:val="1"/>
      <w:tblStyleColBandSize w:val="1"/>
    </w:tblPr>
    <w:tcPr>
      <w:shd w:val="clear" w:color="auto" w:fill="F0F7EC" w:themeFill="accent6" w:themeFillTint="19"/>
    </w:tcPr>
    <w:tblStylePr w:type="firstRow">
      <w:rPr>
        <w:b/>
        <w:bCs/>
        <w:color w:val="FFFFFF" w:themeColor="background1"/>
      </w:rPr>
      <w:tblPr/>
      <w:tcPr>
        <w:tcBorders>
          <w:bottom w:val="single" w:sz="12" w:space="0" w:color="FFFFFF" w:themeColor="background1"/>
        </w:tcBorders>
        <w:shd w:val="clear" w:color="auto" w:fill="3259A0" w:themeFill="accent5" w:themeFillShade="CC"/>
      </w:tcPr>
    </w:tblStylePr>
    <w:tblStylePr w:type="lastRow">
      <w:rPr>
        <w:b/>
        <w:bCs/>
        <w:color w:val="3259A0"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BEBD0" w:themeFill="accent6" w:themeFillTint="3F"/>
      </w:tcPr>
    </w:tblStylePr>
    <w:tblStylePr w:type="band1Horz">
      <w:tblPr/>
      <w:tcPr>
        <w:shd w:val="clear" w:color="auto" w:fill="E2EFD9" w:themeFill="accent6" w:themeFillTint="33"/>
      </w:tcPr>
    </w:tblStylePr>
  </w:style>
  <w:style w:type="table" w:styleId="ColorfulShading-Accent5">
    <w:name w:val="Colorful Shading Accent 5"/>
    <w:basedOn w:val="TableNormal"/>
    <w:uiPriority w:val="71"/>
    <w:semiHidden/>
    <w:unhideWhenUsed/>
    <w:rsid w:val="0007288C"/>
    <w:pPr>
      <w:spacing w:after="0" w:line="240" w:lineRule="auto"/>
    </w:pPr>
    <w:rPr>
      <w:color w:val="000000" w:themeColor="text1"/>
    </w:rPr>
    <w:tblPr>
      <w:tblStyleRowBandSize w:val="1"/>
      <w:tblStyleColBandSize w:val="1"/>
      <w:tblBorders>
        <w:top w:val="single" w:sz="24" w:space="0" w:color="70AD47" w:themeColor="accent6"/>
        <w:left w:val="single" w:sz="4" w:space="0" w:color="4472C4" w:themeColor="accent5"/>
        <w:bottom w:val="single" w:sz="4" w:space="0" w:color="4472C4" w:themeColor="accent5"/>
        <w:right w:val="single" w:sz="4" w:space="0" w:color="4472C4" w:themeColor="accent5"/>
        <w:insideH w:val="single" w:sz="4" w:space="0" w:color="FFFFFF" w:themeColor="background1"/>
        <w:insideV w:val="single" w:sz="4" w:space="0" w:color="FFFFFF" w:themeColor="background1"/>
      </w:tblBorders>
    </w:tblPr>
    <w:tcPr>
      <w:shd w:val="clear" w:color="auto" w:fill="ECF1F9" w:themeFill="accent5" w:themeFillTint="19"/>
    </w:tcPr>
    <w:tblStylePr w:type="firstRow">
      <w:rPr>
        <w:b/>
        <w:bCs/>
      </w:rPr>
      <w:tblPr/>
      <w:tcPr>
        <w:tcBorders>
          <w:top w:val="nil"/>
          <w:left w:val="nil"/>
          <w:bottom w:val="single" w:sz="24" w:space="0" w:color="70AD47"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64378" w:themeFill="accent5" w:themeFillShade="99"/>
      </w:tcPr>
    </w:tblStylePr>
    <w:tblStylePr w:type="firstCol">
      <w:rPr>
        <w:color w:val="FFFFFF" w:themeColor="background1"/>
      </w:rPr>
      <w:tblPr/>
      <w:tcPr>
        <w:tcBorders>
          <w:top w:val="nil"/>
          <w:left w:val="nil"/>
          <w:bottom w:val="nil"/>
          <w:right w:val="nil"/>
          <w:insideH w:val="single" w:sz="4" w:space="0" w:color="264378" w:themeColor="accent5" w:themeShade="99"/>
          <w:insideV w:val="nil"/>
        </w:tcBorders>
        <w:shd w:val="clear" w:color="auto" w:fill="264378"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64378" w:themeFill="accent5" w:themeFillShade="99"/>
      </w:tcPr>
    </w:tblStylePr>
    <w:tblStylePr w:type="band1Vert">
      <w:tblPr/>
      <w:tcPr>
        <w:shd w:val="clear" w:color="auto" w:fill="B4C6E7" w:themeFill="accent5" w:themeFillTint="66"/>
      </w:tcPr>
    </w:tblStylePr>
    <w:tblStylePr w:type="band1Horz">
      <w:tblPr/>
      <w:tcPr>
        <w:shd w:val="clear" w:color="auto" w:fill="A1B8E1" w:themeFill="accent5" w:themeFillTint="7F"/>
      </w:tcPr>
    </w:tblStylePr>
    <w:tblStylePr w:type="neCell">
      <w:rPr>
        <w:color w:val="000000" w:themeColor="text1"/>
      </w:rPr>
    </w:tblStylePr>
    <w:tblStylePr w:type="nwCell">
      <w:rPr>
        <w:color w:val="000000" w:themeColor="text1"/>
      </w:rPr>
    </w:tblStylePr>
  </w:style>
  <w:style w:type="table" w:styleId="ColorfulGrid-Accent1">
    <w:name w:val="Colorful Grid Accent 1"/>
    <w:basedOn w:val="TableNormal"/>
    <w:uiPriority w:val="73"/>
    <w:semiHidden/>
    <w:unhideWhenUsed/>
    <w:rsid w:val="0007288C"/>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EEAF6" w:themeFill="accent1" w:themeFillTint="33"/>
    </w:tcPr>
    <w:tblStylePr w:type="firstRow">
      <w:rPr>
        <w:b/>
        <w:bCs/>
      </w:rPr>
      <w:tblPr/>
      <w:tcPr>
        <w:shd w:val="clear" w:color="auto" w:fill="BDD6EE" w:themeFill="accent1" w:themeFillTint="66"/>
      </w:tcPr>
    </w:tblStylePr>
    <w:tblStylePr w:type="lastRow">
      <w:rPr>
        <w:b/>
        <w:bCs/>
        <w:color w:val="000000" w:themeColor="text1"/>
      </w:rPr>
      <w:tblPr/>
      <w:tcPr>
        <w:shd w:val="clear" w:color="auto" w:fill="BDD6EE" w:themeFill="accent1" w:themeFillTint="66"/>
      </w:tcPr>
    </w:tblStylePr>
    <w:tblStylePr w:type="firstCol">
      <w:rPr>
        <w:color w:val="FFFFFF" w:themeColor="background1"/>
      </w:rPr>
      <w:tblPr/>
      <w:tcPr>
        <w:shd w:val="clear" w:color="auto" w:fill="2E74B5" w:themeFill="accent1" w:themeFillShade="BF"/>
      </w:tcPr>
    </w:tblStylePr>
    <w:tblStylePr w:type="lastCol">
      <w:rPr>
        <w:color w:val="FFFFFF" w:themeColor="background1"/>
      </w:rPr>
      <w:tblPr/>
      <w:tcPr>
        <w:shd w:val="clear" w:color="auto" w:fill="2E74B5" w:themeFill="accent1" w:themeFillShade="BF"/>
      </w:tc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styleId="ColorfulShading-Accent4">
    <w:name w:val="Colorful Shading Accent 4"/>
    <w:basedOn w:val="TableNormal"/>
    <w:uiPriority w:val="71"/>
    <w:semiHidden/>
    <w:unhideWhenUsed/>
    <w:rsid w:val="0007288C"/>
    <w:pPr>
      <w:spacing w:after="0" w:line="240" w:lineRule="auto"/>
    </w:pPr>
    <w:rPr>
      <w:color w:val="000000" w:themeColor="text1"/>
    </w:rPr>
    <w:tblPr>
      <w:tblStyleRowBandSize w:val="1"/>
      <w:tblStyleColBandSize w:val="1"/>
      <w:tblBorders>
        <w:top w:val="single" w:sz="24" w:space="0" w:color="A5A5A5" w:themeColor="accent3"/>
        <w:left w:val="single" w:sz="4" w:space="0" w:color="FFC000" w:themeColor="accent4"/>
        <w:bottom w:val="single" w:sz="4" w:space="0" w:color="FFC000" w:themeColor="accent4"/>
        <w:right w:val="single" w:sz="4" w:space="0" w:color="FFC000" w:themeColor="accent4"/>
        <w:insideH w:val="single" w:sz="4" w:space="0" w:color="FFFFFF" w:themeColor="background1"/>
        <w:insideV w:val="single" w:sz="4" w:space="0" w:color="FFFFFF" w:themeColor="background1"/>
      </w:tblBorders>
    </w:tblPr>
    <w:tcPr>
      <w:shd w:val="clear" w:color="auto" w:fill="FFF8E6" w:themeFill="accent4" w:themeFillTint="19"/>
    </w:tcPr>
    <w:tblStylePr w:type="firstRow">
      <w:rPr>
        <w:b/>
        <w:bCs/>
      </w:rPr>
      <w:tblPr/>
      <w:tcPr>
        <w:tcBorders>
          <w:top w:val="nil"/>
          <w:left w:val="nil"/>
          <w:bottom w:val="single" w:sz="24" w:space="0" w:color="A5A5A5"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7300" w:themeFill="accent4" w:themeFillShade="99"/>
      </w:tcPr>
    </w:tblStylePr>
    <w:tblStylePr w:type="firstCol">
      <w:rPr>
        <w:color w:val="FFFFFF" w:themeColor="background1"/>
      </w:rPr>
      <w:tblPr/>
      <w:tcPr>
        <w:tcBorders>
          <w:top w:val="nil"/>
          <w:left w:val="nil"/>
          <w:bottom w:val="nil"/>
          <w:right w:val="nil"/>
          <w:insideH w:val="single" w:sz="4" w:space="0" w:color="997300" w:themeColor="accent4" w:themeShade="99"/>
          <w:insideV w:val="nil"/>
        </w:tcBorders>
        <w:shd w:val="clear" w:color="auto" w:fill="997300"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997300" w:themeFill="accent4" w:themeFillShade="99"/>
      </w:tcPr>
    </w:tblStylePr>
    <w:tblStylePr w:type="band1Vert">
      <w:tblPr/>
      <w:tcPr>
        <w:shd w:val="clear" w:color="auto" w:fill="FFE599" w:themeFill="accent4" w:themeFillTint="66"/>
      </w:tcPr>
    </w:tblStylePr>
    <w:tblStylePr w:type="band1Horz">
      <w:tblPr/>
      <w:tcPr>
        <w:shd w:val="clear" w:color="auto" w:fill="FFDF80" w:themeFill="accent4" w:themeFillTint="7F"/>
      </w:tcPr>
    </w:tblStylePr>
    <w:tblStylePr w:type="neCell">
      <w:rPr>
        <w:color w:val="000000" w:themeColor="text1"/>
      </w:rPr>
    </w:tblStylePr>
    <w:tblStylePr w:type="nwCell">
      <w:rPr>
        <w:color w:val="000000" w:themeColor="text1"/>
      </w:rPr>
    </w:tblStylePr>
  </w:style>
  <w:style w:type="character" w:styleId="FollowedHyperlink">
    <w:name w:val="FollowedHyperlink"/>
    <w:basedOn w:val="DefaultParagraphFont"/>
    <w:uiPriority w:val="99"/>
    <w:semiHidden/>
    <w:unhideWhenUsed/>
    <w:rsid w:val="0007288C"/>
    <w:rPr>
      <w:color w:val="954F72" w:themeColor="followedHyperlink"/>
      <w:u w:val="single"/>
    </w:rPr>
  </w:style>
  <w:style w:type="table" w:styleId="ColorfulList-Accent5">
    <w:name w:val="Colorful List Accent 5"/>
    <w:basedOn w:val="TableNormal"/>
    <w:uiPriority w:val="72"/>
    <w:semiHidden/>
    <w:unhideWhenUsed/>
    <w:rsid w:val="0007288C"/>
    <w:pPr>
      <w:spacing w:after="0" w:line="240" w:lineRule="auto"/>
    </w:pPr>
    <w:rPr>
      <w:color w:val="000000" w:themeColor="text1"/>
    </w:rPr>
    <w:tblPr>
      <w:tblStyleRowBandSize w:val="1"/>
      <w:tblStyleColBandSize w:val="1"/>
    </w:tblPr>
    <w:tcPr>
      <w:shd w:val="clear" w:color="auto" w:fill="ECF1F9" w:themeFill="accent5" w:themeFillTint="19"/>
    </w:tcPr>
    <w:tblStylePr w:type="firstRow">
      <w:rPr>
        <w:b/>
        <w:bCs/>
        <w:color w:val="FFFFFF" w:themeColor="background1"/>
      </w:rPr>
      <w:tblPr/>
      <w:tcPr>
        <w:tcBorders>
          <w:bottom w:val="single" w:sz="12" w:space="0" w:color="FFFFFF" w:themeColor="background1"/>
        </w:tcBorders>
        <w:shd w:val="clear" w:color="auto" w:fill="598A38" w:themeFill="accent6" w:themeFillShade="CC"/>
      </w:tcPr>
    </w:tblStylePr>
    <w:tblStylePr w:type="lastRow">
      <w:rPr>
        <w:b/>
        <w:bCs/>
        <w:color w:val="598A38"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DBF0" w:themeFill="accent5" w:themeFillTint="3F"/>
      </w:tcPr>
    </w:tblStylePr>
    <w:tblStylePr w:type="band1Horz">
      <w:tblPr/>
      <w:tcPr>
        <w:shd w:val="clear" w:color="auto" w:fill="D9E2F3" w:themeFill="accent5" w:themeFillTint="33"/>
      </w:tcPr>
    </w:tblStylePr>
  </w:style>
  <w:style w:type="table" w:styleId="MediumGrid3-Accent5">
    <w:name w:val="Medium Grid 3 Accent 5"/>
    <w:basedOn w:val="TableNormal"/>
    <w:uiPriority w:val="69"/>
    <w:semiHidden/>
    <w:unhideWhenUsed/>
    <w:rsid w:val="0007288C"/>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DBF0"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472C4"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472C4"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472C4"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472C4"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1B8E1"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1B8E1" w:themeFill="accent5" w:themeFillTint="7F"/>
      </w:tcPr>
    </w:tblStylePr>
  </w:style>
  <w:style w:type="table" w:styleId="MediumShading2-Accent2">
    <w:name w:val="Medium Shading 2 Accent 2"/>
    <w:basedOn w:val="TableNormal"/>
    <w:uiPriority w:val="64"/>
    <w:semiHidden/>
    <w:unhideWhenUsed/>
    <w:rsid w:val="0007288C"/>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D7D31"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ED7D31" w:themeFill="accent2"/>
      </w:tcPr>
    </w:tblStylePr>
    <w:tblStylePr w:type="lastCol">
      <w:rPr>
        <w:b/>
        <w:bCs/>
        <w:color w:val="FFFFFF" w:themeColor="background1"/>
      </w:rPr>
      <w:tblPr/>
      <w:tcPr>
        <w:tcBorders>
          <w:left w:val="nil"/>
          <w:right w:val="nil"/>
          <w:insideH w:val="nil"/>
          <w:insideV w:val="nil"/>
        </w:tcBorders>
        <w:shd w:val="clear" w:color="auto" w:fill="ED7D31"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paragraph" w:styleId="TableofFigures">
    <w:name w:val="table of figures"/>
    <w:basedOn w:val="Normal"/>
    <w:next w:val="Normal"/>
    <w:uiPriority w:val="99"/>
    <w:unhideWhenUsed/>
    <w:rsid w:val="0007288C"/>
    <w:pPr>
      <w:spacing w:after="0"/>
    </w:pPr>
  </w:style>
  <w:style w:type="table" w:styleId="LightShading">
    <w:name w:val="Light Shading"/>
    <w:basedOn w:val="TableNormal"/>
    <w:unhideWhenUsed/>
    <w:rsid w:val="0007288C"/>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3">
    <w:name w:val="Light Shading Accent 3"/>
    <w:basedOn w:val="TableNormal"/>
    <w:uiPriority w:val="60"/>
    <w:semiHidden/>
    <w:unhideWhenUsed/>
    <w:rsid w:val="0007288C"/>
    <w:pPr>
      <w:spacing w:after="0" w:line="240" w:lineRule="auto"/>
    </w:pPr>
    <w:rPr>
      <w:color w:val="7B7B7B" w:themeColor="accent3" w:themeShade="BF"/>
    </w:rPr>
    <w:tblPr>
      <w:tblStyleRowBandSize w:val="1"/>
      <w:tblStyleColBandSize w:val="1"/>
      <w:tblBorders>
        <w:top w:val="single" w:sz="8" w:space="0" w:color="A5A5A5" w:themeColor="accent3"/>
        <w:bottom w:val="single" w:sz="8" w:space="0" w:color="A5A5A5" w:themeColor="accent3"/>
      </w:tblBorders>
    </w:tblPr>
    <w:tblStylePr w:type="fir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la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8E8E8" w:themeFill="accent3" w:themeFillTint="3F"/>
      </w:tcPr>
    </w:tblStylePr>
    <w:tblStylePr w:type="band1Horz">
      <w:tblPr/>
      <w:tcPr>
        <w:tcBorders>
          <w:left w:val="nil"/>
          <w:right w:val="nil"/>
          <w:insideH w:val="nil"/>
          <w:insideV w:val="nil"/>
        </w:tcBorders>
        <w:shd w:val="clear" w:color="auto" w:fill="E8E8E8" w:themeFill="accent3" w:themeFillTint="3F"/>
      </w:tcPr>
    </w:tblStylePr>
  </w:style>
  <w:style w:type="table" w:styleId="ColorfulGrid-Accent4">
    <w:name w:val="Colorful Grid Accent 4"/>
    <w:basedOn w:val="TableNormal"/>
    <w:uiPriority w:val="73"/>
    <w:semiHidden/>
    <w:unhideWhenUsed/>
    <w:rsid w:val="0007288C"/>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FF2CC" w:themeFill="accent4" w:themeFillTint="33"/>
    </w:tcPr>
    <w:tblStylePr w:type="firstRow">
      <w:rPr>
        <w:b/>
        <w:bCs/>
      </w:rPr>
      <w:tblPr/>
      <w:tcPr>
        <w:shd w:val="clear" w:color="auto" w:fill="FFE599" w:themeFill="accent4" w:themeFillTint="66"/>
      </w:tcPr>
    </w:tblStylePr>
    <w:tblStylePr w:type="lastRow">
      <w:rPr>
        <w:b/>
        <w:bCs/>
        <w:color w:val="000000" w:themeColor="text1"/>
      </w:rPr>
      <w:tblPr/>
      <w:tcPr>
        <w:shd w:val="clear" w:color="auto" w:fill="FFE599" w:themeFill="accent4" w:themeFillTint="66"/>
      </w:tcPr>
    </w:tblStylePr>
    <w:tblStylePr w:type="firstCol">
      <w:rPr>
        <w:color w:val="FFFFFF" w:themeColor="background1"/>
      </w:rPr>
      <w:tblPr/>
      <w:tcPr>
        <w:shd w:val="clear" w:color="auto" w:fill="BF8F00" w:themeFill="accent4" w:themeFillShade="BF"/>
      </w:tcPr>
    </w:tblStylePr>
    <w:tblStylePr w:type="lastCol">
      <w:rPr>
        <w:color w:val="FFFFFF" w:themeColor="background1"/>
      </w:rPr>
      <w:tblPr/>
      <w:tcPr>
        <w:shd w:val="clear" w:color="auto" w:fill="BF8F00" w:themeFill="accent4" w:themeFillShade="BF"/>
      </w:tcPr>
    </w:tblStylePr>
    <w:tblStylePr w:type="band1Vert">
      <w:tblPr/>
      <w:tcPr>
        <w:shd w:val="clear" w:color="auto" w:fill="FFDF80" w:themeFill="accent4" w:themeFillTint="7F"/>
      </w:tcPr>
    </w:tblStylePr>
    <w:tblStylePr w:type="band1Horz">
      <w:tblPr/>
      <w:tcPr>
        <w:shd w:val="clear" w:color="auto" w:fill="FFDF80" w:themeFill="accent4" w:themeFillTint="7F"/>
      </w:tcPr>
    </w:tblStylePr>
  </w:style>
  <w:style w:type="table" w:styleId="LightShading-Accent4">
    <w:name w:val="Light Shading Accent 4"/>
    <w:basedOn w:val="TableNormal"/>
    <w:uiPriority w:val="60"/>
    <w:semiHidden/>
    <w:unhideWhenUsed/>
    <w:rsid w:val="0007288C"/>
    <w:pPr>
      <w:spacing w:after="0" w:line="240" w:lineRule="auto"/>
    </w:pPr>
    <w:rPr>
      <w:color w:val="BF8F00" w:themeColor="accent4" w:themeShade="BF"/>
    </w:rPr>
    <w:tblPr>
      <w:tblStyleRowBandSize w:val="1"/>
      <w:tblStyleColBandSize w:val="1"/>
      <w:tblBorders>
        <w:top w:val="single" w:sz="8" w:space="0" w:color="FFC000" w:themeColor="accent4"/>
        <w:bottom w:val="single" w:sz="8" w:space="0" w:color="FFC000" w:themeColor="accent4"/>
      </w:tblBorders>
    </w:tblPr>
    <w:tblStylePr w:type="firstRow">
      <w:pPr>
        <w:spacing w:before="0" w:after="0" w:line="240" w:lineRule="auto"/>
      </w:pPr>
      <w:rPr>
        <w:b/>
        <w:bCs/>
      </w:rPr>
      <w:tblPr/>
      <w:tcPr>
        <w:tcBorders>
          <w:top w:val="single" w:sz="8" w:space="0" w:color="FFC000" w:themeColor="accent4"/>
          <w:left w:val="nil"/>
          <w:bottom w:val="single" w:sz="8" w:space="0" w:color="FFC000" w:themeColor="accent4"/>
          <w:right w:val="nil"/>
          <w:insideH w:val="nil"/>
          <w:insideV w:val="nil"/>
        </w:tcBorders>
      </w:tcPr>
    </w:tblStylePr>
    <w:tblStylePr w:type="lastRow">
      <w:pPr>
        <w:spacing w:before="0" w:after="0" w:line="240" w:lineRule="auto"/>
      </w:pPr>
      <w:rPr>
        <w:b/>
        <w:bCs/>
      </w:rPr>
      <w:tblPr/>
      <w:tcPr>
        <w:tcBorders>
          <w:top w:val="single" w:sz="8" w:space="0" w:color="FFC000" w:themeColor="accent4"/>
          <w:left w:val="nil"/>
          <w:bottom w:val="single" w:sz="8" w:space="0" w:color="FFC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EFC0" w:themeFill="accent4" w:themeFillTint="3F"/>
      </w:tcPr>
    </w:tblStylePr>
    <w:tblStylePr w:type="band1Horz">
      <w:tblPr/>
      <w:tcPr>
        <w:tcBorders>
          <w:left w:val="nil"/>
          <w:right w:val="nil"/>
          <w:insideH w:val="nil"/>
          <w:insideV w:val="nil"/>
        </w:tcBorders>
        <w:shd w:val="clear" w:color="auto" w:fill="FFEFC0" w:themeFill="accent4" w:themeFillTint="3F"/>
      </w:tcPr>
    </w:tblStylePr>
  </w:style>
  <w:style w:type="table" w:styleId="MediumShading1-Accent4">
    <w:name w:val="Medium Shading 1 Accent 4"/>
    <w:basedOn w:val="TableNormal"/>
    <w:uiPriority w:val="63"/>
    <w:semiHidden/>
    <w:unhideWhenUsed/>
    <w:rsid w:val="0007288C"/>
    <w:pPr>
      <w:spacing w:after="0" w:line="240" w:lineRule="auto"/>
    </w:pPr>
    <w:tblPr>
      <w:tblStyleRowBandSize w:val="1"/>
      <w:tblStyleColBandSize w:val="1"/>
      <w:tblBorders>
        <w:top w:val="single" w:sz="8"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single" w:sz="8" w:space="0" w:color="FFCF40" w:themeColor="accent4" w:themeTint="BF"/>
      </w:tblBorders>
    </w:tblPr>
    <w:tblStylePr w:type="firstRow">
      <w:pPr>
        <w:spacing w:before="0" w:after="0" w:line="240" w:lineRule="auto"/>
      </w:pPr>
      <w:rPr>
        <w:b/>
        <w:bCs/>
        <w:color w:val="FFFFFF" w:themeColor="background1"/>
      </w:rPr>
      <w:tblPr/>
      <w:tcPr>
        <w:tcBorders>
          <w:top w:val="single" w:sz="8"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nil"/>
          <w:insideV w:val="nil"/>
        </w:tcBorders>
        <w:shd w:val="clear" w:color="auto" w:fill="FFC000" w:themeFill="accent4"/>
      </w:tcPr>
    </w:tblStylePr>
    <w:tblStylePr w:type="lastRow">
      <w:pPr>
        <w:spacing w:before="0" w:after="0" w:line="240" w:lineRule="auto"/>
      </w:pPr>
      <w:rPr>
        <w:b/>
        <w:bCs/>
      </w:rPr>
      <w:tblPr/>
      <w:tcPr>
        <w:tcBorders>
          <w:top w:val="double" w:sz="6"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EFC0" w:themeFill="accent4" w:themeFillTint="3F"/>
      </w:tcPr>
    </w:tblStylePr>
    <w:tblStylePr w:type="band1Horz">
      <w:tblPr/>
      <w:tcPr>
        <w:tcBorders>
          <w:insideH w:val="nil"/>
          <w:insideV w:val="nil"/>
        </w:tcBorders>
        <w:shd w:val="clear" w:color="auto" w:fill="FFEFC0" w:themeFill="accent4" w:themeFillTint="3F"/>
      </w:tcPr>
    </w:tblStylePr>
    <w:tblStylePr w:type="band2Horz">
      <w:tblPr/>
      <w:tcPr>
        <w:tcBorders>
          <w:insideH w:val="nil"/>
          <w:insideV w:val="nil"/>
        </w:tcBorders>
      </w:tcPr>
    </w:tblStylePr>
  </w:style>
  <w:style w:type="table" w:styleId="MediumList1">
    <w:name w:val="Medium List 1"/>
    <w:basedOn w:val="TableNormal"/>
    <w:uiPriority w:val="65"/>
    <w:semiHidden/>
    <w:unhideWhenUsed/>
    <w:rsid w:val="0007288C"/>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44546A"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customStyle="1" w:styleId="LightShading2">
    <w:name w:val="Light Shading2"/>
    <w:basedOn w:val="TableNormal"/>
    <w:next w:val="LightShading"/>
    <w:rsid w:val="00C30FEC"/>
    <w:pPr>
      <w:spacing w:after="0" w:line="240" w:lineRule="auto"/>
    </w:pPr>
    <w:rPr>
      <w:rFonts w:eastAsia="Times New Roman"/>
      <w:color w:val="000000"/>
      <w:lang w:eastAsia="en-AU"/>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customStyle="1" w:styleId="Heading71">
    <w:name w:val="Heading 71"/>
    <w:basedOn w:val="Normal"/>
    <w:next w:val="Normal"/>
    <w:uiPriority w:val="9"/>
    <w:semiHidden/>
    <w:unhideWhenUsed/>
    <w:qFormat/>
    <w:rsid w:val="00B740AD"/>
    <w:pPr>
      <w:keepNext/>
      <w:keepLines/>
      <w:spacing w:before="200" w:after="0" w:line="240" w:lineRule="auto"/>
      <w:ind w:left="4680" w:hanging="360"/>
      <w:outlineLvl w:val="6"/>
    </w:pPr>
    <w:rPr>
      <w:rFonts w:ascii="Cambria" w:eastAsia="Times New Roman" w:hAnsi="Cambria"/>
      <w:i/>
      <w:iCs/>
      <w:color w:val="404040"/>
      <w:szCs w:val="22"/>
    </w:rPr>
  </w:style>
  <w:style w:type="paragraph" w:customStyle="1" w:styleId="Heading81">
    <w:name w:val="Heading 81"/>
    <w:basedOn w:val="Normal"/>
    <w:next w:val="Normal"/>
    <w:uiPriority w:val="9"/>
    <w:semiHidden/>
    <w:unhideWhenUsed/>
    <w:qFormat/>
    <w:rsid w:val="00B740AD"/>
    <w:pPr>
      <w:keepNext/>
      <w:keepLines/>
      <w:spacing w:before="200" w:after="0" w:line="240" w:lineRule="auto"/>
      <w:ind w:left="5400" w:hanging="360"/>
      <w:outlineLvl w:val="7"/>
    </w:pPr>
    <w:rPr>
      <w:rFonts w:ascii="Cambria" w:eastAsia="Times New Roman" w:hAnsi="Cambria"/>
      <w:color w:val="404040"/>
      <w:sz w:val="20"/>
      <w:szCs w:val="20"/>
    </w:rPr>
  </w:style>
  <w:style w:type="paragraph" w:customStyle="1" w:styleId="Heading91">
    <w:name w:val="Heading 91"/>
    <w:basedOn w:val="Normal"/>
    <w:next w:val="Normal"/>
    <w:uiPriority w:val="9"/>
    <w:semiHidden/>
    <w:unhideWhenUsed/>
    <w:qFormat/>
    <w:rsid w:val="00B740AD"/>
    <w:pPr>
      <w:keepNext/>
      <w:keepLines/>
      <w:spacing w:before="200" w:after="0" w:line="240" w:lineRule="auto"/>
      <w:ind w:left="6120" w:hanging="360"/>
      <w:outlineLvl w:val="8"/>
    </w:pPr>
    <w:rPr>
      <w:rFonts w:ascii="Cambria" w:eastAsia="Times New Roman" w:hAnsi="Cambria"/>
      <w:i/>
      <w:iCs/>
      <w:color w:val="404040"/>
      <w:sz w:val="20"/>
      <w:szCs w:val="20"/>
    </w:rPr>
  </w:style>
  <w:style w:type="numbering" w:customStyle="1" w:styleId="NoList2">
    <w:name w:val="No List2"/>
    <w:next w:val="NoList"/>
    <w:uiPriority w:val="99"/>
    <w:semiHidden/>
    <w:unhideWhenUsed/>
    <w:rsid w:val="00B740AD"/>
  </w:style>
  <w:style w:type="character" w:customStyle="1" w:styleId="Heading7Char">
    <w:name w:val="Heading 7 Char"/>
    <w:basedOn w:val="DefaultParagraphFont"/>
    <w:link w:val="Heading7"/>
    <w:uiPriority w:val="9"/>
    <w:semiHidden/>
    <w:rsid w:val="00B740AD"/>
    <w:rPr>
      <w:rFonts w:ascii="Cambria" w:eastAsia="Times New Roman" w:hAnsi="Cambria" w:cs="Times New Roman"/>
      <w:i/>
      <w:iCs/>
      <w:color w:val="404040"/>
    </w:rPr>
  </w:style>
  <w:style w:type="character" w:customStyle="1" w:styleId="Heading8Char">
    <w:name w:val="Heading 8 Char"/>
    <w:basedOn w:val="DefaultParagraphFont"/>
    <w:link w:val="Heading8"/>
    <w:uiPriority w:val="9"/>
    <w:semiHidden/>
    <w:rsid w:val="00B740AD"/>
    <w:rPr>
      <w:rFonts w:ascii="Cambria" w:eastAsia="Times New Roman" w:hAnsi="Cambria" w:cs="Times New Roman"/>
      <w:color w:val="404040"/>
      <w:sz w:val="20"/>
      <w:szCs w:val="20"/>
    </w:rPr>
  </w:style>
  <w:style w:type="character" w:customStyle="1" w:styleId="Heading9Char">
    <w:name w:val="Heading 9 Char"/>
    <w:basedOn w:val="DefaultParagraphFont"/>
    <w:link w:val="Heading9"/>
    <w:uiPriority w:val="9"/>
    <w:semiHidden/>
    <w:rsid w:val="00B740AD"/>
    <w:rPr>
      <w:rFonts w:ascii="Cambria" w:eastAsia="Times New Roman" w:hAnsi="Cambria" w:cs="Times New Roman"/>
      <w:i/>
      <w:iCs/>
      <w:color w:val="404040"/>
      <w:sz w:val="20"/>
      <w:szCs w:val="20"/>
    </w:rPr>
  </w:style>
  <w:style w:type="paragraph" w:customStyle="1" w:styleId="3eba0cdf-b27e-4f2e-a74c-55cc0ff72b05">
    <w:name w:val="3eba0cdf-b27e-4f2e-a74c-55cc0ff72b05"/>
    <w:basedOn w:val="Normal"/>
    <w:rsid w:val="00B740AD"/>
    <w:pPr>
      <w:spacing w:after="0" w:line="240" w:lineRule="auto"/>
    </w:pPr>
    <w:rPr>
      <w:lang w:eastAsia="en-AU"/>
    </w:rPr>
  </w:style>
  <w:style w:type="paragraph" w:customStyle="1" w:styleId="NoSpacing1">
    <w:name w:val="No Spacing1"/>
    <w:uiPriority w:val="4"/>
    <w:qFormat/>
    <w:rsid w:val="00B740AD"/>
    <w:pPr>
      <w:spacing w:after="0" w:line="240" w:lineRule="auto"/>
    </w:pPr>
    <w:rPr>
      <w:rFonts w:ascii="Century Gothic" w:eastAsia="Calibri" w:hAnsi="Century Gothic"/>
      <w:sz w:val="2"/>
      <w:szCs w:val="22"/>
    </w:rPr>
  </w:style>
  <w:style w:type="character" w:styleId="PageNumber">
    <w:name w:val="page number"/>
    <w:uiPriority w:val="9"/>
    <w:rsid w:val="00B740AD"/>
    <w:rPr>
      <w:rFonts w:ascii="Century Gothic" w:hAnsi="Century Gothic"/>
      <w:color w:val="0079C1"/>
      <w:sz w:val="22"/>
    </w:rPr>
  </w:style>
  <w:style w:type="paragraph" w:styleId="BodyText">
    <w:name w:val="Body Text"/>
    <w:basedOn w:val="Normal"/>
    <w:link w:val="BodyTextChar"/>
    <w:uiPriority w:val="1"/>
    <w:rsid w:val="00B740AD"/>
    <w:pPr>
      <w:spacing w:after="200" w:line="276" w:lineRule="auto"/>
      <w:jc w:val="both"/>
    </w:pPr>
    <w:rPr>
      <w:rFonts w:ascii="Century Gothic" w:eastAsia="Calibri" w:hAnsi="Century Gothic"/>
      <w:sz w:val="20"/>
      <w:szCs w:val="22"/>
      <w:lang w:val="x-none" w:eastAsia="x-none"/>
    </w:rPr>
  </w:style>
  <w:style w:type="character" w:customStyle="1" w:styleId="BodyTextChar">
    <w:name w:val="Body Text Char"/>
    <w:basedOn w:val="DefaultParagraphFont"/>
    <w:link w:val="BodyText"/>
    <w:uiPriority w:val="1"/>
    <w:rsid w:val="00B740AD"/>
    <w:rPr>
      <w:rFonts w:ascii="Century Gothic" w:eastAsia="Calibri" w:hAnsi="Century Gothic"/>
      <w:sz w:val="20"/>
      <w:szCs w:val="22"/>
      <w:lang w:val="x-none" w:eastAsia="x-none"/>
    </w:rPr>
  </w:style>
  <w:style w:type="character" w:customStyle="1" w:styleId="Normalbold">
    <w:name w:val="Normal (bold)"/>
    <w:qFormat/>
    <w:rsid w:val="00B740AD"/>
    <w:rPr>
      <w:b/>
    </w:rPr>
  </w:style>
  <w:style w:type="character" w:customStyle="1" w:styleId="Normalitalic">
    <w:name w:val="Normal (italic)"/>
    <w:qFormat/>
    <w:rsid w:val="00B740AD"/>
    <w:rPr>
      <w:i/>
    </w:rPr>
  </w:style>
  <w:style w:type="character" w:customStyle="1" w:styleId="Normalunderline">
    <w:name w:val="Normal (underline)"/>
    <w:qFormat/>
    <w:rsid w:val="00B740AD"/>
    <w:rPr>
      <w:u w:val="single"/>
    </w:rPr>
  </w:style>
  <w:style w:type="table" w:customStyle="1" w:styleId="TableGrid1">
    <w:name w:val="Table Grid1"/>
    <w:basedOn w:val="TableNormal"/>
    <w:next w:val="TableGrid"/>
    <w:uiPriority w:val="99"/>
    <w:rsid w:val="00B740AD"/>
    <w:pPr>
      <w:spacing w:after="0" w:line="240" w:lineRule="auto"/>
    </w:pPr>
    <w:rPr>
      <w:rFonts w:ascii="Calibri" w:eastAsia="Calibri" w:hAnsi="Calibri"/>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HWA">
    <w:name w:val="Table (HWA)"/>
    <w:basedOn w:val="TableNormal"/>
    <w:uiPriority w:val="99"/>
    <w:qFormat/>
    <w:rsid w:val="00B740AD"/>
    <w:pPr>
      <w:spacing w:before="60" w:after="60" w:line="60" w:lineRule="atLeast"/>
    </w:pPr>
    <w:rPr>
      <w:rFonts w:ascii="Century Gothic" w:eastAsia="Calibri" w:hAnsi="Century Gothic"/>
      <w:sz w:val="16"/>
      <w:szCs w:val="20"/>
      <w:lang w:eastAsia="en-AU"/>
    </w:rPr>
    <w:tblPr>
      <w:tblBorders>
        <w:top w:val="single" w:sz="4" w:space="0" w:color="0079C1"/>
        <w:left w:val="single" w:sz="4" w:space="0" w:color="0079C1"/>
        <w:bottom w:val="single" w:sz="4" w:space="0" w:color="0079C1"/>
        <w:right w:val="single" w:sz="4" w:space="0" w:color="0079C1"/>
        <w:insideH w:val="single" w:sz="4" w:space="0" w:color="0079C1"/>
        <w:insideV w:val="single" w:sz="4" w:space="0" w:color="0079C1"/>
      </w:tblBorders>
    </w:tblPr>
    <w:tblStylePr w:type="firstRow">
      <w:rPr>
        <w:rFonts w:ascii="Courier" w:hAnsi="Courier"/>
        <w:b/>
        <w:color w:val="FFFFFF"/>
        <w:sz w:val="18"/>
      </w:rPr>
      <w:tblPr/>
      <w:tcPr>
        <w:shd w:val="clear" w:color="auto" w:fill="0079C1"/>
      </w:tcPr>
    </w:tblStylePr>
  </w:style>
  <w:style w:type="character" w:customStyle="1" w:styleId="Normalblue">
    <w:name w:val="Normal (blue)"/>
    <w:qFormat/>
    <w:rsid w:val="00B740AD"/>
    <w:rPr>
      <w:rFonts w:ascii="Arial" w:hAnsi="Arial"/>
      <w:color w:val="7030A0"/>
      <w:sz w:val="28"/>
    </w:rPr>
  </w:style>
  <w:style w:type="numbering" w:customStyle="1" w:styleId="Listbulleted">
    <w:name w:val="List (bulleted)"/>
    <w:basedOn w:val="NoList"/>
    <w:rsid w:val="00B740AD"/>
    <w:pPr>
      <w:numPr>
        <w:numId w:val="7"/>
      </w:numPr>
    </w:pPr>
  </w:style>
  <w:style w:type="numbering" w:customStyle="1" w:styleId="Listnumbered">
    <w:name w:val="List (numbered)"/>
    <w:basedOn w:val="NoList"/>
    <w:rsid w:val="00B740AD"/>
  </w:style>
  <w:style w:type="numbering" w:customStyle="1" w:styleId="TableListbulleted">
    <w:name w:val="Table List (bulleted)"/>
    <w:basedOn w:val="NoList"/>
    <w:uiPriority w:val="99"/>
    <w:rsid w:val="00B740AD"/>
    <w:pPr>
      <w:numPr>
        <w:numId w:val="9"/>
      </w:numPr>
    </w:pPr>
  </w:style>
  <w:style w:type="numbering" w:customStyle="1" w:styleId="TabledListnumbered">
    <w:name w:val="Tabled List (numbered)"/>
    <w:basedOn w:val="TableListbulleted"/>
    <w:uiPriority w:val="99"/>
    <w:rsid w:val="00B740AD"/>
    <w:pPr>
      <w:numPr>
        <w:numId w:val="10"/>
      </w:numPr>
    </w:pPr>
  </w:style>
  <w:style w:type="paragraph" w:styleId="TOC4">
    <w:name w:val="toc 4"/>
    <w:basedOn w:val="Normal"/>
    <w:next w:val="Normal"/>
    <w:autoRedefine/>
    <w:uiPriority w:val="39"/>
    <w:semiHidden/>
    <w:rsid w:val="00B740AD"/>
    <w:pPr>
      <w:spacing w:after="200" w:line="276" w:lineRule="auto"/>
      <w:ind w:left="660"/>
    </w:pPr>
    <w:rPr>
      <w:rFonts w:ascii="Century Gothic" w:eastAsia="Calibri" w:hAnsi="Century Gothic"/>
      <w:sz w:val="20"/>
      <w:szCs w:val="22"/>
    </w:rPr>
  </w:style>
  <w:style w:type="paragraph" w:styleId="TOC5">
    <w:name w:val="toc 5"/>
    <w:basedOn w:val="Normal"/>
    <w:next w:val="Normal"/>
    <w:autoRedefine/>
    <w:uiPriority w:val="39"/>
    <w:semiHidden/>
    <w:rsid w:val="00B740AD"/>
    <w:pPr>
      <w:spacing w:after="200" w:line="276" w:lineRule="auto"/>
      <w:ind w:left="880"/>
    </w:pPr>
    <w:rPr>
      <w:rFonts w:ascii="Century Gothic" w:eastAsia="Calibri" w:hAnsi="Century Gothic"/>
      <w:sz w:val="20"/>
      <w:szCs w:val="22"/>
    </w:rPr>
  </w:style>
  <w:style w:type="paragraph" w:styleId="TOC6">
    <w:name w:val="toc 6"/>
    <w:basedOn w:val="Normal"/>
    <w:next w:val="Normal"/>
    <w:autoRedefine/>
    <w:uiPriority w:val="39"/>
    <w:semiHidden/>
    <w:rsid w:val="00B740AD"/>
    <w:pPr>
      <w:spacing w:after="200" w:line="276" w:lineRule="auto"/>
      <w:ind w:left="1100"/>
    </w:pPr>
    <w:rPr>
      <w:rFonts w:ascii="Century Gothic" w:eastAsia="Calibri" w:hAnsi="Century Gothic"/>
      <w:sz w:val="20"/>
      <w:szCs w:val="22"/>
    </w:rPr>
  </w:style>
  <w:style w:type="paragraph" w:styleId="TOC7">
    <w:name w:val="toc 7"/>
    <w:basedOn w:val="Normal"/>
    <w:next w:val="Normal"/>
    <w:autoRedefine/>
    <w:uiPriority w:val="39"/>
    <w:semiHidden/>
    <w:rsid w:val="00B740AD"/>
    <w:pPr>
      <w:spacing w:after="200" w:line="276" w:lineRule="auto"/>
      <w:ind w:left="1320"/>
    </w:pPr>
    <w:rPr>
      <w:rFonts w:ascii="Century Gothic" w:eastAsia="Calibri" w:hAnsi="Century Gothic"/>
      <w:sz w:val="20"/>
      <w:szCs w:val="22"/>
    </w:rPr>
  </w:style>
  <w:style w:type="paragraph" w:styleId="TOC8">
    <w:name w:val="toc 8"/>
    <w:basedOn w:val="Normal"/>
    <w:next w:val="Normal"/>
    <w:autoRedefine/>
    <w:uiPriority w:val="39"/>
    <w:semiHidden/>
    <w:rsid w:val="00B740AD"/>
    <w:pPr>
      <w:spacing w:after="200" w:line="276" w:lineRule="auto"/>
      <w:ind w:left="1540"/>
    </w:pPr>
    <w:rPr>
      <w:rFonts w:ascii="Century Gothic" w:eastAsia="Calibri" w:hAnsi="Century Gothic"/>
      <w:sz w:val="20"/>
      <w:szCs w:val="22"/>
    </w:rPr>
  </w:style>
  <w:style w:type="paragraph" w:styleId="TOC9">
    <w:name w:val="toc 9"/>
    <w:basedOn w:val="Normal"/>
    <w:next w:val="Normal"/>
    <w:autoRedefine/>
    <w:uiPriority w:val="39"/>
    <w:semiHidden/>
    <w:rsid w:val="00B740AD"/>
    <w:pPr>
      <w:spacing w:after="200" w:line="276" w:lineRule="auto"/>
      <w:ind w:left="1760"/>
    </w:pPr>
    <w:rPr>
      <w:rFonts w:ascii="Century Gothic" w:eastAsia="Calibri" w:hAnsi="Century Gothic"/>
      <w:sz w:val="20"/>
      <w:szCs w:val="22"/>
    </w:rPr>
  </w:style>
  <w:style w:type="paragraph" w:customStyle="1" w:styleId="Headingnon-numbered">
    <w:name w:val="Heading (non-numbered)"/>
    <w:basedOn w:val="Heading1"/>
    <w:next w:val="Normal"/>
    <w:uiPriority w:val="2"/>
    <w:qFormat/>
    <w:rsid w:val="00B740AD"/>
    <w:pPr>
      <w:keepLines w:val="0"/>
      <w:pageBreakBefore/>
      <w:spacing w:before="120" w:after="360" w:line="240" w:lineRule="atLeast"/>
    </w:pPr>
    <w:rPr>
      <w:rFonts w:ascii="Century Gothic" w:eastAsia="Calibri" w:hAnsi="Century Gothic" w:cs="Times New Roman"/>
      <w:bCs/>
      <w:color w:val="0065A4"/>
      <w:kern w:val="32"/>
      <w:lang w:eastAsia="x-none"/>
    </w:rPr>
  </w:style>
  <w:style w:type="paragraph" w:styleId="TOAHeading">
    <w:name w:val="toa heading"/>
    <w:basedOn w:val="Headingnon-numbered"/>
    <w:next w:val="Normal"/>
    <w:uiPriority w:val="99"/>
    <w:rsid w:val="00B740AD"/>
  </w:style>
  <w:style w:type="paragraph" w:customStyle="1" w:styleId="reportstyle">
    <w:name w:val="report style"/>
    <w:basedOn w:val="BodyText"/>
    <w:rsid w:val="00B740AD"/>
    <w:pPr>
      <w:spacing w:after="120" w:line="240" w:lineRule="auto"/>
    </w:pPr>
    <w:rPr>
      <w:rFonts w:ascii="Arial" w:hAnsi="Arial"/>
      <w:szCs w:val="20"/>
    </w:rPr>
  </w:style>
  <w:style w:type="table" w:customStyle="1" w:styleId="ColorfulGrid-Accent12">
    <w:name w:val="Colorful Grid - Accent 12"/>
    <w:basedOn w:val="TableNormal"/>
    <w:next w:val="ColorfulGrid-Accent1"/>
    <w:uiPriority w:val="29"/>
    <w:qFormat/>
    <w:rsid w:val="00B740AD"/>
    <w:pPr>
      <w:spacing w:after="0" w:line="240" w:lineRule="auto"/>
    </w:pPr>
    <w:rPr>
      <w:rFonts w:ascii="Calibri" w:eastAsia="Calibri" w:hAnsi="Calibri"/>
      <w:color w:val="000000"/>
      <w:sz w:val="20"/>
      <w:szCs w:val="20"/>
      <w:lang w:eastAsia="en-AU"/>
    </w:rPr>
    <w:tblPr>
      <w:tblStyleRowBandSize w:val="1"/>
      <w:tblStyleColBandSize w:val="1"/>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customStyle="1" w:styleId="ColorfulShading-Accent52">
    <w:name w:val="Colorful Shading - Accent 52"/>
    <w:basedOn w:val="TableNormal"/>
    <w:next w:val="ColorfulShading-Accent5"/>
    <w:uiPriority w:val="71"/>
    <w:rsid w:val="00B740AD"/>
    <w:pPr>
      <w:spacing w:after="0" w:line="240" w:lineRule="auto"/>
    </w:pPr>
    <w:rPr>
      <w:rFonts w:ascii="Calibri" w:hAnsi="Calibri"/>
      <w:color w:val="000000"/>
      <w:sz w:val="22"/>
      <w:szCs w:val="22"/>
    </w:rPr>
    <w:tblPr>
      <w:tblStyleRowBandSize w:val="1"/>
      <w:tblStyleColBandSize w:val="1"/>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customStyle="1" w:styleId="MediumShading2-Accent31">
    <w:name w:val="Medium Shading 2 - Accent 31"/>
    <w:basedOn w:val="TableNormal"/>
    <w:next w:val="MediumShading2-Accent3"/>
    <w:uiPriority w:val="69"/>
    <w:rsid w:val="00B740AD"/>
    <w:pPr>
      <w:spacing w:after="0" w:line="240" w:lineRule="auto"/>
    </w:pPr>
    <w:rPr>
      <w:rFonts w:ascii="Calibri" w:eastAsia="Calibri" w:hAnsi="Calibri"/>
      <w:sz w:val="20"/>
      <w:szCs w:val="20"/>
      <w:lang w:eastAsia="en-AU"/>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ColorfulList-Accent12">
    <w:name w:val="Colorful List - Accent 12"/>
    <w:basedOn w:val="TableNormal"/>
    <w:next w:val="ColorfulList-Accent1"/>
    <w:uiPriority w:val="34"/>
    <w:qFormat/>
    <w:rsid w:val="00B740AD"/>
    <w:pPr>
      <w:spacing w:after="0" w:line="240" w:lineRule="auto"/>
    </w:pPr>
    <w:rPr>
      <w:rFonts w:ascii="Calibri" w:eastAsia="Calibri" w:hAnsi="Calibri"/>
      <w:color w:val="000000"/>
      <w:sz w:val="20"/>
      <w:szCs w:val="20"/>
      <w:lang w:eastAsia="en-AU"/>
    </w:rPr>
    <w:tblPr>
      <w:tblStyleRowBandSize w:val="1"/>
      <w:tblStyleColBandSize w:val="1"/>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customStyle="1" w:styleId="MediumShading2-Accent51">
    <w:name w:val="Medium Shading 2 - Accent 51"/>
    <w:basedOn w:val="TableNormal"/>
    <w:next w:val="MediumShading2-Accent5"/>
    <w:uiPriority w:val="69"/>
    <w:rsid w:val="00B740AD"/>
    <w:pPr>
      <w:spacing w:after="0" w:line="240" w:lineRule="auto"/>
    </w:pPr>
    <w:rPr>
      <w:rFonts w:ascii="Calibri" w:eastAsia="Calibri" w:hAnsi="Calibri"/>
      <w:sz w:val="20"/>
      <w:szCs w:val="20"/>
      <w:lang w:eastAsia="en-AU"/>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MediumShading2-Accent12">
    <w:name w:val="Medium Shading 2 - Accent 12"/>
    <w:basedOn w:val="TableNormal"/>
    <w:next w:val="MediumShading2-Accent1"/>
    <w:uiPriority w:val="69"/>
    <w:rsid w:val="00B740AD"/>
    <w:pPr>
      <w:spacing w:after="0" w:line="240" w:lineRule="auto"/>
    </w:pPr>
    <w:rPr>
      <w:rFonts w:ascii="Calibri" w:eastAsia="Calibri" w:hAnsi="Calibri"/>
      <w:sz w:val="20"/>
      <w:szCs w:val="20"/>
      <w:lang w:eastAsia="en-AU"/>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paragraph" w:customStyle="1" w:styleId="xl63">
    <w:name w:val="xl63"/>
    <w:basedOn w:val="Normal"/>
    <w:rsid w:val="00B740AD"/>
    <w:pPr>
      <w:shd w:val="clear" w:color="EBF1DE" w:fill="EBF1DE"/>
      <w:spacing w:before="100" w:beforeAutospacing="1" w:after="100" w:afterAutospacing="1" w:line="240" w:lineRule="auto"/>
    </w:pPr>
    <w:rPr>
      <w:rFonts w:eastAsia="Times New Roman"/>
      <w:b/>
      <w:bCs/>
      <w:lang w:eastAsia="en-AU"/>
    </w:rPr>
  </w:style>
  <w:style w:type="paragraph" w:customStyle="1" w:styleId="xl65">
    <w:name w:val="xl65"/>
    <w:basedOn w:val="Normal"/>
    <w:rsid w:val="00B740AD"/>
    <w:pPr>
      <w:shd w:val="clear" w:color="D8E4BC" w:fill="D8E4BC"/>
      <w:spacing w:before="100" w:beforeAutospacing="1" w:after="100" w:afterAutospacing="1" w:line="240" w:lineRule="auto"/>
    </w:pPr>
    <w:rPr>
      <w:rFonts w:eastAsia="Times New Roman"/>
      <w:b/>
      <w:bCs/>
      <w:lang w:eastAsia="en-AU"/>
    </w:rPr>
  </w:style>
  <w:style w:type="paragraph" w:customStyle="1" w:styleId="xl66">
    <w:name w:val="xl66"/>
    <w:basedOn w:val="Normal"/>
    <w:rsid w:val="00B740AD"/>
    <w:pPr>
      <w:shd w:val="clear" w:color="D8E4BC" w:fill="D8E4BC"/>
      <w:spacing w:before="100" w:beforeAutospacing="1" w:after="100" w:afterAutospacing="1" w:line="240" w:lineRule="auto"/>
    </w:pPr>
    <w:rPr>
      <w:rFonts w:eastAsia="Times New Roman"/>
      <w:b/>
      <w:bCs/>
      <w:lang w:eastAsia="en-AU"/>
    </w:rPr>
  </w:style>
  <w:style w:type="paragraph" w:customStyle="1" w:styleId="xl67">
    <w:name w:val="xl67"/>
    <w:basedOn w:val="Normal"/>
    <w:rsid w:val="00B740AD"/>
    <w:pPr>
      <w:shd w:val="clear" w:color="9BBB59" w:fill="9BBB59"/>
      <w:spacing w:before="100" w:beforeAutospacing="1" w:after="100" w:afterAutospacing="1" w:line="240" w:lineRule="auto"/>
    </w:pPr>
    <w:rPr>
      <w:rFonts w:eastAsia="Times New Roman"/>
      <w:b/>
      <w:bCs/>
      <w:color w:val="FFFFFF"/>
      <w:lang w:eastAsia="en-AU"/>
    </w:rPr>
  </w:style>
  <w:style w:type="paragraph" w:customStyle="1" w:styleId="xl68">
    <w:name w:val="xl68"/>
    <w:basedOn w:val="Normal"/>
    <w:rsid w:val="00B740AD"/>
    <w:pPr>
      <w:spacing w:before="100" w:beforeAutospacing="1" w:after="100" w:afterAutospacing="1" w:line="240" w:lineRule="auto"/>
    </w:pPr>
    <w:rPr>
      <w:rFonts w:eastAsia="Times New Roman"/>
      <w:b/>
      <w:bCs/>
      <w:lang w:eastAsia="en-AU"/>
    </w:rPr>
  </w:style>
  <w:style w:type="paragraph" w:customStyle="1" w:styleId="xl69">
    <w:name w:val="xl69"/>
    <w:basedOn w:val="Normal"/>
    <w:rsid w:val="00B740AD"/>
    <w:pPr>
      <w:shd w:val="clear" w:color="9BBB59" w:fill="9BBB59"/>
      <w:spacing w:before="100" w:beforeAutospacing="1" w:after="100" w:afterAutospacing="1" w:line="240" w:lineRule="auto"/>
    </w:pPr>
    <w:rPr>
      <w:rFonts w:eastAsia="Times New Roman"/>
      <w:b/>
      <w:bCs/>
      <w:color w:val="FFFFFF"/>
      <w:lang w:eastAsia="en-AU"/>
    </w:rPr>
  </w:style>
  <w:style w:type="paragraph" w:customStyle="1" w:styleId="xl70">
    <w:name w:val="xl70"/>
    <w:basedOn w:val="Normal"/>
    <w:rsid w:val="00B740AD"/>
    <w:pPr>
      <w:pBdr>
        <w:bottom w:val="single" w:sz="8" w:space="0" w:color="76933C"/>
      </w:pBdr>
      <w:spacing w:before="100" w:beforeAutospacing="1" w:after="100" w:afterAutospacing="1" w:line="240" w:lineRule="auto"/>
    </w:pPr>
    <w:rPr>
      <w:rFonts w:eastAsia="Times New Roman"/>
      <w:b/>
      <w:bCs/>
      <w:lang w:eastAsia="en-AU"/>
    </w:rPr>
  </w:style>
  <w:style w:type="paragraph" w:customStyle="1" w:styleId="xl71">
    <w:name w:val="xl71"/>
    <w:basedOn w:val="Normal"/>
    <w:rsid w:val="00B740AD"/>
    <w:pPr>
      <w:pBdr>
        <w:bottom w:val="single" w:sz="8" w:space="0" w:color="76933C"/>
      </w:pBdr>
      <w:spacing w:before="100" w:beforeAutospacing="1" w:after="100" w:afterAutospacing="1" w:line="240" w:lineRule="auto"/>
    </w:pPr>
    <w:rPr>
      <w:rFonts w:eastAsia="Times New Roman"/>
      <w:lang w:eastAsia="en-AU"/>
    </w:rPr>
  </w:style>
  <w:style w:type="paragraph" w:customStyle="1" w:styleId="xl72">
    <w:name w:val="xl72"/>
    <w:basedOn w:val="Normal"/>
    <w:rsid w:val="00B740AD"/>
    <w:pPr>
      <w:pBdr>
        <w:bottom w:val="single" w:sz="8" w:space="0" w:color="76933C"/>
      </w:pBdr>
      <w:spacing w:before="100" w:beforeAutospacing="1" w:after="100" w:afterAutospacing="1" w:line="240" w:lineRule="auto"/>
    </w:pPr>
    <w:rPr>
      <w:rFonts w:eastAsia="Times New Roman"/>
      <w:lang w:eastAsia="en-AU"/>
    </w:rPr>
  </w:style>
  <w:style w:type="paragraph" w:customStyle="1" w:styleId="xl73">
    <w:name w:val="xl73"/>
    <w:basedOn w:val="Normal"/>
    <w:rsid w:val="00B740AD"/>
    <w:pPr>
      <w:pBdr>
        <w:bottom w:val="single" w:sz="4" w:space="0" w:color="EBF1DE"/>
      </w:pBdr>
      <w:spacing w:before="100" w:beforeAutospacing="1" w:after="100" w:afterAutospacing="1" w:line="240" w:lineRule="auto"/>
    </w:pPr>
    <w:rPr>
      <w:rFonts w:eastAsia="Times New Roman"/>
      <w:lang w:eastAsia="en-AU"/>
    </w:rPr>
  </w:style>
  <w:style w:type="paragraph" w:customStyle="1" w:styleId="xl74">
    <w:name w:val="xl74"/>
    <w:basedOn w:val="Normal"/>
    <w:rsid w:val="00B740AD"/>
    <w:pPr>
      <w:pBdr>
        <w:bottom w:val="single" w:sz="4" w:space="0" w:color="EBF1DE"/>
      </w:pBdr>
      <w:spacing w:before="100" w:beforeAutospacing="1" w:after="100" w:afterAutospacing="1" w:line="240" w:lineRule="auto"/>
    </w:pPr>
    <w:rPr>
      <w:rFonts w:eastAsia="Times New Roman"/>
      <w:lang w:eastAsia="en-AU"/>
    </w:rPr>
  </w:style>
  <w:style w:type="paragraph" w:customStyle="1" w:styleId="xl75">
    <w:name w:val="xl75"/>
    <w:basedOn w:val="Normal"/>
    <w:rsid w:val="00B740AD"/>
    <w:pPr>
      <w:pBdr>
        <w:top w:val="single" w:sz="4" w:space="0" w:color="EBF1DE"/>
        <w:bottom w:val="single" w:sz="4" w:space="0" w:color="EBF1DE"/>
      </w:pBdr>
      <w:spacing w:before="100" w:beforeAutospacing="1" w:after="100" w:afterAutospacing="1" w:line="240" w:lineRule="auto"/>
    </w:pPr>
    <w:rPr>
      <w:rFonts w:eastAsia="Times New Roman"/>
      <w:b/>
      <w:bCs/>
      <w:lang w:eastAsia="en-AU"/>
    </w:rPr>
  </w:style>
  <w:style w:type="paragraph" w:customStyle="1" w:styleId="xl76">
    <w:name w:val="xl76"/>
    <w:basedOn w:val="Normal"/>
    <w:rsid w:val="00B740AD"/>
    <w:pPr>
      <w:pBdr>
        <w:top w:val="single" w:sz="4" w:space="0" w:color="EBF1DE"/>
        <w:bottom w:val="single" w:sz="4" w:space="0" w:color="EBF1DE"/>
      </w:pBdr>
      <w:spacing w:before="100" w:beforeAutospacing="1" w:after="100" w:afterAutospacing="1" w:line="240" w:lineRule="auto"/>
    </w:pPr>
    <w:rPr>
      <w:rFonts w:eastAsia="Times New Roman"/>
      <w:lang w:eastAsia="en-AU"/>
    </w:rPr>
  </w:style>
  <w:style w:type="paragraph" w:customStyle="1" w:styleId="xl77">
    <w:name w:val="xl77"/>
    <w:basedOn w:val="Normal"/>
    <w:rsid w:val="00B740AD"/>
    <w:pPr>
      <w:pBdr>
        <w:top w:val="single" w:sz="4" w:space="0" w:color="EBF1DE"/>
        <w:bottom w:val="single" w:sz="4" w:space="0" w:color="EBF1DE"/>
      </w:pBdr>
      <w:spacing w:before="100" w:beforeAutospacing="1" w:after="100" w:afterAutospacing="1" w:line="240" w:lineRule="auto"/>
    </w:pPr>
    <w:rPr>
      <w:rFonts w:eastAsia="Times New Roman"/>
      <w:lang w:eastAsia="en-AU"/>
    </w:rPr>
  </w:style>
  <w:style w:type="paragraph" w:customStyle="1" w:styleId="xl78">
    <w:name w:val="xl78"/>
    <w:basedOn w:val="Normal"/>
    <w:rsid w:val="00B740AD"/>
    <w:pPr>
      <w:pBdr>
        <w:top w:val="single" w:sz="4" w:space="0" w:color="EBF1DE"/>
        <w:bottom w:val="single" w:sz="4" w:space="0" w:color="EBF1DE"/>
      </w:pBdr>
      <w:shd w:val="clear" w:color="D8E4BC" w:fill="D8E4BC"/>
      <w:spacing w:before="100" w:beforeAutospacing="1" w:after="100" w:afterAutospacing="1" w:line="240" w:lineRule="auto"/>
    </w:pPr>
    <w:rPr>
      <w:rFonts w:eastAsia="Times New Roman"/>
      <w:b/>
      <w:bCs/>
      <w:lang w:eastAsia="en-AU"/>
    </w:rPr>
  </w:style>
  <w:style w:type="paragraph" w:customStyle="1" w:styleId="xl79">
    <w:name w:val="xl79"/>
    <w:basedOn w:val="Normal"/>
    <w:rsid w:val="00B740AD"/>
    <w:pPr>
      <w:pBdr>
        <w:top w:val="single" w:sz="4" w:space="0" w:color="EBF1DE"/>
        <w:bottom w:val="single" w:sz="4" w:space="0" w:color="EBF1DE"/>
      </w:pBdr>
      <w:shd w:val="clear" w:color="D8E4BC" w:fill="D8E4BC"/>
      <w:spacing w:before="100" w:beforeAutospacing="1" w:after="100" w:afterAutospacing="1" w:line="240" w:lineRule="auto"/>
    </w:pPr>
    <w:rPr>
      <w:rFonts w:eastAsia="Times New Roman"/>
      <w:b/>
      <w:bCs/>
      <w:lang w:eastAsia="en-AU"/>
    </w:rPr>
  </w:style>
  <w:style w:type="paragraph" w:customStyle="1" w:styleId="xl80">
    <w:name w:val="xl80"/>
    <w:basedOn w:val="Normal"/>
    <w:rsid w:val="00B740AD"/>
    <w:pPr>
      <w:pBdr>
        <w:top w:val="single" w:sz="4" w:space="0" w:color="EBF1DE"/>
      </w:pBdr>
      <w:shd w:val="clear" w:color="D8E4BC" w:fill="D8E4BC"/>
      <w:spacing w:before="100" w:beforeAutospacing="1" w:after="100" w:afterAutospacing="1" w:line="240" w:lineRule="auto"/>
    </w:pPr>
    <w:rPr>
      <w:rFonts w:eastAsia="Times New Roman"/>
      <w:b/>
      <w:bCs/>
      <w:lang w:eastAsia="en-AU"/>
    </w:rPr>
  </w:style>
  <w:style w:type="paragraph" w:customStyle="1" w:styleId="xl81">
    <w:name w:val="xl81"/>
    <w:basedOn w:val="Normal"/>
    <w:rsid w:val="00B740AD"/>
    <w:pPr>
      <w:pBdr>
        <w:top w:val="single" w:sz="4" w:space="0" w:color="EBF1DE"/>
      </w:pBdr>
      <w:shd w:val="clear" w:color="D8E4BC" w:fill="D8E4BC"/>
      <w:spacing w:before="100" w:beforeAutospacing="1" w:after="100" w:afterAutospacing="1" w:line="240" w:lineRule="auto"/>
    </w:pPr>
    <w:rPr>
      <w:rFonts w:eastAsia="Times New Roman"/>
      <w:b/>
      <w:bCs/>
      <w:lang w:eastAsia="en-AU"/>
    </w:rPr>
  </w:style>
  <w:style w:type="paragraph" w:customStyle="1" w:styleId="xl64">
    <w:name w:val="xl64"/>
    <w:basedOn w:val="Normal"/>
    <w:rsid w:val="00B740AD"/>
    <w:pPr>
      <w:shd w:val="clear" w:color="F79646" w:fill="FFFF00"/>
      <w:spacing w:before="100" w:beforeAutospacing="1" w:after="100" w:afterAutospacing="1" w:line="240" w:lineRule="auto"/>
    </w:pPr>
    <w:rPr>
      <w:rFonts w:eastAsia="Times New Roman"/>
      <w:b/>
      <w:bCs/>
      <w:lang w:eastAsia="en-AU"/>
    </w:rPr>
  </w:style>
  <w:style w:type="table" w:customStyle="1" w:styleId="MediumGrid31">
    <w:name w:val="Medium Grid 31"/>
    <w:basedOn w:val="TableNormal"/>
    <w:next w:val="MediumGrid3"/>
    <w:uiPriority w:val="60"/>
    <w:rsid w:val="00B740AD"/>
    <w:pPr>
      <w:spacing w:after="0" w:line="240" w:lineRule="auto"/>
    </w:pPr>
    <w:rPr>
      <w:rFonts w:ascii="Calibri" w:eastAsia="Calibri" w:hAnsi="Calibri"/>
      <w:sz w:val="20"/>
      <w:szCs w:val="20"/>
      <w:lang w:eastAsia="en-AU"/>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customStyle="1" w:styleId="MediumGrid3-Accent21">
    <w:name w:val="Medium Grid 3 - Accent 21"/>
    <w:basedOn w:val="TableNormal"/>
    <w:next w:val="MediumGrid3-Accent2"/>
    <w:uiPriority w:val="60"/>
    <w:rsid w:val="00B740AD"/>
    <w:pPr>
      <w:spacing w:after="0" w:line="240" w:lineRule="auto"/>
    </w:pPr>
    <w:rPr>
      <w:rFonts w:ascii="Calibri" w:eastAsia="Calibri" w:hAnsi="Calibri"/>
      <w:sz w:val="20"/>
      <w:szCs w:val="20"/>
      <w:lang w:eastAsia="en-AU"/>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customStyle="1" w:styleId="MediumGrid3-Accent31">
    <w:name w:val="Medium Grid 3 - Accent 31"/>
    <w:basedOn w:val="TableNormal"/>
    <w:next w:val="MediumGrid3-Accent3"/>
    <w:uiPriority w:val="60"/>
    <w:rsid w:val="00B740AD"/>
    <w:pPr>
      <w:spacing w:after="0" w:line="240" w:lineRule="auto"/>
    </w:pPr>
    <w:rPr>
      <w:rFonts w:ascii="Calibri" w:eastAsia="Calibri" w:hAnsi="Calibri"/>
      <w:sz w:val="20"/>
      <w:szCs w:val="20"/>
      <w:lang w:eastAsia="en-AU"/>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customStyle="1" w:styleId="MediumGrid3-Accent41">
    <w:name w:val="Medium Grid 3 - Accent 41"/>
    <w:basedOn w:val="TableNormal"/>
    <w:next w:val="MediumGrid3-Accent4"/>
    <w:uiPriority w:val="60"/>
    <w:rsid w:val="00B740AD"/>
    <w:pPr>
      <w:spacing w:after="0" w:line="240" w:lineRule="auto"/>
    </w:pPr>
    <w:rPr>
      <w:rFonts w:ascii="Calibri" w:eastAsia="Calibri" w:hAnsi="Calibri"/>
      <w:sz w:val="20"/>
      <w:szCs w:val="20"/>
      <w:lang w:eastAsia="en-AU"/>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customStyle="1" w:styleId="MediumGrid3-Accent52">
    <w:name w:val="Medium Grid 3 - Accent 52"/>
    <w:basedOn w:val="TableNormal"/>
    <w:next w:val="MediumGrid3-Accent5"/>
    <w:uiPriority w:val="60"/>
    <w:rsid w:val="00B740AD"/>
    <w:pPr>
      <w:spacing w:after="0" w:line="240" w:lineRule="auto"/>
    </w:pPr>
    <w:rPr>
      <w:rFonts w:ascii="Calibri" w:eastAsia="Calibri" w:hAnsi="Calibri"/>
      <w:sz w:val="20"/>
      <w:szCs w:val="20"/>
      <w:lang w:eastAsia="en-AU"/>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customStyle="1" w:styleId="MediumGrid3-Accent61">
    <w:name w:val="Medium Grid 3 - Accent 61"/>
    <w:basedOn w:val="TableNormal"/>
    <w:next w:val="MediumGrid3-Accent6"/>
    <w:uiPriority w:val="60"/>
    <w:rsid w:val="00B740AD"/>
    <w:pPr>
      <w:spacing w:after="0" w:line="240" w:lineRule="auto"/>
    </w:pPr>
    <w:rPr>
      <w:rFonts w:ascii="Calibri" w:eastAsia="Calibri" w:hAnsi="Calibri"/>
      <w:sz w:val="20"/>
      <w:szCs w:val="20"/>
      <w:lang w:eastAsia="en-AU"/>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numbering" w:customStyle="1" w:styleId="Listbulleted1">
    <w:name w:val="List (bulleted)1"/>
    <w:basedOn w:val="NoList"/>
    <w:rsid w:val="00B740AD"/>
    <w:pPr>
      <w:numPr>
        <w:numId w:val="5"/>
      </w:numPr>
    </w:pPr>
  </w:style>
  <w:style w:type="numbering" w:customStyle="1" w:styleId="TableListbulleted1">
    <w:name w:val="Table List (bulleted)1"/>
    <w:basedOn w:val="NoList"/>
    <w:uiPriority w:val="99"/>
    <w:rsid w:val="00B740AD"/>
    <w:pPr>
      <w:numPr>
        <w:numId w:val="6"/>
      </w:numPr>
    </w:pPr>
  </w:style>
  <w:style w:type="table" w:customStyle="1" w:styleId="TableGrid11">
    <w:name w:val="Table Grid11"/>
    <w:basedOn w:val="TableNormal"/>
    <w:next w:val="TableGrid"/>
    <w:rsid w:val="00B740AD"/>
    <w:pPr>
      <w:spacing w:after="0" w:line="240" w:lineRule="auto"/>
    </w:pPr>
    <w:rPr>
      <w:rFonts w:eastAsia="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bulleted2">
    <w:name w:val="List (bulleted)2"/>
    <w:basedOn w:val="NoList"/>
    <w:rsid w:val="00B740AD"/>
    <w:pPr>
      <w:numPr>
        <w:numId w:val="4"/>
      </w:numPr>
    </w:pPr>
  </w:style>
  <w:style w:type="numbering" w:customStyle="1" w:styleId="Listbulleted3">
    <w:name w:val="List (bulleted)3"/>
    <w:basedOn w:val="NoList"/>
    <w:rsid w:val="00B740AD"/>
  </w:style>
  <w:style w:type="numbering" w:customStyle="1" w:styleId="TabledListnumbered1">
    <w:name w:val="Tabled List (numbered)1"/>
    <w:basedOn w:val="TableListbulleted"/>
    <w:uiPriority w:val="99"/>
    <w:rsid w:val="00B740AD"/>
    <w:pPr>
      <w:numPr>
        <w:numId w:val="8"/>
      </w:numPr>
    </w:pPr>
  </w:style>
  <w:style w:type="numbering" w:customStyle="1" w:styleId="Listbulleted4">
    <w:name w:val="List (bulleted)4"/>
    <w:basedOn w:val="NoList"/>
    <w:rsid w:val="00B740AD"/>
  </w:style>
  <w:style w:type="paragraph" w:customStyle="1" w:styleId="p1">
    <w:name w:val="p1"/>
    <w:basedOn w:val="Normal"/>
    <w:rsid w:val="00B740AD"/>
    <w:pPr>
      <w:spacing w:before="144" w:after="288" w:line="240" w:lineRule="auto"/>
    </w:pPr>
    <w:rPr>
      <w:rFonts w:eastAsia="Times New Roman"/>
      <w:lang w:eastAsia="en-AU"/>
    </w:rPr>
  </w:style>
  <w:style w:type="table" w:customStyle="1" w:styleId="LightList-Accent11">
    <w:name w:val="Light List - Accent 11"/>
    <w:basedOn w:val="TableNormal"/>
    <w:next w:val="LightList-Accent1"/>
    <w:uiPriority w:val="61"/>
    <w:rsid w:val="00B740AD"/>
    <w:pPr>
      <w:spacing w:after="0" w:line="240" w:lineRule="auto"/>
    </w:pPr>
    <w:rPr>
      <w:rFonts w:ascii="Calibri" w:hAnsi="Calibri"/>
      <w:sz w:val="22"/>
      <w:szCs w:val="22"/>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TableHWA1">
    <w:name w:val="Table (HWA)1"/>
    <w:basedOn w:val="TableNormal"/>
    <w:uiPriority w:val="99"/>
    <w:qFormat/>
    <w:rsid w:val="00B740AD"/>
    <w:pPr>
      <w:spacing w:before="60" w:after="60" w:line="60" w:lineRule="atLeast"/>
    </w:pPr>
    <w:rPr>
      <w:rFonts w:ascii="Century Gothic" w:eastAsia="Calibri" w:hAnsi="Century Gothic"/>
      <w:sz w:val="16"/>
      <w:szCs w:val="20"/>
      <w:lang w:eastAsia="en-AU"/>
    </w:rPr>
    <w:tblPr>
      <w:tblBorders>
        <w:top w:val="single" w:sz="4" w:space="0" w:color="0079C1"/>
        <w:left w:val="single" w:sz="4" w:space="0" w:color="0079C1"/>
        <w:bottom w:val="single" w:sz="4" w:space="0" w:color="0079C1"/>
        <w:right w:val="single" w:sz="4" w:space="0" w:color="0079C1"/>
        <w:insideH w:val="single" w:sz="4" w:space="0" w:color="0079C1"/>
        <w:insideV w:val="single" w:sz="4" w:space="0" w:color="0079C1"/>
      </w:tblBorders>
    </w:tblPr>
    <w:tblStylePr w:type="firstRow">
      <w:rPr>
        <w:rFonts w:ascii="Courier" w:hAnsi="Courier"/>
        <w:b/>
        <w:color w:val="FFFFFF"/>
        <w:sz w:val="18"/>
      </w:rPr>
      <w:tblPr/>
      <w:tcPr>
        <w:shd w:val="clear" w:color="auto" w:fill="0079C1"/>
      </w:tcPr>
    </w:tblStylePr>
  </w:style>
  <w:style w:type="paragraph" w:customStyle="1" w:styleId="Bullet">
    <w:name w:val="Bullet"/>
    <w:basedOn w:val="ListParagraph"/>
    <w:qFormat/>
    <w:rsid w:val="00B740AD"/>
    <w:pPr>
      <w:numPr>
        <w:numId w:val="11"/>
      </w:numPr>
      <w:spacing w:before="0" w:after="0" w:line="276" w:lineRule="auto"/>
      <w:jc w:val="left"/>
    </w:pPr>
    <w:rPr>
      <w:rFonts w:ascii="Century Gothic" w:eastAsia="Calibri" w:hAnsi="Century Gothic"/>
      <w:sz w:val="20"/>
      <w:szCs w:val="20"/>
      <w:lang w:val="en-US" w:eastAsia="en-AU"/>
    </w:rPr>
  </w:style>
  <w:style w:type="table" w:customStyle="1" w:styleId="LightShading-Accent42">
    <w:name w:val="Light Shading - Accent 42"/>
    <w:basedOn w:val="TableNormal"/>
    <w:next w:val="LightShading-Accent4"/>
    <w:uiPriority w:val="60"/>
    <w:rsid w:val="00B740AD"/>
    <w:pPr>
      <w:spacing w:after="0" w:line="240" w:lineRule="auto"/>
    </w:pPr>
    <w:rPr>
      <w:rFonts w:ascii="Calibri" w:hAnsi="Calibri"/>
      <w:color w:val="5F497A"/>
      <w:sz w:val="22"/>
      <w:szCs w:val="22"/>
    </w:rPr>
    <w:tblPr>
      <w:tblStyleRowBandSize w:val="1"/>
      <w:tblStyleColBandSize w:val="1"/>
      <w:tblBorders>
        <w:top w:val="single" w:sz="8" w:space="0" w:color="8064A2"/>
        <w:bottom w:val="single" w:sz="8" w:space="0" w:color="8064A2"/>
      </w:tblBorders>
    </w:tblPr>
    <w:tblStylePr w:type="fir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customStyle="1" w:styleId="MediumShading2-Accent41">
    <w:name w:val="Medium Shading 2 - Accent 41"/>
    <w:basedOn w:val="TableNormal"/>
    <w:next w:val="MediumShading2-Accent4"/>
    <w:uiPriority w:val="64"/>
    <w:rsid w:val="00B740AD"/>
    <w:pPr>
      <w:spacing w:after="0" w:line="240" w:lineRule="auto"/>
    </w:pPr>
    <w:rPr>
      <w:rFonts w:ascii="Calibri" w:hAnsi="Calibri"/>
      <w:sz w:val="22"/>
      <w:szCs w:val="22"/>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character" w:customStyle="1" w:styleId="Heading7Char1">
    <w:name w:val="Heading 7 Char1"/>
    <w:basedOn w:val="DefaultParagraphFont"/>
    <w:uiPriority w:val="9"/>
    <w:semiHidden/>
    <w:rsid w:val="00B740AD"/>
    <w:rPr>
      <w:rFonts w:asciiTheme="majorHAnsi" w:eastAsiaTheme="majorEastAsia" w:hAnsiTheme="majorHAnsi" w:cstheme="majorBidi"/>
      <w:i/>
      <w:iCs/>
      <w:color w:val="1F4D78" w:themeColor="accent1" w:themeShade="7F"/>
    </w:rPr>
  </w:style>
  <w:style w:type="character" w:customStyle="1" w:styleId="Heading8Char1">
    <w:name w:val="Heading 8 Char1"/>
    <w:basedOn w:val="DefaultParagraphFont"/>
    <w:uiPriority w:val="9"/>
    <w:semiHidden/>
    <w:rsid w:val="00B740AD"/>
    <w:rPr>
      <w:rFonts w:asciiTheme="majorHAnsi" w:eastAsiaTheme="majorEastAsia" w:hAnsiTheme="majorHAnsi" w:cstheme="majorBidi"/>
      <w:color w:val="272727" w:themeColor="text1" w:themeTint="D8"/>
      <w:sz w:val="21"/>
      <w:szCs w:val="21"/>
    </w:rPr>
  </w:style>
  <w:style w:type="character" w:customStyle="1" w:styleId="Heading9Char1">
    <w:name w:val="Heading 9 Char1"/>
    <w:basedOn w:val="DefaultParagraphFont"/>
    <w:uiPriority w:val="9"/>
    <w:semiHidden/>
    <w:rsid w:val="00B740AD"/>
    <w:rPr>
      <w:rFonts w:asciiTheme="majorHAnsi" w:eastAsiaTheme="majorEastAsia" w:hAnsiTheme="majorHAnsi" w:cstheme="majorBidi"/>
      <w:i/>
      <w:iCs/>
      <w:color w:val="272727" w:themeColor="text1" w:themeTint="D8"/>
      <w:sz w:val="21"/>
      <w:szCs w:val="21"/>
    </w:rPr>
  </w:style>
  <w:style w:type="table" w:styleId="MediumShading2-Accent3">
    <w:name w:val="Medium Shading 2 Accent 3"/>
    <w:basedOn w:val="TableNormal"/>
    <w:uiPriority w:val="64"/>
    <w:semiHidden/>
    <w:unhideWhenUsed/>
    <w:rsid w:val="00B740AD"/>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5A5A5"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A5A5A5" w:themeFill="accent3"/>
      </w:tcPr>
    </w:tblStylePr>
    <w:tblStylePr w:type="lastCol">
      <w:rPr>
        <w:b/>
        <w:bCs/>
        <w:color w:val="FFFFFF" w:themeColor="background1"/>
      </w:rPr>
      <w:tblPr/>
      <w:tcPr>
        <w:tcBorders>
          <w:left w:val="nil"/>
          <w:right w:val="nil"/>
          <w:insideH w:val="nil"/>
          <w:insideV w:val="nil"/>
        </w:tcBorders>
        <w:shd w:val="clear" w:color="auto" w:fill="A5A5A5"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5">
    <w:name w:val="Medium Shading 2 Accent 5"/>
    <w:basedOn w:val="TableNormal"/>
    <w:uiPriority w:val="64"/>
    <w:semiHidden/>
    <w:unhideWhenUsed/>
    <w:rsid w:val="00B740AD"/>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472C4"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4472C4" w:themeFill="accent5"/>
      </w:tcPr>
    </w:tblStylePr>
    <w:tblStylePr w:type="lastCol">
      <w:rPr>
        <w:b/>
        <w:bCs/>
        <w:color w:val="FFFFFF" w:themeColor="background1"/>
      </w:rPr>
      <w:tblPr/>
      <w:tcPr>
        <w:tcBorders>
          <w:left w:val="nil"/>
          <w:right w:val="nil"/>
          <w:insideH w:val="nil"/>
          <w:insideV w:val="nil"/>
        </w:tcBorders>
        <w:shd w:val="clear" w:color="auto" w:fill="4472C4"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1">
    <w:name w:val="Medium Shading 2 Accent 1"/>
    <w:basedOn w:val="TableNormal"/>
    <w:uiPriority w:val="64"/>
    <w:semiHidden/>
    <w:unhideWhenUsed/>
    <w:rsid w:val="00B740AD"/>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5B9BD5" w:themeFill="accent1"/>
      </w:tcPr>
    </w:tblStylePr>
    <w:tblStylePr w:type="lastCol">
      <w:rPr>
        <w:b/>
        <w:bCs/>
        <w:color w:val="FFFFFF" w:themeColor="background1"/>
      </w:rPr>
      <w:tblPr/>
      <w:tcPr>
        <w:tcBorders>
          <w:left w:val="nil"/>
          <w:right w:val="nil"/>
          <w:insideH w:val="nil"/>
          <w:insideV w:val="nil"/>
        </w:tcBorders>
        <w:shd w:val="clear" w:color="auto" w:fill="5B9BD5"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Grid3">
    <w:name w:val="Medium Grid 3"/>
    <w:basedOn w:val="TableNormal"/>
    <w:uiPriority w:val="69"/>
    <w:semiHidden/>
    <w:unhideWhenUsed/>
    <w:rsid w:val="00B740AD"/>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2">
    <w:name w:val="Medium Grid 3 Accent 2"/>
    <w:basedOn w:val="TableNormal"/>
    <w:uiPriority w:val="69"/>
    <w:semiHidden/>
    <w:unhideWhenUsed/>
    <w:rsid w:val="00B740AD"/>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ADECB"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D7D31"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D7D31"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D7D31"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D7D31"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6BE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6BE98" w:themeFill="accent2" w:themeFillTint="7F"/>
      </w:tcPr>
    </w:tblStylePr>
  </w:style>
  <w:style w:type="table" w:styleId="MediumGrid3-Accent3">
    <w:name w:val="Medium Grid 3 Accent 3"/>
    <w:basedOn w:val="TableNormal"/>
    <w:uiPriority w:val="69"/>
    <w:semiHidden/>
    <w:unhideWhenUsed/>
    <w:rsid w:val="00B740AD"/>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8E8E8"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5A5A5"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5A5A5"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5A5A5"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5A5A5"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2D2D2"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2D2D2" w:themeFill="accent3" w:themeFillTint="7F"/>
      </w:tcPr>
    </w:tblStylePr>
  </w:style>
  <w:style w:type="table" w:styleId="MediumGrid3-Accent4">
    <w:name w:val="Medium Grid 3 Accent 4"/>
    <w:basedOn w:val="TableNormal"/>
    <w:uiPriority w:val="69"/>
    <w:semiHidden/>
    <w:unhideWhenUsed/>
    <w:rsid w:val="00B740AD"/>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FEFC0"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FC000"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FC000"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FC000"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FC000"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FDF8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FDF80" w:themeFill="accent4" w:themeFillTint="7F"/>
      </w:tcPr>
    </w:tblStylePr>
  </w:style>
  <w:style w:type="table" w:styleId="MediumGrid3-Accent6">
    <w:name w:val="Medium Grid 3 Accent 6"/>
    <w:basedOn w:val="TableNormal"/>
    <w:uiPriority w:val="69"/>
    <w:semiHidden/>
    <w:unhideWhenUsed/>
    <w:rsid w:val="00B740AD"/>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BEB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0AD47"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0AD47"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0AD47"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0AD47"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7D8A0"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7D8A0" w:themeFill="accent6" w:themeFillTint="7F"/>
      </w:tcPr>
    </w:tblStylePr>
  </w:style>
  <w:style w:type="table" w:styleId="LightList-Accent1">
    <w:name w:val="Light List Accent 1"/>
    <w:basedOn w:val="TableNormal"/>
    <w:uiPriority w:val="61"/>
    <w:semiHidden/>
    <w:unhideWhenUsed/>
    <w:rsid w:val="00B740AD"/>
    <w:pPr>
      <w:spacing w:after="0" w:line="240" w:lineRule="auto"/>
    </w:p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styleId="MediumShading2-Accent4">
    <w:name w:val="Medium Shading 2 Accent 4"/>
    <w:basedOn w:val="TableNormal"/>
    <w:uiPriority w:val="64"/>
    <w:semiHidden/>
    <w:unhideWhenUsed/>
    <w:rsid w:val="00B740AD"/>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FC000"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FFC000" w:themeFill="accent4"/>
      </w:tcPr>
    </w:tblStylePr>
    <w:tblStylePr w:type="lastCol">
      <w:rPr>
        <w:b/>
        <w:bCs/>
        <w:color w:val="FFFFFF" w:themeColor="background1"/>
      </w:rPr>
      <w:tblPr/>
      <w:tcPr>
        <w:tcBorders>
          <w:left w:val="nil"/>
          <w:right w:val="nil"/>
          <w:insideH w:val="nil"/>
          <w:insideV w:val="nil"/>
        </w:tcBorders>
        <w:shd w:val="clear" w:color="auto" w:fill="FFC000"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customStyle="1" w:styleId="MediumList12">
    <w:name w:val="Medium List 12"/>
    <w:basedOn w:val="TableNormal"/>
    <w:next w:val="MediumList1"/>
    <w:uiPriority w:val="65"/>
    <w:rsid w:val="0044098E"/>
    <w:pPr>
      <w:spacing w:after="0" w:line="240" w:lineRule="auto"/>
    </w:pPr>
    <w:rPr>
      <w:rFonts w:ascii="Calibri" w:eastAsia="Calibri" w:hAnsi="Calibri"/>
      <w:color w:val="000000"/>
      <w:sz w:val="20"/>
      <w:szCs w:val="20"/>
      <w:lang w:eastAsia="en-A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MediumList13">
    <w:name w:val="Medium List 13"/>
    <w:basedOn w:val="TableNormal"/>
    <w:next w:val="MediumList1"/>
    <w:uiPriority w:val="65"/>
    <w:rsid w:val="00FF5FAA"/>
    <w:pPr>
      <w:spacing w:after="0" w:line="240" w:lineRule="auto"/>
    </w:pPr>
    <w:rPr>
      <w:rFonts w:ascii="Calibri" w:eastAsia="Calibri" w:hAnsi="Calibri"/>
      <w:color w:val="000000"/>
      <w:sz w:val="20"/>
      <w:szCs w:val="20"/>
      <w:lang w:eastAsia="en-A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paragraph" w:styleId="TOCHeading">
    <w:name w:val="TOC Heading"/>
    <w:basedOn w:val="Heading1"/>
    <w:next w:val="Normal"/>
    <w:uiPriority w:val="39"/>
    <w:unhideWhenUsed/>
    <w:qFormat/>
    <w:rsid w:val="006F3785"/>
    <w:pPr>
      <w:outlineLvl w:val="9"/>
    </w:pPr>
    <w:rPr>
      <w:rFonts w:asciiTheme="majorHAnsi" w:hAnsiTheme="majorHAnsi"/>
      <w:color w:val="2E74B5" w:themeColor="accent1" w:themeShade="BF"/>
      <w:sz w:val="32"/>
      <w:lang w:val="en-US"/>
    </w:rPr>
  </w:style>
  <w:style w:type="table" w:customStyle="1" w:styleId="TableGrid2">
    <w:name w:val="Table Grid2"/>
    <w:basedOn w:val="TableNormal"/>
    <w:next w:val="TableGrid"/>
    <w:rsid w:val="000214BF"/>
    <w:pPr>
      <w:spacing w:after="0" w:line="240" w:lineRule="auto"/>
    </w:pPr>
    <w:rPr>
      <w:rFonts w:eastAsia="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97759709">
      <w:bodyDiv w:val="1"/>
      <w:marLeft w:val="0"/>
      <w:marRight w:val="0"/>
      <w:marTop w:val="0"/>
      <w:marBottom w:val="0"/>
      <w:divBdr>
        <w:top w:val="none" w:sz="0" w:space="0" w:color="auto"/>
        <w:left w:val="none" w:sz="0" w:space="0" w:color="auto"/>
        <w:bottom w:val="none" w:sz="0" w:space="0" w:color="auto"/>
        <w:right w:val="none" w:sz="0" w:space="0" w:color="auto"/>
      </w:divBdr>
      <w:divsChild>
        <w:div w:id="1211381699">
          <w:marLeft w:val="0"/>
          <w:marRight w:val="0"/>
          <w:marTop w:val="0"/>
          <w:marBottom w:val="0"/>
          <w:divBdr>
            <w:top w:val="none" w:sz="0" w:space="0" w:color="auto"/>
            <w:left w:val="none" w:sz="0" w:space="0" w:color="auto"/>
            <w:bottom w:val="none" w:sz="0" w:space="0" w:color="auto"/>
            <w:right w:val="none" w:sz="0" w:space="0" w:color="auto"/>
          </w:divBdr>
          <w:divsChild>
            <w:div w:id="84688522">
              <w:marLeft w:val="0"/>
              <w:marRight w:val="0"/>
              <w:marTop w:val="0"/>
              <w:marBottom w:val="0"/>
              <w:divBdr>
                <w:top w:val="none" w:sz="0" w:space="0" w:color="auto"/>
                <w:left w:val="none" w:sz="0" w:space="0" w:color="auto"/>
                <w:bottom w:val="none" w:sz="0" w:space="0" w:color="auto"/>
                <w:right w:val="none" w:sz="0" w:space="0" w:color="auto"/>
              </w:divBdr>
              <w:divsChild>
                <w:div w:id="711227417">
                  <w:marLeft w:val="0"/>
                  <w:marRight w:val="0"/>
                  <w:marTop w:val="1050"/>
                  <w:marBottom w:val="0"/>
                  <w:divBdr>
                    <w:top w:val="none" w:sz="0" w:space="0" w:color="auto"/>
                    <w:left w:val="none" w:sz="0" w:space="0" w:color="auto"/>
                    <w:bottom w:val="none" w:sz="0" w:space="0" w:color="auto"/>
                    <w:right w:val="none" w:sz="0" w:space="0" w:color="auto"/>
                  </w:divBdr>
                  <w:divsChild>
                    <w:div w:id="2108038871">
                      <w:marLeft w:val="0"/>
                      <w:marRight w:val="0"/>
                      <w:marTop w:val="0"/>
                      <w:marBottom w:val="0"/>
                      <w:divBdr>
                        <w:top w:val="none" w:sz="0" w:space="0" w:color="auto"/>
                        <w:left w:val="none" w:sz="0" w:space="0" w:color="auto"/>
                        <w:bottom w:val="none" w:sz="0" w:space="0" w:color="auto"/>
                        <w:right w:val="none" w:sz="0" w:space="0" w:color="auto"/>
                      </w:divBdr>
                      <w:divsChild>
                        <w:div w:id="1084959333">
                          <w:marLeft w:val="0"/>
                          <w:marRight w:val="0"/>
                          <w:marTop w:val="0"/>
                          <w:marBottom w:val="0"/>
                          <w:divBdr>
                            <w:top w:val="none" w:sz="0" w:space="0" w:color="auto"/>
                            <w:left w:val="none" w:sz="0" w:space="0" w:color="auto"/>
                            <w:bottom w:val="none" w:sz="0" w:space="0" w:color="auto"/>
                            <w:right w:val="none" w:sz="0" w:space="0" w:color="auto"/>
                          </w:divBdr>
                          <w:divsChild>
                            <w:div w:id="1356542294">
                              <w:marLeft w:val="0"/>
                              <w:marRight w:val="0"/>
                              <w:marTop w:val="0"/>
                              <w:marBottom w:val="0"/>
                              <w:divBdr>
                                <w:top w:val="none" w:sz="0" w:space="0" w:color="auto"/>
                                <w:left w:val="none" w:sz="0" w:space="0" w:color="auto"/>
                                <w:bottom w:val="none" w:sz="0" w:space="0" w:color="auto"/>
                                <w:right w:val="none" w:sz="0" w:space="0" w:color="auto"/>
                              </w:divBdr>
                              <w:divsChild>
                                <w:div w:id="1882471750">
                                  <w:marLeft w:val="0"/>
                                  <w:marRight w:val="0"/>
                                  <w:marTop w:val="0"/>
                                  <w:marBottom w:val="0"/>
                                  <w:divBdr>
                                    <w:top w:val="none" w:sz="0" w:space="0" w:color="auto"/>
                                    <w:left w:val="none" w:sz="0" w:space="0" w:color="auto"/>
                                    <w:bottom w:val="none" w:sz="0" w:space="0" w:color="auto"/>
                                    <w:right w:val="none" w:sz="0" w:space="0" w:color="auto"/>
                                  </w:divBdr>
                                  <w:divsChild>
                                    <w:div w:id="1346859072">
                                      <w:marLeft w:val="0"/>
                                      <w:marRight w:val="0"/>
                                      <w:marTop w:val="0"/>
                                      <w:marBottom w:val="0"/>
                                      <w:divBdr>
                                        <w:top w:val="none" w:sz="0" w:space="0" w:color="auto"/>
                                        <w:left w:val="none" w:sz="0" w:space="0" w:color="auto"/>
                                        <w:bottom w:val="single" w:sz="6" w:space="0" w:color="CCCCCC"/>
                                        <w:right w:val="none" w:sz="0" w:space="0" w:color="auto"/>
                                      </w:divBdr>
                                      <w:divsChild>
                                        <w:div w:id="1643339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758119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tmp"/><Relationship Id="rId13" Type="http://schemas.openxmlformats.org/officeDocument/2006/relationships/hyperlink" Target="http://www.doctorconnect.gov.au/" TargetMode="External"/><Relationship Id="rId18" Type="http://schemas.openxmlformats.org/officeDocument/2006/relationships/image" Target="media/image10.tmp"/><Relationship Id="rId26" Type="http://schemas.openxmlformats.org/officeDocument/2006/relationships/footer" Target="footer2.xml"/><Relationship Id="rId39" Type="http://schemas.openxmlformats.org/officeDocument/2006/relationships/image" Target="media/image26.tmp"/><Relationship Id="rId3" Type="http://schemas.openxmlformats.org/officeDocument/2006/relationships/styles" Target="styles.xml"/><Relationship Id="rId21" Type="http://schemas.openxmlformats.org/officeDocument/2006/relationships/image" Target="media/image13.tmp"/><Relationship Id="rId34" Type="http://schemas.openxmlformats.org/officeDocument/2006/relationships/image" Target="media/image21.tmp"/><Relationship Id="rId42" Type="http://schemas.openxmlformats.org/officeDocument/2006/relationships/image" Target="media/image29.png"/><Relationship Id="rId7" Type="http://schemas.openxmlformats.org/officeDocument/2006/relationships/endnotes" Target="endnotes.xml"/><Relationship Id="rId12" Type="http://schemas.openxmlformats.org/officeDocument/2006/relationships/image" Target="media/image5.tmp"/><Relationship Id="rId17" Type="http://schemas.openxmlformats.org/officeDocument/2006/relationships/image" Target="media/image9.tmp"/><Relationship Id="rId25" Type="http://schemas.openxmlformats.org/officeDocument/2006/relationships/header" Target="header3.xml"/><Relationship Id="rId33" Type="http://schemas.openxmlformats.org/officeDocument/2006/relationships/image" Target="media/image20.tmp"/><Relationship Id="rId38" Type="http://schemas.openxmlformats.org/officeDocument/2006/relationships/image" Target="media/image25.tmp"/><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8.tmp"/><Relationship Id="rId20" Type="http://schemas.openxmlformats.org/officeDocument/2006/relationships/image" Target="media/image12.tmp"/><Relationship Id="rId29" Type="http://schemas.openxmlformats.org/officeDocument/2006/relationships/image" Target="media/image16.png"/><Relationship Id="rId41" Type="http://schemas.openxmlformats.org/officeDocument/2006/relationships/image" Target="media/image28.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tmp"/><Relationship Id="rId24" Type="http://schemas.openxmlformats.org/officeDocument/2006/relationships/footer" Target="footer1.xml"/><Relationship Id="rId32" Type="http://schemas.openxmlformats.org/officeDocument/2006/relationships/image" Target="media/image19.tmp"/><Relationship Id="rId37" Type="http://schemas.openxmlformats.org/officeDocument/2006/relationships/image" Target="media/image24.tmp"/><Relationship Id="rId40" Type="http://schemas.openxmlformats.org/officeDocument/2006/relationships/image" Target="media/image27.png"/><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7.tmp"/><Relationship Id="rId23" Type="http://schemas.openxmlformats.org/officeDocument/2006/relationships/header" Target="header2.xml"/><Relationship Id="rId28" Type="http://schemas.openxmlformats.org/officeDocument/2006/relationships/image" Target="media/image15.png"/><Relationship Id="rId36" Type="http://schemas.openxmlformats.org/officeDocument/2006/relationships/image" Target="media/image23.tmp"/><Relationship Id="rId10" Type="http://schemas.openxmlformats.org/officeDocument/2006/relationships/image" Target="media/image3.tmp"/><Relationship Id="rId19" Type="http://schemas.openxmlformats.org/officeDocument/2006/relationships/image" Target="media/image11.png"/><Relationship Id="rId31" Type="http://schemas.openxmlformats.org/officeDocument/2006/relationships/image" Target="media/image18.png"/><Relationship Id="rId44" Type="http://schemas.openxmlformats.org/officeDocument/2006/relationships/hyperlink" Target="https://www.sahealth.sa.gov.au/wps/wcm/connect/public+content/sa+health+internet/resources/policies/privately+practising+midwives+access+to+public+maternity+services+in+south+australia+health+policy+directive" TargetMode="External"/><Relationship Id="rId4" Type="http://schemas.openxmlformats.org/officeDocument/2006/relationships/settings" Target="settings.xml"/><Relationship Id="rId9" Type="http://schemas.openxmlformats.org/officeDocument/2006/relationships/image" Target="media/image2.tmp"/><Relationship Id="rId14" Type="http://schemas.openxmlformats.org/officeDocument/2006/relationships/image" Target="media/image6.tmp"/><Relationship Id="rId22" Type="http://schemas.openxmlformats.org/officeDocument/2006/relationships/header" Target="header1.xml"/><Relationship Id="rId27" Type="http://schemas.openxmlformats.org/officeDocument/2006/relationships/image" Target="media/image14.tmp"/><Relationship Id="rId30" Type="http://schemas.openxmlformats.org/officeDocument/2006/relationships/image" Target="media/image17.png"/><Relationship Id="rId35" Type="http://schemas.openxmlformats.org/officeDocument/2006/relationships/image" Target="media/image22.emf"/><Relationship Id="rId43" Type="http://schemas.openxmlformats.org/officeDocument/2006/relationships/image" Target="media/image30.png"/></Relationships>
</file>

<file path=word/_rels/footnotes.xml.rels><?xml version="1.0" encoding="UTF-8" standalone="yes"?>
<Relationships xmlns="http://schemas.openxmlformats.org/package/2006/relationships"><Relationship Id="rId1" Type="http://schemas.openxmlformats.org/officeDocument/2006/relationships/hyperlink" Target="https://www.nursingmidwiferyboard.gov.au/Codes-Guidelines-Statements/Professional-standards/Midwife-standards-for-practice.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D7E73B-6E4B-4DE4-9522-666B66CF7A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2043</TotalTime>
  <Pages>59</Pages>
  <Words>16764</Words>
  <Characters>95559</Characters>
  <Application>Microsoft Office Word</Application>
  <DocSecurity>0</DocSecurity>
  <Lines>796</Lines>
  <Paragraphs>224</Paragraphs>
  <ScaleCrop>false</ScaleCrop>
  <HeadingPairs>
    <vt:vector size="2" baseType="variant">
      <vt:variant>
        <vt:lpstr>Title</vt:lpstr>
      </vt:variant>
      <vt:variant>
        <vt:i4>1</vt:i4>
      </vt:variant>
    </vt:vector>
  </HeadingPairs>
  <TitlesOfParts>
    <vt:vector size="1" baseType="lpstr">
      <vt:lpstr>Australia’s Future Health Workforce Report – Midwives</vt:lpstr>
    </vt:vector>
  </TitlesOfParts>
  <Company>Department of Health</Company>
  <LinksUpToDate>false</LinksUpToDate>
  <CharactersWithSpaces>112099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Australia’s Future Health Workforce Report – Midwives</dc:title>
  <dc:subject/>
  <dc:creator>Department of Health</dc:creator>
  <cp:keywords/>
  <dc:description/>
  <cp:lastModifiedBy>HUARD, John</cp:lastModifiedBy>
  <cp:revision>25</cp:revision>
  <cp:lastPrinted>2019-08-30T05:16:00Z</cp:lastPrinted>
  <dcterms:created xsi:type="dcterms:W3CDTF">2019-07-19T08:00:00Z</dcterms:created>
  <dcterms:modified xsi:type="dcterms:W3CDTF">2019-10-15T01:35:00Z</dcterms:modified>
</cp:coreProperties>
</file>