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0F" w:rsidRDefault="00F82527" w:rsidP="00F82527">
      <w:pPr>
        <w:pStyle w:val="Title"/>
        <w:rPr>
          <w:b/>
        </w:rPr>
      </w:pPr>
      <w:r>
        <w:rPr>
          <w:b/>
        </w:rPr>
        <w:t xml:space="preserve">WORK PLAN FOR PORTION SIZE </w:t>
      </w:r>
    </w:p>
    <w:p w:rsidR="00F82527" w:rsidRDefault="0060110F" w:rsidP="00F82527">
      <w:pPr>
        <w:pStyle w:val="Title"/>
        <w:rPr>
          <w:b/>
        </w:rPr>
      </w:pPr>
      <w:r>
        <w:rPr>
          <w:b/>
        </w:rPr>
        <w:t xml:space="preserve">INDUSTRY BEST PRACTICE GUIDE </w:t>
      </w:r>
      <w:r w:rsidR="00F82527">
        <w:rPr>
          <w:b/>
        </w:rPr>
        <w:t>WORKING GROUP</w:t>
      </w:r>
    </w:p>
    <w:p w:rsidR="00F82527" w:rsidRDefault="00F82527" w:rsidP="00F82527">
      <w:pPr>
        <w:pStyle w:val="Heading1"/>
        <w:numPr>
          <w:ilvl w:val="0"/>
          <w:numId w:val="8"/>
        </w:numPr>
      </w:pPr>
      <w:r>
        <w:t>Overview of working group</w:t>
      </w:r>
    </w:p>
    <w:p w:rsidR="00F82527" w:rsidRDefault="00F82527" w:rsidP="00F82527">
      <w:pPr>
        <w:pStyle w:val="Heading2"/>
      </w:pPr>
      <w:r>
        <w:t>1.1 Aim</w:t>
      </w:r>
    </w:p>
    <w:p w:rsidR="00F82527" w:rsidRDefault="00F82527" w:rsidP="00F82527">
      <w:pPr>
        <w:spacing w:before="200" w:after="0"/>
      </w:pPr>
      <w:r>
        <w:t>The Healthy Food Partnership</w:t>
      </w:r>
      <w:r w:rsidR="0060110F">
        <w:t xml:space="preserve"> (the Partnership)</w:t>
      </w:r>
      <w:r>
        <w:t xml:space="preserve"> aim</w:t>
      </w:r>
      <w:r w:rsidR="0060110F">
        <w:t>s</w:t>
      </w:r>
      <w:r>
        <w:t xml:space="preserve"> to improve the nutrition of all Australians by making healthier food choices easier and more accessible and by raising awareness of better food choices and portion sizes.</w:t>
      </w:r>
    </w:p>
    <w:p w:rsidR="00F82527" w:rsidRDefault="00F82527" w:rsidP="00F82527">
      <w:pPr>
        <w:pStyle w:val="Heading2"/>
      </w:pPr>
      <w:r>
        <w:t>1.2 Background</w:t>
      </w:r>
    </w:p>
    <w:p w:rsidR="0060110F" w:rsidRDefault="0060110F" w:rsidP="00F82527">
      <w:pPr>
        <w:spacing w:before="200" w:after="0"/>
      </w:pPr>
      <w:r>
        <w:t xml:space="preserve">The development of an Industry Best Practice Guide (the Guide) was one of the recommendations of the Portion Size Working Group. </w:t>
      </w:r>
    </w:p>
    <w:p w:rsidR="0060110F" w:rsidRDefault="00F82527" w:rsidP="00F82527">
      <w:pPr>
        <w:spacing w:before="200" w:after="0"/>
        <w:rPr>
          <w:color w:val="0D0D0D" w:themeColor="text1" w:themeTint="F2"/>
        </w:rPr>
      </w:pPr>
      <w:r>
        <w:rPr>
          <w:color w:val="0D0D0D" w:themeColor="text1" w:themeTint="F2"/>
        </w:rPr>
        <w:t xml:space="preserve">On </w:t>
      </w:r>
      <w:r w:rsidR="0060110F">
        <w:rPr>
          <w:color w:val="0D0D0D" w:themeColor="text1" w:themeTint="F2"/>
        </w:rPr>
        <w:t>7 December 2018,</w:t>
      </w:r>
      <w:r>
        <w:rPr>
          <w:color w:val="0D0D0D" w:themeColor="text1" w:themeTint="F2"/>
        </w:rPr>
        <w:t xml:space="preserve"> the </w:t>
      </w:r>
      <w:r w:rsidR="0060110F">
        <w:rPr>
          <w:color w:val="0D0D0D" w:themeColor="text1" w:themeTint="F2"/>
        </w:rPr>
        <w:t>Partnership</w:t>
      </w:r>
      <w:r>
        <w:rPr>
          <w:color w:val="0D0D0D" w:themeColor="text1" w:themeTint="F2"/>
        </w:rPr>
        <w:t xml:space="preserve"> Executive Committee agreed to establish </w:t>
      </w:r>
      <w:r w:rsidR="0060110F">
        <w:rPr>
          <w:rFonts w:cs="Times New Roman"/>
        </w:rPr>
        <w:t xml:space="preserve">a time limited working group </w:t>
      </w:r>
      <w:r w:rsidR="0060110F" w:rsidRPr="006D1BA1">
        <w:rPr>
          <w:rFonts w:cs="Times New Roman"/>
        </w:rPr>
        <w:t xml:space="preserve">to develop an industry best practice guide on </w:t>
      </w:r>
      <w:r w:rsidR="0060110F">
        <w:rPr>
          <w:rFonts w:cs="Times New Roman"/>
        </w:rPr>
        <w:t>serving</w:t>
      </w:r>
      <w:r w:rsidR="0060110F" w:rsidRPr="006D1BA1">
        <w:rPr>
          <w:rFonts w:cs="Times New Roman"/>
        </w:rPr>
        <w:t xml:space="preserve"> </w:t>
      </w:r>
      <w:r w:rsidR="0060110F">
        <w:rPr>
          <w:rFonts w:cs="Times New Roman"/>
        </w:rPr>
        <w:t xml:space="preserve">size (the Industry Best Practice Guide Working Group).  </w:t>
      </w:r>
    </w:p>
    <w:p w:rsidR="00F82527" w:rsidRDefault="00F82527" w:rsidP="00F82527">
      <w:pPr>
        <w:pStyle w:val="Heading2"/>
      </w:pPr>
      <w:r>
        <w:t>1.3 Objectives</w:t>
      </w:r>
    </w:p>
    <w:p w:rsidR="008E3D9A" w:rsidRDefault="008E3D9A" w:rsidP="008E3D9A">
      <w:r>
        <w:t>The objective of</w:t>
      </w:r>
      <w:r w:rsidR="00F82527">
        <w:t xml:space="preserve"> </w:t>
      </w:r>
      <w:r w:rsidR="0060110F" w:rsidRPr="008E3D9A">
        <w:rPr>
          <w:bCs/>
        </w:rPr>
        <w:t>the Industry Best Practice Guide Working Group</w:t>
      </w:r>
      <w:r w:rsidR="0060110F">
        <w:rPr>
          <w:b/>
          <w:bCs/>
        </w:rPr>
        <w:t xml:space="preserve"> </w:t>
      </w:r>
      <w:r w:rsidR="00F82527">
        <w:t xml:space="preserve">is to </w:t>
      </w:r>
      <w:r>
        <w:t>develop a guide which will provide guidance and support to food companies to incorporate nutrition as a key driver in labelling decisions regarding the size of servings and the size of food and drinks offered.</w:t>
      </w:r>
    </w:p>
    <w:p w:rsidR="00F82527" w:rsidRDefault="008E3D9A" w:rsidP="008E3D9A">
      <w:pPr>
        <w:pStyle w:val="Heading2"/>
      </w:pPr>
      <w:r>
        <w:rPr>
          <w:color w:val="0D0D0D" w:themeColor="text1" w:themeTint="F2"/>
        </w:rPr>
        <w:t xml:space="preserve"> </w:t>
      </w:r>
      <w:r w:rsidR="00F82527">
        <w:t>1.4 Scope</w:t>
      </w:r>
    </w:p>
    <w:p w:rsidR="008E3D9A" w:rsidRDefault="008E3D9A" w:rsidP="008E3D9A">
      <w:pPr>
        <w:spacing w:after="0"/>
      </w:pPr>
      <w:r>
        <w:t>Areas for guidance, relating to size of servings, include:</w:t>
      </w:r>
    </w:p>
    <w:p w:rsidR="008E3D9A" w:rsidRDefault="008E3D9A" w:rsidP="00C259C2">
      <w:pPr>
        <w:pStyle w:val="ListParagraph"/>
        <w:numPr>
          <w:ilvl w:val="0"/>
          <w:numId w:val="16"/>
        </w:numPr>
        <w:spacing w:after="0" w:line="240" w:lineRule="auto"/>
        <w:contextualSpacing w:val="0"/>
      </w:pPr>
      <w:r>
        <w:t>Adopting consistent terminology</w:t>
      </w:r>
    </w:p>
    <w:p w:rsidR="008E3D9A" w:rsidRDefault="008E3D9A" w:rsidP="00C259C2">
      <w:pPr>
        <w:pStyle w:val="ListParagraph"/>
        <w:numPr>
          <w:ilvl w:val="0"/>
          <w:numId w:val="16"/>
        </w:numPr>
        <w:spacing w:after="0" w:line="240" w:lineRule="auto"/>
        <w:contextualSpacing w:val="0"/>
      </w:pPr>
      <w:r>
        <w:t>Off-pack labelling information</w:t>
      </w:r>
    </w:p>
    <w:p w:rsidR="008E3D9A" w:rsidRDefault="008E3D9A" w:rsidP="00C259C2">
      <w:pPr>
        <w:pStyle w:val="ListParagraph"/>
        <w:numPr>
          <w:ilvl w:val="0"/>
          <w:numId w:val="16"/>
        </w:numPr>
        <w:spacing w:after="0" w:line="240" w:lineRule="auto"/>
        <w:contextualSpacing w:val="0"/>
      </w:pPr>
      <w:r>
        <w:t>Voluntary goals relating to sizes of servings</w:t>
      </w:r>
    </w:p>
    <w:p w:rsidR="008E3D9A" w:rsidRDefault="008E3D9A" w:rsidP="00C259C2">
      <w:pPr>
        <w:pStyle w:val="ListParagraph"/>
        <w:numPr>
          <w:ilvl w:val="0"/>
          <w:numId w:val="16"/>
        </w:numPr>
        <w:spacing w:after="0" w:line="240" w:lineRule="auto"/>
        <w:contextualSpacing w:val="0"/>
      </w:pPr>
      <w:r>
        <w:t>Promoting appropriate sizes of serving</w:t>
      </w:r>
    </w:p>
    <w:p w:rsidR="008E3D9A" w:rsidRDefault="008E3D9A" w:rsidP="00C259C2">
      <w:pPr>
        <w:pStyle w:val="ListParagraph"/>
        <w:numPr>
          <w:ilvl w:val="0"/>
          <w:numId w:val="16"/>
        </w:numPr>
        <w:spacing w:after="0" w:line="240" w:lineRule="auto"/>
        <w:contextualSpacing w:val="0"/>
      </w:pPr>
      <w:r>
        <w:t>Serving control devices in product presentation</w:t>
      </w:r>
    </w:p>
    <w:p w:rsidR="008E3D9A" w:rsidRDefault="008E3D9A" w:rsidP="00C259C2">
      <w:pPr>
        <w:pStyle w:val="ListParagraph"/>
        <w:numPr>
          <w:ilvl w:val="0"/>
          <w:numId w:val="16"/>
        </w:numPr>
        <w:spacing w:after="0" w:line="240" w:lineRule="auto"/>
        <w:contextualSpacing w:val="0"/>
      </w:pPr>
      <w:r>
        <w:t>Advice about sizes of servings in consumer communication material</w:t>
      </w:r>
    </w:p>
    <w:p w:rsidR="00C259C2" w:rsidRDefault="00C259C2" w:rsidP="008E3D9A">
      <w:pPr>
        <w:spacing w:after="0"/>
      </w:pPr>
    </w:p>
    <w:p w:rsidR="008E3D9A" w:rsidRDefault="008E3D9A" w:rsidP="008E3D9A">
      <w:pPr>
        <w:spacing w:after="0"/>
      </w:pPr>
      <w:r>
        <w:t>The Guide should build on existing guidance, including:</w:t>
      </w:r>
    </w:p>
    <w:p w:rsidR="008E3D9A" w:rsidRDefault="008E3D9A" w:rsidP="008E3D9A">
      <w:pPr>
        <w:pStyle w:val="ListParagraph"/>
        <w:numPr>
          <w:ilvl w:val="0"/>
          <w:numId w:val="16"/>
        </w:numPr>
        <w:spacing w:after="0" w:line="240" w:lineRule="auto"/>
        <w:contextualSpacing w:val="0"/>
      </w:pPr>
      <w:r>
        <w:t xml:space="preserve">existing industry principles </w:t>
      </w:r>
      <w:r w:rsidR="0051581F">
        <w:t>e.g.</w:t>
      </w:r>
      <w:r>
        <w:t xml:space="preserve"> Australian Food and Grocery Council serving principles,</w:t>
      </w:r>
    </w:p>
    <w:p w:rsidR="008E3D9A" w:rsidRDefault="008E3D9A" w:rsidP="008E3D9A">
      <w:pPr>
        <w:pStyle w:val="ListParagraph"/>
        <w:numPr>
          <w:ilvl w:val="0"/>
          <w:numId w:val="16"/>
        </w:numPr>
        <w:spacing w:after="0" w:line="240" w:lineRule="auto"/>
        <w:contextualSpacing w:val="0"/>
      </w:pPr>
      <w:r>
        <w:t>existing FSANZ reference quantities</w:t>
      </w:r>
    </w:p>
    <w:p w:rsidR="008E3D9A" w:rsidRDefault="008E3D9A" w:rsidP="008E3D9A">
      <w:pPr>
        <w:pStyle w:val="ListParagraph"/>
        <w:numPr>
          <w:ilvl w:val="0"/>
          <w:numId w:val="16"/>
        </w:numPr>
        <w:spacing w:after="0" w:line="240" w:lineRule="auto"/>
        <w:contextualSpacing w:val="0"/>
      </w:pPr>
      <w:r>
        <w:t>existing jurisdiction information e.g. state government policies on healthy food guidelines in canteens</w:t>
      </w:r>
    </w:p>
    <w:p w:rsidR="008E3D9A" w:rsidRDefault="008E3D9A" w:rsidP="008E3D9A">
      <w:pPr>
        <w:pStyle w:val="ListParagraph"/>
        <w:numPr>
          <w:ilvl w:val="0"/>
          <w:numId w:val="16"/>
        </w:numPr>
        <w:spacing w:after="0" w:line="240" w:lineRule="auto"/>
        <w:contextualSpacing w:val="0"/>
      </w:pPr>
      <w:r>
        <w:t xml:space="preserve">guidance from other countries e.g. US Food and Drug Administration </w:t>
      </w:r>
      <w:r>
        <w:rPr>
          <w:i/>
        </w:rPr>
        <w:t>Reference Amounts Customarily Consumed</w:t>
      </w:r>
    </w:p>
    <w:p w:rsidR="00F82527" w:rsidRDefault="008E3D9A" w:rsidP="008E3D9A">
      <w:pPr>
        <w:pStyle w:val="Heading2"/>
      </w:pPr>
      <w:r>
        <w:t xml:space="preserve"> </w:t>
      </w:r>
      <w:r w:rsidR="00F82527">
        <w:t>1.5 Timeframe</w:t>
      </w:r>
    </w:p>
    <w:p w:rsidR="005755B9" w:rsidRDefault="00C259C2" w:rsidP="00F82527">
      <w:pPr>
        <w:spacing w:before="200" w:after="0"/>
        <w:ind w:left="34"/>
      </w:pPr>
      <w:r>
        <w:t>It is anticipated that 18-24 months will be required to complete the Guide.</w:t>
      </w:r>
    </w:p>
    <w:p w:rsidR="005755B9" w:rsidRDefault="005755B9" w:rsidP="005755B9">
      <w:r>
        <w:br w:type="page"/>
      </w:r>
    </w:p>
    <w:p w:rsidR="00F82527" w:rsidRDefault="00F82527" w:rsidP="00F82527">
      <w:pPr>
        <w:pStyle w:val="Heading1"/>
        <w:numPr>
          <w:ilvl w:val="0"/>
          <w:numId w:val="11"/>
        </w:numPr>
      </w:pPr>
      <w:r>
        <w:lastRenderedPageBreak/>
        <w:t>Governance and reporting</w:t>
      </w:r>
    </w:p>
    <w:p w:rsidR="00564CBE" w:rsidRPr="00564CBE" w:rsidRDefault="00564CBE" w:rsidP="00564CBE">
      <w:pPr>
        <w:spacing w:before="200" w:after="0"/>
        <w:rPr>
          <w:rFonts w:cs="Times New Roman"/>
        </w:rPr>
      </w:pPr>
      <w:r>
        <w:t xml:space="preserve">The </w:t>
      </w:r>
      <w:r w:rsidRPr="00564CBE">
        <w:rPr>
          <w:rFonts w:cs="Times New Roman"/>
        </w:rPr>
        <w:t>Industry Best Practice Guide Working Group</w:t>
      </w:r>
      <w:r>
        <w:t xml:space="preserve"> will report to </w:t>
      </w:r>
      <w:r w:rsidRPr="00564CBE">
        <w:rPr>
          <w:rFonts w:cs="Times New Roman"/>
        </w:rPr>
        <w:t xml:space="preserve">the Implementation Monitoring and Evaluation Reference Group (IMERG).  </w:t>
      </w:r>
    </w:p>
    <w:p w:rsidR="00564CBE" w:rsidRDefault="00564CBE" w:rsidP="00564CBE">
      <w:pPr>
        <w:pStyle w:val="Heading1"/>
        <w:numPr>
          <w:ilvl w:val="0"/>
          <w:numId w:val="11"/>
        </w:numPr>
      </w:pPr>
      <w:r>
        <w:t>Membership</w:t>
      </w:r>
    </w:p>
    <w:p w:rsidR="00564CBE" w:rsidRDefault="00564CBE" w:rsidP="00564CBE">
      <w:pPr>
        <w:spacing w:before="200" w:after="0"/>
        <w:ind w:left="34"/>
      </w:pPr>
      <w:r>
        <w:t>Membership will include persons with relevant skills/expertise in the following areas: public health, food retail, food manufacturing, primary production, research and evaluation, academia and other technical expertise as requir</w:t>
      </w:r>
      <w:r w:rsidR="009216CA">
        <w:t>ed</w:t>
      </w:r>
      <w:r>
        <w:t>.</w:t>
      </w:r>
    </w:p>
    <w:p w:rsidR="00564CBE" w:rsidRPr="00B72395" w:rsidRDefault="00B72395" w:rsidP="00B72395">
      <w:pPr>
        <w:pStyle w:val="Heading2"/>
      </w:pPr>
      <w:r>
        <w:t xml:space="preserve">3.1 </w:t>
      </w:r>
      <w:r w:rsidR="00564CBE" w:rsidRPr="00B72395">
        <w:t>Appointments/Nomination process</w:t>
      </w:r>
    </w:p>
    <w:p w:rsidR="00564CBE" w:rsidRDefault="00564CBE" w:rsidP="00564CBE">
      <w:pPr>
        <w:spacing w:after="120"/>
      </w:pPr>
      <w:r>
        <w:t xml:space="preserve">In the instance that a </w:t>
      </w:r>
      <w:r w:rsidR="00D64F75">
        <w:t xml:space="preserve">working group </w:t>
      </w:r>
      <w:r>
        <w:t xml:space="preserve">member resigns permanently, a replacement member may be appointed. Members of the </w:t>
      </w:r>
      <w:r w:rsidR="00B72395" w:rsidRPr="008E3D9A">
        <w:rPr>
          <w:bCs/>
        </w:rPr>
        <w:t>Industry Best Practice Guide Working Group</w:t>
      </w:r>
      <w:r>
        <w:t xml:space="preserve"> and the Executive Committee will be invited to provide suitable nominees with relevant skills and/or expertise to the Partnership Secretariat. </w:t>
      </w:r>
    </w:p>
    <w:p w:rsidR="00564CBE" w:rsidRPr="00B72395" w:rsidRDefault="00564CBE" w:rsidP="00564CBE">
      <w:pPr>
        <w:spacing w:after="120"/>
        <w:rPr>
          <w:i/>
        </w:rPr>
      </w:pPr>
      <w:r w:rsidRPr="00B72395">
        <w:rPr>
          <w:i/>
        </w:rPr>
        <w:t xml:space="preserve">NOTE: It is expected that nominees will seek support for their involvement in the </w:t>
      </w:r>
      <w:r w:rsidR="00D64F75">
        <w:rPr>
          <w:i/>
        </w:rPr>
        <w:t>working group</w:t>
      </w:r>
      <w:r w:rsidRPr="00B72395">
        <w:rPr>
          <w:i/>
        </w:rPr>
        <w:t xml:space="preserve"> from their employer.</w:t>
      </w:r>
    </w:p>
    <w:p w:rsidR="00B72395" w:rsidRDefault="00B72395" w:rsidP="00B72395">
      <w:pPr>
        <w:pStyle w:val="Heading2"/>
      </w:pPr>
      <w:r>
        <w:t>3.2 Current Membership</w:t>
      </w:r>
    </w:p>
    <w:tbl>
      <w:tblPr>
        <w:tblStyle w:val="TableGrid"/>
        <w:tblW w:w="0" w:type="auto"/>
        <w:tblInd w:w="5" w:type="dxa"/>
        <w:tblLayout w:type="fixed"/>
        <w:tblLook w:val="04A0" w:firstRow="1" w:lastRow="0" w:firstColumn="1" w:lastColumn="0" w:noHBand="0" w:noVBand="1"/>
        <w:tblDescription w:val="Table showing the current membership of the working group"/>
      </w:tblPr>
      <w:tblGrid>
        <w:gridCol w:w="2803"/>
        <w:gridCol w:w="6372"/>
      </w:tblGrid>
      <w:tr w:rsidR="009A3086" w:rsidTr="00D4562F">
        <w:trPr>
          <w:trHeight w:val="397"/>
          <w:tblHeader/>
        </w:trPr>
        <w:tc>
          <w:tcPr>
            <w:tcW w:w="2803" w:type="dxa"/>
            <w:tcBorders>
              <w:top w:val="single" w:sz="4" w:space="0" w:color="auto"/>
              <w:left w:val="single" w:sz="4" w:space="0" w:color="auto"/>
              <w:bottom w:val="single" w:sz="4" w:space="0" w:color="auto"/>
              <w:right w:val="single" w:sz="4" w:space="0" w:color="auto"/>
            </w:tcBorders>
            <w:vAlign w:val="center"/>
          </w:tcPr>
          <w:p w:rsidR="009A3086" w:rsidRPr="009A3086" w:rsidRDefault="009A3086" w:rsidP="009A3086">
            <w:pPr>
              <w:rPr>
                <w:rFonts w:cstheme="minorHAnsi"/>
                <w:b/>
              </w:rPr>
            </w:pPr>
            <w:bookmarkStart w:id="0" w:name="_GoBack"/>
            <w:r w:rsidRPr="009A3086">
              <w:rPr>
                <w:rFonts w:cstheme="minorHAnsi"/>
                <w:b/>
              </w:rPr>
              <w:t>Member</w:t>
            </w:r>
          </w:p>
        </w:tc>
        <w:tc>
          <w:tcPr>
            <w:tcW w:w="6372" w:type="dxa"/>
            <w:tcBorders>
              <w:top w:val="single" w:sz="4" w:space="0" w:color="auto"/>
              <w:left w:val="single" w:sz="4" w:space="0" w:color="auto"/>
              <w:bottom w:val="single" w:sz="4" w:space="0" w:color="auto"/>
              <w:right w:val="single" w:sz="4" w:space="0" w:color="auto"/>
            </w:tcBorders>
            <w:vAlign w:val="center"/>
          </w:tcPr>
          <w:p w:rsidR="009A3086" w:rsidRPr="009A3086" w:rsidRDefault="009A3086" w:rsidP="009A3086">
            <w:pPr>
              <w:rPr>
                <w:rFonts w:cstheme="minorHAnsi"/>
                <w:b/>
              </w:rPr>
            </w:pPr>
            <w:r w:rsidRPr="009A3086">
              <w:rPr>
                <w:rFonts w:cstheme="minorHAnsi"/>
                <w:b/>
              </w:rPr>
              <w:t>Organisation</w:t>
            </w:r>
          </w:p>
        </w:tc>
      </w:tr>
      <w:bookmarkEnd w:id="0"/>
      <w:tr w:rsidR="009A3086"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tcPr>
          <w:p w:rsidR="009A3086" w:rsidRDefault="009A3086" w:rsidP="009A3086">
            <w:pPr>
              <w:rPr>
                <w:rFonts w:cstheme="minorHAnsi"/>
              </w:rPr>
            </w:pPr>
            <w:r>
              <w:rPr>
                <w:rFonts w:cstheme="minorHAnsi"/>
              </w:rPr>
              <w:t>Kirsten Grinter</w:t>
            </w:r>
            <w:r w:rsidR="00925BB8">
              <w:rPr>
                <w:rFonts w:cstheme="minorHAnsi"/>
              </w:rPr>
              <w:t xml:space="preserve"> (Chair)</w:t>
            </w:r>
          </w:p>
        </w:tc>
        <w:tc>
          <w:tcPr>
            <w:tcW w:w="6372"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Nestle</w:t>
            </w:r>
          </w:p>
        </w:tc>
      </w:tr>
      <w:tr w:rsidR="009A3086"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Eithne Cahill</w:t>
            </w:r>
          </w:p>
        </w:tc>
        <w:tc>
          <w:tcPr>
            <w:tcW w:w="6372" w:type="dxa"/>
            <w:tcBorders>
              <w:top w:val="single" w:sz="4" w:space="0" w:color="auto"/>
              <w:left w:val="single" w:sz="4" w:space="0" w:color="auto"/>
              <w:bottom w:val="single" w:sz="4" w:space="0" w:color="auto"/>
              <w:right w:val="single" w:sz="4" w:space="0" w:color="auto"/>
            </w:tcBorders>
            <w:vAlign w:val="center"/>
            <w:hideMark/>
          </w:tcPr>
          <w:p w:rsidR="009A3086" w:rsidRDefault="00C6193E" w:rsidP="009A3086">
            <w:pPr>
              <w:rPr>
                <w:rFonts w:cstheme="minorHAnsi"/>
              </w:rPr>
            </w:pPr>
            <w:r>
              <w:rPr>
                <w:rFonts w:cstheme="minorHAnsi"/>
              </w:rPr>
              <w:t>Independent Consultant</w:t>
            </w:r>
          </w:p>
        </w:tc>
      </w:tr>
      <w:tr w:rsidR="009A3086"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Jennifer Thompson</w:t>
            </w:r>
          </w:p>
        </w:tc>
        <w:tc>
          <w:tcPr>
            <w:tcW w:w="6372"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Ai Group</w:t>
            </w:r>
          </w:p>
        </w:tc>
      </w:tr>
      <w:tr w:rsidR="009A3086"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Anna Rangan</w:t>
            </w:r>
          </w:p>
        </w:tc>
        <w:tc>
          <w:tcPr>
            <w:tcW w:w="6372" w:type="dxa"/>
            <w:tcBorders>
              <w:top w:val="single" w:sz="4" w:space="0" w:color="auto"/>
              <w:left w:val="single" w:sz="4" w:space="0" w:color="auto"/>
              <w:bottom w:val="single" w:sz="4" w:space="0" w:color="auto"/>
              <w:right w:val="single" w:sz="4" w:space="0" w:color="auto"/>
            </w:tcBorders>
            <w:vAlign w:val="center"/>
          </w:tcPr>
          <w:p w:rsidR="009A3086" w:rsidRDefault="009A3086" w:rsidP="009F00C0">
            <w:pPr>
              <w:rPr>
                <w:rFonts w:cstheme="minorHAnsi"/>
              </w:rPr>
            </w:pPr>
            <w:r>
              <w:rPr>
                <w:rFonts w:cstheme="minorHAnsi"/>
              </w:rPr>
              <w:t xml:space="preserve">The University of Sydney </w:t>
            </w:r>
          </w:p>
        </w:tc>
      </w:tr>
      <w:tr w:rsidR="009A3086"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hideMark/>
          </w:tcPr>
          <w:p w:rsidR="009A3086" w:rsidRDefault="009F00C0" w:rsidP="009A3086">
            <w:pPr>
              <w:rPr>
                <w:rFonts w:cstheme="minorHAnsi"/>
              </w:rPr>
            </w:pPr>
            <w:r>
              <w:rPr>
                <w:rFonts w:cstheme="minorHAnsi"/>
              </w:rPr>
              <w:t>Katherine Bathgate</w:t>
            </w:r>
          </w:p>
        </w:tc>
        <w:tc>
          <w:tcPr>
            <w:tcW w:w="6372"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Food Standards Australia and New Zealand</w:t>
            </w:r>
          </w:p>
        </w:tc>
      </w:tr>
      <w:tr w:rsidR="009A3086"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 xml:space="preserve">Kate Wilkinson </w:t>
            </w:r>
          </w:p>
        </w:tc>
        <w:tc>
          <w:tcPr>
            <w:tcW w:w="6372" w:type="dxa"/>
            <w:tcBorders>
              <w:top w:val="single" w:sz="4" w:space="0" w:color="auto"/>
              <w:left w:val="single" w:sz="4" w:space="0" w:color="auto"/>
              <w:bottom w:val="single" w:sz="4" w:space="0" w:color="auto"/>
              <w:right w:val="single" w:sz="4" w:space="0" w:color="auto"/>
            </w:tcBorders>
            <w:vAlign w:val="center"/>
            <w:hideMark/>
          </w:tcPr>
          <w:p w:rsidR="009A3086" w:rsidRDefault="009A3086" w:rsidP="009A3086">
            <w:pPr>
              <w:rPr>
                <w:rFonts w:cstheme="minorHAnsi"/>
              </w:rPr>
            </w:pPr>
            <w:r>
              <w:rPr>
                <w:rFonts w:cstheme="minorHAnsi"/>
              </w:rPr>
              <w:t xml:space="preserve">Dietitians Association of Australia </w:t>
            </w:r>
          </w:p>
        </w:tc>
      </w:tr>
      <w:tr w:rsidR="00925BB8"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tcPr>
          <w:p w:rsidR="00925BB8" w:rsidRDefault="00925BB8" w:rsidP="009A3086">
            <w:pPr>
              <w:rPr>
                <w:rFonts w:cstheme="minorHAnsi"/>
              </w:rPr>
            </w:pPr>
            <w:r>
              <w:rPr>
                <w:rFonts w:cstheme="minorHAnsi"/>
              </w:rPr>
              <w:t>Laura Hatt</w:t>
            </w:r>
          </w:p>
        </w:tc>
        <w:tc>
          <w:tcPr>
            <w:tcW w:w="6372" w:type="dxa"/>
            <w:tcBorders>
              <w:top w:val="single" w:sz="4" w:space="0" w:color="auto"/>
              <w:left w:val="single" w:sz="4" w:space="0" w:color="auto"/>
              <w:bottom w:val="single" w:sz="4" w:space="0" w:color="auto"/>
              <w:right w:val="single" w:sz="4" w:space="0" w:color="auto"/>
            </w:tcBorders>
            <w:vAlign w:val="center"/>
          </w:tcPr>
          <w:p w:rsidR="00925BB8" w:rsidRDefault="00925BB8" w:rsidP="009A3086">
            <w:pPr>
              <w:rPr>
                <w:rFonts w:cstheme="minorHAnsi"/>
              </w:rPr>
            </w:pPr>
            <w:r>
              <w:rPr>
                <w:rFonts w:cstheme="minorHAnsi"/>
              </w:rPr>
              <w:t>Department of Health</w:t>
            </w:r>
          </w:p>
        </w:tc>
      </w:tr>
      <w:tr w:rsidR="008477D4"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tcPr>
          <w:p w:rsidR="008477D4" w:rsidRPr="00410602" w:rsidRDefault="002E4DE5" w:rsidP="009A3086">
            <w:pPr>
              <w:rPr>
                <w:rFonts w:cstheme="minorHAnsi"/>
              </w:rPr>
            </w:pPr>
            <w:r>
              <w:rPr>
                <w:rFonts w:cstheme="minorHAnsi"/>
              </w:rPr>
              <w:t>Anne-Marie Mackintosh</w:t>
            </w:r>
          </w:p>
        </w:tc>
        <w:tc>
          <w:tcPr>
            <w:tcW w:w="6372" w:type="dxa"/>
            <w:tcBorders>
              <w:top w:val="single" w:sz="4" w:space="0" w:color="auto"/>
              <w:left w:val="single" w:sz="4" w:space="0" w:color="auto"/>
              <w:bottom w:val="single" w:sz="4" w:space="0" w:color="auto"/>
              <w:right w:val="single" w:sz="4" w:space="0" w:color="auto"/>
            </w:tcBorders>
            <w:vAlign w:val="center"/>
          </w:tcPr>
          <w:p w:rsidR="008477D4" w:rsidRDefault="008477D4" w:rsidP="009A3086">
            <w:pPr>
              <w:rPr>
                <w:rFonts w:cstheme="minorHAnsi"/>
              </w:rPr>
            </w:pPr>
            <w:r>
              <w:rPr>
                <w:rFonts w:cstheme="minorHAnsi"/>
              </w:rPr>
              <w:t>Australian Food and Grocery Council</w:t>
            </w:r>
          </w:p>
        </w:tc>
      </w:tr>
      <w:tr w:rsidR="00410602"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tcPr>
          <w:p w:rsidR="00410602" w:rsidRPr="00410602" w:rsidRDefault="00410602" w:rsidP="009A3086">
            <w:pPr>
              <w:rPr>
                <w:rFonts w:cstheme="minorHAnsi"/>
              </w:rPr>
            </w:pPr>
            <w:r>
              <w:rPr>
                <w:rFonts w:cstheme="minorHAnsi"/>
              </w:rPr>
              <w:t>Emma Stirling</w:t>
            </w:r>
          </w:p>
        </w:tc>
        <w:tc>
          <w:tcPr>
            <w:tcW w:w="6372" w:type="dxa"/>
            <w:tcBorders>
              <w:top w:val="single" w:sz="4" w:space="0" w:color="auto"/>
              <w:left w:val="single" w:sz="4" w:space="0" w:color="auto"/>
              <w:bottom w:val="single" w:sz="4" w:space="0" w:color="auto"/>
              <w:right w:val="single" w:sz="4" w:space="0" w:color="auto"/>
            </w:tcBorders>
            <w:vAlign w:val="center"/>
          </w:tcPr>
          <w:p w:rsidR="00410602" w:rsidRDefault="00410602" w:rsidP="009A3086">
            <w:pPr>
              <w:rPr>
                <w:rFonts w:cstheme="minorHAnsi"/>
              </w:rPr>
            </w:pPr>
            <w:r>
              <w:rPr>
                <w:rFonts w:cstheme="minorHAnsi"/>
              </w:rPr>
              <w:t>La Trobe University</w:t>
            </w:r>
          </w:p>
        </w:tc>
      </w:tr>
      <w:tr w:rsidR="00552994" w:rsidTr="002E4DE5">
        <w:trPr>
          <w:trHeight w:val="397"/>
        </w:trPr>
        <w:tc>
          <w:tcPr>
            <w:tcW w:w="2803" w:type="dxa"/>
            <w:tcBorders>
              <w:top w:val="single" w:sz="4" w:space="0" w:color="auto"/>
              <w:left w:val="single" w:sz="4" w:space="0" w:color="auto"/>
              <w:bottom w:val="single" w:sz="4" w:space="0" w:color="auto"/>
              <w:right w:val="single" w:sz="4" w:space="0" w:color="auto"/>
            </w:tcBorders>
            <w:vAlign w:val="center"/>
          </w:tcPr>
          <w:p w:rsidR="00552994" w:rsidRDefault="00552994" w:rsidP="009A3086">
            <w:pPr>
              <w:rPr>
                <w:rFonts w:cstheme="minorHAnsi"/>
              </w:rPr>
            </w:pPr>
            <w:r>
              <w:rPr>
                <w:rFonts w:cstheme="minorHAnsi"/>
              </w:rPr>
              <w:t>Liz Munn</w:t>
            </w:r>
          </w:p>
        </w:tc>
        <w:tc>
          <w:tcPr>
            <w:tcW w:w="6372" w:type="dxa"/>
            <w:tcBorders>
              <w:top w:val="single" w:sz="4" w:space="0" w:color="auto"/>
              <w:left w:val="single" w:sz="4" w:space="0" w:color="auto"/>
              <w:bottom w:val="single" w:sz="4" w:space="0" w:color="auto"/>
              <w:right w:val="single" w:sz="4" w:space="0" w:color="auto"/>
            </w:tcBorders>
            <w:vAlign w:val="center"/>
          </w:tcPr>
          <w:p w:rsidR="00552994" w:rsidRDefault="00552994" w:rsidP="009A3086">
            <w:pPr>
              <w:rPr>
                <w:rFonts w:cstheme="minorHAnsi"/>
              </w:rPr>
            </w:pPr>
            <w:r>
              <w:rPr>
                <w:rFonts w:cstheme="minorHAnsi"/>
              </w:rPr>
              <w:t>NSW Ministry of Health</w:t>
            </w:r>
          </w:p>
        </w:tc>
      </w:tr>
    </w:tbl>
    <w:p w:rsidR="00B72395" w:rsidRPr="00B72395" w:rsidRDefault="00B72395" w:rsidP="00B72395">
      <w:pPr>
        <w:pStyle w:val="Heading2"/>
      </w:pPr>
      <w:bookmarkStart w:id="1" w:name="_Toc319575189"/>
      <w:bookmarkStart w:id="2" w:name="_Toc316979872"/>
      <w:r w:rsidRPr="00B72395">
        <w:t>3.3 Conflict of interest</w:t>
      </w:r>
      <w:bookmarkEnd w:id="1"/>
      <w:bookmarkEnd w:id="2"/>
    </w:p>
    <w:p w:rsidR="00B72395" w:rsidRDefault="00B72395" w:rsidP="00B72395">
      <w:pPr>
        <w:spacing w:after="120"/>
        <w:rPr>
          <w:rFonts w:ascii="Calibri" w:hAnsi="Calibri"/>
        </w:rPr>
      </w:pPr>
      <w:r>
        <w:t>Members and observers have a responsibility to disclose and take reasonable steps to avoid any conflict of interest, real or apparent in connection with their membership or support of the Partnership</w:t>
      </w:r>
      <w:r>
        <w:rPr>
          <w:rFonts w:ascii="Calibri" w:hAnsi="Calibri"/>
        </w:rPr>
        <w:t>.  A conflict of interest register will be maintained.</w:t>
      </w:r>
    </w:p>
    <w:p w:rsidR="00B72395" w:rsidRPr="00B72395" w:rsidRDefault="00B72395" w:rsidP="00B72395">
      <w:pPr>
        <w:pStyle w:val="Heading2"/>
      </w:pPr>
      <w:r w:rsidRPr="00B72395">
        <w:t>3.3 Costs</w:t>
      </w:r>
    </w:p>
    <w:p w:rsidR="00B72395" w:rsidRDefault="00B72395" w:rsidP="00B72395">
      <w:pPr>
        <w:keepNext/>
        <w:spacing w:after="120"/>
        <w:rPr>
          <w:b/>
          <w:i/>
        </w:rPr>
      </w:pPr>
      <w:r>
        <w:t>Individual</w:t>
      </w:r>
      <w:r w:rsidR="009216CA">
        <w:t>s</w:t>
      </w:r>
      <w:r>
        <w:t xml:space="preserve"> are expected to make their own arrangements to meet the cost of their participation in </w:t>
      </w:r>
      <w:r w:rsidRPr="002F26A4">
        <w:t xml:space="preserve">the </w:t>
      </w:r>
      <w:r w:rsidRPr="008E3D9A">
        <w:rPr>
          <w:bCs/>
        </w:rPr>
        <w:t>Industry Best Practice Guide Working Group</w:t>
      </w:r>
      <w:r>
        <w:rPr>
          <w:bCs/>
        </w:rPr>
        <w:t>.</w:t>
      </w:r>
    </w:p>
    <w:p w:rsidR="00B72395" w:rsidRPr="00B72395" w:rsidRDefault="00B72395" w:rsidP="00B72395">
      <w:pPr>
        <w:pStyle w:val="Heading2"/>
      </w:pPr>
      <w:r w:rsidRPr="00B72395">
        <w:t>3.4 Leave of Absence Provisions</w:t>
      </w:r>
    </w:p>
    <w:p w:rsidR="00B72395" w:rsidRDefault="00B72395" w:rsidP="00B72395">
      <w:pPr>
        <w:spacing w:after="120"/>
      </w:pPr>
      <w:r>
        <w:t xml:space="preserve">In </w:t>
      </w:r>
      <w:r w:rsidRPr="002F26A4">
        <w:t xml:space="preserve">cases where members are required to take a temporary leave of absence (e.g. maternity leave, </w:t>
      </w:r>
      <w:r w:rsidR="009216CA">
        <w:t xml:space="preserve">illness, </w:t>
      </w:r>
      <w:r w:rsidRPr="002F26A4">
        <w:t>family matters); the leaving member may nominate an ob</w:t>
      </w:r>
      <w:r>
        <w:t>server for approval by the group</w:t>
      </w:r>
      <w:r w:rsidRPr="002F26A4">
        <w:t xml:space="preserve">. </w:t>
      </w:r>
      <w:r w:rsidRPr="002F26A4">
        <w:lastRenderedPageBreak/>
        <w:t xml:space="preserve">The observer can contribute to the </w:t>
      </w:r>
      <w:r w:rsidR="00D64F75">
        <w:t>working group</w:t>
      </w:r>
      <w:r w:rsidRPr="002F26A4">
        <w:t xml:space="preserve"> at the discretion of the </w:t>
      </w:r>
      <w:r>
        <w:t>group</w:t>
      </w:r>
      <w:r w:rsidRPr="002F26A4">
        <w:t xml:space="preserve">, but they will not be permanently appointed to the </w:t>
      </w:r>
      <w:r w:rsidR="00D64F75">
        <w:t>working group</w:t>
      </w:r>
      <w:r w:rsidRPr="002F26A4">
        <w:t>.</w:t>
      </w:r>
    </w:p>
    <w:p w:rsidR="00B72395" w:rsidRPr="00B72395" w:rsidRDefault="00B72395" w:rsidP="00B72395">
      <w:pPr>
        <w:pStyle w:val="Heading2"/>
      </w:pPr>
      <w:r w:rsidRPr="00B72395">
        <w:t>3.5 Workload and expectations</w:t>
      </w:r>
    </w:p>
    <w:p w:rsidR="00B72395" w:rsidRPr="0014306D" w:rsidRDefault="00B72395" w:rsidP="00B72395">
      <w:pPr>
        <w:spacing w:after="120"/>
      </w:pPr>
      <w:r w:rsidRPr="0014306D">
        <w:t>It is expected that the members of the</w:t>
      </w:r>
      <w:r w:rsidR="00D64F75">
        <w:t xml:space="preserve"> working group</w:t>
      </w:r>
      <w:r w:rsidRPr="0014306D">
        <w:t xml:space="preserve"> will have the </w:t>
      </w:r>
      <w:r>
        <w:t>capacity to undertake</w:t>
      </w:r>
      <w:r w:rsidRPr="0014306D">
        <w:t xml:space="preserve"> the following tasks as required:</w:t>
      </w:r>
    </w:p>
    <w:p w:rsidR="00B72395" w:rsidRPr="0014306D" w:rsidRDefault="00B72395" w:rsidP="00B72395">
      <w:pPr>
        <w:pStyle w:val="ListParagraph"/>
        <w:numPr>
          <w:ilvl w:val="0"/>
          <w:numId w:val="17"/>
        </w:numPr>
        <w:tabs>
          <w:tab w:val="left" w:pos="567"/>
        </w:tabs>
        <w:spacing w:after="0" w:line="240" w:lineRule="auto"/>
        <w:ind w:left="567" w:hanging="425"/>
      </w:pPr>
      <w:r w:rsidRPr="0014306D">
        <w:t>Be available to participate in [regular] meetings</w:t>
      </w:r>
    </w:p>
    <w:p w:rsidR="00B72395" w:rsidRPr="0014306D" w:rsidRDefault="00B72395" w:rsidP="00B72395">
      <w:pPr>
        <w:pStyle w:val="ListParagraph"/>
        <w:numPr>
          <w:ilvl w:val="0"/>
          <w:numId w:val="18"/>
        </w:numPr>
        <w:tabs>
          <w:tab w:val="left" w:pos="567"/>
        </w:tabs>
        <w:spacing w:after="0" w:line="240" w:lineRule="auto"/>
        <w:ind w:left="567" w:hanging="425"/>
      </w:pPr>
      <w:r w:rsidRPr="0014306D">
        <w:t>Contribute to researching, drafting and/or editing papers</w:t>
      </w:r>
    </w:p>
    <w:p w:rsidR="00B72395" w:rsidRPr="0014306D" w:rsidRDefault="00B72395" w:rsidP="00B72395">
      <w:pPr>
        <w:pStyle w:val="ListParagraph"/>
        <w:numPr>
          <w:ilvl w:val="0"/>
          <w:numId w:val="17"/>
        </w:numPr>
        <w:tabs>
          <w:tab w:val="left" w:pos="567"/>
        </w:tabs>
        <w:spacing w:after="120" w:line="240" w:lineRule="auto"/>
        <w:ind w:left="567" w:hanging="425"/>
      </w:pPr>
      <w:r w:rsidRPr="0014306D">
        <w:t xml:space="preserve">Provide expertise and guidance </w:t>
      </w:r>
    </w:p>
    <w:p w:rsidR="00B72395" w:rsidRPr="00B72395" w:rsidRDefault="00B72395" w:rsidP="00B72395">
      <w:pPr>
        <w:pStyle w:val="Heading2"/>
      </w:pPr>
      <w:r w:rsidRPr="00B72395">
        <w:t>3.6 Meetings</w:t>
      </w:r>
    </w:p>
    <w:p w:rsidR="00B72395" w:rsidRPr="0014306D" w:rsidRDefault="00B72395" w:rsidP="00B72395">
      <w:pPr>
        <w:spacing w:after="120"/>
      </w:pPr>
      <w:r w:rsidRPr="0014306D">
        <w:t xml:space="preserve">The </w:t>
      </w:r>
      <w:r w:rsidRPr="008E3D9A">
        <w:rPr>
          <w:bCs/>
        </w:rPr>
        <w:t>Industry Best Practice Guide Working Group</w:t>
      </w:r>
      <w:r>
        <w:rPr>
          <w:b/>
          <w:bCs/>
        </w:rPr>
        <w:t xml:space="preserve"> </w:t>
      </w:r>
      <w:r w:rsidRPr="0014306D">
        <w:t>will meet as required either face to face or via teleconference. Teleconference will be used where possible.</w:t>
      </w:r>
    </w:p>
    <w:p w:rsidR="00B72395" w:rsidRDefault="00B72395" w:rsidP="00B72395">
      <w:pPr>
        <w:pStyle w:val="Heading1"/>
        <w:numPr>
          <w:ilvl w:val="0"/>
          <w:numId w:val="11"/>
        </w:numPr>
      </w:pPr>
      <w:r w:rsidRPr="0014306D">
        <w:t xml:space="preserve">Administration </w:t>
      </w:r>
    </w:p>
    <w:p w:rsidR="00130876" w:rsidRPr="00B72395" w:rsidRDefault="00130876" w:rsidP="00130876">
      <w:pPr>
        <w:pStyle w:val="Heading2"/>
      </w:pPr>
      <w:r>
        <w:t>4</w:t>
      </w:r>
      <w:r w:rsidRPr="00B72395">
        <w:t>.</w:t>
      </w:r>
      <w:r>
        <w:t>1</w:t>
      </w:r>
      <w:r w:rsidRPr="00B72395">
        <w:t xml:space="preserve"> </w:t>
      </w:r>
      <w:r>
        <w:t>Secretariat Support</w:t>
      </w:r>
    </w:p>
    <w:p w:rsidR="00B72395" w:rsidRPr="0014306D" w:rsidRDefault="00B72395" w:rsidP="00B72395">
      <w:pPr>
        <w:spacing w:after="120"/>
      </w:pPr>
      <w:r w:rsidRPr="0014306D">
        <w:t xml:space="preserve">The </w:t>
      </w:r>
      <w:r w:rsidRPr="008E3D9A">
        <w:rPr>
          <w:bCs/>
        </w:rPr>
        <w:t>Industry Best Practice Guide Working Group</w:t>
      </w:r>
      <w:r>
        <w:t xml:space="preserve"> will be supported by the Healthy Food Partnership</w:t>
      </w:r>
      <w:r w:rsidRPr="0014306D">
        <w:t xml:space="preserve"> Secretariat</w:t>
      </w:r>
      <w:r>
        <w:t>,</w:t>
      </w:r>
      <w:r w:rsidRPr="0014306D">
        <w:t xml:space="preserve"> managed within the Department of Health. The Secretariat’s role is to support the Executive Committee and the </w:t>
      </w:r>
      <w:r w:rsidRPr="008E3D9A">
        <w:rPr>
          <w:bCs/>
        </w:rPr>
        <w:t>Industry Best Practice Guide Working Group</w:t>
      </w:r>
      <w:r>
        <w:rPr>
          <w:bCs/>
        </w:rPr>
        <w:t>.</w:t>
      </w:r>
    </w:p>
    <w:p w:rsidR="00B72395" w:rsidRDefault="00B72395" w:rsidP="00B72395">
      <w:pPr>
        <w:spacing w:after="120"/>
      </w:pPr>
      <w:r>
        <w:t>The Secretariat will:</w:t>
      </w:r>
    </w:p>
    <w:p w:rsidR="00B72395" w:rsidRDefault="00B72395" w:rsidP="00B72395">
      <w:pPr>
        <w:pStyle w:val="ListParagraph"/>
        <w:numPr>
          <w:ilvl w:val="0"/>
          <w:numId w:val="19"/>
        </w:numPr>
        <w:spacing w:after="120" w:line="240" w:lineRule="auto"/>
      </w:pPr>
      <w:r>
        <w:t>Arrange working group meetings and teleconferences – including seeking meeting dates, booking venues and arranging catering;</w:t>
      </w:r>
    </w:p>
    <w:p w:rsidR="00B72395" w:rsidRDefault="00B72395" w:rsidP="00B72395">
      <w:pPr>
        <w:pStyle w:val="ListParagraph"/>
        <w:numPr>
          <w:ilvl w:val="0"/>
          <w:numId w:val="19"/>
        </w:numPr>
        <w:spacing w:after="120" w:line="240" w:lineRule="auto"/>
      </w:pPr>
      <w:r>
        <w:t>Collate, format and circulate meeting papers</w:t>
      </w:r>
    </w:p>
    <w:p w:rsidR="00B72395" w:rsidRDefault="00B72395" w:rsidP="00B72395">
      <w:pPr>
        <w:pStyle w:val="ListParagraph"/>
        <w:numPr>
          <w:ilvl w:val="0"/>
          <w:numId w:val="19"/>
        </w:numPr>
        <w:spacing w:after="120" w:line="240" w:lineRule="auto"/>
      </w:pPr>
      <w:r>
        <w:t>Record and circulate meeting outcomes and actions at each meeting</w:t>
      </w:r>
    </w:p>
    <w:p w:rsidR="00B72395" w:rsidRDefault="009216CA" w:rsidP="00B72395">
      <w:pPr>
        <w:pStyle w:val="ListParagraph"/>
        <w:numPr>
          <w:ilvl w:val="0"/>
          <w:numId w:val="19"/>
        </w:numPr>
        <w:spacing w:after="120" w:line="240" w:lineRule="auto"/>
      </w:pPr>
      <w:r>
        <w:t>Draft</w:t>
      </w:r>
      <w:r w:rsidR="00B72395">
        <w:t xml:space="preserve"> papers</w:t>
      </w:r>
      <w:r w:rsidR="00B72395" w:rsidRPr="0014306D">
        <w:t xml:space="preserve"> </w:t>
      </w:r>
      <w:r w:rsidR="00B72395">
        <w:t xml:space="preserve">for and on behalf of the </w:t>
      </w:r>
      <w:r w:rsidR="00130876">
        <w:t>w</w:t>
      </w:r>
      <w:r w:rsidR="00B72395" w:rsidRPr="008E3D9A">
        <w:rPr>
          <w:bCs/>
        </w:rPr>
        <w:t xml:space="preserve">orking </w:t>
      </w:r>
      <w:r w:rsidR="00130876">
        <w:rPr>
          <w:bCs/>
        </w:rPr>
        <w:t>g</w:t>
      </w:r>
      <w:r w:rsidR="00B72395" w:rsidRPr="008E3D9A">
        <w:rPr>
          <w:bCs/>
        </w:rPr>
        <w:t>roup</w:t>
      </w:r>
    </w:p>
    <w:p w:rsidR="00B72395" w:rsidRDefault="009216CA" w:rsidP="00B72395">
      <w:pPr>
        <w:pStyle w:val="ListParagraph"/>
        <w:numPr>
          <w:ilvl w:val="0"/>
          <w:numId w:val="19"/>
        </w:numPr>
        <w:spacing w:after="120" w:line="240" w:lineRule="auto"/>
      </w:pPr>
      <w:r>
        <w:t>Liaise</w:t>
      </w:r>
      <w:r w:rsidR="00B72395">
        <w:t xml:space="preserve"> with contractors</w:t>
      </w:r>
    </w:p>
    <w:p w:rsidR="00B72395" w:rsidRDefault="00B72395" w:rsidP="00B72395">
      <w:pPr>
        <w:pStyle w:val="ListParagraph"/>
        <w:numPr>
          <w:ilvl w:val="0"/>
          <w:numId w:val="19"/>
        </w:numPr>
        <w:spacing w:after="120" w:line="240" w:lineRule="auto"/>
      </w:pPr>
      <w:r>
        <w:t>Co-ordinate out-of-session business</w:t>
      </w:r>
    </w:p>
    <w:p w:rsidR="00B72395" w:rsidRDefault="00B72395" w:rsidP="00B72395">
      <w:pPr>
        <w:pStyle w:val="ListParagraph"/>
        <w:numPr>
          <w:ilvl w:val="0"/>
          <w:numId w:val="19"/>
        </w:numPr>
        <w:spacing w:after="120" w:line="240" w:lineRule="auto"/>
      </w:pPr>
      <w:r>
        <w:t>Maintain a record of final papers and decisions</w:t>
      </w:r>
    </w:p>
    <w:p w:rsidR="00B72395" w:rsidRDefault="00B72395" w:rsidP="00B72395">
      <w:pPr>
        <w:spacing w:after="120"/>
      </w:pPr>
      <w:r>
        <w:t xml:space="preserve">The Secretariat will correspond with members via the Healthy Food Partnership email address - </w:t>
      </w:r>
      <w:hyperlink r:id="rId8" w:history="1">
        <w:r>
          <w:rPr>
            <w:rStyle w:val="Hyperlink"/>
          </w:rPr>
          <w:t>healthyfoodpartnership@health.gov.au</w:t>
        </w:r>
      </w:hyperlink>
      <w:r>
        <w:t xml:space="preserve">. To ensure that the Secretariat has visibility of all emails, members are </w:t>
      </w:r>
      <w:r w:rsidR="00A0762E">
        <w:t xml:space="preserve">asked </w:t>
      </w:r>
      <w:r>
        <w:t>to use this email address when corresponding with the Secretariat.</w:t>
      </w:r>
    </w:p>
    <w:p w:rsidR="00130876" w:rsidRPr="00B72395" w:rsidRDefault="00130876" w:rsidP="00130876">
      <w:pPr>
        <w:pStyle w:val="Heading2"/>
      </w:pPr>
      <w:r>
        <w:t>4</w:t>
      </w:r>
      <w:r w:rsidRPr="00B72395">
        <w:t>.</w:t>
      </w:r>
      <w:r>
        <w:t>2</w:t>
      </w:r>
      <w:r w:rsidRPr="00B72395">
        <w:t xml:space="preserve"> </w:t>
      </w:r>
      <w:r>
        <w:t>Confidentiality</w:t>
      </w:r>
    </w:p>
    <w:p w:rsidR="00130876" w:rsidRDefault="00130876" w:rsidP="00130876">
      <w:pPr>
        <w:spacing w:after="120"/>
        <w:rPr>
          <w:shd w:val="clear" w:color="auto" w:fill="FFFFFF"/>
        </w:rPr>
      </w:pPr>
      <w:r>
        <w:rPr>
          <w:shd w:val="clear" w:color="auto" w:fill="FFFFFF"/>
        </w:rPr>
        <w:t xml:space="preserve">All information relating to or prepared by/for the </w:t>
      </w:r>
      <w:r w:rsidRPr="008E3D9A">
        <w:rPr>
          <w:bCs/>
        </w:rPr>
        <w:t>Industry Best Practice Guide Working Group</w:t>
      </w:r>
      <w:r>
        <w:rPr>
          <w:shd w:val="clear" w:color="auto" w:fill="FFFFFF"/>
        </w:rPr>
        <w:t xml:space="preserve"> is to be treated as confidential, unless otherwise agreed, and will be distributed on a strict need-to-know basis.</w:t>
      </w:r>
    </w:p>
    <w:p w:rsidR="00130876" w:rsidRDefault="00130876" w:rsidP="00130876">
      <w:pPr>
        <w:spacing w:after="120"/>
        <w:rPr>
          <w:shd w:val="clear" w:color="auto" w:fill="FFFFFF"/>
        </w:rPr>
      </w:pPr>
      <w:r>
        <w:rPr>
          <w:shd w:val="clear" w:color="auto" w:fill="FFFFFF"/>
        </w:rPr>
        <w:t xml:space="preserve">All agenda papers and reports shall be treated as confidential documents with circulation limited to the working group members and agreed observers, unless otherwise directed by the Executive Committee (and agreed with the </w:t>
      </w:r>
      <w:r>
        <w:t>provider of the information where necessary)</w:t>
      </w:r>
      <w:r>
        <w:rPr>
          <w:shd w:val="clear" w:color="auto" w:fill="FFFFFF"/>
        </w:rPr>
        <w:t>.</w:t>
      </w:r>
    </w:p>
    <w:p w:rsidR="00130876" w:rsidRDefault="00130876" w:rsidP="00130876">
      <w:pPr>
        <w:spacing w:after="120"/>
        <w:rPr>
          <w:b/>
        </w:rPr>
      </w:pPr>
      <w:r>
        <w:t>All discussions within meetings (and the records of these) will remain confidential unless an alternative agreement is made.  Participants agree to contribute privately (and to treat the contributions of others as private) and will consult with their relevant sectors accordingly.</w:t>
      </w:r>
    </w:p>
    <w:p w:rsidR="00130876" w:rsidRPr="00130876" w:rsidRDefault="00130876" w:rsidP="00B72395">
      <w:pPr>
        <w:spacing w:after="120"/>
        <w:rPr>
          <w:b/>
        </w:rPr>
      </w:pPr>
    </w:p>
    <w:p w:rsidR="00F82527" w:rsidRDefault="00F82527" w:rsidP="00F82527">
      <w:pPr>
        <w:pStyle w:val="Heading1"/>
        <w:numPr>
          <w:ilvl w:val="0"/>
          <w:numId w:val="11"/>
        </w:numPr>
      </w:pPr>
      <w:r>
        <w:lastRenderedPageBreak/>
        <w:t>Key deliverables and activities</w:t>
      </w:r>
    </w:p>
    <w:p w:rsidR="00F82527" w:rsidRDefault="00B72395" w:rsidP="00F82527">
      <w:pPr>
        <w:pStyle w:val="Heading2"/>
      </w:pPr>
      <w:r>
        <w:t>5</w:t>
      </w:r>
      <w:r w:rsidR="00F82527">
        <w:t>.1 Key deliverables</w:t>
      </w:r>
    </w:p>
    <w:p w:rsidR="00F82527" w:rsidRDefault="00F82527" w:rsidP="00F82527">
      <w:pPr>
        <w:spacing w:before="200" w:after="0"/>
        <w:ind w:left="34"/>
      </w:pPr>
      <w:r>
        <w:t xml:space="preserve">Key deliverables for the </w:t>
      </w:r>
      <w:r w:rsidR="00C259C2">
        <w:rPr>
          <w:rFonts w:cs="Times New Roman"/>
        </w:rPr>
        <w:t>Industry Best Practice Guide Working Group</w:t>
      </w:r>
      <w:r w:rsidR="00C259C2">
        <w:t xml:space="preserve"> </w:t>
      </w:r>
      <w:r>
        <w:t>are:</w:t>
      </w:r>
    </w:p>
    <w:p w:rsidR="00F82527" w:rsidRPr="00FF7723" w:rsidRDefault="00F82527" w:rsidP="00F82527">
      <w:pPr>
        <w:pStyle w:val="ListParagraph"/>
        <w:numPr>
          <w:ilvl w:val="0"/>
          <w:numId w:val="12"/>
        </w:numPr>
        <w:spacing w:before="200" w:after="0"/>
        <w:ind w:left="460" w:hanging="284"/>
      </w:pPr>
      <w:r w:rsidRPr="00FF7723">
        <w:t xml:space="preserve">Undertake an evidence and policy analysis to assess effectiveness of potential strategies </w:t>
      </w:r>
    </w:p>
    <w:p w:rsidR="00343249" w:rsidRPr="00FF7723" w:rsidRDefault="00343249" w:rsidP="00F82527">
      <w:pPr>
        <w:pStyle w:val="ListParagraph"/>
        <w:numPr>
          <w:ilvl w:val="0"/>
          <w:numId w:val="12"/>
        </w:numPr>
        <w:spacing w:before="200" w:after="0"/>
        <w:ind w:left="460" w:hanging="284"/>
      </w:pPr>
      <w:r w:rsidRPr="00FF7723">
        <w:rPr>
          <w:color w:val="000000" w:themeColor="text1"/>
        </w:rPr>
        <w:t>Consult stakeholders</w:t>
      </w:r>
      <w:r w:rsidR="00C55A2A">
        <w:rPr>
          <w:color w:val="000000" w:themeColor="text1"/>
        </w:rPr>
        <w:t xml:space="preserve"> </w:t>
      </w:r>
      <w:r w:rsidRPr="00FF7723">
        <w:rPr>
          <w:color w:val="000000" w:themeColor="text1"/>
        </w:rPr>
        <w:t xml:space="preserve">on feasibility of the </w:t>
      </w:r>
      <w:r w:rsidR="00EF4CA3" w:rsidRPr="00FF7723">
        <w:rPr>
          <w:color w:val="000000" w:themeColor="text1"/>
        </w:rPr>
        <w:t xml:space="preserve">suggested </w:t>
      </w:r>
      <w:r w:rsidR="0051581F" w:rsidRPr="00FF7723">
        <w:rPr>
          <w:color w:val="000000" w:themeColor="text1"/>
        </w:rPr>
        <w:t>guidance</w:t>
      </w:r>
    </w:p>
    <w:p w:rsidR="00F82527" w:rsidRPr="00FF7723" w:rsidRDefault="00EF4CA3" w:rsidP="00F82527">
      <w:pPr>
        <w:pStyle w:val="ListParagraph"/>
        <w:numPr>
          <w:ilvl w:val="0"/>
          <w:numId w:val="12"/>
        </w:numPr>
        <w:spacing w:before="200" w:after="0"/>
        <w:ind w:left="460" w:hanging="284"/>
      </w:pPr>
      <w:r w:rsidRPr="00FF7723">
        <w:rPr>
          <w:color w:val="000000" w:themeColor="text1"/>
        </w:rPr>
        <w:t>Develop an Industry Best Practice Guide for the Partnership Executive Committee to endorse and implement.</w:t>
      </w:r>
    </w:p>
    <w:p w:rsidR="00F82527" w:rsidRPr="00FF7723" w:rsidRDefault="00B72395" w:rsidP="00F82527">
      <w:pPr>
        <w:pStyle w:val="Heading2"/>
      </w:pPr>
      <w:r w:rsidRPr="00FF7723">
        <w:t>5</w:t>
      </w:r>
      <w:r w:rsidR="00F82527" w:rsidRPr="00FF7723">
        <w:t>.2 Key activities</w:t>
      </w:r>
    </w:p>
    <w:tbl>
      <w:tblPr>
        <w:tblStyle w:val="TableGrid"/>
        <w:tblW w:w="9794" w:type="dxa"/>
        <w:tblInd w:w="34" w:type="dxa"/>
        <w:tblLook w:val="04A0" w:firstRow="1" w:lastRow="0" w:firstColumn="1" w:lastColumn="0" w:noHBand="0" w:noVBand="1"/>
        <w:tblDescription w:val="Table 3.2 - Key Activities, describes the key activities for the working group, the indicative timeframe for delivery and the deliverable that the activity links to."/>
      </w:tblPr>
      <w:tblGrid>
        <w:gridCol w:w="6734"/>
        <w:gridCol w:w="1822"/>
        <w:gridCol w:w="1238"/>
      </w:tblGrid>
      <w:tr w:rsidR="00F82527" w:rsidRPr="00FF7723" w:rsidTr="00290A6A">
        <w:trPr>
          <w:tblHeader/>
        </w:trPr>
        <w:tc>
          <w:tcPr>
            <w:tcW w:w="6734" w:type="dxa"/>
            <w:tcBorders>
              <w:top w:val="single" w:sz="4" w:space="0" w:color="auto"/>
              <w:left w:val="single" w:sz="4" w:space="0" w:color="auto"/>
              <w:bottom w:val="single" w:sz="4" w:space="0" w:color="auto"/>
              <w:right w:val="single" w:sz="4" w:space="0" w:color="auto"/>
            </w:tcBorders>
            <w:hideMark/>
          </w:tcPr>
          <w:p w:rsidR="00F82527" w:rsidRPr="00FF7723" w:rsidRDefault="00F82527">
            <w:r w:rsidRPr="00FF7723">
              <w:rPr>
                <w:b/>
              </w:rPr>
              <w:t>Key activity</w:t>
            </w:r>
          </w:p>
        </w:tc>
        <w:tc>
          <w:tcPr>
            <w:tcW w:w="1822" w:type="dxa"/>
            <w:tcBorders>
              <w:top w:val="single" w:sz="4" w:space="0" w:color="auto"/>
              <w:left w:val="single" w:sz="4" w:space="0" w:color="auto"/>
              <w:bottom w:val="single" w:sz="4" w:space="0" w:color="auto"/>
              <w:right w:val="single" w:sz="4" w:space="0" w:color="auto"/>
            </w:tcBorders>
            <w:hideMark/>
          </w:tcPr>
          <w:p w:rsidR="00F82527" w:rsidRPr="00FF7723" w:rsidRDefault="00F82527">
            <w:r w:rsidRPr="00FF7723">
              <w:rPr>
                <w:b/>
              </w:rPr>
              <w:t>Indicative timeframe</w:t>
            </w:r>
          </w:p>
        </w:tc>
        <w:tc>
          <w:tcPr>
            <w:tcW w:w="1238" w:type="dxa"/>
            <w:tcBorders>
              <w:top w:val="single" w:sz="4" w:space="0" w:color="auto"/>
              <w:left w:val="single" w:sz="4" w:space="0" w:color="auto"/>
              <w:bottom w:val="single" w:sz="4" w:space="0" w:color="auto"/>
              <w:right w:val="single" w:sz="4" w:space="0" w:color="auto"/>
            </w:tcBorders>
            <w:hideMark/>
          </w:tcPr>
          <w:p w:rsidR="00F82527" w:rsidRPr="00FF7723" w:rsidRDefault="00F82527">
            <w:pPr>
              <w:rPr>
                <w:b/>
              </w:rPr>
            </w:pPr>
            <w:r w:rsidRPr="00FF7723">
              <w:rPr>
                <w:b/>
              </w:rPr>
              <w:t>Relevant deliverable</w:t>
            </w:r>
          </w:p>
        </w:tc>
      </w:tr>
      <w:tr w:rsidR="00F82527" w:rsidRPr="00FF7723" w:rsidTr="00290A6A">
        <w:tc>
          <w:tcPr>
            <w:tcW w:w="6734" w:type="dxa"/>
            <w:tcBorders>
              <w:top w:val="single" w:sz="4" w:space="0" w:color="auto"/>
              <w:left w:val="single" w:sz="4" w:space="0" w:color="auto"/>
              <w:bottom w:val="single" w:sz="4" w:space="0" w:color="auto"/>
              <w:right w:val="single" w:sz="4" w:space="0" w:color="auto"/>
            </w:tcBorders>
            <w:hideMark/>
          </w:tcPr>
          <w:p w:rsidR="00343249" w:rsidRPr="00FF7723" w:rsidRDefault="00F82527" w:rsidP="00EF4CA3">
            <w:pPr>
              <w:rPr>
                <w:color w:val="000000" w:themeColor="text1"/>
              </w:rPr>
            </w:pPr>
            <w:r w:rsidRPr="00FF7723">
              <w:rPr>
                <w:color w:val="000000" w:themeColor="text1"/>
              </w:rPr>
              <w:t>Identify and summarise</w:t>
            </w:r>
            <w:r w:rsidR="00EF4CA3" w:rsidRPr="00FF7723">
              <w:rPr>
                <w:color w:val="000000" w:themeColor="text1"/>
              </w:rPr>
              <w:t xml:space="preserve"> </w:t>
            </w:r>
            <w:r w:rsidR="0051581F" w:rsidRPr="00FF7723">
              <w:rPr>
                <w:color w:val="000000" w:themeColor="text1"/>
              </w:rPr>
              <w:t>existing</w:t>
            </w:r>
            <w:r w:rsidR="00EF4CA3" w:rsidRPr="00FF7723">
              <w:rPr>
                <w:color w:val="000000" w:themeColor="text1"/>
              </w:rPr>
              <w:t xml:space="preserve"> </w:t>
            </w:r>
            <w:r w:rsidR="0051581F" w:rsidRPr="00FF7723">
              <w:rPr>
                <w:color w:val="000000" w:themeColor="text1"/>
              </w:rPr>
              <w:t>guidance</w:t>
            </w:r>
            <w:r w:rsidRPr="00FF7723">
              <w:rPr>
                <w:color w:val="000000" w:themeColor="text1"/>
              </w:rPr>
              <w:t xml:space="preserve"> from literature and other policies (government, NGO and industry) including </w:t>
            </w:r>
            <w:r w:rsidR="00EF4CA3" w:rsidRPr="00FF7723">
              <w:rPr>
                <w:color w:val="000000" w:themeColor="text1"/>
              </w:rPr>
              <w:t>consideration of effectiveness.</w:t>
            </w:r>
          </w:p>
        </w:tc>
        <w:tc>
          <w:tcPr>
            <w:tcW w:w="1822" w:type="dxa"/>
            <w:tcBorders>
              <w:top w:val="single" w:sz="4" w:space="0" w:color="auto"/>
              <w:left w:val="single" w:sz="4" w:space="0" w:color="auto"/>
              <w:bottom w:val="single" w:sz="4" w:space="0" w:color="auto"/>
              <w:right w:val="single" w:sz="4" w:space="0" w:color="auto"/>
            </w:tcBorders>
            <w:hideMark/>
          </w:tcPr>
          <w:p w:rsidR="00F82527" w:rsidRPr="00FF7723" w:rsidRDefault="005D7A8E" w:rsidP="005B2CC0">
            <w:pPr>
              <w:spacing w:after="120"/>
              <w:rPr>
                <w:color w:val="000000" w:themeColor="text1"/>
              </w:rPr>
            </w:pPr>
            <w:r>
              <w:rPr>
                <w:color w:val="000000" w:themeColor="text1"/>
              </w:rPr>
              <w:t xml:space="preserve">February </w:t>
            </w:r>
            <w:r w:rsidR="00EF4CA3" w:rsidRPr="00FF7723">
              <w:rPr>
                <w:color w:val="000000" w:themeColor="text1"/>
              </w:rPr>
              <w:t>20</w:t>
            </w:r>
            <w:r w:rsidR="005B2CC0">
              <w:rPr>
                <w:color w:val="000000" w:themeColor="text1"/>
              </w:rPr>
              <w:t>20</w:t>
            </w:r>
          </w:p>
        </w:tc>
        <w:tc>
          <w:tcPr>
            <w:tcW w:w="1238" w:type="dxa"/>
            <w:tcBorders>
              <w:top w:val="single" w:sz="4" w:space="0" w:color="auto"/>
              <w:left w:val="single" w:sz="4" w:space="0" w:color="auto"/>
              <w:bottom w:val="single" w:sz="4" w:space="0" w:color="auto"/>
              <w:right w:val="single" w:sz="4" w:space="0" w:color="auto"/>
            </w:tcBorders>
            <w:hideMark/>
          </w:tcPr>
          <w:p w:rsidR="00F82527" w:rsidRPr="00FF7723" w:rsidRDefault="00343249" w:rsidP="005D7A8E">
            <w:pPr>
              <w:spacing w:after="120"/>
              <w:jc w:val="center"/>
              <w:rPr>
                <w:color w:val="000000" w:themeColor="text1"/>
              </w:rPr>
            </w:pPr>
            <w:r w:rsidRPr="00FF7723">
              <w:rPr>
                <w:color w:val="000000" w:themeColor="text1"/>
              </w:rPr>
              <w:t>1</w:t>
            </w:r>
          </w:p>
        </w:tc>
      </w:tr>
      <w:tr w:rsidR="005D7A8E" w:rsidRPr="00FF7723" w:rsidTr="00290A6A">
        <w:tc>
          <w:tcPr>
            <w:tcW w:w="6734" w:type="dxa"/>
            <w:tcBorders>
              <w:top w:val="single" w:sz="4" w:space="0" w:color="auto"/>
              <w:left w:val="single" w:sz="4" w:space="0" w:color="auto"/>
              <w:bottom w:val="single" w:sz="4" w:space="0" w:color="auto"/>
              <w:right w:val="single" w:sz="4" w:space="0" w:color="auto"/>
            </w:tcBorders>
          </w:tcPr>
          <w:p w:rsidR="005D7A8E" w:rsidRPr="00FF7723" w:rsidRDefault="005D7A8E" w:rsidP="00EF4CA3">
            <w:pPr>
              <w:rPr>
                <w:color w:val="000000" w:themeColor="text1"/>
              </w:rPr>
            </w:pPr>
            <w:r>
              <w:rPr>
                <w:color w:val="000000" w:themeColor="text1"/>
              </w:rPr>
              <w:t xml:space="preserve">Identify priority categories </w:t>
            </w:r>
          </w:p>
        </w:tc>
        <w:tc>
          <w:tcPr>
            <w:tcW w:w="1822" w:type="dxa"/>
            <w:tcBorders>
              <w:top w:val="single" w:sz="4" w:space="0" w:color="auto"/>
              <w:left w:val="single" w:sz="4" w:space="0" w:color="auto"/>
              <w:bottom w:val="single" w:sz="4" w:space="0" w:color="auto"/>
              <w:right w:val="single" w:sz="4" w:space="0" w:color="auto"/>
            </w:tcBorders>
          </w:tcPr>
          <w:p w:rsidR="005D7A8E" w:rsidRDefault="005D7A8E" w:rsidP="005B2CC0">
            <w:pPr>
              <w:spacing w:after="120"/>
              <w:rPr>
                <w:color w:val="000000" w:themeColor="text1"/>
              </w:rPr>
            </w:pPr>
            <w:r>
              <w:rPr>
                <w:color w:val="000000" w:themeColor="text1"/>
              </w:rPr>
              <w:t>February 2020</w:t>
            </w:r>
          </w:p>
        </w:tc>
        <w:tc>
          <w:tcPr>
            <w:tcW w:w="1238" w:type="dxa"/>
            <w:tcBorders>
              <w:top w:val="single" w:sz="4" w:space="0" w:color="auto"/>
              <w:left w:val="single" w:sz="4" w:space="0" w:color="auto"/>
              <w:bottom w:val="single" w:sz="4" w:space="0" w:color="auto"/>
              <w:right w:val="single" w:sz="4" w:space="0" w:color="auto"/>
            </w:tcBorders>
          </w:tcPr>
          <w:p w:rsidR="005D7A8E" w:rsidRPr="00FF7723" w:rsidRDefault="005D7A8E" w:rsidP="005D7A8E">
            <w:pPr>
              <w:spacing w:after="120"/>
              <w:jc w:val="center"/>
              <w:rPr>
                <w:color w:val="000000" w:themeColor="text1"/>
              </w:rPr>
            </w:pPr>
            <w:r>
              <w:rPr>
                <w:color w:val="000000" w:themeColor="text1"/>
              </w:rPr>
              <w:t>1</w:t>
            </w:r>
          </w:p>
        </w:tc>
      </w:tr>
      <w:tr w:rsidR="005D7A8E" w:rsidRPr="00FF7723" w:rsidTr="00290A6A">
        <w:tc>
          <w:tcPr>
            <w:tcW w:w="6734" w:type="dxa"/>
            <w:tcBorders>
              <w:top w:val="single" w:sz="4" w:space="0" w:color="auto"/>
              <w:left w:val="single" w:sz="4" w:space="0" w:color="auto"/>
              <w:bottom w:val="single" w:sz="4" w:space="0" w:color="auto"/>
              <w:right w:val="single" w:sz="4" w:space="0" w:color="auto"/>
            </w:tcBorders>
          </w:tcPr>
          <w:p w:rsidR="005D7A8E" w:rsidRDefault="005D7A8E" w:rsidP="00EF4CA3">
            <w:pPr>
              <w:rPr>
                <w:color w:val="000000" w:themeColor="text1"/>
              </w:rPr>
            </w:pPr>
            <w:r>
              <w:rPr>
                <w:color w:val="000000" w:themeColor="text1"/>
              </w:rPr>
              <w:t>Determine m</w:t>
            </w:r>
            <w:r w:rsidR="00290A6A">
              <w:rPr>
                <w:color w:val="000000" w:themeColor="text1"/>
              </w:rPr>
              <w:t>ethodology</w:t>
            </w:r>
            <w:r>
              <w:rPr>
                <w:color w:val="000000" w:themeColor="text1"/>
              </w:rPr>
              <w:t xml:space="preserve"> to define serving size ranges for each category</w:t>
            </w:r>
          </w:p>
        </w:tc>
        <w:tc>
          <w:tcPr>
            <w:tcW w:w="1822" w:type="dxa"/>
            <w:tcBorders>
              <w:top w:val="single" w:sz="4" w:space="0" w:color="auto"/>
              <w:left w:val="single" w:sz="4" w:space="0" w:color="auto"/>
              <w:bottom w:val="single" w:sz="4" w:space="0" w:color="auto"/>
              <w:right w:val="single" w:sz="4" w:space="0" w:color="auto"/>
            </w:tcBorders>
          </w:tcPr>
          <w:p w:rsidR="005D7A8E" w:rsidRDefault="005D7A8E" w:rsidP="005B2CC0">
            <w:pPr>
              <w:spacing w:after="120"/>
              <w:rPr>
                <w:color w:val="000000" w:themeColor="text1"/>
              </w:rPr>
            </w:pPr>
            <w:r>
              <w:rPr>
                <w:color w:val="000000" w:themeColor="text1"/>
              </w:rPr>
              <w:t>February 2020</w:t>
            </w:r>
          </w:p>
        </w:tc>
        <w:tc>
          <w:tcPr>
            <w:tcW w:w="1238" w:type="dxa"/>
            <w:tcBorders>
              <w:top w:val="single" w:sz="4" w:space="0" w:color="auto"/>
              <w:left w:val="single" w:sz="4" w:space="0" w:color="auto"/>
              <w:bottom w:val="single" w:sz="4" w:space="0" w:color="auto"/>
              <w:right w:val="single" w:sz="4" w:space="0" w:color="auto"/>
            </w:tcBorders>
          </w:tcPr>
          <w:p w:rsidR="005D7A8E" w:rsidRDefault="005D7A8E" w:rsidP="005D7A8E">
            <w:pPr>
              <w:spacing w:after="120"/>
              <w:jc w:val="center"/>
              <w:rPr>
                <w:color w:val="000000" w:themeColor="text1"/>
              </w:rPr>
            </w:pPr>
            <w:r>
              <w:rPr>
                <w:color w:val="000000" w:themeColor="text1"/>
              </w:rPr>
              <w:t>1</w:t>
            </w:r>
          </w:p>
        </w:tc>
      </w:tr>
      <w:tr w:rsidR="00D445B7" w:rsidRPr="00FF7723" w:rsidTr="00290A6A">
        <w:tc>
          <w:tcPr>
            <w:tcW w:w="6734" w:type="dxa"/>
            <w:tcBorders>
              <w:top w:val="single" w:sz="4" w:space="0" w:color="auto"/>
              <w:left w:val="single" w:sz="4" w:space="0" w:color="auto"/>
              <w:bottom w:val="single" w:sz="4" w:space="0" w:color="auto"/>
              <w:right w:val="single" w:sz="4" w:space="0" w:color="auto"/>
            </w:tcBorders>
          </w:tcPr>
          <w:p w:rsidR="00D445B7" w:rsidRDefault="00D445B7" w:rsidP="00EF4CA3">
            <w:pPr>
              <w:rPr>
                <w:color w:val="000000" w:themeColor="text1"/>
              </w:rPr>
            </w:pPr>
            <w:r>
              <w:rPr>
                <w:color w:val="000000" w:themeColor="text1"/>
              </w:rPr>
              <w:t>Obtain data on current serving sizes of priority categories</w:t>
            </w:r>
          </w:p>
        </w:tc>
        <w:tc>
          <w:tcPr>
            <w:tcW w:w="1822" w:type="dxa"/>
            <w:tcBorders>
              <w:top w:val="single" w:sz="4" w:space="0" w:color="auto"/>
              <w:left w:val="single" w:sz="4" w:space="0" w:color="auto"/>
              <w:bottom w:val="single" w:sz="4" w:space="0" w:color="auto"/>
              <w:right w:val="single" w:sz="4" w:space="0" w:color="auto"/>
            </w:tcBorders>
          </w:tcPr>
          <w:p w:rsidR="00D445B7" w:rsidRDefault="00D445B7" w:rsidP="005B2CC0">
            <w:pPr>
              <w:spacing w:after="120"/>
              <w:rPr>
                <w:color w:val="000000" w:themeColor="text1"/>
              </w:rPr>
            </w:pPr>
            <w:r>
              <w:rPr>
                <w:color w:val="000000" w:themeColor="text1"/>
              </w:rPr>
              <w:t>May 2020</w:t>
            </w:r>
          </w:p>
        </w:tc>
        <w:tc>
          <w:tcPr>
            <w:tcW w:w="1238" w:type="dxa"/>
            <w:tcBorders>
              <w:top w:val="single" w:sz="4" w:space="0" w:color="auto"/>
              <w:left w:val="single" w:sz="4" w:space="0" w:color="auto"/>
              <w:bottom w:val="single" w:sz="4" w:space="0" w:color="auto"/>
              <w:right w:val="single" w:sz="4" w:space="0" w:color="auto"/>
            </w:tcBorders>
          </w:tcPr>
          <w:p w:rsidR="00D445B7" w:rsidRDefault="00D445B7" w:rsidP="005D7A8E">
            <w:pPr>
              <w:spacing w:after="120"/>
              <w:jc w:val="center"/>
              <w:rPr>
                <w:color w:val="000000" w:themeColor="text1"/>
              </w:rPr>
            </w:pPr>
            <w:r>
              <w:rPr>
                <w:color w:val="000000" w:themeColor="text1"/>
              </w:rPr>
              <w:t>1</w:t>
            </w:r>
          </w:p>
        </w:tc>
      </w:tr>
      <w:tr w:rsidR="005D7A8E" w:rsidRPr="00FF7723" w:rsidTr="00290A6A">
        <w:tc>
          <w:tcPr>
            <w:tcW w:w="6734" w:type="dxa"/>
            <w:tcBorders>
              <w:top w:val="single" w:sz="4" w:space="0" w:color="auto"/>
              <w:left w:val="single" w:sz="4" w:space="0" w:color="auto"/>
              <w:bottom w:val="single" w:sz="4" w:space="0" w:color="auto"/>
              <w:right w:val="single" w:sz="4" w:space="0" w:color="auto"/>
            </w:tcBorders>
          </w:tcPr>
          <w:p w:rsidR="005D7A8E" w:rsidRDefault="00290A6A" w:rsidP="00EF4CA3">
            <w:pPr>
              <w:rPr>
                <w:color w:val="000000" w:themeColor="text1"/>
              </w:rPr>
            </w:pPr>
            <w:r>
              <w:rPr>
                <w:color w:val="000000" w:themeColor="text1"/>
              </w:rPr>
              <w:t>Determine serving size ranges for each category</w:t>
            </w:r>
          </w:p>
        </w:tc>
        <w:tc>
          <w:tcPr>
            <w:tcW w:w="1822" w:type="dxa"/>
            <w:tcBorders>
              <w:top w:val="single" w:sz="4" w:space="0" w:color="auto"/>
              <w:left w:val="single" w:sz="4" w:space="0" w:color="auto"/>
              <w:bottom w:val="single" w:sz="4" w:space="0" w:color="auto"/>
              <w:right w:val="single" w:sz="4" w:space="0" w:color="auto"/>
            </w:tcBorders>
          </w:tcPr>
          <w:p w:rsidR="005D7A8E" w:rsidRDefault="00290A6A" w:rsidP="005B2CC0">
            <w:pPr>
              <w:spacing w:after="120"/>
              <w:rPr>
                <w:color w:val="000000" w:themeColor="text1"/>
              </w:rPr>
            </w:pPr>
            <w:r>
              <w:rPr>
                <w:color w:val="000000" w:themeColor="text1"/>
              </w:rPr>
              <w:t>June 2020</w:t>
            </w:r>
          </w:p>
        </w:tc>
        <w:tc>
          <w:tcPr>
            <w:tcW w:w="1238" w:type="dxa"/>
            <w:tcBorders>
              <w:top w:val="single" w:sz="4" w:space="0" w:color="auto"/>
              <w:left w:val="single" w:sz="4" w:space="0" w:color="auto"/>
              <w:bottom w:val="single" w:sz="4" w:space="0" w:color="auto"/>
              <w:right w:val="single" w:sz="4" w:space="0" w:color="auto"/>
            </w:tcBorders>
          </w:tcPr>
          <w:p w:rsidR="005D7A8E" w:rsidRDefault="00290A6A" w:rsidP="005D7A8E">
            <w:pPr>
              <w:spacing w:after="120"/>
              <w:jc w:val="center"/>
              <w:rPr>
                <w:color w:val="000000" w:themeColor="text1"/>
              </w:rPr>
            </w:pPr>
            <w:r>
              <w:rPr>
                <w:color w:val="000000" w:themeColor="text1"/>
              </w:rPr>
              <w:t>3</w:t>
            </w:r>
          </w:p>
        </w:tc>
      </w:tr>
      <w:tr w:rsidR="00290A6A" w:rsidRPr="00FF7723" w:rsidTr="00290A6A">
        <w:trPr>
          <w:trHeight w:val="357"/>
        </w:trPr>
        <w:tc>
          <w:tcPr>
            <w:tcW w:w="6734" w:type="dxa"/>
            <w:tcBorders>
              <w:top w:val="single" w:sz="4" w:space="0" w:color="auto"/>
              <w:left w:val="single" w:sz="4" w:space="0" w:color="auto"/>
              <w:bottom w:val="single" w:sz="4" w:space="0" w:color="auto"/>
              <w:right w:val="single" w:sz="4" w:space="0" w:color="auto"/>
            </w:tcBorders>
          </w:tcPr>
          <w:p w:rsidR="00290A6A" w:rsidRDefault="00290A6A" w:rsidP="00290A6A">
            <w:pPr>
              <w:rPr>
                <w:color w:val="000000" w:themeColor="text1"/>
              </w:rPr>
            </w:pPr>
            <w:r>
              <w:rPr>
                <w:color w:val="000000" w:themeColor="text1"/>
              </w:rPr>
              <w:t>Prepare complementary education materials for Industry</w:t>
            </w:r>
          </w:p>
        </w:tc>
        <w:tc>
          <w:tcPr>
            <w:tcW w:w="1822" w:type="dxa"/>
            <w:tcBorders>
              <w:top w:val="single" w:sz="4" w:space="0" w:color="auto"/>
              <w:left w:val="single" w:sz="4" w:space="0" w:color="auto"/>
              <w:bottom w:val="single" w:sz="4" w:space="0" w:color="auto"/>
              <w:right w:val="single" w:sz="4" w:space="0" w:color="auto"/>
            </w:tcBorders>
          </w:tcPr>
          <w:p w:rsidR="00290A6A" w:rsidRDefault="00290A6A">
            <w:pPr>
              <w:rPr>
                <w:color w:val="000000" w:themeColor="text1"/>
              </w:rPr>
            </w:pPr>
            <w:r>
              <w:rPr>
                <w:color w:val="000000" w:themeColor="text1"/>
              </w:rPr>
              <w:t>August 2020</w:t>
            </w:r>
          </w:p>
        </w:tc>
        <w:tc>
          <w:tcPr>
            <w:tcW w:w="1238" w:type="dxa"/>
            <w:tcBorders>
              <w:top w:val="single" w:sz="4" w:space="0" w:color="auto"/>
              <w:left w:val="single" w:sz="4" w:space="0" w:color="auto"/>
              <w:bottom w:val="single" w:sz="4" w:space="0" w:color="auto"/>
              <w:right w:val="single" w:sz="4" w:space="0" w:color="auto"/>
            </w:tcBorders>
          </w:tcPr>
          <w:p w:rsidR="00290A6A" w:rsidRDefault="00290A6A" w:rsidP="005D7A8E">
            <w:pPr>
              <w:jc w:val="center"/>
            </w:pPr>
            <w:r>
              <w:t>3</w:t>
            </w:r>
          </w:p>
        </w:tc>
      </w:tr>
      <w:tr w:rsidR="00290A6A" w:rsidRPr="00FF7723" w:rsidTr="00290A6A">
        <w:trPr>
          <w:trHeight w:val="366"/>
        </w:trPr>
        <w:tc>
          <w:tcPr>
            <w:tcW w:w="6734" w:type="dxa"/>
            <w:tcBorders>
              <w:top w:val="single" w:sz="4" w:space="0" w:color="auto"/>
              <w:left w:val="single" w:sz="4" w:space="0" w:color="auto"/>
              <w:bottom w:val="single" w:sz="4" w:space="0" w:color="auto"/>
              <w:right w:val="single" w:sz="4" w:space="0" w:color="auto"/>
            </w:tcBorders>
          </w:tcPr>
          <w:p w:rsidR="00290A6A" w:rsidRDefault="00290A6A" w:rsidP="00290A6A">
            <w:pPr>
              <w:rPr>
                <w:color w:val="000000" w:themeColor="text1"/>
              </w:rPr>
            </w:pPr>
            <w:r>
              <w:rPr>
                <w:color w:val="000000" w:themeColor="text1"/>
              </w:rPr>
              <w:t xml:space="preserve">Develop complementary consumer education </w:t>
            </w:r>
          </w:p>
        </w:tc>
        <w:tc>
          <w:tcPr>
            <w:tcW w:w="1822" w:type="dxa"/>
            <w:tcBorders>
              <w:top w:val="single" w:sz="4" w:space="0" w:color="auto"/>
              <w:left w:val="single" w:sz="4" w:space="0" w:color="auto"/>
              <w:bottom w:val="single" w:sz="4" w:space="0" w:color="auto"/>
              <w:right w:val="single" w:sz="4" w:space="0" w:color="auto"/>
            </w:tcBorders>
          </w:tcPr>
          <w:p w:rsidR="00290A6A" w:rsidRDefault="00290A6A">
            <w:pPr>
              <w:rPr>
                <w:color w:val="000000" w:themeColor="text1"/>
              </w:rPr>
            </w:pPr>
            <w:r>
              <w:rPr>
                <w:color w:val="000000" w:themeColor="text1"/>
              </w:rPr>
              <w:t>November 2020</w:t>
            </w:r>
          </w:p>
        </w:tc>
        <w:tc>
          <w:tcPr>
            <w:tcW w:w="1238" w:type="dxa"/>
            <w:tcBorders>
              <w:top w:val="single" w:sz="4" w:space="0" w:color="auto"/>
              <w:left w:val="single" w:sz="4" w:space="0" w:color="auto"/>
              <w:bottom w:val="single" w:sz="4" w:space="0" w:color="auto"/>
              <w:right w:val="single" w:sz="4" w:space="0" w:color="auto"/>
            </w:tcBorders>
          </w:tcPr>
          <w:p w:rsidR="00290A6A" w:rsidRDefault="00290A6A" w:rsidP="005D7A8E">
            <w:pPr>
              <w:jc w:val="center"/>
            </w:pPr>
            <w:r>
              <w:t>3</w:t>
            </w:r>
          </w:p>
        </w:tc>
      </w:tr>
      <w:tr w:rsidR="009216CA" w:rsidRPr="00FF7723" w:rsidTr="00290A6A">
        <w:tc>
          <w:tcPr>
            <w:tcW w:w="6734" w:type="dxa"/>
            <w:tcBorders>
              <w:top w:val="single" w:sz="4" w:space="0" w:color="auto"/>
              <w:left w:val="single" w:sz="4" w:space="0" w:color="auto"/>
              <w:bottom w:val="single" w:sz="4" w:space="0" w:color="auto"/>
              <w:right w:val="single" w:sz="4" w:space="0" w:color="auto"/>
            </w:tcBorders>
          </w:tcPr>
          <w:p w:rsidR="009216CA" w:rsidRPr="00FF7723" w:rsidRDefault="009216CA" w:rsidP="00EF4CA3">
            <w:pPr>
              <w:rPr>
                <w:color w:val="000000" w:themeColor="text1"/>
              </w:rPr>
            </w:pPr>
            <w:r>
              <w:rPr>
                <w:color w:val="000000" w:themeColor="text1"/>
              </w:rPr>
              <w:t>Prepare a draft of the Industry Best Practice Guide to take to consultation.</w:t>
            </w:r>
          </w:p>
        </w:tc>
        <w:tc>
          <w:tcPr>
            <w:tcW w:w="1822" w:type="dxa"/>
            <w:tcBorders>
              <w:top w:val="single" w:sz="4" w:space="0" w:color="auto"/>
              <w:left w:val="single" w:sz="4" w:space="0" w:color="auto"/>
              <w:bottom w:val="single" w:sz="4" w:space="0" w:color="auto"/>
              <w:right w:val="single" w:sz="4" w:space="0" w:color="auto"/>
            </w:tcBorders>
          </w:tcPr>
          <w:p w:rsidR="009216CA" w:rsidRPr="00FF7723" w:rsidRDefault="005D7A8E">
            <w:pPr>
              <w:rPr>
                <w:color w:val="000000" w:themeColor="text1"/>
              </w:rPr>
            </w:pPr>
            <w:r>
              <w:rPr>
                <w:color w:val="000000" w:themeColor="text1"/>
              </w:rPr>
              <w:t>December</w:t>
            </w:r>
            <w:r w:rsidR="009216CA">
              <w:rPr>
                <w:color w:val="000000" w:themeColor="text1"/>
              </w:rPr>
              <w:t xml:space="preserve"> 2020</w:t>
            </w:r>
          </w:p>
        </w:tc>
        <w:tc>
          <w:tcPr>
            <w:tcW w:w="1238" w:type="dxa"/>
            <w:tcBorders>
              <w:top w:val="single" w:sz="4" w:space="0" w:color="auto"/>
              <w:left w:val="single" w:sz="4" w:space="0" w:color="auto"/>
              <w:bottom w:val="single" w:sz="4" w:space="0" w:color="auto"/>
              <w:right w:val="single" w:sz="4" w:space="0" w:color="auto"/>
            </w:tcBorders>
          </w:tcPr>
          <w:p w:rsidR="009216CA" w:rsidRPr="00FF7723" w:rsidRDefault="009216CA" w:rsidP="005D7A8E">
            <w:pPr>
              <w:jc w:val="center"/>
            </w:pPr>
            <w:r>
              <w:t>3</w:t>
            </w:r>
          </w:p>
        </w:tc>
      </w:tr>
      <w:tr w:rsidR="00F82527" w:rsidRPr="00FF7723" w:rsidTr="00290A6A">
        <w:tc>
          <w:tcPr>
            <w:tcW w:w="6734" w:type="dxa"/>
            <w:tcBorders>
              <w:top w:val="single" w:sz="4" w:space="0" w:color="auto"/>
              <w:left w:val="single" w:sz="4" w:space="0" w:color="auto"/>
              <w:bottom w:val="single" w:sz="4" w:space="0" w:color="auto"/>
              <w:right w:val="single" w:sz="4" w:space="0" w:color="auto"/>
            </w:tcBorders>
            <w:hideMark/>
          </w:tcPr>
          <w:p w:rsidR="00F82527" w:rsidRPr="00FF7723" w:rsidRDefault="00F82527" w:rsidP="005D7A8E">
            <w:r w:rsidRPr="00FF7723">
              <w:rPr>
                <w:color w:val="000000" w:themeColor="text1"/>
              </w:rPr>
              <w:t xml:space="preserve">Consult </w:t>
            </w:r>
            <w:r w:rsidR="0051581F">
              <w:rPr>
                <w:color w:val="000000" w:themeColor="text1"/>
              </w:rPr>
              <w:t>s</w:t>
            </w:r>
            <w:r w:rsidR="009216CA">
              <w:rPr>
                <w:color w:val="000000" w:themeColor="text1"/>
              </w:rPr>
              <w:t>takeholders on the</w:t>
            </w:r>
            <w:r w:rsidRPr="00FF7723">
              <w:rPr>
                <w:color w:val="000000" w:themeColor="text1"/>
              </w:rPr>
              <w:t xml:space="preserve"> feasibility </w:t>
            </w:r>
            <w:r w:rsidR="005D7A8E">
              <w:rPr>
                <w:color w:val="000000" w:themeColor="text1"/>
              </w:rPr>
              <w:t xml:space="preserve">and usefulness </w:t>
            </w:r>
            <w:r w:rsidRPr="00FF7723">
              <w:rPr>
                <w:color w:val="000000" w:themeColor="text1"/>
              </w:rPr>
              <w:t xml:space="preserve">of </w:t>
            </w:r>
            <w:r w:rsidR="00EF4CA3" w:rsidRPr="00FF7723">
              <w:rPr>
                <w:color w:val="000000" w:themeColor="text1"/>
              </w:rPr>
              <w:t xml:space="preserve">the suggested </w:t>
            </w:r>
            <w:r w:rsidR="009216CA">
              <w:rPr>
                <w:color w:val="000000" w:themeColor="text1"/>
              </w:rPr>
              <w:t>guidance.</w:t>
            </w:r>
            <w:r w:rsidRPr="00FF7723">
              <w:rPr>
                <w:color w:val="000000" w:themeColor="text1"/>
              </w:rPr>
              <w:t xml:space="preserve"> </w:t>
            </w:r>
          </w:p>
        </w:tc>
        <w:tc>
          <w:tcPr>
            <w:tcW w:w="1822" w:type="dxa"/>
            <w:tcBorders>
              <w:top w:val="single" w:sz="4" w:space="0" w:color="auto"/>
              <w:left w:val="single" w:sz="4" w:space="0" w:color="auto"/>
              <w:bottom w:val="single" w:sz="4" w:space="0" w:color="auto"/>
              <w:right w:val="single" w:sz="4" w:space="0" w:color="auto"/>
            </w:tcBorders>
            <w:hideMark/>
          </w:tcPr>
          <w:p w:rsidR="00F82527" w:rsidRPr="00FF7723" w:rsidRDefault="005D7A8E">
            <w:r>
              <w:rPr>
                <w:color w:val="000000" w:themeColor="text1"/>
              </w:rPr>
              <w:t>February</w:t>
            </w:r>
            <w:r w:rsidR="005B2CC0">
              <w:rPr>
                <w:color w:val="000000" w:themeColor="text1"/>
              </w:rPr>
              <w:t xml:space="preserve"> 2021</w:t>
            </w:r>
            <w:r w:rsidR="00F82527" w:rsidRPr="00FF7723">
              <w:rPr>
                <w:color w:val="000000" w:themeColor="text1"/>
              </w:rPr>
              <w:t xml:space="preserve"> </w:t>
            </w:r>
          </w:p>
        </w:tc>
        <w:tc>
          <w:tcPr>
            <w:tcW w:w="1238" w:type="dxa"/>
            <w:tcBorders>
              <w:top w:val="single" w:sz="4" w:space="0" w:color="auto"/>
              <w:left w:val="single" w:sz="4" w:space="0" w:color="auto"/>
              <w:bottom w:val="single" w:sz="4" w:space="0" w:color="auto"/>
              <w:right w:val="single" w:sz="4" w:space="0" w:color="auto"/>
            </w:tcBorders>
            <w:hideMark/>
          </w:tcPr>
          <w:p w:rsidR="00F82527" w:rsidRPr="00FF7723" w:rsidRDefault="00343249" w:rsidP="005D7A8E">
            <w:pPr>
              <w:jc w:val="center"/>
            </w:pPr>
            <w:r w:rsidRPr="00FF7723">
              <w:t>2</w:t>
            </w:r>
          </w:p>
        </w:tc>
      </w:tr>
      <w:tr w:rsidR="005D7A8E" w:rsidRPr="00FF7723" w:rsidTr="00290A6A">
        <w:tc>
          <w:tcPr>
            <w:tcW w:w="6734" w:type="dxa"/>
            <w:tcBorders>
              <w:top w:val="single" w:sz="4" w:space="0" w:color="auto"/>
              <w:left w:val="single" w:sz="4" w:space="0" w:color="auto"/>
              <w:bottom w:val="single" w:sz="4" w:space="0" w:color="auto"/>
              <w:right w:val="single" w:sz="4" w:space="0" w:color="auto"/>
            </w:tcBorders>
          </w:tcPr>
          <w:p w:rsidR="005D7A8E" w:rsidRPr="00FF7723" w:rsidRDefault="005D7A8E" w:rsidP="00EF4CA3">
            <w:pPr>
              <w:rPr>
                <w:color w:val="000000" w:themeColor="text1"/>
              </w:rPr>
            </w:pPr>
            <w:r>
              <w:rPr>
                <w:color w:val="000000" w:themeColor="text1"/>
              </w:rPr>
              <w:t>Consider industry feedback and update Guide as required</w:t>
            </w:r>
          </w:p>
        </w:tc>
        <w:tc>
          <w:tcPr>
            <w:tcW w:w="1822" w:type="dxa"/>
            <w:tcBorders>
              <w:top w:val="single" w:sz="4" w:space="0" w:color="auto"/>
              <w:left w:val="single" w:sz="4" w:space="0" w:color="auto"/>
              <w:bottom w:val="single" w:sz="4" w:space="0" w:color="auto"/>
              <w:right w:val="single" w:sz="4" w:space="0" w:color="auto"/>
            </w:tcBorders>
          </w:tcPr>
          <w:p w:rsidR="005D7A8E" w:rsidRDefault="005D7A8E">
            <w:pPr>
              <w:rPr>
                <w:color w:val="000000" w:themeColor="text1"/>
              </w:rPr>
            </w:pPr>
            <w:r>
              <w:rPr>
                <w:color w:val="000000" w:themeColor="text1"/>
              </w:rPr>
              <w:t>June 2021</w:t>
            </w:r>
          </w:p>
        </w:tc>
        <w:tc>
          <w:tcPr>
            <w:tcW w:w="1238" w:type="dxa"/>
            <w:tcBorders>
              <w:top w:val="single" w:sz="4" w:space="0" w:color="auto"/>
              <w:left w:val="single" w:sz="4" w:space="0" w:color="auto"/>
              <w:bottom w:val="single" w:sz="4" w:space="0" w:color="auto"/>
              <w:right w:val="single" w:sz="4" w:space="0" w:color="auto"/>
            </w:tcBorders>
          </w:tcPr>
          <w:p w:rsidR="005D7A8E" w:rsidRPr="00FF7723" w:rsidRDefault="005D7A8E" w:rsidP="005D7A8E">
            <w:pPr>
              <w:jc w:val="center"/>
            </w:pPr>
            <w:r>
              <w:t>2</w:t>
            </w:r>
          </w:p>
        </w:tc>
      </w:tr>
      <w:tr w:rsidR="005D7A8E" w:rsidRPr="00FF7723" w:rsidTr="00290A6A">
        <w:tc>
          <w:tcPr>
            <w:tcW w:w="6734" w:type="dxa"/>
            <w:tcBorders>
              <w:top w:val="single" w:sz="4" w:space="0" w:color="auto"/>
              <w:left w:val="single" w:sz="4" w:space="0" w:color="auto"/>
              <w:bottom w:val="single" w:sz="4" w:space="0" w:color="auto"/>
              <w:right w:val="single" w:sz="4" w:space="0" w:color="auto"/>
            </w:tcBorders>
          </w:tcPr>
          <w:p w:rsidR="005D7A8E" w:rsidRPr="00FF7723" w:rsidRDefault="005D7A8E" w:rsidP="005D7A8E">
            <w:pPr>
              <w:rPr>
                <w:color w:val="000000" w:themeColor="text1"/>
              </w:rPr>
            </w:pPr>
            <w:r>
              <w:rPr>
                <w:color w:val="000000" w:themeColor="text1"/>
              </w:rPr>
              <w:t xml:space="preserve">Develop implementation plan to take to Partnership </w:t>
            </w:r>
            <w:r w:rsidR="0051581F">
              <w:rPr>
                <w:color w:val="000000" w:themeColor="text1"/>
              </w:rPr>
              <w:t>Executive</w:t>
            </w:r>
            <w:r>
              <w:rPr>
                <w:color w:val="000000" w:themeColor="text1"/>
              </w:rPr>
              <w:t xml:space="preserve"> Committee with the Final Best Practice Guide </w:t>
            </w:r>
          </w:p>
        </w:tc>
        <w:tc>
          <w:tcPr>
            <w:tcW w:w="1822" w:type="dxa"/>
            <w:tcBorders>
              <w:top w:val="single" w:sz="4" w:space="0" w:color="auto"/>
              <w:left w:val="single" w:sz="4" w:space="0" w:color="auto"/>
              <w:bottom w:val="single" w:sz="4" w:space="0" w:color="auto"/>
              <w:right w:val="single" w:sz="4" w:space="0" w:color="auto"/>
            </w:tcBorders>
          </w:tcPr>
          <w:p w:rsidR="005D7A8E" w:rsidRDefault="005D7A8E">
            <w:pPr>
              <w:rPr>
                <w:color w:val="000000" w:themeColor="text1"/>
              </w:rPr>
            </w:pPr>
            <w:r>
              <w:rPr>
                <w:color w:val="000000" w:themeColor="text1"/>
              </w:rPr>
              <w:t>December 2021</w:t>
            </w:r>
          </w:p>
        </w:tc>
        <w:tc>
          <w:tcPr>
            <w:tcW w:w="1238" w:type="dxa"/>
            <w:tcBorders>
              <w:top w:val="single" w:sz="4" w:space="0" w:color="auto"/>
              <w:left w:val="single" w:sz="4" w:space="0" w:color="auto"/>
              <w:bottom w:val="single" w:sz="4" w:space="0" w:color="auto"/>
              <w:right w:val="single" w:sz="4" w:space="0" w:color="auto"/>
            </w:tcBorders>
          </w:tcPr>
          <w:p w:rsidR="005D7A8E" w:rsidRPr="00FF7723" w:rsidRDefault="00290A6A" w:rsidP="005D7A8E">
            <w:pPr>
              <w:jc w:val="center"/>
            </w:pPr>
            <w:r>
              <w:t>3</w:t>
            </w:r>
          </w:p>
        </w:tc>
      </w:tr>
      <w:tr w:rsidR="00F82527" w:rsidTr="00290A6A">
        <w:tc>
          <w:tcPr>
            <w:tcW w:w="6734" w:type="dxa"/>
            <w:tcBorders>
              <w:top w:val="single" w:sz="4" w:space="0" w:color="auto"/>
              <w:left w:val="single" w:sz="4" w:space="0" w:color="auto"/>
              <w:bottom w:val="single" w:sz="4" w:space="0" w:color="auto"/>
              <w:right w:val="single" w:sz="4" w:space="0" w:color="auto"/>
            </w:tcBorders>
            <w:hideMark/>
          </w:tcPr>
          <w:p w:rsidR="00F82527" w:rsidRPr="00FF7723" w:rsidRDefault="00F82527" w:rsidP="00EF4CA3">
            <w:pPr>
              <w:rPr>
                <w:color w:val="000000" w:themeColor="text1"/>
              </w:rPr>
            </w:pPr>
            <w:r w:rsidRPr="00FF7723">
              <w:rPr>
                <w:color w:val="000000" w:themeColor="text1"/>
              </w:rPr>
              <w:t xml:space="preserve">Prepare </w:t>
            </w:r>
            <w:r w:rsidR="00EF4CA3" w:rsidRPr="00FF7723">
              <w:rPr>
                <w:color w:val="000000" w:themeColor="text1"/>
              </w:rPr>
              <w:t>an Industry Best Practice Guide</w:t>
            </w:r>
            <w:r w:rsidRPr="00FF7723">
              <w:rPr>
                <w:color w:val="000000" w:themeColor="text1"/>
              </w:rPr>
              <w:t xml:space="preserve"> for </w:t>
            </w:r>
            <w:r w:rsidR="00343249" w:rsidRPr="00FF7723">
              <w:rPr>
                <w:color w:val="000000" w:themeColor="text1"/>
              </w:rPr>
              <w:t>the Partnership Executive Committee</w:t>
            </w:r>
            <w:r w:rsidRPr="00FF7723">
              <w:rPr>
                <w:color w:val="000000" w:themeColor="text1"/>
              </w:rPr>
              <w:t xml:space="preserve"> to endorse and implement.</w:t>
            </w:r>
          </w:p>
        </w:tc>
        <w:tc>
          <w:tcPr>
            <w:tcW w:w="1822" w:type="dxa"/>
            <w:tcBorders>
              <w:top w:val="single" w:sz="4" w:space="0" w:color="auto"/>
              <w:left w:val="single" w:sz="4" w:space="0" w:color="auto"/>
              <w:bottom w:val="single" w:sz="4" w:space="0" w:color="auto"/>
              <w:right w:val="single" w:sz="4" w:space="0" w:color="auto"/>
            </w:tcBorders>
            <w:hideMark/>
          </w:tcPr>
          <w:p w:rsidR="00F82527" w:rsidRPr="00FF7723" w:rsidRDefault="009216CA" w:rsidP="005B2CC0">
            <w:pPr>
              <w:spacing w:after="120"/>
              <w:ind w:left="29"/>
              <w:rPr>
                <w:color w:val="000000" w:themeColor="text1"/>
              </w:rPr>
            </w:pPr>
            <w:r>
              <w:rPr>
                <w:color w:val="000000" w:themeColor="text1"/>
              </w:rPr>
              <w:t>December</w:t>
            </w:r>
            <w:r w:rsidR="00343249" w:rsidRPr="00FF7723">
              <w:rPr>
                <w:color w:val="000000" w:themeColor="text1"/>
              </w:rPr>
              <w:t xml:space="preserve"> 202</w:t>
            </w:r>
            <w:r w:rsidR="005B2CC0">
              <w:rPr>
                <w:color w:val="000000" w:themeColor="text1"/>
              </w:rPr>
              <w:t>1</w:t>
            </w:r>
          </w:p>
        </w:tc>
        <w:tc>
          <w:tcPr>
            <w:tcW w:w="1238" w:type="dxa"/>
            <w:tcBorders>
              <w:top w:val="single" w:sz="4" w:space="0" w:color="auto"/>
              <w:left w:val="single" w:sz="4" w:space="0" w:color="auto"/>
              <w:bottom w:val="single" w:sz="4" w:space="0" w:color="auto"/>
              <w:right w:val="single" w:sz="4" w:space="0" w:color="auto"/>
            </w:tcBorders>
            <w:hideMark/>
          </w:tcPr>
          <w:p w:rsidR="00F82527" w:rsidRPr="00FF7723" w:rsidRDefault="00343249" w:rsidP="005D7A8E">
            <w:pPr>
              <w:spacing w:after="120"/>
              <w:jc w:val="center"/>
              <w:rPr>
                <w:color w:val="000000" w:themeColor="text1"/>
              </w:rPr>
            </w:pPr>
            <w:r w:rsidRPr="00FF7723">
              <w:rPr>
                <w:color w:val="000000" w:themeColor="text1"/>
              </w:rPr>
              <w:t>3</w:t>
            </w:r>
          </w:p>
        </w:tc>
      </w:tr>
    </w:tbl>
    <w:p w:rsidR="00F82527" w:rsidRDefault="00FF7723" w:rsidP="00564CBE">
      <w:pPr>
        <w:pStyle w:val="Heading1"/>
      </w:pPr>
      <w:r>
        <w:t>6</w:t>
      </w:r>
      <w:r w:rsidR="00564CBE">
        <w:t xml:space="preserve">. </w:t>
      </w:r>
      <w:r w:rsidR="00F82527">
        <w:t>Consultation and key linkages</w:t>
      </w:r>
    </w:p>
    <w:p w:rsidR="00F82527" w:rsidRDefault="00F82527" w:rsidP="00C259C2">
      <w:pPr>
        <w:spacing w:before="200" w:after="0"/>
        <w:ind w:left="34"/>
      </w:pPr>
      <w:r>
        <w:t>C</w:t>
      </w:r>
      <w:r w:rsidR="00C259C2">
        <w:t>onsultation will</w:t>
      </w:r>
      <w:r>
        <w:t xml:space="preserve"> be undertaken as required, </w:t>
      </w:r>
      <w:r w:rsidR="0051581F">
        <w:t xml:space="preserve">potentially </w:t>
      </w:r>
      <w:r>
        <w:t xml:space="preserve">including with </w:t>
      </w:r>
      <w:r w:rsidR="00C259C2">
        <w:t xml:space="preserve">the Partnership </w:t>
      </w:r>
      <w:r w:rsidR="0051581F">
        <w:t>Community</w:t>
      </w:r>
      <w:r w:rsidR="00C259C2">
        <w:t xml:space="preserve"> of Interest, </w:t>
      </w:r>
      <w:r>
        <w:t>identified researchers, representatives of i</w:t>
      </w:r>
      <w:r w:rsidR="00C259C2">
        <w:t xml:space="preserve">ndustry groups, food companies, </w:t>
      </w:r>
      <w:r>
        <w:t>and other key groups involved in portion size strategies.</w:t>
      </w:r>
    </w:p>
    <w:p w:rsidR="00F82527" w:rsidRDefault="005755B9" w:rsidP="00564CBE">
      <w:pPr>
        <w:pStyle w:val="Heading1"/>
      </w:pPr>
      <w:r>
        <w:t>7</w:t>
      </w:r>
      <w:r w:rsidR="00564CBE">
        <w:t xml:space="preserve">. </w:t>
      </w:r>
      <w:r w:rsidR="00F82527">
        <w:t>Financial implications</w:t>
      </w:r>
    </w:p>
    <w:p w:rsidR="00F82527" w:rsidRDefault="00F82527" w:rsidP="00F82527">
      <w:pPr>
        <w:spacing w:before="200" w:after="0"/>
      </w:pPr>
      <w:r w:rsidRPr="00343249">
        <w:t xml:space="preserve">All procurement must comply with Commonwealth Procurement Rules and will be conducted by the Department of Health in consultation with the </w:t>
      </w:r>
      <w:r w:rsidR="00343249">
        <w:rPr>
          <w:rFonts w:cs="Times New Roman"/>
        </w:rPr>
        <w:t>Industry Best Practice Guide Working Group.</w:t>
      </w:r>
    </w:p>
    <w:p w:rsidR="00D8205C" w:rsidRPr="00F82527" w:rsidRDefault="00D8205C" w:rsidP="00F82527"/>
    <w:sectPr w:rsidR="00D8205C" w:rsidRPr="00F82527" w:rsidSect="00BD5B25">
      <w:headerReference w:type="default" r:id="rId9"/>
      <w:footerReference w:type="default" r:id="rId10"/>
      <w:headerReference w:type="first" r:id="rId11"/>
      <w:footerReference w:type="first" r:id="rId12"/>
      <w:pgSz w:w="11906" w:h="16838"/>
      <w:pgMar w:top="987" w:right="1440" w:bottom="993" w:left="1440" w:header="708"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C0" w:rsidRDefault="004A1EC0" w:rsidP="00D353B7">
      <w:pPr>
        <w:spacing w:after="0" w:line="240" w:lineRule="auto"/>
      </w:pPr>
      <w:r>
        <w:separator/>
      </w:r>
    </w:p>
  </w:endnote>
  <w:endnote w:type="continuationSeparator" w:id="0">
    <w:p w:rsidR="004A1EC0" w:rsidRDefault="004A1EC0" w:rsidP="00D3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829600"/>
      <w:docPartObj>
        <w:docPartGallery w:val="Page Numbers (Bottom of Page)"/>
        <w:docPartUnique/>
      </w:docPartObj>
    </w:sdtPr>
    <w:sdtEndPr>
      <w:rPr>
        <w:noProof/>
      </w:rPr>
    </w:sdtEndPr>
    <w:sdtContent>
      <w:p w:rsidR="00C40CF8" w:rsidRDefault="00C40CF8">
        <w:pPr>
          <w:pStyle w:val="Footer"/>
        </w:pPr>
        <w:r>
          <w:fldChar w:fldCharType="begin"/>
        </w:r>
        <w:r>
          <w:instrText xml:space="preserve"> PAGE   \* MERGEFORMAT </w:instrText>
        </w:r>
        <w:r>
          <w:fldChar w:fldCharType="separate"/>
        </w:r>
        <w:r w:rsidR="00D4562F">
          <w:rPr>
            <w:noProof/>
          </w:rPr>
          <w:t>2</w:t>
        </w:r>
        <w:r>
          <w:rPr>
            <w:noProof/>
          </w:rPr>
          <w:fldChar w:fldCharType="end"/>
        </w:r>
      </w:p>
    </w:sdtContent>
  </w:sdt>
  <w:p w:rsidR="00BE7B31" w:rsidRPr="00F179D8" w:rsidRDefault="00BE7B31" w:rsidP="00FD311E">
    <w:pPr>
      <w:pStyle w:val="Footer"/>
      <w:rPr>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784334"/>
      <w:docPartObj>
        <w:docPartGallery w:val="Page Numbers (Bottom of Page)"/>
        <w:docPartUnique/>
      </w:docPartObj>
    </w:sdtPr>
    <w:sdtEndPr>
      <w:rPr>
        <w:noProof/>
      </w:rPr>
    </w:sdtEndPr>
    <w:sdtContent>
      <w:p w:rsidR="00C40CF8" w:rsidRDefault="00C40CF8">
        <w:pPr>
          <w:pStyle w:val="Footer"/>
        </w:pPr>
        <w:r>
          <w:fldChar w:fldCharType="begin"/>
        </w:r>
        <w:r>
          <w:instrText xml:space="preserve"> PAGE   \* MERGEFORMAT </w:instrText>
        </w:r>
        <w:r>
          <w:fldChar w:fldCharType="separate"/>
        </w:r>
        <w:r w:rsidR="00D4562F">
          <w:rPr>
            <w:noProof/>
          </w:rPr>
          <w:t>1</w:t>
        </w:r>
        <w:r>
          <w:rPr>
            <w:noProof/>
          </w:rPr>
          <w:fldChar w:fldCharType="end"/>
        </w:r>
      </w:p>
    </w:sdtContent>
  </w:sdt>
  <w:p w:rsidR="00C40CF8" w:rsidRDefault="0060110F" w:rsidP="0060110F">
    <w:pPr>
      <w:pStyle w:val="Footer"/>
      <w:jc w:val="right"/>
    </w:pPr>
    <w:r>
      <w:t>February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C0" w:rsidRDefault="004A1EC0" w:rsidP="00D353B7">
      <w:pPr>
        <w:spacing w:after="0" w:line="240" w:lineRule="auto"/>
      </w:pPr>
      <w:r>
        <w:separator/>
      </w:r>
    </w:p>
  </w:footnote>
  <w:footnote w:type="continuationSeparator" w:id="0">
    <w:p w:rsidR="004A1EC0" w:rsidRDefault="004A1EC0" w:rsidP="00D3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B7" w:rsidRPr="00FD311E" w:rsidRDefault="00D353B7" w:rsidP="00BD5B25">
    <w:pPr>
      <w:pStyle w:val="Footer"/>
      <w:spacing w:after="120"/>
      <w:jc w:val="right"/>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25" w:rsidRPr="00BD5B25" w:rsidRDefault="00BD5B25" w:rsidP="00C40CF8">
    <w:pPr>
      <w:pStyle w:val="Header"/>
      <w:rPr>
        <w:b/>
      </w:rPr>
    </w:pPr>
    <w:r w:rsidRPr="00BD5B25">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8CE"/>
    <w:multiLevelType w:val="hybridMultilevel"/>
    <w:tmpl w:val="BDC6F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EA3EBE"/>
    <w:multiLevelType w:val="hybridMultilevel"/>
    <w:tmpl w:val="7988E2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51E5A4F"/>
    <w:multiLevelType w:val="hybridMultilevel"/>
    <w:tmpl w:val="A84E3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85E1E"/>
    <w:multiLevelType w:val="hybridMultilevel"/>
    <w:tmpl w:val="BFB89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D893901"/>
    <w:multiLevelType w:val="hybridMultilevel"/>
    <w:tmpl w:val="285E0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E56298"/>
    <w:multiLevelType w:val="hybridMultilevel"/>
    <w:tmpl w:val="5142C9E2"/>
    <w:lvl w:ilvl="0" w:tplc="B4489C7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C355016"/>
    <w:multiLevelType w:val="hybridMultilevel"/>
    <w:tmpl w:val="2B7822D4"/>
    <w:lvl w:ilvl="0" w:tplc="79205FF4">
      <w:start w:val="2"/>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7" w15:restartNumberingAfterBreak="0">
    <w:nsid w:val="6B9216C9"/>
    <w:multiLevelType w:val="hybridMultilevel"/>
    <w:tmpl w:val="B45E1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14F42BD"/>
    <w:multiLevelType w:val="hybridMultilevel"/>
    <w:tmpl w:val="1DA45BD8"/>
    <w:lvl w:ilvl="0" w:tplc="3872B5CC">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4A52C44"/>
    <w:multiLevelType w:val="multilevel"/>
    <w:tmpl w:val="1EEEE73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90A4767"/>
    <w:multiLevelType w:val="hybridMultilevel"/>
    <w:tmpl w:val="0E8A0F5C"/>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7D7C5318"/>
    <w:multiLevelType w:val="hybridMultilevel"/>
    <w:tmpl w:val="08B8FE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11"/>
  </w:num>
  <w:num w:numId="6">
    <w:abstractNumId w:val="10"/>
  </w:num>
  <w:num w:numId="7">
    <w:abstractNumId w:val="4"/>
  </w:num>
  <w:num w:numId="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
  </w:num>
  <w:num w:numId="18">
    <w:abstractNumId w:val="0"/>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1F"/>
    <w:rsid w:val="00016655"/>
    <w:rsid w:val="00016D30"/>
    <w:rsid w:val="00034F21"/>
    <w:rsid w:val="00040D60"/>
    <w:rsid w:val="00040F0F"/>
    <w:rsid w:val="00057FBD"/>
    <w:rsid w:val="00064686"/>
    <w:rsid w:val="0007033C"/>
    <w:rsid w:val="0007063F"/>
    <w:rsid w:val="00077D72"/>
    <w:rsid w:val="00084FC5"/>
    <w:rsid w:val="00094300"/>
    <w:rsid w:val="00097778"/>
    <w:rsid w:val="000A36F0"/>
    <w:rsid w:val="000A600B"/>
    <w:rsid w:val="000A76E4"/>
    <w:rsid w:val="000B62A8"/>
    <w:rsid w:val="00102CD0"/>
    <w:rsid w:val="0010491B"/>
    <w:rsid w:val="00110138"/>
    <w:rsid w:val="00130876"/>
    <w:rsid w:val="001342D7"/>
    <w:rsid w:val="00143F29"/>
    <w:rsid w:val="00151A34"/>
    <w:rsid w:val="00177727"/>
    <w:rsid w:val="00187492"/>
    <w:rsid w:val="00191519"/>
    <w:rsid w:val="001A2F4C"/>
    <w:rsid w:val="001C143A"/>
    <w:rsid w:val="001E1960"/>
    <w:rsid w:val="001F27CB"/>
    <w:rsid w:val="00211AFF"/>
    <w:rsid w:val="002464FB"/>
    <w:rsid w:val="00261473"/>
    <w:rsid w:val="00274E63"/>
    <w:rsid w:val="0027514D"/>
    <w:rsid w:val="00290A6A"/>
    <w:rsid w:val="002A35E5"/>
    <w:rsid w:val="002B1616"/>
    <w:rsid w:val="002B5195"/>
    <w:rsid w:val="002C0833"/>
    <w:rsid w:val="002C66CC"/>
    <w:rsid w:val="002D5DCE"/>
    <w:rsid w:val="002E4DE5"/>
    <w:rsid w:val="002F2A54"/>
    <w:rsid w:val="002F3AC2"/>
    <w:rsid w:val="002F57E0"/>
    <w:rsid w:val="0030363A"/>
    <w:rsid w:val="003045EF"/>
    <w:rsid w:val="0031658D"/>
    <w:rsid w:val="003236FE"/>
    <w:rsid w:val="00335B06"/>
    <w:rsid w:val="003405A1"/>
    <w:rsid w:val="003419D7"/>
    <w:rsid w:val="00343249"/>
    <w:rsid w:val="00343C5C"/>
    <w:rsid w:val="00350552"/>
    <w:rsid w:val="00351FC5"/>
    <w:rsid w:val="00375A07"/>
    <w:rsid w:val="003918A9"/>
    <w:rsid w:val="003D163A"/>
    <w:rsid w:val="00401ACF"/>
    <w:rsid w:val="004036D4"/>
    <w:rsid w:val="00410602"/>
    <w:rsid w:val="00414525"/>
    <w:rsid w:val="0042276A"/>
    <w:rsid w:val="004258FB"/>
    <w:rsid w:val="00426715"/>
    <w:rsid w:val="00432CF9"/>
    <w:rsid w:val="00456026"/>
    <w:rsid w:val="004567A5"/>
    <w:rsid w:val="00473075"/>
    <w:rsid w:val="00480B0A"/>
    <w:rsid w:val="00484FF4"/>
    <w:rsid w:val="00494643"/>
    <w:rsid w:val="004A1676"/>
    <w:rsid w:val="004A1EC0"/>
    <w:rsid w:val="004A7432"/>
    <w:rsid w:val="004D5043"/>
    <w:rsid w:val="004F1D43"/>
    <w:rsid w:val="004F2192"/>
    <w:rsid w:val="004F5D05"/>
    <w:rsid w:val="005019D6"/>
    <w:rsid w:val="0050630E"/>
    <w:rsid w:val="00506C31"/>
    <w:rsid w:val="0051581F"/>
    <w:rsid w:val="00534CF9"/>
    <w:rsid w:val="00552994"/>
    <w:rsid w:val="00564CBE"/>
    <w:rsid w:val="00571B82"/>
    <w:rsid w:val="0057241D"/>
    <w:rsid w:val="005755B9"/>
    <w:rsid w:val="005804D5"/>
    <w:rsid w:val="005851D6"/>
    <w:rsid w:val="005B2CC0"/>
    <w:rsid w:val="005B3893"/>
    <w:rsid w:val="005C027B"/>
    <w:rsid w:val="005D1F4E"/>
    <w:rsid w:val="005D2B69"/>
    <w:rsid w:val="005D519D"/>
    <w:rsid w:val="005D7A8E"/>
    <w:rsid w:val="0060110F"/>
    <w:rsid w:val="0062562D"/>
    <w:rsid w:val="00634F30"/>
    <w:rsid w:val="0064370C"/>
    <w:rsid w:val="00653D30"/>
    <w:rsid w:val="00663FFF"/>
    <w:rsid w:val="00666067"/>
    <w:rsid w:val="00667CEB"/>
    <w:rsid w:val="006702E5"/>
    <w:rsid w:val="00670AC0"/>
    <w:rsid w:val="006721DC"/>
    <w:rsid w:val="00691C96"/>
    <w:rsid w:val="006B1B88"/>
    <w:rsid w:val="006B2225"/>
    <w:rsid w:val="006B7A05"/>
    <w:rsid w:val="006C1213"/>
    <w:rsid w:val="006C2C77"/>
    <w:rsid w:val="006C4A91"/>
    <w:rsid w:val="006C7059"/>
    <w:rsid w:val="006E0B50"/>
    <w:rsid w:val="006E4931"/>
    <w:rsid w:val="006F3F32"/>
    <w:rsid w:val="00707FA9"/>
    <w:rsid w:val="00725145"/>
    <w:rsid w:val="0073521F"/>
    <w:rsid w:val="007367EF"/>
    <w:rsid w:val="0075390B"/>
    <w:rsid w:val="00762812"/>
    <w:rsid w:val="0076303D"/>
    <w:rsid w:val="007A0AE5"/>
    <w:rsid w:val="007A0BEE"/>
    <w:rsid w:val="007A76E9"/>
    <w:rsid w:val="007C3AC6"/>
    <w:rsid w:val="007D5ACC"/>
    <w:rsid w:val="007E2B84"/>
    <w:rsid w:val="007E372E"/>
    <w:rsid w:val="007E66D0"/>
    <w:rsid w:val="00803A95"/>
    <w:rsid w:val="00814CBD"/>
    <w:rsid w:val="00820053"/>
    <w:rsid w:val="00825398"/>
    <w:rsid w:val="008477D4"/>
    <w:rsid w:val="00891B5B"/>
    <w:rsid w:val="008B3ECC"/>
    <w:rsid w:val="008E358E"/>
    <w:rsid w:val="008E3D9A"/>
    <w:rsid w:val="008E72AB"/>
    <w:rsid w:val="00901FDD"/>
    <w:rsid w:val="00905E6D"/>
    <w:rsid w:val="009216CA"/>
    <w:rsid w:val="0092402B"/>
    <w:rsid w:val="00924E51"/>
    <w:rsid w:val="00925BB8"/>
    <w:rsid w:val="00933928"/>
    <w:rsid w:val="009352B6"/>
    <w:rsid w:val="009369B1"/>
    <w:rsid w:val="009410B7"/>
    <w:rsid w:val="0096189B"/>
    <w:rsid w:val="0098263F"/>
    <w:rsid w:val="009854CD"/>
    <w:rsid w:val="00986E8B"/>
    <w:rsid w:val="00997912"/>
    <w:rsid w:val="009A3086"/>
    <w:rsid w:val="009C7A60"/>
    <w:rsid w:val="009D3813"/>
    <w:rsid w:val="009D7DF6"/>
    <w:rsid w:val="009E6026"/>
    <w:rsid w:val="009F00C0"/>
    <w:rsid w:val="00A02732"/>
    <w:rsid w:val="00A0762E"/>
    <w:rsid w:val="00A14D10"/>
    <w:rsid w:val="00A2611A"/>
    <w:rsid w:val="00A31A45"/>
    <w:rsid w:val="00A43496"/>
    <w:rsid w:val="00A43BEA"/>
    <w:rsid w:val="00A65599"/>
    <w:rsid w:val="00A83B82"/>
    <w:rsid w:val="00A965F0"/>
    <w:rsid w:val="00AC4634"/>
    <w:rsid w:val="00AD7341"/>
    <w:rsid w:val="00AD766C"/>
    <w:rsid w:val="00AF1796"/>
    <w:rsid w:val="00AF26C0"/>
    <w:rsid w:val="00AF5511"/>
    <w:rsid w:val="00AF61CC"/>
    <w:rsid w:val="00AF681F"/>
    <w:rsid w:val="00AF7990"/>
    <w:rsid w:val="00B01C2D"/>
    <w:rsid w:val="00B025AA"/>
    <w:rsid w:val="00B0641D"/>
    <w:rsid w:val="00B11DA5"/>
    <w:rsid w:val="00B123CB"/>
    <w:rsid w:val="00B254E3"/>
    <w:rsid w:val="00B41C4D"/>
    <w:rsid w:val="00B55D33"/>
    <w:rsid w:val="00B66D4E"/>
    <w:rsid w:val="00B72395"/>
    <w:rsid w:val="00BA147C"/>
    <w:rsid w:val="00BA6AC6"/>
    <w:rsid w:val="00BB534D"/>
    <w:rsid w:val="00BC4080"/>
    <w:rsid w:val="00BC5DDE"/>
    <w:rsid w:val="00BD56C2"/>
    <w:rsid w:val="00BD5B25"/>
    <w:rsid w:val="00BE4CBF"/>
    <w:rsid w:val="00BE7B31"/>
    <w:rsid w:val="00C01C85"/>
    <w:rsid w:val="00C04851"/>
    <w:rsid w:val="00C05705"/>
    <w:rsid w:val="00C17678"/>
    <w:rsid w:val="00C23CAA"/>
    <w:rsid w:val="00C259C2"/>
    <w:rsid w:val="00C36EBA"/>
    <w:rsid w:val="00C40CF8"/>
    <w:rsid w:val="00C41890"/>
    <w:rsid w:val="00C43A0C"/>
    <w:rsid w:val="00C46CC7"/>
    <w:rsid w:val="00C55A2A"/>
    <w:rsid w:val="00C60660"/>
    <w:rsid w:val="00C6193E"/>
    <w:rsid w:val="00C63326"/>
    <w:rsid w:val="00C73A35"/>
    <w:rsid w:val="00C80BD5"/>
    <w:rsid w:val="00C81572"/>
    <w:rsid w:val="00C972A3"/>
    <w:rsid w:val="00CB6CCE"/>
    <w:rsid w:val="00CD6567"/>
    <w:rsid w:val="00CE537D"/>
    <w:rsid w:val="00CF578A"/>
    <w:rsid w:val="00D002CA"/>
    <w:rsid w:val="00D03708"/>
    <w:rsid w:val="00D1083B"/>
    <w:rsid w:val="00D11395"/>
    <w:rsid w:val="00D24195"/>
    <w:rsid w:val="00D351A1"/>
    <w:rsid w:val="00D353B7"/>
    <w:rsid w:val="00D445B7"/>
    <w:rsid w:val="00D45228"/>
    <w:rsid w:val="00D4562F"/>
    <w:rsid w:val="00D47D57"/>
    <w:rsid w:val="00D52964"/>
    <w:rsid w:val="00D56761"/>
    <w:rsid w:val="00D6094A"/>
    <w:rsid w:val="00D64F75"/>
    <w:rsid w:val="00D67237"/>
    <w:rsid w:val="00D67988"/>
    <w:rsid w:val="00D8205C"/>
    <w:rsid w:val="00D973EF"/>
    <w:rsid w:val="00DA4859"/>
    <w:rsid w:val="00DC4C33"/>
    <w:rsid w:val="00DD2FFC"/>
    <w:rsid w:val="00E0278A"/>
    <w:rsid w:val="00E02823"/>
    <w:rsid w:val="00E306BA"/>
    <w:rsid w:val="00E36EAC"/>
    <w:rsid w:val="00E55847"/>
    <w:rsid w:val="00E55A3E"/>
    <w:rsid w:val="00E57AF4"/>
    <w:rsid w:val="00E61440"/>
    <w:rsid w:val="00E658B0"/>
    <w:rsid w:val="00E747B0"/>
    <w:rsid w:val="00EA4332"/>
    <w:rsid w:val="00EB2AE4"/>
    <w:rsid w:val="00EC1EE6"/>
    <w:rsid w:val="00ED3355"/>
    <w:rsid w:val="00ED3712"/>
    <w:rsid w:val="00EE0F0C"/>
    <w:rsid w:val="00EE445A"/>
    <w:rsid w:val="00EE50EA"/>
    <w:rsid w:val="00EF3041"/>
    <w:rsid w:val="00EF4CA3"/>
    <w:rsid w:val="00F03121"/>
    <w:rsid w:val="00F22315"/>
    <w:rsid w:val="00F307C3"/>
    <w:rsid w:val="00F3267C"/>
    <w:rsid w:val="00F34372"/>
    <w:rsid w:val="00F53122"/>
    <w:rsid w:val="00F546C9"/>
    <w:rsid w:val="00F562B8"/>
    <w:rsid w:val="00F634FD"/>
    <w:rsid w:val="00F70BFF"/>
    <w:rsid w:val="00F76C5D"/>
    <w:rsid w:val="00F80B18"/>
    <w:rsid w:val="00F81195"/>
    <w:rsid w:val="00F82527"/>
    <w:rsid w:val="00F9262F"/>
    <w:rsid w:val="00F93BAF"/>
    <w:rsid w:val="00F97F5B"/>
    <w:rsid w:val="00FA3F4F"/>
    <w:rsid w:val="00FB0034"/>
    <w:rsid w:val="00FC457D"/>
    <w:rsid w:val="00FD311E"/>
    <w:rsid w:val="00FD3798"/>
    <w:rsid w:val="00FE3236"/>
    <w:rsid w:val="00FF3CFC"/>
    <w:rsid w:val="00FF5F38"/>
    <w:rsid w:val="00FF7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2AF8839-CC49-4E35-BCFE-CC15654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64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64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64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B7"/>
  </w:style>
  <w:style w:type="paragraph" w:styleId="Footer">
    <w:name w:val="footer"/>
    <w:basedOn w:val="Normal"/>
    <w:link w:val="FooterChar"/>
    <w:uiPriority w:val="99"/>
    <w:unhideWhenUsed/>
    <w:rsid w:val="00D3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B7"/>
  </w:style>
  <w:style w:type="table" w:styleId="TableGrid">
    <w:name w:val="Table Grid"/>
    <w:basedOn w:val="TableNormal"/>
    <w:uiPriority w:val="39"/>
    <w:rsid w:val="00151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V text,Dot pt,F5 List Paragraph,FooterText,L,List Paragraph1,List Paragraph11,List Paragraph111,List Paragraph2,Medium Grid 1 - Accent 21,NFP GP Bulleted List,Numbered Paragraph,Paragraphe de liste1,Recommendation,Table text,numbered,列出段"/>
    <w:basedOn w:val="Normal"/>
    <w:link w:val="ListParagraphChar"/>
    <w:uiPriority w:val="34"/>
    <w:qFormat/>
    <w:rsid w:val="00151A34"/>
    <w:pPr>
      <w:ind w:left="720"/>
      <w:contextualSpacing/>
    </w:pPr>
  </w:style>
  <w:style w:type="paragraph" w:styleId="BodyTextIndent3">
    <w:name w:val="Body Text Indent 3"/>
    <w:basedOn w:val="Normal"/>
    <w:link w:val="BodyTextIndent3Char"/>
    <w:rsid w:val="00EE445A"/>
    <w:pPr>
      <w:widowControl w:val="0"/>
      <w:spacing w:after="0" w:line="240" w:lineRule="auto"/>
      <w:ind w:left="426"/>
    </w:pPr>
    <w:rPr>
      <w:rFonts w:ascii="Times New Roman" w:eastAsia="Times New Roman" w:hAnsi="Times New Roman" w:cs="Times New Roman"/>
      <w:snapToGrid w:val="0"/>
      <w:sz w:val="24"/>
      <w:szCs w:val="20"/>
      <w:lang w:val="en-US"/>
    </w:rPr>
  </w:style>
  <w:style w:type="character" w:customStyle="1" w:styleId="BodyTextIndent3Char">
    <w:name w:val="Body Text Indent 3 Char"/>
    <w:basedOn w:val="DefaultParagraphFont"/>
    <w:link w:val="BodyTextIndent3"/>
    <w:rsid w:val="00EE445A"/>
    <w:rPr>
      <w:rFonts w:ascii="Times New Roman" w:eastAsia="Times New Roman" w:hAnsi="Times New Roman" w:cs="Times New Roman"/>
      <w:snapToGrid w:val="0"/>
      <w:sz w:val="24"/>
      <w:szCs w:val="20"/>
      <w:lang w:val="en-US"/>
    </w:rPr>
  </w:style>
  <w:style w:type="character" w:styleId="CommentReference">
    <w:name w:val="annotation reference"/>
    <w:basedOn w:val="DefaultParagraphFont"/>
    <w:rsid w:val="00EE445A"/>
    <w:rPr>
      <w:sz w:val="16"/>
      <w:szCs w:val="16"/>
    </w:rPr>
  </w:style>
  <w:style w:type="paragraph" w:styleId="CommentText">
    <w:name w:val="annotation text"/>
    <w:basedOn w:val="Normal"/>
    <w:link w:val="CommentTextChar"/>
    <w:rsid w:val="00EE445A"/>
    <w:pPr>
      <w:widowControl w:val="0"/>
      <w:spacing w:after="0" w:line="240" w:lineRule="auto"/>
    </w:pPr>
    <w:rPr>
      <w:rFonts w:ascii="Times New Roman" w:eastAsia="Times New Roman" w:hAnsi="Times New Roman" w:cs="Times New Roman"/>
      <w:snapToGrid w:val="0"/>
      <w:sz w:val="20"/>
      <w:szCs w:val="20"/>
      <w:lang w:val="en-US"/>
    </w:rPr>
  </w:style>
  <w:style w:type="character" w:customStyle="1" w:styleId="CommentTextChar">
    <w:name w:val="Comment Text Char"/>
    <w:basedOn w:val="DefaultParagraphFont"/>
    <w:link w:val="CommentText"/>
    <w:rsid w:val="00EE445A"/>
    <w:rPr>
      <w:rFonts w:ascii="Times New Roman" w:eastAsia="Times New Roman" w:hAnsi="Times New Roman" w:cs="Times New Roman"/>
      <w:snapToGrid w:val="0"/>
      <w:sz w:val="20"/>
      <w:szCs w:val="20"/>
      <w:lang w:val="en-US"/>
    </w:rPr>
  </w:style>
  <w:style w:type="paragraph" w:styleId="BalloonText">
    <w:name w:val="Balloon Text"/>
    <w:basedOn w:val="Normal"/>
    <w:link w:val="BalloonTextChar"/>
    <w:uiPriority w:val="99"/>
    <w:semiHidden/>
    <w:unhideWhenUsed/>
    <w:rsid w:val="00EE4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5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97F5B"/>
    <w:pPr>
      <w:widowControl/>
      <w:spacing w:after="200"/>
    </w:pPr>
    <w:rPr>
      <w:rFonts w:asciiTheme="minorHAnsi" w:eastAsiaTheme="minorHAnsi" w:hAnsiTheme="minorHAnsi" w:cstheme="minorBidi"/>
      <w:b/>
      <w:bCs/>
      <w:snapToGrid/>
      <w:lang w:val="en-AU"/>
    </w:rPr>
  </w:style>
  <w:style w:type="character" w:customStyle="1" w:styleId="CommentSubjectChar">
    <w:name w:val="Comment Subject Char"/>
    <w:basedOn w:val="CommentTextChar"/>
    <w:link w:val="CommentSubject"/>
    <w:uiPriority w:val="99"/>
    <w:semiHidden/>
    <w:rsid w:val="00F97F5B"/>
    <w:rPr>
      <w:rFonts w:ascii="Times New Roman" w:eastAsia="Times New Roman" w:hAnsi="Times New Roman" w:cs="Times New Roman"/>
      <w:b/>
      <w:bCs/>
      <w:snapToGrid/>
      <w:sz w:val="20"/>
      <w:szCs w:val="20"/>
      <w:lang w:val="en-US"/>
    </w:rPr>
  </w:style>
  <w:style w:type="paragraph" w:styleId="BodyText">
    <w:name w:val="Body Text"/>
    <w:basedOn w:val="Normal"/>
    <w:link w:val="BodyTextChar"/>
    <w:uiPriority w:val="99"/>
    <w:semiHidden/>
    <w:unhideWhenUsed/>
    <w:rsid w:val="00DC4C33"/>
    <w:pPr>
      <w:spacing w:after="120"/>
    </w:pPr>
  </w:style>
  <w:style w:type="character" w:customStyle="1" w:styleId="BodyTextChar">
    <w:name w:val="Body Text Char"/>
    <w:basedOn w:val="DefaultParagraphFont"/>
    <w:link w:val="BodyText"/>
    <w:uiPriority w:val="99"/>
    <w:semiHidden/>
    <w:rsid w:val="00DC4C33"/>
  </w:style>
  <w:style w:type="paragraph" w:styleId="BodyTextIndent2">
    <w:name w:val="Body Text Indent 2"/>
    <w:basedOn w:val="Normal"/>
    <w:link w:val="BodyTextIndent2Char"/>
    <w:uiPriority w:val="99"/>
    <w:semiHidden/>
    <w:unhideWhenUsed/>
    <w:rsid w:val="00986E8B"/>
    <w:pPr>
      <w:spacing w:after="120" w:line="480" w:lineRule="auto"/>
      <w:ind w:left="283"/>
    </w:pPr>
  </w:style>
  <w:style w:type="character" w:customStyle="1" w:styleId="BodyTextIndent2Char">
    <w:name w:val="Body Text Indent 2 Char"/>
    <w:basedOn w:val="DefaultParagraphFont"/>
    <w:link w:val="BodyTextIndent2"/>
    <w:uiPriority w:val="99"/>
    <w:semiHidden/>
    <w:rsid w:val="00986E8B"/>
  </w:style>
  <w:style w:type="paragraph" w:styleId="Revision">
    <w:name w:val="Revision"/>
    <w:hidden/>
    <w:uiPriority w:val="99"/>
    <w:semiHidden/>
    <w:rsid w:val="0057241D"/>
    <w:pPr>
      <w:spacing w:after="0" w:line="240" w:lineRule="auto"/>
    </w:pPr>
  </w:style>
  <w:style w:type="paragraph" w:styleId="Title">
    <w:name w:val="Title"/>
    <w:basedOn w:val="Normal"/>
    <w:next w:val="Normal"/>
    <w:link w:val="TitleChar"/>
    <w:uiPriority w:val="10"/>
    <w:qFormat/>
    <w:rsid w:val="00891B5B"/>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891B5B"/>
    <w:rPr>
      <w:rFonts w:asciiTheme="majorHAnsi" w:eastAsiaTheme="majorEastAsia" w:hAnsiTheme="majorHAnsi" w:cstheme="majorBidi"/>
      <w:color w:val="17365D" w:themeColor="text2" w:themeShade="BF"/>
      <w:spacing w:val="5"/>
      <w:kern w:val="28"/>
      <w:sz w:val="28"/>
      <w:szCs w:val="52"/>
    </w:rPr>
  </w:style>
  <w:style w:type="character" w:customStyle="1" w:styleId="Heading1Char">
    <w:name w:val="Heading 1 Char"/>
    <w:basedOn w:val="DefaultParagraphFont"/>
    <w:link w:val="Heading1"/>
    <w:uiPriority w:val="9"/>
    <w:rsid w:val="002464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64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64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64F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72395"/>
    <w:rPr>
      <w:color w:val="0000FF" w:themeColor="hyperlink"/>
      <w:u w:val="single"/>
    </w:r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locked/>
    <w:rsid w:val="00B72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23178">
      <w:bodyDiv w:val="1"/>
      <w:marLeft w:val="0"/>
      <w:marRight w:val="0"/>
      <w:marTop w:val="0"/>
      <w:marBottom w:val="0"/>
      <w:divBdr>
        <w:top w:val="none" w:sz="0" w:space="0" w:color="auto"/>
        <w:left w:val="none" w:sz="0" w:space="0" w:color="auto"/>
        <w:bottom w:val="none" w:sz="0" w:space="0" w:color="auto"/>
        <w:right w:val="none" w:sz="0" w:space="0" w:color="auto"/>
      </w:divBdr>
    </w:div>
    <w:div w:id="776219665">
      <w:bodyDiv w:val="1"/>
      <w:marLeft w:val="0"/>
      <w:marRight w:val="0"/>
      <w:marTop w:val="0"/>
      <w:marBottom w:val="0"/>
      <w:divBdr>
        <w:top w:val="none" w:sz="0" w:space="0" w:color="auto"/>
        <w:left w:val="none" w:sz="0" w:space="0" w:color="auto"/>
        <w:bottom w:val="none" w:sz="0" w:space="0" w:color="auto"/>
        <w:right w:val="none" w:sz="0" w:space="0" w:color="auto"/>
      </w:divBdr>
    </w:div>
    <w:div w:id="1260598264">
      <w:bodyDiv w:val="1"/>
      <w:marLeft w:val="0"/>
      <w:marRight w:val="0"/>
      <w:marTop w:val="0"/>
      <w:marBottom w:val="0"/>
      <w:divBdr>
        <w:top w:val="none" w:sz="0" w:space="0" w:color="auto"/>
        <w:left w:val="none" w:sz="0" w:space="0" w:color="auto"/>
        <w:bottom w:val="none" w:sz="0" w:space="0" w:color="auto"/>
        <w:right w:val="none" w:sz="0" w:space="0" w:color="auto"/>
      </w:divBdr>
    </w:div>
    <w:div w:id="18065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yfoodpartnership@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D9FF-6954-477B-A734-9694A7A6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Hagon</dc:creator>
  <cp:lastModifiedBy>MARTIN, Mel</cp:lastModifiedBy>
  <cp:revision>28</cp:revision>
  <cp:lastPrinted>2020-01-30T01:27:00Z</cp:lastPrinted>
  <dcterms:created xsi:type="dcterms:W3CDTF">2019-02-19T01:13:00Z</dcterms:created>
  <dcterms:modified xsi:type="dcterms:W3CDTF">2021-02-23T03:19:00Z</dcterms:modified>
</cp:coreProperties>
</file>