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BAEF7" w14:textId="35FAE779" w:rsidR="004B244B" w:rsidRPr="0081566C" w:rsidRDefault="0081566C" w:rsidP="004B244B">
      <w:pPr>
        <w:pStyle w:val="Heading1"/>
        <w:rPr>
          <w:sz w:val="60"/>
          <w:szCs w:val="60"/>
        </w:rPr>
      </w:pPr>
      <w:r w:rsidRPr="0081566C">
        <w:rPr>
          <w:sz w:val="60"/>
          <w:szCs w:val="60"/>
        </w:rPr>
        <w:t xml:space="preserve">Monitoring and reporting adverse events after </w:t>
      </w:r>
      <w:r w:rsidRPr="0081566C">
        <w:rPr>
          <w:sz w:val="60"/>
          <w:szCs w:val="60"/>
        </w:rPr>
        <w:br/>
        <w:t>COVID-19 vaccination in RACFs</w:t>
      </w:r>
    </w:p>
    <w:p w14:paraId="1C062A02" w14:textId="716502F4" w:rsidR="00896800" w:rsidRPr="00764068" w:rsidRDefault="00896800" w:rsidP="00896800">
      <w:r>
        <w:t>Information current as at 19 March 2021</w:t>
      </w:r>
    </w:p>
    <w:p w14:paraId="47DCB794" w14:textId="592310A7" w:rsidR="002F295F" w:rsidRDefault="002F295F" w:rsidP="0038145F">
      <w:pPr>
        <w:spacing w:before="240"/>
      </w:pPr>
      <w:r>
        <w:t>This document provides g</w:t>
      </w:r>
      <w:r w:rsidRPr="00A61E8C">
        <w:t xml:space="preserve">uidance for </w:t>
      </w:r>
      <w:r>
        <w:t xml:space="preserve">vaccination workforce providers and residential </w:t>
      </w:r>
      <w:r w:rsidRPr="00A61E8C">
        <w:t xml:space="preserve">aged care </w:t>
      </w:r>
      <w:r>
        <w:t xml:space="preserve">facility (RACF) </w:t>
      </w:r>
      <w:r w:rsidRPr="00A61E8C">
        <w:t>staff</w:t>
      </w:r>
      <w:r>
        <w:t xml:space="preserve"> </w:t>
      </w:r>
      <w:r w:rsidRPr="00A61E8C">
        <w:t xml:space="preserve">monitoring </w:t>
      </w:r>
      <w:r>
        <w:t>residents</w:t>
      </w:r>
      <w:r w:rsidRPr="00A61E8C">
        <w:t xml:space="preserve"> after administration of </w:t>
      </w:r>
      <w:r>
        <w:t>COVID</w:t>
      </w:r>
      <w:r>
        <w:noBreakHyphen/>
      </w:r>
      <w:r w:rsidR="0038145F">
        <w:t>19 vaccines.</w:t>
      </w:r>
    </w:p>
    <w:p w14:paraId="06765A13" w14:textId="1550BA42" w:rsidR="0081566C" w:rsidRPr="0081566C" w:rsidRDefault="002F295F" w:rsidP="002F295F">
      <w:r>
        <w:t>Vaccine workforce providers are responsible for monitoring residents and reporting serious reactions for the first 15 minutes post-vaccination, after which RACF staff are responsible for monitoring and reporting serious reactions.</w:t>
      </w:r>
    </w:p>
    <w:p w14:paraId="056A35B1" w14:textId="77777777" w:rsidR="0081566C" w:rsidRPr="0081566C" w:rsidRDefault="0081566C" w:rsidP="0038145F">
      <w:pPr>
        <w:pStyle w:val="Heading2"/>
      </w:pPr>
      <w:r w:rsidRPr="0081566C">
        <w:t>Common side effects</w:t>
      </w:r>
    </w:p>
    <w:p w14:paraId="16AA69E3" w14:textId="77777777" w:rsidR="002F295F" w:rsidRPr="002F295F" w:rsidRDefault="002F295F" w:rsidP="002F295F">
      <w:r w:rsidRPr="002F295F">
        <w:t>Residents may experience minor side effects after a COVID-19 vaccination. Most side effects last no more than a couple of days.</w:t>
      </w:r>
    </w:p>
    <w:p w14:paraId="22ACDD2B" w14:textId="77777777" w:rsidR="002F295F" w:rsidRPr="002F295F" w:rsidRDefault="002F295F" w:rsidP="002F295F">
      <w:r w:rsidRPr="002F295F">
        <w:t>Common reactions to vaccination include:</w:t>
      </w:r>
    </w:p>
    <w:p w14:paraId="695AE3F9" w14:textId="77777777" w:rsidR="0081566C" w:rsidRPr="0081566C" w:rsidRDefault="0081566C" w:rsidP="0081566C">
      <w:pPr>
        <w:numPr>
          <w:ilvl w:val="0"/>
          <w:numId w:val="27"/>
        </w:numPr>
      </w:pPr>
      <w:r w:rsidRPr="0081566C">
        <w:t>pain, redness and/or swelling at the injection site</w:t>
      </w:r>
    </w:p>
    <w:p w14:paraId="5EE8AC16" w14:textId="77777777" w:rsidR="0081566C" w:rsidRPr="0081566C" w:rsidRDefault="0081566C" w:rsidP="0081566C">
      <w:pPr>
        <w:numPr>
          <w:ilvl w:val="0"/>
          <w:numId w:val="27"/>
        </w:numPr>
      </w:pPr>
      <w:r w:rsidRPr="0081566C">
        <w:t>mild fever</w:t>
      </w:r>
    </w:p>
    <w:p w14:paraId="1F1E9FA9" w14:textId="63C2FAC5" w:rsidR="0081566C" w:rsidRPr="0081566C" w:rsidRDefault="0081566C" w:rsidP="0081566C">
      <w:pPr>
        <w:numPr>
          <w:ilvl w:val="0"/>
          <w:numId w:val="27"/>
        </w:numPr>
      </w:pPr>
      <w:proofErr w:type="gramStart"/>
      <w:r w:rsidRPr="0081566C">
        <w:t>headache</w:t>
      </w:r>
      <w:proofErr w:type="gramEnd"/>
      <w:r w:rsidRPr="0081566C">
        <w:t>.</w:t>
      </w:r>
    </w:p>
    <w:p w14:paraId="74DFDDCC" w14:textId="77777777" w:rsidR="0081566C" w:rsidRPr="0081566C" w:rsidRDefault="0081566C" w:rsidP="0038145F">
      <w:pPr>
        <w:pStyle w:val="Heading2"/>
      </w:pPr>
      <w:r w:rsidRPr="0081566C">
        <w:t>Serious reactions</w:t>
      </w:r>
    </w:p>
    <w:p w14:paraId="4B4CDF48" w14:textId="47220AA8" w:rsidR="0081566C" w:rsidRPr="0081566C" w:rsidRDefault="0081566C" w:rsidP="0081566C">
      <w:r w:rsidRPr="0081566C">
        <w:t xml:space="preserve">Serious reactions to a COVID-19 vaccination, such as allergic reactions are very rare. </w:t>
      </w:r>
      <w:r w:rsidR="002F295F">
        <w:t xml:space="preserve"> </w:t>
      </w:r>
    </w:p>
    <w:p w14:paraId="5F1EB6E1" w14:textId="77777777" w:rsidR="0081566C" w:rsidRPr="0081566C" w:rsidRDefault="0081566C" w:rsidP="0081566C">
      <w:r w:rsidRPr="00924610">
        <w:rPr>
          <w:b/>
        </w:rPr>
        <w:t>It is important to monitor residents for 15 minutes following their vaccination.</w:t>
      </w:r>
      <w:r w:rsidRPr="002F295F">
        <w:rPr>
          <w:bCs/>
        </w:rPr>
        <w:t xml:space="preserve"> If</w:t>
      </w:r>
      <w:r w:rsidRPr="0081566C">
        <w:t xml:space="preserve"> they become unwell during this time you should </w:t>
      </w:r>
      <w:r w:rsidRPr="00924610">
        <w:rPr>
          <w:b/>
          <w:bCs/>
        </w:rPr>
        <w:t>immediately</w:t>
      </w:r>
      <w:r w:rsidRPr="0081566C">
        <w:t xml:space="preserve"> alert the registered nurse on duty and the person giving the vaccine.</w:t>
      </w:r>
    </w:p>
    <w:p w14:paraId="385ABAE4" w14:textId="77777777" w:rsidR="0081566C" w:rsidRPr="0081566C" w:rsidRDefault="0081566C" w:rsidP="0081566C">
      <w:r w:rsidRPr="0081566C">
        <w:t xml:space="preserve">The person giving the vaccine is trained to respond to immediate reactions.  </w:t>
      </w:r>
    </w:p>
    <w:p w14:paraId="0466E1A4" w14:textId="4A1B531F" w:rsidR="004B244B" w:rsidRPr="002F295F" w:rsidRDefault="0081566C" w:rsidP="0081566C">
      <w:r w:rsidRPr="0081566C">
        <w:t xml:space="preserve">Roles and responsibilities for monitoring and reporting serious reactions in residential aged care facilities are outlined in the aged care </w:t>
      </w:r>
      <w:hyperlink r:id="rId10" w:history="1">
        <w:r w:rsidRPr="0081566C">
          <w:rPr>
            <w:rStyle w:val="Hyperlink"/>
          </w:rPr>
          <w:t>COVID-19 vaccination clinical governance guidelines</w:t>
        </w:r>
      </w:hyperlink>
      <w:r w:rsidRPr="0081566C">
        <w:t>.</w:t>
      </w:r>
    </w:p>
    <w:p w14:paraId="35E2273A" w14:textId="77777777" w:rsidR="003F658A" w:rsidRDefault="003F658A">
      <w:pPr>
        <w:spacing w:after="0" w:line="240" w:lineRule="auto"/>
        <w:sectPr w:rsidR="003F658A" w:rsidSect="004B244B">
          <w:headerReference w:type="default" r:id="rId11"/>
          <w:footerReference w:type="default" r:id="rId12"/>
          <w:headerReference w:type="first" r:id="rId13"/>
          <w:pgSz w:w="11906" w:h="16838"/>
          <w:pgMar w:top="3261" w:right="1440" w:bottom="1474" w:left="1134" w:header="709" w:footer="709" w:gutter="0"/>
          <w:cols w:space="708"/>
          <w:titlePg/>
          <w:docGrid w:linePitch="360"/>
        </w:sectPr>
      </w:pPr>
    </w:p>
    <w:p w14:paraId="55235497" w14:textId="2052E2C8" w:rsidR="0081566C" w:rsidRPr="0038145F" w:rsidRDefault="0038145F" w:rsidP="0038145F">
      <w:pPr>
        <w:pStyle w:val="Heading2"/>
      </w:pPr>
      <w:r>
        <w:lastRenderedPageBreak/>
        <w:t>Reporting serious reactions</w:t>
      </w:r>
    </w:p>
    <w:p w14:paraId="4F8386B5" w14:textId="61820C6B" w:rsidR="0081566C" w:rsidRPr="0081566C" w:rsidRDefault="0081566C" w:rsidP="0081566C">
      <w:r w:rsidRPr="0081566C">
        <w:t>Health professionals are encouraged to report suspected reactions, known as adverse events following immunisation (AEFI) particularly if they are unexpected or significant.</w:t>
      </w:r>
    </w:p>
    <w:p w14:paraId="03D3BC21" w14:textId="77777777" w:rsidR="0081566C" w:rsidRPr="0081566C" w:rsidRDefault="0081566C" w:rsidP="0081566C">
      <w:r w:rsidRPr="0081566C">
        <w:t xml:space="preserve">If a resident has an immediate serious reaction or is unwell in the days after a vaccination, </w:t>
      </w:r>
      <w:r w:rsidRPr="0081566C">
        <w:rPr>
          <w:b/>
        </w:rPr>
        <w:t>you can report it to either</w:t>
      </w:r>
      <w:r w:rsidRPr="0081566C">
        <w:t>:</w:t>
      </w:r>
    </w:p>
    <w:p w14:paraId="6CE4E074" w14:textId="1D2D28E8" w:rsidR="0081566C" w:rsidRPr="0081566C" w:rsidRDefault="0081566C" w:rsidP="0081566C">
      <w:pPr>
        <w:numPr>
          <w:ilvl w:val="0"/>
          <w:numId w:val="28"/>
        </w:numPr>
      </w:pPr>
      <w:r w:rsidRPr="0081566C">
        <w:t xml:space="preserve">your local state or territory health unit (see </w:t>
      </w:r>
      <w:r w:rsidR="002519DA">
        <w:t>details below</w:t>
      </w:r>
      <w:r w:rsidRPr="0081566C">
        <w:t>), or</w:t>
      </w:r>
    </w:p>
    <w:p w14:paraId="2383B143" w14:textId="5F4E5E1E" w:rsidR="0081566C" w:rsidRPr="0081566C" w:rsidRDefault="0081566C" w:rsidP="0081566C">
      <w:pPr>
        <w:numPr>
          <w:ilvl w:val="0"/>
          <w:numId w:val="28"/>
        </w:numPr>
      </w:pPr>
      <w:r w:rsidRPr="0081566C">
        <w:t>directly with the Therapeutics Good Administration (</w:t>
      </w:r>
      <w:hyperlink r:id="rId14" w:history="1">
        <w:r w:rsidRPr="0081566C">
          <w:rPr>
            <w:rStyle w:val="Hyperlink"/>
          </w:rPr>
          <w:t>tga.gov.au/reporting-problems</w:t>
        </w:r>
      </w:hyperlink>
      <w:r w:rsidRPr="0081566C">
        <w:t>).</w:t>
      </w:r>
    </w:p>
    <w:p w14:paraId="1A7E39D4" w14:textId="3DB71B54" w:rsidR="0081566C" w:rsidRDefault="0081566C" w:rsidP="000F4A7E">
      <w:r w:rsidRPr="0081566C">
        <w:rPr>
          <w:iCs/>
        </w:rPr>
        <w:t xml:space="preserve">Residential aged care facilities should also report serious reactions and events to the Vaccine Operations Centre on 1800 318 208 or </w:t>
      </w:r>
      <w:hyperlink r:id="rId15" w:history="1">
        <w:r w:rsidRPr="0081566C">
          <w:rPr>
            <w:rStyle w:val="Hyperlink"/>
          </w:rPr>
          <w:t>COVID19VaccineOperationsCentre@Health.gov.au</w:t>
        </w:r>
      </w:hyperlink>
    </w:p>
    <w:p w14:paraId="093EB568" w14:textId="52C755EC" w:rsidR="00290544" w:rsidRDefault="0081566C" w:rsidP="0038145F">
      <w:pPr>
        <w:pStyle w:val="Heading2"/>
        <w:spacing w:before="480" w:after="240"/>
      </w:pPr>
      <w:r w:rsidRPr="0081566C">
        <w:t>Where to report serious reactions in each state / territory</w:t>
      </w:r>
    </w:p>
    <w:tbl>
      <w:tblPr>
        <w:tblStyle w:val="TableGrid"/>
        <w:tblW w:w="946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  <w:tblDescription w:val="&quot;&quot;"/>
      </w:tblPr>
      <w:tblGrid>
        <w:gridCol w:w="1696"/>
        <w:gridCol w:w="7767"/>
      </w:tblGrid>
      <w:tr w:rsidR="00290544" w14:paraId="192FE9B1" w14:textId="77777777" w:rsidTr="000D5387">
        <w:trPr>
          <w:trHeight w:val="413"/>
          <w:tblHeader/>
        </w:trPr>
        <w:tc>
          <w:tcPr>
            <w:tcW w:w="1696" w:type="dxa"/>
            <w:shd w:val="clear" w:color="auto" w:fill="F2F2F2" w:themeFill="background1" w:themeFillShade="F2"/>
          </w:tcPr>
          <w:p w14:paraId="45C1FBDF" w14:textId="6346D060" w:rsidR="00290544" w:rsidRDefault="0081566C" w:rsidP="000D5387">
            <w:pPr>
              <w:rPr>
                <w:rFonts w:eastAsiaTheme="majorEastAsia" w:cstheme="majorBidi"/>
                <w:b/>
                <w:color w:val="3665AE"/>
                <w:sz w:val="28"/>
                <w:szCs w:val="28"/>
              </w:rPr>
            </w:pPr>
            <w:r>
              <w:rPr>
                <w:rFonts w:eastAsiaTheme="majorEastAsia" w:cstheme="majorBidi"/>
                <w:b/>
                <w:color w:val="3665AE"/>
                <w:sz w:val="20"/>
                <w:szCs w:val="28"/>
              </w:rPr>
              <w:t>State</w:t>
            </w:r>
          </w:p>
        </w:tc>
        <w:tc>
          <w:tcPr>
            <w:tcW w:w="7767" w:type="dxa"/>
            <w:shd w:val="clear" w:color="auto" w:fill="F2F2F2" w:themeFill="background1" w:themeFillShade="F2"/>
          </w:tcPr>
          <w:p w14:paraId="3DE8707B" w14:textId="4CBAA0F4" w:rsidR="00290544" w:rsidRPr="0081566C" w:rsidRDefault="0081566C" w:rsidP="0081566C">
            <w:pPr>
              <w:pStyle w:val="Heading5"/>
            </w:pPr>
            <w:r w:rsidRPr="0081566C">
              <w:t>Contact</w:t>
            </w:r>
          </w:p>
        </w:tc>
      </w:tr>
      <w:tr w:rsidR="00290544" w14:paraId="5FB1BE11" w14:textId="77777777" w:rsidTr="0081566C">
        <w:trPr>
          <w:trHeight w:val="283"/>
        </w:trPr>
        <w:tc>
          <w:tcPr>
            <w:tcW w:w="1696" w:type="dxa"/>
          </w:tcPr>
          <w:p w14:paraId="5E24D7F5" w14:textId="4AAF2933" w:rsidR="00290544" w:rsidRPr="00192F16" w:rsidRDefault="0081566C" w:rsidP="0081566C">
            <w:pPr>
              <w:rPr>
                <w:lang w:val="en-US"/>
              </w:rPr>
            </w:pPr>
            <w:r w:rsidRPr="00782583">
              <w:rPr>
                <w:rFonts w:eastAsia="Times New Roman"/>
                <w:lang w:eastAsia="en-AU"/>
              </w:rPr>
              <w:t>NSW</w:t>
            </w:r>
          </w:p>
        </w:tc>
        <w:tc>
          <w:tcPr>
            <w:tcW w:w="7767" w:type="dxa"/>
          </w:tcPr>
          <w:p w14:paraId="467DB5BC" w14:textId="73F5285B" w:rsidR="00290544" w:rsidRPr="0081566C" w:rsidRDefault="0081566C" w:rsidP="0081566C">
            <w:pPr>
              <w:rPr>
                <w:lang w:val="en-US"/>
              </w:rPr>
            </w:pPr>
            <w:r w:rsidRPr="0081566C">
              <w:rPr>
                <w:lang w:val="en"/>
              </w:rPr>
              <w:t xml:space="preserve">1300 066 055 or </w:t>
            </w:r>
            <w:hyperlink r:id="rId16" w:anchor="bookmark6" w:history="1">
              <w:r w:rsidRPr="0081566C">
                <w:rPr>
                  <w:rStyle w:val="Hyperlink"/>
                  <w:lang w:val="en"/>
                </w:rPr>
                <w:t>NSW</w:t>
              </w:r>
              <w:r w:rsidRPr="0081566C">
                <w:rPr>
                  <w:rStyle w:val="Hyperlink"/>
                </w:rPr>
                <w:t xml:space="preserve"> Health </w:t>
              </w:r>
            </w:hyperlink>
          </w:p>
        </w:tc>
      </w:tr>
      <w:tr w:rsidR="0081566C" w14:paraId="1147D985" w14:textId="77777777" w:rsidTr="0081566C">
        <w:trPr>
          <w:trHeight w:val="289"/>
        </w:trPr>
        <w:tc>
          <w:tcPr>
            <w:tcW w:w="1696" w:type="dxa"/>
          </w:tcPr>
          <w:p w14:paraId="35954DB2" w14:textId="69A7A31A" w:rsidR="0081566C" w:rsidRPr="00782583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Victoria</w:t>
            </w:r>
          </w:p>
        </w:tc>
        <w:tc>
          <w:tcPr>
            <w:tcW w:w="7767" w:type="dxa"/>
          </w:tcPr>
          <w:p w14:paraId="3BD263B5" w14:textId="101D263C" w:rsidR="0081566C" w:rsidRPr="0081566C" w:rsidRDefault="0081566C" w:rsidP="0081566C">
            <w:pPr>
              <w:rPr>
                <w:lang w:val="en"/>
              </w:rPr>
            </w:pPr>
            <w:r w:rsidRPr="0081566C">
              <w:rPr>
                <w:bCs/>
                <w:lang w:val="en"/>
              </w:rPr>
              <w:t xml:space="preserve">1300 882 924 (option 1) or </w:t>
            </w:r>
            <w:hyperlink r:id="rId17" w:history="1">
              <w:r w:rsidRPr="0081566C">
                <w:rPr>
                  <w:rStyle w:val="Hyperlink"/>
                </w:rPr>
                <w:t>www.safevac.org.au</w:t>
              </w:r>
            </w:hyperlink>
          </w:p>
        </w:tc>
      </w:tr>
      <w:tr w:rsidR="0081566C" w14:paraId="52BAB0D2" w14:textId="77777777" w:rsidTr="0081566C">
        <w:trPr>
          <w:trHeight w:val="281"/>
        </w:trPr>
        <w:tc>
          <w:tcPr>
            <w:tcW w:w="1696" w:type="dxa"/>
          </w:tcPr>
          <w:p w14:paraId="09289B8E" w14:textId="7596F649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Queensland</w:t>
            </w:r>
          </w:p>
        </w:tc>
        <w:tc>
          <w:tcPr>
            <w:tcW w:w="7767" w:type="dxa"/>
          </w:tcPr>
          <w:p w14:paraId="75E44F14" w14:textId="5ECAB376" w:rsidR="0081566C" w:rsidRPr="0081566C" w:rsidRDefault="0081566C" w:rsidP="0081566C">
            <w:pPr>
              <w:rPr>
                <w:lang w:val="en"/>
              </w:rPr>
            </w:pPr>
            <w:r w:rsidRPr="0081566C">
              <w:t xml:space="preserve">Your local Public Health Unit or </w:t>
            </w:r>
            <w:hyperlink r:id="rId18" w:history="1">
              <w:r w:rsidRPr="0081566C">
                <w:rPr>
                  <w:rStyle w:val="Hyperlink"/>
                </w:rPr>
                <w:t>Queensland Health Department</w:t>
              </w:r>
            </w:hyperlink>
          </w:p>
        </w:tc>
      </w:tr>
      <w:tr w:rsidR="0081566C" w14:paraId="7EABE4D5" w14:textId="77777777" w:rsidTr="0081566C">
        <w:trPr>
          <w:trHeight w:val="556"/>
        </w:trPr>
        <w:tc>
          <w:tcPr>
            <w:tcW w:w="1696" w:type="dxa"/>
          </w:tcPr>
          <w:p w14:paraId="2D777BB1" w14:textId="07FC509D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Western Australia</w:t>
            </w:r>
          </w:p>
        </w:tc>
        <w:tc>
          <w:tcPr>
            <w:tcW w:w="7767" w:type="dxa"/>
          </w:tcPr>
          <w:p w14:paraId="5BD111FC" w14:textId="054D49E6" w:rsidR="0081566C" w:rsidRPr="0081566C" w:rsidRDefault="0081566C" w:rsidP="0081566C">
            <w:pPr>
              <w:rPr>
                <w:lang w:val="en"/>
              </w:rPr>
            </w:pPr>
            <w:r w:rsidRPr="0081566C">
              <w:rPr>
                <w:lang w:val="en"/>
              </w:rPr>
              <w:t xml:space="preserve">08 6456 0208 or </w:t>
            </w:r>
            <w:hyperlink r:id="rId19" w:history="1">
              <w:r w:rsidRPr="0081566C">
                <w:rPr>
                  <w:rStyle w:val="Hyperlink"/>
                  <w:lang w:val="en"/>
                </w:rPr>
                <w:t>W</w:t>
              </w:r>
              <w:r w:rsidRPr="0081566C">
                <w:rPr>
                  <w:rStyle w:val="Hyperlink"/>
                </w:rPr>
                <w:t>A Department of Health</w:t>
              </w:r>
            </w:hyperlink>
          </w:p>
        </w:tc>
      </w:tr>
      <w:tr w:rsidR="0081566C" w14:paraId="18716241" w14:textId="77777777" w:rsidTr="0081566C">
        <w:trPr>
          <w:trHeight w:val="155"/>
        </w:trPr>
        <w:tc>
          <w:tcPr>
            <w:tcW w:w="1696" w:type="dxa"/>
          </w:tcPr>
          <w:p w14:paraId="26950842" w14:textId="64EF1321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ACT</w:t>
            </w:r>
          </w:p>
        </w:tc>
        <w:tc>
          <w:tcPr>
            <w:tcW w:w="7767" w:type="dxa"/>
          </w:tcPr>
          <w:p w14:paraId="3E6A8B5E" w14:textId="5CD56B3F" w:rsidR="0081566C" w:rsidRPr="0081566C" w:rsidRDefault="0081566C" w:rsidP="0081566C">
            <w:pPr>
              <w:rPr>
                <w:lang w:val="en"/>
              </w:rPr>
            </w:pPr>
            <w:r w:rsidRPr="0081566C">
              <w:t xml:space="preserve">02 5154 9800 or </w:t>
            </w:r>
            <w:hyperlink r:id="rId20" w:history="1">
              <w:r w:rsidRPr="0081566C">
                <w:rPr>
                  <w:rStyle w:val="Hyperlink"/>
                </w:rPr>
                <w:t>ACT Health</w:t>
              </w:r>
            </w:hyperlink>
          </w:p>
        </w:tc>
      </w:tr>
      <w:tr w:rsidR="0081566C" w14:paraId="48A2DC90" w14:textId="77777777" w:rsidTr="0081566C">
        <w:trPr>
          <w:trHeight w:val="57"/>
        </w:trPr>
        <w:tc>
          <w:tcPr>
            <w:tcW w:w="1696" w:type="dxa"/>
          </w:tcPr>
          <w:p w14:paraId="0E4B6FE9" w14:textId="348941E1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South Australia</w:t>
            </w:r>
          </w:p>
        </w:tc>
        <w:tc>
          <w:tcPr>
            <w:tcW w:w="7767" w:type="dxa"/>
          </w:tcPr>
          <w:p w14:paraId="7F10F563" w14:textId="6D7C980D" w:rsidR="0081566C" w:rsidRPr="0081566C" w:rsidRDefault="0081566C" w:rsidP="0081566C">
            <w:pPr>
              <w:rPr>
                <w:lang w:val="en"/>
              </w:rPr>
            </w:pPr>
            <w:r w:rsidRPr="0081566C">
              <w:t xml:space="preserve">1300 232 272 or </w:t>
            </w:r>
            <w:hyperlink r:id="rId21" w:history="1">
              <w:r w:rsidRPr="0081566C">
                <w:rPr>
                  <w:rStyle w:val="Hyperlink"/>
                </w:rPr>
                <w:t xml:space="preserve">SA Health </w:t>
              </w:r>
            </w:hyperlink>
          </w:p>
        </w:tc>
      </w:tr>
      <w:tr w:rsidR="0081566C" w14:paraId="1C9C6AF2" w14:textId="77777777" w:rsidTr="0081566C">
        <w:trPr>
          <w:trHeight w:val="157"/>
        </w:trPr>
        <w:tc>
          <w:tcPr>
            <w:tcW w:w="1696" w:type="dxa"/>
          </w:tcPr>
          <w:p w14:paraId="6968F6F3" w14:textId="0DF6DCF0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Northern Territory</w:t>
            </w:r>
          </w:p>
        </w:tc>
        <w:tc>
          <w:tcPr>
            <w:tcW w:w="7767" w:type="dxa"/>
          </w:tcPr>
          <w:p w14:paraId="7AD6C6FA" w14:textId="61C3D8CF" w:rsidR="0081566C" w:rsidRPr="0081566C" w:rsidRDefault="0081566C" w:rsidP="0081566C">
            <w:pPr>
              <w:rPr>
                <w:lang w:val="en"/>
              </w:rPr>
            </w:pPr>
            <w:r w:rsidRPr="0081566C">
              <w:t xml:space="preserve">Your local Public Health Unit or </w:t>
            </w:r>
            <w:hyperlink r:id="rId22" w:history="1">
              <w:r w:rsidRPr="0081566C">
                <w:rPr>
                  <w:rStyle w:val="Hyperlink"/>
                </w:rPr>
                <w:t xml:space="preserve">NT Department of Health </w:t>
              </w:r>
            </w:hyperlink>
          </w:p>
        </w:tc>
      </w:tr>
      <w:tr w:rsidR="0081566C" w14:paraId="19BF74AD" w14:textId="77777777" w:rsidTr="0081566C">
        <w:trPr>
          <w:trHeight w:val="196"/>
        </w:trPr>
        <w:tc>
          <w:tcPr>
            <w:tcW w:w="1696" w:type="dxa"/>
          </w:tcPr>
          <w:p w14:paraId="1FDFDCAB" w14:textId="75E9283E" w:rsidR="0081566C" w:rsidRDefault="0081566C" w:rsidP="0081566C">
            <w:pPr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Tasmania</w:t>
            </w:r>
          </w:p>
        </w:tc>
        <w:tc>
          <w:tcPr>
            <w:tcW w:w="7767" w:type="dxa"/>
          </w:tcPr>
          <w:p w14:paraId="6A214776" w14:textId="3AC0ED55" w:rsidR="0081566C" w:rsidRPr="0081566C" w:rsidRDefault="0081566C" w:rsidP="0081566C">
            <w:pPr>
              <w:rPr>
                <w:lang w:val="en"/>
              </w:rPr>
            </w:pPr>
            <w:r w:rsidRPr="0081566C">
              <w:t xml:space="preserve">1800 671 738 or </w:t>
            </w:r>
            <w:hyperlink r:id="rId23" w:history="1">
              <w:r w:rsidRPr="0081566C">
                <w:rPr>
                  <w:rStyle w:val="Hyperlink"/>
                </w:rPr>
                <w:t>Tasmanian Department of Health</w:t>
              </w:r>
            </w:hyperlink>
          </w:p>
        </w:tc>
      </w:tr>
    </w:tbl>
    <w:p w14:paraId="21E9B1DC" w14:textId="2D405696" w:rsidR="00192F16" w:rsidRPr="008E52E8" w:rsidRDefault="00192F16" w:rsidP="008E52E8"/>
    <w:p w14:paraId="16817CBB" w14:textId="77777777" w:rsidR="0081566C" w:rsidRPr="0038145F" w:rsidRDefault="0081566C" w:rsidP="0038145F">
      <w:r w:rsidRPr="0038145F">
        <w:br w:type="page"/>
      </w:r>
    </w:p>
    <w:p w14:paraId="1E16DF61" w14:textId="0EA30164" w:rsidR="0081566C" w:rsidRDefault="0081566C" w:rsidP="0038145F">
      <w:pPr>
        <w:pStyle w:val="Heading2"/>
        <w:spacing w:after="480"/>
      </w:pPr>
      <w:r w:rsidRPr="0081566C">
        <w:lastRenderedPageBreak/>
        <w:t xml:space="preserve">Frequency of select common adverse events reported within 7 days following each dose of </w:t>
      </w:r>
      <w:proofErr w:type="spellStart"/>
      <w:r w:rsidRPr="0081566C">
        <w:t>Comirnaty</w:t>
      </w:r>
      <w:proofErr w:type="spellEnd"/>
      <w:r w:rsidRPr="0081566C">
        <w:t xml:space="preserve"> (Pfizer) in phase II/III trial</w:t>
      </w:r>
      <w:r w:rsidRPr="0081566C">
        <w:rPr>
          <w:vertAlign w:val="superscript"/>
        </w:rPr>
        <w:t>26</w:t>
      </w:r>
      <w:r w:rsidRPr="0081566C">
        <w:t xml:space="preserve"> 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Description w:val="This table shows the frequency of select common adverse events reported within 7 days of each dose of the Pfizer vaccine"/>
      </w:tblPr>
      <w:tblGrid>
        <w:gridCol w:w="1833"/>
        <w:gridCol w:w="1807"/>
        <w:gridCol w:w="1807"/>
        <w:gridCol w:w="1808"/>
        <w:gridCol w:w="1808"/>
      </w:tblGrid>
      <w:tr w:rsidR="008C6914" w:rsidRPr="00A059FE" w14:paraId="24B3CAA7" w14:textId="77777777" w:rsidTr="001275EF">
        <w:trPr>
          <w:tblHeader/>
        </w:trPr>
        <w:tc>
          <w:tcPr>
            <w:tcW w:w="1833" w:type="dxa"/>
            <w:shd w:val="clear" w:color="auto" w:fill="F2F2F2" w:themeFill="background1" w:themeFillShade="F2"/>
          </w:tcPr>
          <w:p w14:paraId="277B5BF1" w14:textId="77777777" w:rsidR="008C6914" w:rsidRPr="00A059FE" w:rsidRDefault="008C6914" w:rsidP="0081566C">
            <w:pPr>
              <w:pStyle w:val="Heading5"/>
            </w:pPr>
          </w:p>
        </w:tc>
        <w:tc>
          <w:tcPr>
            <w:tcW w:w="1807" w:type="dxa"/>
            <w:shd w:val="clear" w:color="auto" w:fill="F2F2F2" w:themeFill="background1" w:themeFillShade="F2"/>
          </w:tcPr>
          <w:p w14:paraId="4BF570E4" w14:textId="77777777" w:rsidR="008C6914" w:rsidRPr="00A059FE" w:rsidRDefault="008C6914" w:rsidP="0081566C">
            <w:pPr>
              <w:pStyle w:val="Heading5"/>
            </w:pPr>
            <w:r w:rsidRPr="00A059FE">
              <w:t>16–55 years of age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6526409E" w14:textId="62E6BF8B" w:rsidR="008C6914" w:rsidRPr="00A059FE" w:rsidRDefault="008C6914" w:rsidP="0081566C">
            <w:pPr>
              <w:pStyle w:val="Heading5"/>
            </w:pPr>
            <w:r w:rsidRPr="00A059FE">
              <w:t>16–55 years of age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0789E3F0" w14:textId="5FBBB8D3" w:rsidR="008C6914" w:rsidRPr="00A059FE" w:rsidRDefault="008C6914" w:rsidP="0081566C">
            <w:pPr>
              <w:pStyle w:val="Heading5"/>
            </w:pPr>
            <w:r w:rsidRPr="00A059FE">
              <w:t>&gt;55 years of age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3670E952" w14:textId="26BFFEAA" w:rsidR="008C6914" w:rsidRPr="00A059FE" w:rsidRDefault="008C6914" w:rsidP="0081566C">
            <w:pPr>
              <w:pStyle w:val="Heading5"/>
            </w:pPr>
            <w:r w:rsidRPr="00A059FE">
              <w:t>&gt;55 years of age</w:t>
            </w:r>
          </w:p>
        </w:tc>
      </w:tr>
      <w:tr w:rsidR="0081566C" w:rsidRPr="00A059FE" w14:paraId="5739B423" w14:textId="77777777" w:rsidTr="001275EF">
        <w:trPr>
          <w:tblHeader/>
        </w:trPr>
        <w:tc>
          <w:tcPr>
            <w:tcW w:w="1833" w:type="dxa"/>
            <w:shd w:val="clear" w:color="auto" w:fill="F2F2F2" w:themeFill="background1" w:themeFillShade="F2"/>
          </w:tcPr>
          <w:p w14:paraId="207236AC" w14:textId="77777777" w:rsidR="0081566C" w:rsidRPr="00A059FE" w:rsidRDefault="0081566C" w:rsidP="0081566C">
            <w:pPr>
              <w:pStyle w:val="Heading5"/>
            </w:pPr>
          </w:p>
        </w:tc>
        <w:tc>
          <w:tcPr>
            <w:tcW w:w="1806" w:type="dxa"/>
            <w:shd w:val="clear" w:color="auto" w:fill="F2F2F2" w:themeFill="background1" w:themeFillShade="F2"/>
          </w:tcPr>
          <w:p w14:paraId="58A81B55" w14:textId="77777777" w:rsidR="0081566C" w:rsidRPr="00A059FE" w:rsidRDefault="0081566C" w:rsidP="0081566C">
            <w:pPr>
              <w:pStyle w:val="Heading5"/>
            </w:pPr>
            <w:r w:rsidRPr="00A059FE">
              <w:t>Dose 1</w:t>
            </w:r>
          </w:p>
        </w:tc>
        <w:tc>
          <w:tcPr>
            <w:tcW w:w="1807" w:type="dxa"/>
            <w:shd w:val="clear" w:color="auto" w:fill="F2F2F2" w:themeFill="background1" w:themeFillShade="F2"/>
          </w:tcPr>
          <w:p w14:paraId="442D6438" w14:textId="77777777" w:rsidR="0081566C" w:rsidRPr="00A059FE" w:rsidRDefault="0081566C" w:rsidP="0081566C">
            <w:pPr>
              <w:pStyle w:val="Heading5"/>
            </w:pPr>
            <w:r w:rsidRPr="00A059FE">
              <w:t>Dose 2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1C6A981B" w14:textId="77777777" w:rsidR="0081566C" w:rsidRPr="00A059FE" w:rsidRDefault="0081566C" w:rsidP="0081566C">
            <w:pPr>
              <w:pStyle w:val="Heading5"/>
            </w:pPr>
            <w:r w:rsidRPr="00A059FE">
              <w:t>Dose 1</w:t>
            </w:r>
          </w:p>
        </w:tc>
        <w:tc>
          <w:tcPr>
            <w:tcW w:w="1808" w:type="dxa"/>
            <w:shd w:val="clear" w:color="auto" w:fill="F2F2F2" w:themeFill="background1" w:themeFillShade="F2"/>
          </w:tcPr>
          <w:p w14:paraId="4059FC88" w14:textId="77777777" w:rsidR="0081566C" w:rsidRPr="00A059FE" w:rsidRDefault="0081566C" w:rsidP="0081566C">
            <w:pPr>
              <w:pStyle w:val="Heading5"/>
            </w:pPr>
            <w:r w:rsidRPr="00A059FE">
              <w:t>Dose 2</w:t>
            </w:r>
          </w:p>
        </w:tc>
      </w:tr>
      <w:tr w:rsidR="0081566C" w:rsidRPr="00A059FE" w14:paraId="406A4616" w14:textId="77777777" w:rsidTr="0081566C">
        <w:trPr>
          <w:trHeight w:val="340"/>
        </w:trPr>
        <w:tc>
          <w:tcPr>
            <w:tcW w:w="1833" w:type="dxa"/>
          </w:tcPr>
          <w:p w14:paraId="5BC08E89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Injection site pain</w:t>
            </w:r>
          </w:p>
        </w:tc>
        <w:tc>
          <w:tcPr>
            <w:tcW w:w="1806" w:type="dxa"/>
          </w:tcPr>
          <w:p w14:paraId="05290639" w14:textId="77777777" w:rsidR="0081566C" w:rsidRPr="00A059FE" w:rsidRDefault="0081566C" w:rsidP="00CF0576">
            <w:r w:rsidRPr="00A059FE">
              <w:t>83%</w:t>
            </w:r>
          </w:p>
        </w:tc>
        <w:tc>
          <w:tcPr>
            <w:tcW w:w="1807" w:type="dxa"/>
          </w:tcPr>
          <w:p w14:paraId="11E07421" w14:textId="77777777" w:rsidR="0081566C" w:rsidRPr="00A059FE" w:rsidRDefault="0081566C" w:rsidP="00CF0576">
            <w:r w:rsidRPr="00A059FE">
              <w:t>78%</w:t>
            </w:r>
          </w:p>
        </w:tc>
        <w:tc>
          <w:tcPr>
            <w:tcW w:w="1808" w:type="dxa"/>
          </w:tcPr>
          <w:p w14:paraId="6AD3CB09" w14:textId="77777777" w:rsidR="0081566C" w:rsidRPr="00A059FE" w:rsidRDefault="0081566C" w:rsidP="00CF0576">
            <w:r w:rsidRPr="00A059FE">
              <w:t>71%</w:t>
            </w:r>
          </w:p>
        </w:tc>
        <w:tc>
          <w:tcPr>
            <w:tcW w:w="1808" w:type="dxa"/>
          </w:tcPr>
          <w:p w14:paraId="5A21092F" w14:textId="77777777" w:rsidR="0081566C" w:rsidRPr="00A059FE" w:rsidRDefault="0081566C" w:rsidP="00CF0576">
            <w:r w:rsidRPr="00A059FE">
              <w:t>66%</w:t>
            </w:r>
          </w:p>
        </w:tc>
      </w:tr>
      <w:tr w:rsidR="0081566C" w:rsidRPr="00A059FE" w14:paraId="3D4B7A2C" w14:textId="77777777" w:rsidTr="0081566C">
        <w:tc>
          <w:tcPr>
            <w:tcW w:w="1833" w:type="dxa"/>
          </w:tcPr>
          <w:p w14:paraId="480F970E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Fever</w:t>
            </w:r>
          </w:p>
        </w:tc>
        <w:tc>
          <w:tcPr>
            <w:tcW w:w="1806" w:type="dxa"/>
          </w:tcPr>
          <w:p w14:paraId="1922BE7E" w14:textId="77777777" w:rsidR="0081566C" w:rsidRPr="00A059FE" w:rsidRDefault="0081566C" w:rsidP="00CF0576">
            <w:r>
              <w:t>4</w:t>
            </w:r>
            <w:r w:rsidRPr="00A059FE">
              <w:t xml:space="preserve">% </w:t>
            </w:r>
          </w:p>
        </w:tc>
        <w:tc>
          <w:tcPr>
            <w:tcW w:w="1807" w:type="dxa"/>
          </w:tcPr>
          <w:p w14:paraId="64F2A969" w14:textId="77777777" w:rsidR="0081566C" w:rsidRPr="00A059FE" w:rsidRDefault="0081566C" w:rsidP="00CF0576">
            <w:r w:rsidRPr="00A059FE">
              <w:t>1</w:t>
            </w:r>
            <w:r>
              <w:t>6</w:t>
            </w:r>
            <w:r w:rsidRPr="00A059FE">
              <w:t>%</w:t>
            </w:r>
          </w:p>
        </w:tc>
        <w:tc>
          <w:tcPr>
            <w:tcW w:w="1808" w:type="dxa"/>
          </w:tcPr>
          <w:p w14:paraId="4C59FF7B" w14:textId="77777777" w:rsidR="0081566C" w:rsidRPr="00A059FE" w:rsidRDefault="0081566C" w:rsidP="00CF0576">
            <w:r w:rsidRPr="00A059FE">
              <w:t>1%</w:t>
            </w:r>
          </w:p>
        </w:tc>
        <w:tc>
          <w:tcPr>
            <w:tcW w:w="1808" w:type="dxa"/>
          </w:tcPr>
          <w:p w14:paraId="33AADF76" w14:textId="77777777" w:rsidR="0081566C" w:rsidRPr="00A059FE" w:rsidRDefault="0081566C" w:rsidP="00CF0576">
            <w:r w:rsidRPr="00A059FE">
              <w:t>1</w:t>
            </w:r>
            <w:r>
              <w:t>1</w:t>
            </w:r>
            <w:r w:rsidRPr="00A059FE">
              <w:t>%</w:t>
            </w:r>
          </w:p>
        </w:tc>
      </w:tr>
      <w:tr w:rsidR="0081566C" w:rsidRPr="00A059FE" w14:paraId="59C818C7" w14:textId="77777777" w:rsidTr="0081566C">
        <w:tc>
          <w:tcPr>
            <w:tcW w:w="1833" w:type="dxa"/>
          </w:tcPr>
          <w:p w14:paraId="139ACEB1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 xml:space="preserve">Fatigue </w:t>
            </w:r>
          </w:p>
        </w:tc>
        <w:tc>
          <w:tcPr>
            <w:tcW w:w="1806" w:type="dxa"/>
          </w:tcPr>
          <w:p w14:paraId="34F81493" w14:textId="77777777" w:rsidR="0081566C" w:rsidRPr="00A059FE" w:rsidRDefault="0081566C" w:rsidP="00CF0576">
            <w:r w:rsidRPr="00A059FE">
              <w:t>47%</w:t>
            </w:r>
          </w:p>
        </w:tc>
        <w:tc>
          <w:tcPr>
            <w:tcW w:w="1807" w:type="dxa"/>
          </w:tcPr>
          <w:p w14:paraId="2C3A0EB1" w14:textId="77777777" w:rsidR="0081566C" w:rsidRPr="00A059FE" w:rsidRDefault="0081566C" w:rsidP="00CF0576">
            <w:r w:rsidRPr="00A059FE">
              <w:t>59%</w:t>
            </w:r>
          </w:p>
        </w:tc>
        <w:tc>
          <w:tcPr>
            <w:tcW w:w="1808" w:type="dxa"/>
          </w:tcPr>
          <w:p w14:paraId="4A52541F" w14:textId="77777777" w:rsidR="0081566C" w:rsidRPr="00A059FE" w:rsidRDefault="0081566C" w:rsidP="00CF0576">
            <w:r w:rsidRPr="00A059FE">
              <w:t>2</w:t>
            </w:r>
            <w:r>
              <w:t>3</w:t>
            </w:r>
            <w:r w:rsidRPr="00A059FE">
              <w:t>%</w:t>
            </w:r>
          </w:p>
        </w:tc>
        <w:tc>
          <w:tcPr>
            <w:tcW w:w="1808" w:type="dxa"/>
          </w:tcPr>
          <w:p w14:paraId="53720F77" w14:textId="77777777" w:rsidR="0081566C" w:rsidRPr="00A059FE" w:rsidRDefault="0081566C" w:rsidP="00CF0576">
            <w:r w:rsidRPr="00A059FE">
              <w:t>5</w:t>
            </w:r>
            <w:r>
              <w:t>1</w:t>
            </w:r>
            <w:r w:rsidRPr="00A059FE">
              <w:t>%</w:t>
            </w:r>
          </w:p>
        </w:tc>
      </w:tr>
      <w:tr w:rsidR="0081566C" w:rsidRPr="00A059FE" w14:paraId="6AECA2F1" w14:textId="77777777" w:rsidTr="0081566C">
        <w:tc>
          <w:tcPr>
            <w:tcW w:w="1833" w:type="dxa"/>
          </w:tcPr>
          <w:p w14:paraId="6C6B6E3F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 xml:space="preserve">Headache </w:t>
            </w:r>
          </w:p>
        </w:tc>
        <w:tc>
          <w:tcPr>
            <w:tcW w:w="1806" w:type="dxa"/>
          </w:tcPr>
          <w:p w14:paraId="70714C90" w14:textId="77777777" w:rsidR="0081566C" w:rsidRPr="00A059FE" w:rsidRDefault="0081566C" w:rsidP="00CF0576">
            <w:r w:rsidRPr="00A059FE">
              <w:t>4</w:t>
            </w:r>
            <w:r>
              <w:t>2</w:t>
            </w:r>
            <w:r w:rsidRPr="00A059FE">
              <w:t>%</w:t>
            </w:r>
          </w:p>
        </w:tc>
        <w:tc>
          <w:tcPr>
            <w:tcW w:w="1807" w:type="dxa"/>
          </w:tcPr>
          <w:p w14:paraId="45931CE2" w14:textId="77777777" w:rsidR="0081566C" w:rsidRPr="00A059FE" w:rsidRDefault="0081566C" w:rsidP="00CF0576">
            <w:r w:rsidRPr="00A059FE">
              <w:t>5</w:t>
            </w:r>
            <w:r>
              <w:t>2</w:t>
            </w:r>
            <w:r w:rsidRPr="00A059FE">
              <w:t>%</w:t>
            </w:r>
          </w:p>
        </w:tc>
        <w:tc>
          <w:tcPr>
            <w:tcW w:w="1808" w:type="dxa"/>
          </w:tcPr>
          <w:p w14:paraId="37C7EB96" w14:textId="77777777" w:rsidR="0081566C" w:rsidRPr="00A059FE" w:rsidRDefault="0081566C" w:rsidP="00CF0576">
            <w:r w:rsidRPr="00A059FE">
              <w:t>25%</w:t>
            </w:r>
          </w:p>
        </w:tc>
        <w:tc>
          <w:tcPr>
            <w:tcW w:w="1808" w:type="dxa"/>
          </w:tcPr>
          <w:p w14:paraId="0BA59909" w14:textId="77777777" w:rsidR="0081566C" w:rsidRPr="00A059FE" w:rsidRDefault="0081566C" w:rsidP="00CF0576">
            <w:r w:rsidRPr="00A059FE">
              <w:t>39%</w:t>
            </w:r>
          </w:p>
        </w:tc>
      </w:tr>
      <w:tr w:rsidR="0081566C" w:rsidRPr="00A059FE" w14:paraId="5B22B51B" w14:textId="77777777" w:rsidTr="0081566C">
        <w:tc>
          <w:tcPr>
            <w:tcW w:w="1833" w:type="dxa"/>
          </w:tcPr>
          <w:p w14:paraId="1333EBFE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Chills</w:t>
            </w:r>
          </w:p>
        </w:tc>
        <w:tc>
          <w:tcPr>
            <w:tcW w:w="1806" w:type="dxa"/>
          </w:tcPr>
          <w:p w14:paraId="49F12D3D" w14:textId="77777777" w:rsidR="0081566C" w:rsidRPr="00A059FE" w:rsidRDefault="0081566C" w:rsidP="00CF0576">
            <w:r w:rsidRPr="00A059FE">
              <w:t>14%</w:t>
            </w:r>
          </w:p>
        </w:tc>
        <w:tc>
          <w:tcPr>
            <w:tcW w:w="1807" w:type="dxa"/>
          </w:tcPr>
          <w:p w14:paraId="44615F51" w14:textId="77777777" w:rsidR="0081566C" w:rsidRPr="00A059FE" w:rsidRDefault="0081566C" w:rsidP="00CF0576">
            <w:r w:rsidRPr="00A059FE">
              <w:t>35%</w:t>
            </w:r>
          </w:p>
        </w:tc>
        <w:tc>
          <w:tcPr>
            <w:tcW w:w="1808" w:type="dxa"/>
          </w:tcPr>
          <w:p w14:paraId="66927E51" w14:textId="77777777" w:rsidR="0081566C" w:rsidRPr="00A059FE" w:rsidRDefault="0081566C" w:rsidP="00CF0576">
            <w:r w:rsidRPr="00A059FE">
              <w:t>6%</w:t>
            </w:r>
          </w:p>
        </w:tc>
        <w:tc>
          <w:tcPr>
            <w:tcW w:w="1808" w:type="dxa"/>
          </w:tcPr>
          <w:p w14:paraId="1D04C5BD" w14:textId="77777777" w:rsidR="0081566C" w:rsidRPr="00A059FE" w:rsidRDefault="0081566C" w:rsidP="00CF0576">
            <w:r w:rsidRPr="00A059FE">
              <w:t>2</w:t>
            </w:r>
            <w:r>
              <w:t>3</w:t>
            </w:r>
            <w:r w:rsidRPr="00A059FE">
              <w:t>%</w:t>
            </w:r>
          </w:p>
        </w:tc>
      </w:tr>
      <w:tr w:rsidR="0081566C" w:rsidRPr="00A059FE" w14:paraId="669B83F2" w14:textId="77777777" w:rsidTr="0081566C">
        <w:tc>
          <w:tcPr>
            <w:tcW w:w="1833" w:type="dxa"/>
          </w:tcPr>
          <w:p w14:paraId="5D8AB7A8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Muscle pain</w:t>
            </w:r>
          </w:p>
        </w:tc>
        <w:tc>
          <w:tcPr>
            <w:tcW w:w="1806" w:type="dxa"/>
          </w:tcPr>
          <w:p w14:paraId="2DB4829F" w14:textId="77777777" w:rsidR="0081566C" w:rsidRPr="00A059FE" w:rsidRDefault="0081566C" w:rsidP="00CF0576">
            <w:r w:rsidRPr="00A059FE">
              <w:t>21%</w:t>
            </w:r>
          </w:p>
        </w:tc>
        <w:tc>
          <w:tcPr>
            <w:tcW w:w="1807" w:type="dxa"/>
          </w:tcPr>
          <w:p w14:paraId="0103D865" w14:textId="77777777" w:rsidR="0081566C" w:rsidRPr="00A059FE" w:rsidRDefault="0081566C" w:rsidP="00CF0576">
            <w:r w:rsidRPr="00A059FE">
              <w:t>37%</w:t>
            </w:r>
          </w:p>
        </w:tc>
        <w:tc>
          <w:tcPr>
            <w:tcW w:w="1808" w:type="dxa"/>
          </w:tcPr>
          <w:p w14:paraId="0B914AE0" w14:textId="77777777" w:rsidR="0081566C" w:rsidRPr="00A059FE" w:rsidRDefault="0081566C" w:rsidP="00CF0576">
            <w:r w:rsidRPr="00A059FE">
              <w:t>1</w:t>
            </w:r>
            <w:r>
              <w:t>4</w:t>
            </w:r>
            <w:r w:rsidRPr="00A059FE">
              <w:t>%</w:t>
            </w:r>
          </w:p>
        </w:tc>
        <w:tc>
          <w:tcPr>
            <w:tcW w:w="1808" w:type="dxa"/>
          </w:tcPr>
          <w:p w14:paraId="5FF21EFC" w14:textId="77777777" w:rsidR="0081566C" w:rsidRPr="00A059FE" w:rsidRDefault="0081566C" w:rsidP="00CF0576">
            <w:r w:rsidRPr="00A059FE">
              <w:t>28%</w:t>
            </w:r>
          </w:p>
        </w:tc>
      </w:tr>
      <w:tr w:rsidR="0081566C" w:rsidRPr="00A059FE" w14:paraId="74CD5FBA" w14:textId="77777777" w:rsidTr="0081566C">
        <w:tc>
          <w:tcPr>
            <w:tcW w:w="1833" w:type="dxa"/>
          </w:tcPr>
          <w:p w14:paraId="7721CDB3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Joint pain</w:t>
            </w:r>
          </w:p>
        </w:tc>
        <w:tc>
          <w:tcPr>
            <w:tcW w:w="1806" w:type="dxa"/>
          </w:tcPr>
          <w:p w14:paraId="66DD56B8" w14:textId="77777777" w:rsidR="0081566C" w:rsidRPr="00A059FE" w:rsidRDefault="0081566C" w:rsidP="00CF0576">
            <w:r w:rsidRPr="00A059FE">
              <w:t>11%</w:t>
            </w:r>
          </w:p>
        </w:tc>
        <w:tc>
          <w:tcPr>
            <w:tcW w:w="1807" w:type="dxa"/>
          </w:tcPr>
          <w:p w14:paraId="5454B313" w14:textId="77777777" w:rsidR="0081566C" w:rsidRPr="00A059FE" w:rsidRDefault="0081566C" w:rsidP="00CF0576">
            <w:r w:rsidRPr="00A059FE">
              <w:t>2</w:t>
            </w:r>
            <w:r>
              <w:t>2</w:t>
            </w:r>
            <w:r w:rsidRPr="00A059FE">
              <w:t>%</w:t>
            </w:r>
          </w:p>
        </w:tc>
        <w:tc>
          <w:tcPr>
            <w:tcW w:w="1808" w:type="dxa"/>
          </w:tcPr>
          <w:p w14:paraId="5066BEC3" w14:textId="77777777" w:rsidR="0081566C" w:rsidRPr="00A059FE" w:rsidRDefault="0081566C" w:rsidP="00CF0576">
            <w:r>
              <w:t>9</w:t>
            </w:r>
            <w:r w:rsidRPr="00A059FE">
              <w:t>%</w:t>
            </w:r>
          </w:p>
        </w:tc>
        <w:tc>
          <w:tcPr>
            <w:tcW w:w="1808" w:type="dxa"/>
          </w:tcPr>
          <w:p w14:paraId="10B11709" w14:textId="77777777" w:rsidR="0081566C" w:rsidRPr="00A059FE" w:rsidRDefault="0081566C" w:rsidP="00CF0576">
            <w:r w:rsidRPr="00A059FE">
              <w:t>19%</w:t>
            </w:r>
          </w:p>
        </w:tc>
      </w:tr>
      <w:tr w:rsidR="0081566C" w:rsidRPr="00A059FE" w14:paraId="275CE0BE" w14:textId="77777777" w:rsidTr="0081566C">
        <w:tc>
          <w:tcPr>
            <w:tcW w:w="1833" w:type="dxa"/>
          </w:tcPr>
          <w:p w14:paraId="05DE49E6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Required paracetamol</w:t>
            </w:r>
          </w:p>
        </w:tc>
        <w:tc>
          <w:tcPr>
            <w:tcW w:w="1806" w:type="dxa"/>
          </w:tcPr>
          <w:p w14:paraId="3BC5C29D" w14:textId="77777777" w:rsidR="0081566C" w:rsidRPr="00A059FE" w:rsidRDefault="0081566C" w:rsidP="00CF0576">
            <w:r w:rsidRPr="00A059FE">
              <w:t>28%</w:t>
            </w:r>
          </w:p>
        </w:tc>
        <w:tc>
          <w:tcPr>
            <w:tcW w:w="1807" w:type="dxa"/>
          </w:tcPr>
          <w:p w14:paraId="2CC7D482" w14:textId="77777777" w:rsidR="0081566C" w:rsidRPr="00A059FE" w:rsidRDefault="0081566C" w:rsidP="00CF0576">
            <w:r w:rsidRPr="00A059FE">
              <w:t>45%</w:t>
            </w:r>
          </w:p>
        </w:tc>
        <w:tc>
          <w:tcPr>
            <w:tcW w:w="1808" w:type="dxa"/>
          </w:tcPr>
          <w:p w14:paraId="0930400B" w14:textId="77777777" w:rsidR="0081566C" w:rsidRPr="00A059FE" w:rsidRDefault="0081566C" w:rsidP="00CF0576">
            <w:r>
              <w:t>20</w:t>
            </w:r>
            <w:r w:rsidRPr="00A059FE">
              <w:t>%</w:t>
            </w:r>
          </w:p>
        </w:tc>
        <w:tc>
          <w:tcPr>
            <w:tcW w:w="1808" w:type="dxa"/>
          </w:tcPr>
          <w:p w14:paraId="1B159E0C" w14:textId="77777777" w:rsidR="0081566C" w:rsidRPr="00A059FE" w:rsidRDefault="0081566C" w:rsidP="00CF0576">
            <w:r w:rsidRPr="00A059FE">
              <w:t>3</w:t>
            </w:r>
            <w:r>
              <w:t>8</w:t>
            </w:r>
            <w:r w:rsidRPr="00A059FE">
              <w:t>%</w:t>
            </w:r>
          </w:p>
        </w:tc>
      </w:tr>
    </w:tbl>
    <w:p w14:paraId="65E89A7B" w14:textId="77777777" w:rsidR="0081566C" w:rsidRPr="0081566C" w:rsidRDefault="0081566C" w:rsidP="0081566C"/>
    <w:p w14:paraId="118E70C7" w14:textId="1791A231" w:rsidR="0081566C" w:rsidRPr="0081566C" w:rsidRDefault="0081566C" w:rsidP="0038145F">
      <w:pPr>
        <w:pStyle w:val="Heading2"/>
        <w:spacing w:after="480"/>
      </w:pPr>
      <w:r w:rsidRPr="005F2D24">
        <w:t>Frequency of select common adverse events reported within 7 days following at least one dose of COVID-19 Vaccine AstraZeneca in phase II/III trial aged &gt;18 years of age</w:t>
      </w:r>
      <w:r>
        <w:rPr>
          <w:vertAlign w:val="superscript"/>
        </w:rPr>
        <w:t>40</w:t>
      </w:r>
      <w:r w:rsidRPr="005F2D24">
        <w:t xml:space="preserve"> </w:t>
      </w:r>
      <w:bookmarkStart w:id="0" w:name="_GoBack"/>
      <w:bookmarkEnd w:id="0"/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  <w:tblDescription w:val="This table shows the frequency of common adverse events reported within 7 days of at least one dose of the AstraZeneca vaccine"/>
      </w:tblPr>
      <w:tblGrid>
        <w:gridCol w:w="1544"/>
        <w:gridCol w:w="1253"/>
        <w:gridCol w:w="1253"/>
        <w:gridCol w:w="1253"/>
        <w:gridCol w:w="1253"/>
        <w:gridCol w:w="1253"/>
        <w:gridCol w:w="1253"/>
      </w:tblGrid>
      <w:tr w:rsidR="008C6914" w:rsidRPr="00A059FE" w14:paraId="0EF29D61" w14:textId="77777777" w:rsidTr="001275EF">
        <w:trPr>
          <w:tblHeader/>
        </w:trPr>
        <w:tc>
          <w:tcPr>
            <w:tcW w:w="1544" w:type="dxa"/>
            <w:shd w:val="clear" w:color="auto" w:fill="F2F2F2" w:themeFill="background1" w:themeFillShade="F2"/>
          </w:tcPr>
          <w:p w14:paraId="68D9B7EB" w14:textId="77777777" w:rsidR="008C6914" w:rsidRPr="00A059FE" w:rsidRDefault="008C6914" w:rsidP="0081566C">
            <w:pPr>
              <w:pStyle w:val="Heading5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1359D659" w14:textId="77777777" w:rsidR="008C6914" w:rsidRPr="000D49B5" w:rsidRDefault="008C6914" w:rsidP="0081566C">
            <w:pPr>
              <w:pStyle w:val="Heading5"/>
            </w:pPr>
            <w:r w:rsidRPr="000D49B5">
              <w:t>1</w:t>
            </w:r>
            <w:r>
              <w:t>8</w:t>
            </w:r>
            <w:r w:rsidRPr="000D49B5">
              <w:t xml:space="preserve">–55 years 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214F46B" w14:textId="39FFC43F" w:rsidR="008C6914" w:rsidRPr="000D49B5" w:rsidRDefault="008C6914" w:rsidP="0081566C">
            <w:pPr>
              <w:pStyle w:val="Heading5"/>
            </w:pPr>
            <w:r w:rsidRPr="000D49B5">
              <w:t>1</w:t>
            </w:r>
            <w:r>
              <w:t>8</w:t>
            </w:r>
            <w:r w:rsidRPr="000D49B5">
              <w:t>–55 years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2C13CEC2" w14:textId="411566AF" w:rsidR="008C6914" w:rsidRPr="008A4792" w:rsidRDefault="008C6914" w:rsidP="0081566C">
            <w:pPr>
              <w:pStyle w:val="Heading5"/>
            </w:pPr>
            <w:r w:rsidRPr="008A4792">
              <w:t>56</w:t>
            </w:r>
            <w:r>
              <w:t>–</w:t>
            </w:r>
            <w:r w:rsidRPr="008A4792">
              <w:t>69 years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0EEFB86E" w14:textId="16E74381" w:rsidR="008C6914" w:rsidRPr="008A4792" w:rsidRDefault="008C6914" w:rsidP="0081566C">
            <w:pPr>
              <w:pStyle w:val="Heading5"/>
            </w:pPr>
            <w:r w:rsidRPr="008A4792">
              <w:t>56</w:t>
            </w:r>
            <w:r>
              <w:t>–</w:t>
            </w:r>
            <w:r w:rsidRPr="008A4792">
              <w:t>69 years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1D83002C" w14:textId="7675DF8B" w:rsidR="008C6914" w:rsidRPr="008A4792" w:rsidRDefault="008C6914" w:rsidP="0081566C">
            <w:pPr>
              <w:pStyle w:val="Heading5"/>
            </w:pPr>
            <w:r w:rsidRPr="008A4792">
              <w:t>≥70</w:t>
            </w:r>
            <w:r>
              <w:t xml:space="preserve"> </w:t>
            </w:r>
            <w:r w:rsidRPr="008A4792">
              <w:t>years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084D0CD9" w14:textId="230DDC32" w:rsidR="008C6914" w:rsidRPr="008A4792" w:rsidRDefault="008C6914" w:rsidP="0081566C">
            <w:pPr>
              <w:pStyle w:val="Heading5"/>
            </w:pPr>
            <w:r w:rsidRPr="008A4792">
              <w:t>≥70</w:t>
            </w:r>
            <w:r>
              <w:t xml:space="preserve"> </w:t>
            </w:r>
            <w:r w:rsidRPr="008A4792">
              <w:t>years</w:t>
            </w:r>
          </w:p>
        </w:tc>
      </w:tr>
      <w:tr w:rsidR="0081566C" w:rsidRPr="00A059FE" w14:paraId="2CC006E3" w14:textId="77777777" w:rsidTr="001275EF">
        <w:trPr>
          <w:tblHeader/>
        </w:trPr>
        <w:tc>
          <w:tcPr>
            <w:tcW w:w="1544" w:type="dxa"/>
            <w:shd w:val="clear" w:color="auto" w:fill="F2F2F2" w:themeFill="background1" w:themeFillShade="F2"/>
          </w:tcPr>
          <w:p w14:paraId="0C8C3CBA" w14:textId="77777777" w:rsidR="0081566C" w:rsidRPr="00A059FE" w:rsidRDefault="0081566C" w:rsidP="0081566C">
            <w:pPr>
              <w:pStyle w:val="Heading5"/>
            </w:pPr>
          </w:p>
        </w:tc>
        <w:tc>
          <w:tcPr>
            <w:tcW w:w="1253" w:type="dxa"/>
            <w:shd w:val="clear" w:color="auto" w:fill="F2F2F2" w:themeFill="background1" w:themeFillShade="F2"/>
          </w:tcPr>
          <w:p w14:paraId="7B025EAB" w14:textId="77777777" w:rsidR="0081566C" w:rsidRPr="00A059FE" w:rsidRDefault="0081566C" w:rsidP="0081566C">
            <w:pPr>
              <w:pStyle w:val="Heading5"/>
            </w:pPr>
            <w:r w:rsidRPr="00A059FE">
              <w:t>Dose 1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24F6C1AE" w14:textId="77777777" w:rsidR="0081566C" w:rsidRPr="00A059FE" w:rsidRDefault="0081566C" w:rsidP="0081566C">
            <w:pPr>
              <w:pStyle w:val="Heading5"/>
            </w:pPr>
            <w:r w:rsidRPr="00A059FE">
              <w:t>Dose 2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2970F7EB" w14:textId="77777777" w:rsidR="0081566C" w:rsidRPr="00A059FE" w:rsidRDefault="0081566C" w:rsidP="0081566C">
            <w:pPr>
              <w:pStyle w:val="Heading5"/>
            </w:pPr>
            <w:r w:rsidRPr="00A059FE">
              <w:t>Dose 1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6DE3C5B0" w14:textId="77777777" w:rsidR="0081566C" w:rsidRPr="00A059FE" w:rsidRDefault="0081566C" w:rsidP="0081566C">
            <w:pPr>
              <w:pStyle w:val="Heading5"/>
            </w:pPr>
            <w:r w:rsidRPr="00A059FE">
              <w:t>Dose 2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5623F08A" w14:textId="77777777" w:rsidR="0081566C" w:rsidRPr="008A4792" w:rsidRDefault="0081566C" w:rsidP="0081566C">
            <w:pPr>
              <w:pStyle w:val="Heading5"/>
            </w:pPr>
            <w:r w:rsidRPr="00A059FE">
              <w:t>Dose 1</w:t>
            </w:r>
          </w:p>
        </w:tc>
        <w:tc>
          <w:tcPr>
            <w:tcW w:w="1253" w:type="dxa"/>
            <w:shd w:val="clear" w:color="auto" w:fill="F2F2F2" w:themeFill="background1" w:themeFillShade="F2"/>
          </w:tcPr>
          <w:p w14:paraId="3BCFC4DC" w14:textId="77777777" w:rsidR="0081566C" w:rsidRPr="008A4792" w:rsidRDefault="0081566C" w:rsidP="0081566C">
            <w:pPr>
              <w:pStyle w:val="Heading5"/>
            </w:pPr>
            <w:r w:rsidRPr="00A059FE">
              <w:t>Dose 2</w:t>
            </w:r>
          </w:p>
        </w:tc>
      </w:tr>
      <w:tr w:rsidR="0081566C" w:rsidRPr="00A059FE" w14:paraId="22E76308" w14:textId="77777777" w:rsidTr="0081566C">
        <w:tc>
          <w:tcPr>
            <w:tcW w:w="1544" w:type="dxa"/>
          </w:tcPr>
          <w:p w14:paraId="5DD4F992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Injection site pain</w:t>
            </w:r>
          </w:p>
        </w:tc>
        <w:tc>
          <w:tcPr>
            <w:tcW w:w="1253" w:type="dxa"/>
          </w:tcPr>
          <w:p w14:paraId="4E773E57" w14:textId="77777777" w:rsidR="0081566C" w:rsidRPr="00A059FE" w:rsidRDefault="0081566C" w:rsidP="00CF0576">
            <w:r>
              <w:t>61</w:t>
            </w:r>
            <w:r w:rsidRPr="00A059FE">
              <w:t>%</w:t>
            </w:r>
          </w:p>
        </w:tc>
        <w:tc>
          <w:tcPr>
            <w:tcW w:w="1253" w:type="dxa"/>
          </w:tcPr>
          <w:p w14:paraId="4F9F6373" w14:textId="77777777" w:rsidR="0081566C" w:rsidRPr="00A059FE" w:rsidRDefault="0081566C" w:rsidP="00CF0576">
            <w:r>
              <w:t>49</w:t>
            </w:r>
            <w:r w:rsidRPr="00A059FE">
              <w:t>%</w:t>
            </w:r>
          </w:p>
        </w:tc>
        <w:tc>
          <w:tcPr>
            <w:tcW w:w="1253" w:type="dxa"/>
          </w:tcPr>
          <w:p w14:paraId="30B7166F" w14:textId="77777777" w:rsidR="0081566C" w:rsidRPr="00A059FE" w:rsidRDefault="0081566C" w:rsidP="00CF0576">
            <w:r>
              <w:t>43%</w:t>
            </w:r>
          </w:p>
        </w:tc>
        <w:tc>
          <w:tcPr>
            <w:tcW w:w="1253" w:type="dxa"/>
          </w:tcPr>
          <w:p w14:paraId="7AE46A20" w14:textId="77777777" w:rsidR="0081566C" w:rsidRPr="00A059FE" w:rsidRDefault="0081566C" w:rsidP="00CF0576">
            <w:r>
              <w:t>34%</w:t>
            </w:r>
          </w:p>
        </w:tc>
        <w:tc>
          <w:tcPr>
            <w:tcW w:w="1253" w:type="dxa"/>
          </w:tcPr>
          <w:p w14:paraId="27C84A9B" w14:textId="77777777" w:rsidR="0081566C" w:rsidRPr="00A059FE" w:rsidRDefault="0081566C" w:rsidP="00CF0576">
            <w:r>
              <w:t>20%</w:t>
            </w:r>
          </w:p>
        </w:tc>
        <w:tc>
          <w:tcPr>
            <w:tcW w:w="1253" w:type="dxa"/>
          </w:tcPr>
          <w:p w14:paraId="49E2F540" w14:textId="77777777" w:rsidR="0081566C" w:rsidRPr="00A059FE" w:rsidRDefault="0081566C" w:rsidP="00CF0576">
            <w:r>
              <w:t>10%</w:t>
            </w:r>
          </w:p>
        </w:tc>
      </w:tr>
      <w:tr w:rsidR="0081566C" w:rsidRPr="00A059FE" w14:paraId="7E1366B1" w14:textId="77777777" w:rsidTr="0081566C">
        <w:tc>
          <w:tcPr>
            <w:tcW w:w="1544" w:type="dxa"/>
          </w:tcPr>
          <w:p w14:paraId="21CEE806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Injection site tenderness</w:t>
            </w:r>
          </w:p>
        </w:tc>
        <w:tc>
          <w:tcPr>
            <w:tcW w:w="1253" w:type="dxa"/>
          </w:tcPr>
          <w:p w14:paraId="19A7F7E9" w14:textId="77777777" w:rsidR="0081566C" w:rsidRDefault="0081566C" w:rsidP="00CF0576">
            <w:r>
              <w:t>76%</w:t>
            </w:r>
          </w:p>
        </w:tc>
        <w:tc>
          <w:tcPr>
            <w:tcW w:w="1253" w:type="dxa"/>
          </w:tcPr>
          <w:p w14:paraId="5BDE754B" w14:textId="77777777" w:rsidR="0081566C" w:rsidRDefault="0081566C" w:rsidP="00CF0576">
            <w:r>
              <w:t>61%</w:t>
            </w:r>
          </w:p>
        </w:tc>
        <w:tc>
          <w:tcPr>
            <w:tcW w:w="1253" w:type="dxa"/>
          </w:tcPr>
          <w:p w14:paraId="00469B50" w14:textId="77777777" w:rsidR="0081566C" w:rsidRDefault="0081566C" w:rsidP="00CF0576">
            <w:r>
              <w:t>67%</w:t>
            </w:r>
          </w:p>
        </w:tc>
        <w:tc>
          <w:tcPr>
            <w:tcW w:w="1253" w:type="dxa"/>
          </w:tcPr>
          <w:p w14:paraId="2FC0F01B" w14:textId="77777777" w:rsidR="0081566C" w:rsidRDefault="0081566C" w:rsidP="00CF0576">
            <w:r>
              <w:t>59%</w:t>
            </w:r>
          </w:p>
        </w:tc>
        <w:tc>
          <w:tcPr>
            <w:tcW w:w="1253" w:type="dxa"/>
          </w:tcPr>
          <w:p w14:paraId="17C7FD73" w14:textId="77777777" w:rsidR="0081566C" w:rsidRDefault="0081566C" w:rsidP="00CF0576">
            <w:r>
              <w:t>49%</w:t>
            </w:r>
          </w:p>
        </w:tc>
        <w:tc>
          <w:tcPr>
            <w:tcW w:w="1253" w:type="dxa"/>
          </w:tcPr>
          <w:p w14:paraId="6E52EB22" w14:textId="77777777" w:rsidR="0081566C" w:rsidRDefault="0081566C" w:rsidP="00CF0576">
            <w:r>
              <w:t>47%</w:t>
            </w:r>
          </w:p>
        </w:tc>
      </w:tr>
      <w:tr w:rsidR="0081566C" w:rsidRPr="00A059FE" w14:paraId="0F14E65F" w14:textId="77777777" w:rsidTr="0081566C">
        <w:tc>
          <w:tcPr>
            <w:tcW w:w="1544" w:type="dxa"/>
          </w:tcPr>
          <w:p w14:paraId="49579181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 xml:space="preserve">Fatigue </w:t>
            </w:r>
          </w:p>
        </w:tc>
        <w:tc>
          <w:tcPr>
            <w:tcW w:w="1253" w:type="dxa"/>
          </w:tcPr>
          <w:p w14:paraId="3F75EFC9" w14:textId="77777777" w:rsidR="0081566C" w:rsidRPr="00A059FE" w:rsidRDefault="0081566C" w:rsidP="00CF0576">
            <w:r>
              <w:t>76</w:t>
            </w:r>
            <w:r w:rsidRPr="00A059FE">
              <w:t>%</w:t>
            </w:r>
          </w:p>
        </w:tc>
        <w:tc>
          <w:tcPr>
            <w:tcW w:w="1253" w:type="dxa"/>
          </w:tcPr>
          <w:p w14:paraId="2A7CB768" w14:textId="77777777" w:rsidR="0081566C" w:rsidRPr="00A059FE" w:rsidRDefault="0081566C" w:rsidP="00CF0576">
            <w:r w:rsidRPr="00A059FE">
              <w:t>5</w:t>
            </w:r>
            <w:r>
              <w:t>5</w:t>
            </w:r>
            <w:r w:rsidRPr="00A059FE">
              <w:t>%</w:t>
            </w:r>
          </w:p>
        </w:tc>
        <w:tc>
          <w:tcPr>
            <w:tcW w:w="1253" w:type="dxa"/>
          </w:tcPr>
          <w:p w14:paraId="0D94CBE7" w14:textId="77777777" w:rsidR="0081566C" w:rsidRPr="00A059FE" w:rsidRDefault="0081566C" w:rsidP="00CF0576">
            <w:r>
              <w:t>50%</w:t>
            </w:r>
          </w:p>
        </w:tc>
        <w:tc>
          <w:tcPr>
            <w:tcW w:w="1253" w:type="dxa"/>
          </w:tcPr>
          <w:p w14:paraId="205F1C76" w14:textId="77777777" w:rsidR="0081566C" w:rsidRPr="00A059FE" w:rsidRDefault="0081566C" w:rsidP="00CF0576">
            <w:r>
              <w:t>41%</w:t>
            </w:r>
          </w:p>
        </w:tc>
        <w:tc>
          <w:tcPr>
            <w:tcW w:w="1253" w:type="dxa"/>
          </w:tcPr>
          <w:p w14:paraId="7BD38F8A" w14:textId="77777777" w:rsidR="0081566C" w:rsidRPr="00A059FE" w:rsidRDefault="0081566C" w:rsidP="00CF0576">
            <w:r>
              <w:t>41%</w:t>
            </w:r>
          </w:p>
        </w:tc>
        <w:tc>
          <w:tcPr>
            <w:tcW w:w="1253" w:type="dxa"/>
          </w:tcPr>
          <w:p w14:paraId="7E369591" w14:textId="77777777" w:rsidR="0081566C" w:rsidRPr="00A059FE" w:rsidRDefault="0081566C" w:rsidP="00CF0576">
            <w:r>
              <w:t>33%</w:t>
            </w:r>
          </w:p>
        </w:tc>
      </w:tr>
      <w:tr w:rsidR="0081566C" w:rsidRPr="00A059FE" w14:paraId="400BA770" w14:textId="77777777" w:rsidTr="0081566C">
        <w:tc>
          <w:tcPr>
            <w:tcW w:w="1544" w:type="dxa"/>
          </w:tcPr>
          <w:p w14:paraId="2FD68661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 xml:space="preserve">Headache </w:t>
            </w:r>
          </w:p>
        </w:tc>
        <w:tc>
          <w:tcPr>
            <w:tcW w:w="1253" w:type="dxa"/>
          </w:tcPr>
          <w:p w14:paraId="53EE1619" w14:textId="77777777" w:rsidR="0081566C" w:rsidRPr="00A059FE" w:rsidRDefault="0081566C" w:rsidP="00CF0576">
            <w:r>
              <w:t>65</w:t>
            </w:r>
            <w:r w:rsidRPr="00A059FE">
              <w:t>%</w:t>
            </w:r>
          </w:p>
        </w:tc>
        <w:tc>
          <w:tcPr>
            <w:tcW w:w="1253" w:type="dxa"/>
          </w:tcPr>
          <w:p w14:paraId="6FD29545" w14:textId="77777777" w:rsidR="0081566C" w:rsidRPr="00A059FE" w:rsidRDefault="0081566C" w:rsidP="00CF0576">
            <w:r>
              <w:t>31</w:t>
            </w:r>
            <w:r w:rsidRPr="00A059FE">
              <w:t>%</w:t>
            </w:r>
          </w:p>
        </w:tc>
        <w:tc>
          <w:tcPr>
            <w:tcW w:w="1253" w:type="dxa"/>
          </w:tcPr>
          <w:p w14:paraId="7CB5703F" w14:textId="77777777" w:rsidR="0081566C" w:rsidRPr="00A059FE" w:rsidRDefault="0081566C" w:rsidP="00CF0576">
            <w:r>
              <w:t>50%</w:t>
            </w:r>
          </w:p>
        </w:tc>
        <w:tc>
          <w:tcPr>
            <w:tcW w:w="1253" w:type="dxa"/>
          </w:tcPr>
          <w:p w14:paraId="57A02E93" w14:textId="77777777" w:rsidR="0081566C" w:rsidRPr="00A059FE" w:rsidRDefault="0081566C" w:rsidP="00CF0576">
            <w:r>
              <w:t>34%</w:t>
            </w:r>
          </w:p>
        </w:tc>
        <w:tc>
          <w:tcPr>
            <w:tcW w:w="1253" w:type="dxa"/>
          </w:tcPr>
          <w:p w14:paraId="3727A9D3" w14:textId="77777777" w:rsidR="0081566C" w:rsidRPr="00A059FE" w:rsidRDefault="0081566C" w:rsidP="00CF0576">
            <w:r>
              <w:t>41%</w:t>
            </w:r>
          </w:p>
        </w:tc>
        <w:tc>
          <w:tcPr>
            <w:tcW w:w="1253" w:type="dxa"/>
          </w:tcPr>
          <w:p w14:paraId="07AAD720" w14:textId="77777777" w:rsidR="0081566C" w:rsidRPr="00A059FE" w:rsidRDefault="0081566C" w:rsidP="00CF0576">
            <w:r>
              <w:t>20%</w:t>
            </w:r>
          </w:p>
        </w:tc>
      </w:tr>
      <w:tr w:rsidR="0081566C" w:rsidRPr="00A059FE" w14:paraId="28FE66CB" w14:textId="77777777" w:rsidTr="0081566C">
        <w:tc>
          <w:tcPr>
            <w:tcW w:w="1544" w:type="dxa"/>
          </w:tcPr>
          <w:p w14:paraId="1A23521A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Muscle pain</w:t>
            </w:r>
          </w:p>
        </w:tc>
        <w:tc>
          <w:tcPr>
            <w:tcW w:w="1253" w:type="dxa"/>
          </w:tcPr>
          <w:p w14:paraId="58115DD3" w14:textId="77777777" w:rsidR="0081566C" w:rsidRPr="00A059FE" w:rsidRDefault="0081566C" w:rsidP="00CF0576">
            <w:r>
              <w:t>53</w:t>
            </w:r>
            <w:r w:rsidRPr="00A059FE">
              <w:t>%</w:t>
            </w:r>
          </w:p>
        </w:tc>
        <w:tc>
          <w:tcPr>
            <w:tcW w:w="1253" w:type="dxa"/>
          </w:tcPr>
          <w:p w14:paraId="2D495234" w14:textId="77777777" w:rsidR="0081566C" w:rsidRPr="00A059FE" w:rsidRDefault="0081566C" w:rsidP="00CF0576">
            <w:r w:rsidRPr="00A059FE">
              <w:t>3</w:t>
            </w:r>
            <w:r>
              <w:t>5</w:t>
            </w:r>
            <w:r w:rsidRPr="00A059FE">
              <w:t>%</w:t>
            </w:r>
          </w:p>
        </w:tc>
        <w:tc>
          <w:tcPr>
            <w:tcW w:w="1253" w:type="dxa"/>
          </w:tcPr>
          <w:p w14:paraId="70E3539A" w14:textId="77777777" w:rsidR="0081566C" w:rsidRPr="00A059FE" w:rsidRDefault="0081566C" w:rsidP="00CF0576">
            <w:r>
              <w:t>37%</w:t>
            </w:r>
          </w:p>
        </w:tc>
        <w:tc>
          <w:tcPr>
            <w:tcW w:w="1253" w:type="dxa"/>
          </w:tcPr>
          <w:p w14:paraId="5C0B3C6C" w14:textId="77777777" w:rsidR="0081566C" w:rsidRPr="00A059FE" w:rsidRDefault="0081566C" w:rsidP="00CF0576">
            <w:r>
              <w:t>24%</w:t>
            </w:r>
          </w:p>
        </w:tc>
        <w:tc>
          <w:tcPr>
            <w:tcW w:w="1253" w:type="dxa"/>
          </w:tcPr>
          <w:p w14:paraId="3619D047" w14:textId="77777777" w:rsidR="0081566C" w:rsidRPr="00A059FE" w:rsidRDefault="0081566C" w:rsidP="00CF0576">
            <w:r>
              <w:t>18%</w:t>
            </w:r>
          </w:p>
        </w:tc>
        <w:tc>
          <w:tcPr>
            <w:tcW w:w="1253" w:type="dxa"/>
          </w:tcPr>
          <w:p w14:paraId="175813DB" w14:textId="77777777" w:rsidR="0081566C" w:rsidRPr="00A059FE" w:rsidRDefault="0081566C" w:rsidP="00CF0576">
            <w:r>
              <w:t>18%</w:t>
            </w:r>
          </w:p>
        </w:tc>
      </w:tr>
      <w:tr w:rsidR="0081566C" w:rsidRPr="00A059FE" w14:paraId="71EEEF79" w14:textId="77777777" w:rsidTr="0081566C">
        <w:tc>
          <w:tcPr>
            <w:tcW w:w="1544" w:type="dxa"/>
          </w:tcPr>
          <w:p w14:paraId="42BA2FFF" w14:textId="77777777" w:rsidR="0081566C" w:rsidRPr="00CF0576" w:rsidRDefault="0081566C" w:rsidP="00CF0576">
            <w:pPr>
              <w:rPr>
                <w:b/>
                <w:bCs/>
              </w:rPr>
            </w:pPr>
            <w:r w:rsidRPr="00CF0576">
              <w:rPr>
                <w:b/>
                <w:bCs/>
              </w:rPr>
              <w:t>Fever</w:t>
            </w:r>
          </w:p>
        </w:tc>
        <w:tc>
          <w:tcPr>
            <w:tcW w:w="1253" w:type="dxa"/>
          </w:tcPr>
          <w:p w14:paraId="7BD01097" w14:textId="77777777" w:rsidR="0081566C" w:rsidRPr="00A059FE" w:rsidRDefault="0081566C" w:rsidP="00CF0576">
            <w:r>
              <w:t>24%</w:t>
            </w:r>
          </w:p>
        </w:tc>
        <w:tc>
          <w:tcPr>
            <w:tcW w:w="1253" w:type="dxa"/>
          </w:tcPr>
          <w:p w14:paraId="78197194" w14:textId="77777777" w:rsidR="0081566C" w:rsidRPr="00A059FE" w:rsidRDefault="0081566C" w:rsidP="00CF0576">
            <w:r>
              <w:t>0%</w:t>
            </w:r>
          </w:p>
        </w:tc>
        <w:tc>
          <w:tcPr>
            <w:tcW w:w="1253" w:type="dxa"/>
          </w:tcPr>
          <w:p w14:paraId="03273D5F" w14:textId="77777777" w:rsidR="0081566C" w:rsidRPr="00A059FE" w:rsidRDefault="0081566C" w:rsidP="00CF0576">
            <w:r>
              <w:t>0%</w:t>
            </w:r>
          </w:p>
        </w:tc>
        <w:tc>
          <w:tcPr>
            <w:tcW w:w="1253" w:type="dxa"/>
          </w:tcPr>
          <w:p w14:paraId="136A09B5" w14:textId="77777777" w:rsidR="0081566C" w:rsidRPr="00A059FE" w:rsidRDefault="0081566C" w:rsidP="00CF0576">
            <w:r>
              <w:t>0%</w:t>
            </w:r>
          </w:p>
        </w:tc>
        <w:tc>
          <w:tcPr>
            <w:tcW w:w="1253" w:type="dxa"/>
          </w:tcPr>
          <w:p w14:paraId="66030DF7" w14:textId="77777777" w:rsidR="0081566C" w:rsidRPr="00A059FE" w:rsidRDefault="0081566C" w:rsidP="00CF0576">
            <w:r>
              <w:t>0%</w:t>
            </w:r>
          </w:p>
        </w:tc>
        <w:tc>
          <w:tcPr>
            <w:tcW w:w="1253" w:type="dxa"/>
          </w:tcPr>
          <w:p w14:paraId="1E3BA9D4" w14:textId="77777777" w:rsidR="0081566C" w:rsidRPr="008A4792" w:rsidRDefault="0081566C" w:rsidP="00CF0576">
            <w:pPr>
              <w:rPr>
                <w:highlight w:val="yellow"/>
              </w:rPr>
            </w:pPr>
            <w:r w:rsidRPr="0015517F">
              <w:t>0%</w:t>
            </w:r>
          </w:p>
        </w:tc>
      </w:tr>
    </w:tbl>
    <w:p w14:paraId="22E0E64D" w14:textId="77777777" w:rsidR="0081566C" w:rsidRPr="0081566C" w:rsidRDefault="0081566C" w:rsidP="0081566C"/>
    <w:sectPr w:rsidR="0081566C" w:rsidRPr="0081566C" w:rsidSect="004B244B">
      <w:headerReference w:type="first" r:id="rId24"/>
      <w:footerReference w:type="first" r:id="rId25"/>
      <w:pgSz w:w="11906" w:h="16838"/>
      <w:pgMar w:top="1304" w:right="1463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6825F9" w14:textId="77777777" w:rsidR="00A3510F" w:rsidRDefault="00A3510F" w:rsidP="00CE7D4D">
      <w:r>
        <w:separator/>
      </w:r>
    </w:p>
  </w:endnote>
  <w:endnote w:type="continuationSeparator" w:id="0">
    <w:p w14:paraId="48C322DC" w14:textId="77777777" w:rsidR="00A3510F" w:rsidRDefault="00A3510F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altName w:val="﷽﷽﷽﷽﷽﷽﷽﷽ounded Book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Gotham Rounded Bold">
    <w:altName w:val="﷽﷽﷽﷽﷽﷽﷽﷽ounded Bold"/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9484A" w14:textId="77F29C9F" w:rsidR="00071F59" w:rsidRPr="009F4399" w:rsidRDefault="009F4399" w:rsidP="009F439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38145F">
      <w:rPr>
        <w:noProof/>
      </w:rPr>
      <w:t>3</w:t>
    </w:r>
    <w:r w:rsidRPr="00071F5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4DB1" w14:textId="1B0355B5" w:rsidR="00071F59" w:rsidRPr="00071F59" w:rsidRDefault="00071F59" w:rsidP="00071F59">
    <w:pPr>
      <w:tabs>
        <w:tab w:val="right" w:pos="9356"/>
      </w:tabs>
      <w:spacing w:after="0"/>
      <w:ind w:right="-449"/>
      <w:rPr>
        <w:b/>
      </w:rPr>
    </w:pPr>
    <w:r w:rsidRPr="00071F59">
      <w:rPr>
        <w:b/>
      </w:rPr>
      <w:t>health.gov.au/covid19-vaccines</w:t>
    </w:r>
    <w:r>
      <w:rPr>
        <w:b/>
      </w:rPr>
      <w:tab/>
    </w:r>
    <w:r w:rsidRPr="00071F59">
      <w:fldChar w:fldCharType="begin"/>
    </w:r>
    <w:r w:rsidRPr="00071F59">
      <w:instrText xml:space="preserve"> PAGE   \* MERGEFORMAT </w:instrText>
    </w:r>
    <w:r w:rsidRPr="00071F59">
      <w:fldChar w:fldCharType="separate"/>
    </w:r>
    <w:r w:rsidR="0038145F">
      <w:rPr>
        <w:noProof/>
      </w:rPr>
      <w:t>2</w:t>
    </w:r>
    <w:r w:rsidRPr="00071F5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4AE8B" w14:textId="77777777" w:rsidR="00A3510F" w:rsidRDefault="00A3510F" w:rsidP="00CE7D4D">
      <w:r>
        <w:separator/>
      </w:r>
    </w:p>
  </w:footnote>
  <w:footnote w:type="continuationSeparator" w:id="0">
    <w:p w14:paraId="66FE237B" w14:textId="77777777" w:rsidR="00A3510F" w:rsidRDefault="00A3510F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6AB95" w14:textId="69D1E8F8" w:rsidR="00CE7D4D" w:rsidRDefault="00703903" w:rsidP="00CE7D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34E36BA1" wp14:editId="17B5F51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9567"/>
          <wp:effectExtent l="0" t="0" r="3175" b="0"/>
          <wp:wrapNone/>
          <wp:docPr id="20" name="Picture 20" descr="Decorative background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6CE7D" w14:textId="769EB107" w:rsidR="00703903" w:rsidRDefault="007D2B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08FBABF5" wp14:editId="47568D18">
          <wp:simplePos x="0" y="0"/>
          <wp:positionH relativeFrom="page">
            <wp:posOffset>3762375</wp:posOffset>
          </wp:positionH>
          <wp:positionV relativeFrom="paragraph">
            <wp:posOffset>737870</wp:posOffset>
          </wp:positionV>
          <wp:extent cx="3074400" cy="342000"/>
          <wp:effectExtent l="0" t="0" r="0" b="1270"/>
          <wp:wrapNone/>
          <wp:docPr id="27" name="Picture 27" descr="Prioritising residential aged care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400" cy="34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756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40FA5553" wp14:editId="6230DC7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85200" cy="10724400"/>
          <wp:effectExtent l="0" t="0" r="0" b="1270"/>
          <wp:wrapNone/>
          <wp:docPr id="21" name="Picture 21" descr="Decorative background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072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F04EB" w14:textId="77777777" w:rsidR="00071F59" w:rsidRDefault="00071F5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767C905F" wp14:editId="436E7B1F">
          <wp:simplePos x="721047" y="-6928493"/>
          <wp:positionH relativeFrom="page">
            <wp:align>left</wp:align>
          </wp:positionH>
          <wp:positionV relativeFrom="page">
            <wp:align>top</wp:align>
          </wp:positionV>
          <wp:extent cx="7584217" cy="10723809"/>
          <wp:effectExtent l="0" t="0" r="0" b="1905"/>
          <wp:wrapNone/>
          <wp:docPr id="2" name="Picture 2" descr="Decorative background">
            <a:extLst xmlns:a="http://schemas.openxmlformats.org/drawingml/2006/main">
              <a:ext uri="{C183D7F6-B498-43B3-948B-1728B52AA6E4}">
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238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167"/>
    <w:multiLevelType w:val="hybridMultilevel"/>
    <w:tmpl w:val="A29A9F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8D3"/>
    <w:multiLevelType w:val="hybridMultilevel"/>
    <w:tmpl w:val="09EC126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C4106"/>
    <w:multiLevelType w:val="hybridMultilevel"/>
    <w:tmpl w:val="6DACDC4C"/>
    <w:lvl w:ilvl="0" w:tplc="2FBED496">
      <w:start w:val="1"/>
      <w:numFmt w:val="bullet"/>
      <w:lvlText w:val="o"/>
      <w:lvlJc w:val="left"/>
      <w:pPr>
        <w:ind w:left="3243" w:hanging="1083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0F2B292E"/>
    <w:multiLevelType w:val="multilevel"/>
    <w:tmpl w:val="1840C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53A0D"/>
    <w:multiLevelType w:val="hybridMultilevel"/>
    <w:tmpl w:val="8F2C2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81C8D"/>
    <w:multiLevelType w:val="hybridMultilevel"/>
    <w:tmpl w:val="3E5A4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51260"/>
    <w:multiLevelType w:val="hybridMultilevel"/>
    <w:tmpl w:val="28406F9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05D41"/>
    <w:multiLevelType w:val="hybridMultilevel"/>
    <w:tmpl w:val="BFA8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10695"/>
    <w:multiLevelType w:val="hybridMultilevel"/>
    <w:tmpl w:val="4EA20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91BB7"/>
    <w:multiLevelType w:val="hybridMultilevel"/>
    <w:tmpl w:val="9440CCD0"/>
    <w:lvl w:ilvl="0" w:tplc="3A9CE1E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99FCD890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4357E"/>
    <w:multiLevelType w:val="hybridMultilevel"/>
    <w:tmpl w:val="D5E4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D470B5"/>
    <w:multiLevelType w:val="hybridMultilevel"/>
    <w:tmpl w:val="BE8A591A"/>
    <w:lvl w:ilvl="0" w:tplc="E7D6A746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E7692"/>
    <w:multiLevelType w:val="hybridMultilevel"/>
    <w:tmpl w:val="BAA03B48"/>
    <w:lvl w:ilvl="0" w:tplc="AC3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A6DE8"/>
    <w:multiLevelType w:val="hybridMultilevel"/>
    <w:tmpl w:val="F99C7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23AE1"/>
    <w:multiLevelType w:val="hybridMultilevel"/>
    <w:tmpl w:val="14BE4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D413F"/>
    <w:multiLevelType w:val="hybridMultilevel"/>
    <w:tmpl w:val="E7402BC6"/>
    <w:lvl w:ilvl="0" w:tplc="AC3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91640C"/>
    <w:multiLevelType w:val="multilevel"/>
    <w:tmpl w:val="09EC126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E6E78"/>
    <w:multiLevelType w:val="multilevel"/>
    <w:tmpl w:val="C61466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C0C8A"/>
    <w:multiLevelType w:val="multilevel"/>
    <w:tmpl w:val="88CC8EDC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D56A0"/>
    <w:multiLevelType w:val="hybridMultilevel"/>
    <w:tmpl w:val="FC7CA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B4836"/>
    <w:multiLevelType w:val="hybridMultilevel"/>
    <w:tmpl w:val="1DA83D90"/>
    <w:lvl w:ilvl="0" w:tplc="99FCD890">
      <w:start w:val="1"/>
      <w:numFmt w:val="bullet"/>
      <w:lvlText w:val="o"/>
      <w:lvlJc w:val="left"/>
      <w:pPr>
        <w:ind w:left="1440" w:hanging="1083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6183F"/>
    <w:multiLevelType w:val="hybridMultilevel"/>
    <w:tmpl w:val="F8687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196CCA"/>
    <w:multiLevelType w:val="hybridMultilevel"/>
    <w:tmpl w:val="2A0C6D9E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46AA7"/>
    <w:multiLevelType w:val="hybridMultilevel"/>
    <w:tmpl w:val="91F29512"/>
    <w:lvl w:ilvl="0" w:tplc="AC30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1378EE"/>
    <w:multiLevelType w:val="hybridMultilevel"/>
    <w:tmpl w:val="11A08EF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7472C4E"/>
    <w:multiLevelType w:val="hybridMultilevel"/>
    <w:tmpl w:val="AF168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80EFD"/>
    <w:multiLevelType w:val="hybridMultilevel"/>
    <w:tmpl w:val="50868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775BB"/>
    <w:multiLevelType w:val="hybridMultilevel"/>
    <w:tmpl w:val="D172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0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9"/>
  </w:num>
  <w:num w:numId="9">
    <w:abstractNumId w:val="17"/>
  </w:num>
  <w:num w:numId="10">
    <w:abstractNumId w:val="18"/>
  </w:num>
  <w:num w:numId="11">
    <w:abstractNumId w:val="20"/>
  </w:num>
  <w:num w:numId="12">
    <w:abstractNumId w:val="5"/>
  </w:num>
  <w:num w:numId="13">
    <w:abstractNumId w:val="3"/>
  </w:num>
  <w:num w:numId="14">
    <w:abstractNumId w:val="2"/>
  </w:num>
  <w:num w:numId="15">
    <w:abstractNumId w:val="15"/>
  </w:num>
  <w:num w:numId="16">
    <w:abstractNumId w:val="23"/>
  </w:num>
  <w:num w:numId="17">
    <w:abstractNumId w:val="12"/>
  </w:num>
  <w:num w:numId="18">
    <w:abstractNumId w:val="6"/>
  </w:num>
  <w:num w:numId="19">
    <w:abstractNumId w:val="1"/>
  </w:num>
  <w:num w:numId="20">
    <w:abstractNumId w:val="16"/>
  </w:num>
  <w:num w:numId="21">
    <w:abstractNumId w:val="26"/>
  </w:num>
  <w:num w:numId="22">
    <w:abstractNumId w:val="13"/>
  </w:num>
  <w:num w:numId="23">
    <w:abstractNumId w:val="8"/>
  </w:num>
  <w:num w:numId="24">
    <w:abstractNumId w:val="19"/>
  </w:num>
  <w:num w:numId="25">
    <w:abstractNumId w:val="7"/>
  </w:num>
  <w:num w:numId="26">
    <w:abstractNumId w:val="27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4D"/>
    <w:rsid w:val="000506A6"/>
    <w:rsid w:val="00071F59"/>
    <w:rsid w:val="00084224"/>
    <w:rsid w:val="000D21AB"/>
    <w:rsid w:val="000F4A7E"/>
    <w:rsid w:val="001275EF"/>
    <w:rsid w:val="00192F16"/>
    <w:rsid w:val="001B6B74"/>
    <w:rsid w:val="001D65F8"/>
    <w:rsid w:val="001E1CE2"/>
    <w:rsid w:val="00220DB4"/>
    <w:rsid w:val="00224E96"/>
    <w:rsid w:val="002519DA"/>
    <w:rsid w:val="00290544"/>
    <w:rsid w:val="002E52F2"/>
    <w:rsid w:val="002F295F"/>
    <w:rsid w:val="002F30B3"/>
    <w:rsid w:val="003548BD"/>
    <w:rsid w:val="0038145F"/>
    <w:rsid w:val="003C0CC1"/>
    <w:rsid w:val="003F658A"/>
    <w:rsid w:val="004071D3"/>
    <w:rsid w:val="00471203"/>
    <w:rsid w:val="004B244B"/>
    <w:rsid w:val="004D6657"/>
    <w:rsid w:val="00511B84"/>
    <w:rsid w:val="005B73AC"/>
    <w:rsid w:val="005E6DF8"/>
    <w:rsid w:val="00601ECC"/>
    <w:rsid w:val="00624FDF"/>
    <w:rsid w:val="006467C6"/>
    <w:rsid w:val="006800CF"/>
    <w:rsid w:val="00692C14"/>
    <w:rsid w:val="00703903"/>
    <w:rsid w:val="007D2B10"/>
    <w:rsid w:val="007D7254"/>
    <w:rsid w:val="007F2239"/>
    <w:rsid w:val="007F75E0"/>
    <w:rsid w:val="00807077"/>
    <w:rsid w:val="0081566C"/>
    <w:rsid w:val="00844273"/>
    <w:rsid w:val="00896800"/>
    <w:rsid w:val="008B1A49"/>
    <w:rsid w:val="008C6914"/>
    <w:rsid w:val="008E52E8"/>
    <w:rsid w:val="00924610"/>
    <w:rsid w:val="00946537"/>
    <w:rsid w:val="00951161"/>
    <w:rsid w:val="009F4399"/>
    <w:rsid w:val="00A3510F"/>
    <w:rsid w:val="00AC3DA1"/>
    <w:rsid w:val="00B1716B"/>
    <w:rsid w:val="00B5644B"/>
    <w:rsid w:val="00B8325C"/>
    <w:rsid w:val="00B83EA7"/>
    <w:rsid w:val="00BA384E"/>
    <w:rsid w:val="00BA6EAF"/>
    <w:rsid w:val="00C60756"/>
    <w:rsid w:val="00CB281E"/>
    <w:rsid w:val="00CB6A96"/>
    <w:rsid w:val="00CE7D4D"/>
    <w:rsid w:val="00CF0576"/>
    <w:rsid w:val="00D85C7C"/>
    <w:rsid w:val="00DA0649"/>
    <w:rsid w:val="00DB457A"/>
    <w:rsid w:val="00DF6FA5"/>
    <w:rsid w:val="00E00EBA"/>
    <w:rsid w:val="00F018F5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444CB4"/>
  <w15:chartTrackingRefBased/>
  <w15:docId w15:val="{61003E67-4A6E-5447-98AB-9E338E04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44"/>
    <w:pPr>
      <w:spacing w:after="160" w:line="260" w:lineRule="exact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844273"/>
    <w:pPr>
      <w:keepNext/>
      <w:keepLines/>
      <w:spacing w:before="720" w:after="48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CE7D4D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3665AE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7D4D"/>
    <w:pPr>
      <w:keepNext/>
      <w:keepLines/>
      <w:spacing w:before="40" w:after="12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566C"/>
    <w:pPr>
      <w:outlineLvl w:val="4"/>
    </w:pPr>
    <w:rPr>
      <w:rFonts w:eastAsiaTheme="majorEastAsia" w:cstheme="majorBidi"/>
      <w:b/>
      <w:color w:val="3665AE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D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E7D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D4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844273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CE7D4D"/>
    <w:rPr>
      <w:rFonts w:ascii="Arial" w:eastAsiaTheme="majorEastAsia" w:hAnsi="Arial" w:cstheme="majorBidi"/>
      <w:b/>
      <w:color w:val="3665AE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7D4D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basedOn w:val="Normal"/>
    <w:uiPriority w:val="34"/>
    <w:qFormat/>
    <w:rsid w:val="00CE7D4D"/>
    <w:pPr>
      <w:ind w:left="720"/>
      <w:contextualSpacing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character" w:styleId="Hyperlink">
    <w:name w:val="Hyperlink"/>
    <w:basedOn w:val="DefaultParagraphFont"/>
    <w:uiPriority w:val="99"/>
    <w:unhideWhenUsed/>
    <w:rsid w:val="003F65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92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C14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C14"/>
    <w:rPr>
      <w:rFonts w:ascii="Arial" w:eastAsiaTheme="minorEastAsia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C14"/>
    <w:rPr>
      <w:rFonts w:ascii="Segoe UI" w:eastAsiaTheme="minorEastAsia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B2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bodycopy">
    <w:name w:val="p - body copy"/>
    <w:basedOn w:val="Normal"/>
    <w:uiPriority w:val="99"/>
    <w:rsid w:val="008B1A49"/>
    <w:pPr>
      <w:suppressAutoHyphens/>
      <w:autoSpaceDE w:val="0"/>
      <w:autoSpaceDN w:val="0"/>
      <w:adjustRightInd w:val="0"/>
      <w:spacing w:after="85" w:line="295" w:lineRule="atLeast"/>
      <w:textAlignment w:val="center"/>
    </w:pPr>
    <w:rPr>
      <w:rFonts w:ascii="Gotham Rounded Book" w:eastAsiaTheme="minorHAnsi" w:hAnsi="Gotham Rounded Book" w:cs="Gotham Rounded Book"/>
      <w:color w:val="000000"/>
      <w:sz w:val="21"/>
      <w:szCs w:val="21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A49"/>
    <w:rPr>
      <w:color w:val="605E5C"/>
      <w:shd w:val="clear" w:color="auto" w:fill="E1DFDD"/>
    </w:rPr>
  </w:style>
  <w:style w:type="paragraph" w:customStyle="1" w:styleId="bullets">
    <w:name w:val="bullets"/>
    <w:basedOn w:val="p-bodycopy"/>
    <w:uiPriority w:val="99"/>
    <w:rsid w:val="000F4A7E"/>
    <w:pPr>
      <w:spacing w:after="14" w:line="250" w:lineRule="atLeast"/>
      <w:ind w:left="283" w:hanging="227"/>
    </w:pPr>
    <w:rPr>
      <w:sz w:val="19"/>
      <w:szCs w:val="19"/>
    </w:rPr>
  </w:style>
  <w:style w:type="paragraph" w:customStyle="1" w:styleId="subbullets">
    <w:name w:val="sub bullets"/>
    <w:basedOn w:val="bullets"/>
    <w:uiPriority w:val="99"/>
    <w:rsid w:val="000F4A7E"/>
    <w:pPr>
      <w:ind w:left="624"/>
    </w:pPr>
  </w:style>
  <w:style w:type="paragraph" w:customStyle="1" w:styleId="p-tablenumberboldblue">
    <w:name w:val="p - table number bold blue"/>
    <w:basedOn w:val="p-bodycopy"/>
    <w:uiPriority w:val="99"/>
    <w:rsid w:val="000F4A7E"/>
    <w:pPr>
      <w:spacing w:line="240" w:lineRule="atLeast"/>
    </w:pPr>
    <w:rPr>
      <w:rFonts w:ascii="Gotham Rounded Bold" w:hAnsi="Gotham Rounded Bold" w:cs="Gotham Rounded Bold"/>
      <w:b/>
      <w:bCs/>
      <w:color w:val="265BFF"/>
      <w:sz w:val="19"/>
      <w:szCs w:val="19"/>
    </w:rPr>
  </w:style>
  <w:style w:type="character" w:customStyle="1" w:styleId="bodycopybold">
    <w:name w:val="body copy bold"/>
    <w:uiPriority w:val="99"/>
    <w:rsid w:val="000F4A7E"/>
    <w:rPr>
      <w:b/>
      <w:bCs/>
    </w:rPr>
  </w:style>
  <w:style w:type="character" w:customStyle="1" w:styleId="darkblue">
    <w:name w:val="dark blue"/>
    <w:uiPriority w:val="99"/>
    <w:rsid w:val="000F4A7E"/>
    <w:rPr>
      <w:color w:val="265BFF"/>
    </w:rPr>
  </w:style>
  <w:style w:type="character" w:customStyle="1" w:styleId="Heading5Char">
    <w:name w:val="Heading 5 Char"/>
    <w:basedOn w:val="DefaultParagraphFont"/>
    <w:link w:val="Heading5"/>
    <w:uiPriority w:val="9"/>
    <w:rsid w:val="0081566C"/>
    <w:rPr>
      <w:rFonts w:ascii="Arial" w:eastAsiaTheme="majorEastAsia" w:hAnsi="Arial" w:cstheme="majorBidi"/>
      <w:b/>
      <w:color w:val="3665AE"/>
      <w:sz w:val="20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2F295F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F295F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s://www.health.qld.gov.au/clinical-practice/guidelines-procedures/diseases-infection/immunisation/service-providers/adverse-event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ahealth.sa.gov.au/wps/wcm/connect/public+content/sa+health+internet/clinical+resources/clinical+programs+and+practice+guidelines/immunisation+for+health+professionals/immunisation+section+reporting/vaccine+reaction+reporting+adverse+event+following+immunisation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://www.safevac.org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nsw.gov.au/immunisation/Pages/aefi.aspx" TargetMode="External"/><Relationship Id="rId20" Type="http://schemas.openxmlformats.org/officeDocument/2006/relationships/hyperlink" Target="https://www.health.act.gov.au/sites/default/files/2019-11/Adverse%20event%20following%20Immunisation%20information%20shee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COVID19VaccineOperationsCentre@Health.gov.au" TargetMode="External"/><Relationship Id="rId23" Type="http://schemas.openxmlformats.org/officeDocument/2006/relationships/hyperlink" Target="https://coronavirus.tas.gov.au/vaccination-information/covid-19-vaccination/getting-vaccinated" TargetMode="External"/><Relationship Id="rId10" Type="http://schemas.openxmlformats.org/officeDocument/2006/relationships/hyperlink" Target="https://www.health.gov.au/resources/publications/covid-19-vaccination-clinical-governance-requirements-for-covid-19-vaccination-in-residential-aged-care" TargetMode="External"/><Relationship Id="rId19" Type="http://schemas.openxmlformats.org/officeDocument/2006/relationships/hyperlink" Target="https://www.health.act.gov.au/sites/default/files/2019-11/Adverse%20event%20following%20Immunisation%20information%20shee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ga.gov.au/reporting-problems" TargetMode="External"/><Relationship Id="rId22" Type="http://schemas.openxmlformats.org/officeDocument/2006/relationships/hyperlink" Target="https://health.nt.gov.au/professionals/centre-for-disease-control/immunisation-health-professionals/recording-and-reports-on-immunisations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BCEF638DCD5141B3F485B2FD1DD1FF" ma:contentTypeVersion="0" ma:contentTypeDescription="Create a new document." ma:contentTypeScope="" ma:versionID="bebc434c770e2e02d63cb39e63a574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D6DDC-8571-48ED-8CBE-F386E3C9C60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BA60F5-513E-4C3E-9792-6F306DD69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49958-B3C6-407B-8E22-EF750C33AD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Hints and tips for planning and delivering RACF COVID vaccination clinics</vt:lpstr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Monitoring and reporting side effects</dc:title>
  <dc:subject>Communicable diseases; Emergency health management; Immunisation</dc:subject>
  <dc:creator>Australian Government Department of Health</dc:creator>
  <cp:keywords>coronavirus; adverse effects; covid-19 vaccines</cp:keywords>
  <dc:description/>
  <cp:lastModifiedBy>MCCAY, Meryl</cp:lastModifiedBy>
  <cp:revision>5</cp:revision>
  <dcterms:created xsi:type="dcterms:W3CDTF">2021-03-19T00:39:00Z</dcterms:created>
  <dcterms:modified xsi:type="dcterms:W3CDTF">2021-03-19T03:56:00Z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0x01010063BCEF638DCD5141B3F485B2FD1DD1FF</vt:lpwstr>
  </property>
</Properties>
</file>