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E013A" w14:textId="261DB9E7" w:rsidR="00B211B6" w:rsidRPr="002F5E02" w:rsidRDefault="00B211B6" w:rsidP="00B211B6">
      <w:pPr>
        <w:pStyle w:val="Subtitle"/>
        <w:rPr>
          <w:color w:val="auto"/>
        </w:rPr>
      </w:pPr>
      <w:r w:rsidRPr="002F5E02">
        <w:rPr>
          <w:color w:val="auto"/>
        </w:rPr>
        <w:t xml:space="preserve">New Zealand – Situation </w:t>
      </w:r>
      <w:r w:rsidR="009051AB" w:rsidRPr="002F5E02">
        <w:rPr>
          <w:color w:val="auto"/>
        </w:rPr>
        <w:t>u</w:t>
      </w:r>
      <w:r w:rsidRPr="002F5E02">
        <w:rPr>
          <w:color w:val="auto"/>
        </w:rPr>
        <w:t xml:space="preserve">pdate </w:t>
      </w:r>
      <w:r w:rsidR="004009C1">
        <w:rPr>
          <w:color w:val="auto"/>
        </w:rPr>
        <w:br/>
      </w:r>
      <w:r w:rsidR="00531A70">
        <w:rPr>
          <w:color w:val="FF0000"/>
        </w:rPr>
        <w:t>10</w:t>
      </w:r>
      <w:r w:rsidR="002D655D">
        <w:rPr>
          <w:color w:val="FF0000"/>
        </w:rPr>
        <w:t xml:space="preserve"> March</w:t>
      </w:r>
      <w:r w:rsidRPr="00B968C7">
        <w:rPr>
          <w:color w:val="FF0000"/>
        </w:rPr>
        <w:t xml:space="preserve"> 202</w:t>
      </w:r>
      <w:r w:rsidR="00A1790B">
        <w:rPr>
          <w:color w:val="FF0000"/>
        </w:rPr>
        <w:t>1</w:t>
      </w:r>
      <w:r w:rsidR="006B229F">
        <w:rPr>
          <w:color w:val="FF0000"/>
        </w:rPr>
        <w:t xml:space="preserve"> </w:t>
      </w:r>
    </w:p>
    <w:p w14:paraId="7351EC37" w14:textId="31E37F90" w:rsidR="003F5DCC" w:rsidRPr="00B968C7" w:rsidRDefault="00531A70" w:rsidP="00A24237">
      <w:pPr>
        <w:spacing w:before="1200" w:after="480"/>
        <w:jc w:val="right"/>
        <w:rPr>
          <w:rFonts w:cs="Arial"/>
          <w:color w:val="FF0000"/>
        </w:rPr>
      </w:pPr>
      <w:r>
        <w:rPr>
          <w:rFonts w:cs="Arial"/>
          <w:color w:val="FF0000"/>
        </w:rPr>
        <w:t>10</w:t>
      </w:r>
      <w:r w:rsidR="002D655D">
        <w:rPr>
          <w:rFonts w:cs="Arial"/>
          <w:color w:val="FF0000"/>
        </w:rPr>
        <w:t xml:space="preserve"> March</w:t>
      </w:r>
      <w:r w:rsidR="00A1790B">
        <w:rPr>
          <w:rFonts w:cs="Arial"/>
          <w:color w:val="FF0000"/>
        </w:rPr>
        <w:t xml:space="preserve"> 2021</w:t>
      </w:r>
    </w:p>
    <w:p w14:paraId="53E1808F" w14:textId="31FB8B52" w:rsidR="003077BF" w:rsidRPr="003636FF" w:rsidRDefault="00590CB1" w:rsidP="00494230">
      <w:pPr>
        <w:tabs>
          <w:tab w:val="left" w:pos="2169"/>
        </w:tabs>
        <w:spacing w:after="180" w:line="264" w:lineRule="auto"/>
        <w:rPr>
          <w:rFonts w:cs="Arial"/>
          <w:b/>
          <w:color w:val="FF0000"/>
        </w:rPr>
      </w:pPr>
      <w:r>
        <w:rPr>
          <w:rStyle w:val="Strong"/>
          <w:color w:val="auto"/>
        </w:rPr>
        <w:t>Information</w:t>
      </w:r>
      <w:r w:rsidR="00B211B6" w:rsidRPr="002F5E02">
        <w:rPr>
          <w:rStyle w:val="Strong"/>
          <w:color w:val="auto"/>
        </w:rPr>
        <w:t xml:space="preserve"> presented in this assessment is based on </w:t>
      </w:r>
      <w:r w:rsidR="003077BF" w:rsidRPr="009C7680">
        <w:rPr>
          <w:rFonts w:cs="Arial"/>
          <w:b/>
          <w:color w:val="auto"/>
        </w:rPr>
        <w:t xml:space="preserve">New Zealand’s publicly </w:t>
      </w:r>
      <w:r w:rsidR="003077BF" w:rsidRPr="003636FF">
        <w:rPr>
          <w:rFonts w:cs="Arial"/>
          <w:b/>
          <w:color w:val="FF0000"/>
        </w:rPr>
        <w:t>available information</w:t>
      </w:r>
      <w:r w:rsidR="007A46D6" w:rsidRPr="003636FF">
        <w:rPr>
          <w:rFonts w:cs="Arial"/>
          <w:b/>
          <w:color w:val="FF0000"/>
        </w:rPr>
        <w:t xml:space="preserve"> provided</w:t>
      </w:r>
      <w:r w:rsidR="003077BF" w:rsidRPr="003636FF">
        <w:rPr>
          <w:rFonts w:cs="Arial"/>
          <w:b/>
          <w:color w:val="FF0000"/>
        </w:rPr>
        <w:t xml:space="preserve"> on </w:t>
      </w:r>
      <w:r w:rsidR="007A46D6" w:rsidRPr="003636FF">
        <w:rPr>
          <w:rFonts w:cs="Arial"/>
          <w:b/>
          <w:color w:val="FF0000"/>
        </w:rPr>
        <w:t xml:space="preserve">the </w:t>
      </w:r>
      <w:r w:rsidR="00F13CB4" w:rsidRPr="003636FF">
        <w:rPr>
          <w:rFonts w:cs="Arial"/>
          <w:b/>
          <w:color w:val="FF0000"/>
        </w:rPr>
        <w:t>New</w:t>
      </w:r>
      <w:r w:rsidR="003077BF" w:rsidRPr="003636FF">
        <w:rPr>
          <w:rFonts w:cs="Arial"/>
          <w:b/>
          <w:color w:val="FF0000"/>
        </w:rPr>
        <w:t xml:space="preserve"> Zealand </w:t>
      </w:r>
      <w:r w:rsidR="00180AC2">
        <w:rPr>
          <w:rFonts w:cs="Arial"/>
          <w:b/>
          <w:color w:val="FF0000"/>
        </w:rPr>
        <w:t>Ministry of Health website.</w:t>
      </w:r>
      <w:r w:rsidR="007A46D6" w:rsidRPr="003636FF">
        <w:rPr>
          <w:rStyle w:val="FootnoteReference"/>
          <w:rFonts w:cs="Arial"/>
          <w:b/>
          <w:color w:val="FF0000"/>
        </w:rPr>
        <w:footnoteReference w:id="2"/>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Summary of COVID-19 cases in New Zealand as at 5 November 2020."/>
      </w:tblPr>
      <w:tblGrid>
        <w:gridCol w:w="3964"/>
        <w:gridCol w:w="2127"/>
        <w:gridCol w:w="3118"/>
      </w:tblGrid>
      <w:tr w:rsidR="003636FF" w:rsidRPr="003636FF" w14:paraId="59CCC37F" w14:textId="77777777" w:rsidTr="00B211B6">
        <w:trPr>
          <w:tblHeader/>
        </w:trPr>
        <w:tc>
          <w:tcPr>
            <w:tcW w:w="9209" w:type="dxa"/>
            <w:gridSpan w:val="3"/>
            <w:shd w:val="clear" w:color="auto" w:fill="DBE5F1" w:themeFill="accent1" w:themeFillTint="33"/>
            <w:tcMar>
              <w:top w:w="57" w:type="dxa"/>
              <w:left w:w="75" w:type="dxa"/>
              <w:bottom w:w="45" w:type="dxa"/>
              <w:right w:w="75" w:type="dxa"/>
            </w:tcMar>
            <w:vAlign w:val="center"/>
            <w:hideMark/>
          </w:tcPr>
          <w:p w14:paraId="3203E09D" w14:textId="0A9DFDEC" w:rsidR="00B211B6" w:rsidRPr="003636FF" w:rsidRDefault="0062366B" w:rsidP="00494230">
            <w:pPr>
              <w:spacing w:before="60" w:after="60" w:line="240" w:lineRule="auto"/>
              <w:jc w:val="center"/>
              <w:rPr>
                <w:b/>
                <w:bCs/>
                <w:color w:val="FF0000"/>
                <w:lang w:eastAsia="en-AU"/>
              </w:rPr>
            </w:pPr>
            <w:r w:rsidRPr="003636FF">
              <w:rPr>
                <w:b/>
                <w:bCs/>
                <w:color w:val="FF0000"/>
                <w:lang w:eastAsia="en-AU"/>
              </w:rPr>
              <w:t>Summary of Cases as at 11</w:t>
            </w:r>
            <w:r w:rsidR="00180AC2">
              <w:rPr>
                <w:b/>
                <w:bCs/>
                <w:color w:val="FF0000"/>
                <w:lang w:eastAsia="en-AU"/>
              </w:rPr>
              <w:t>:</w:t>
            </w:r>
            <w:r w:rsidRPr="003636FF">
              <w:rPr>
                <w:b/>
                <w:bCs/>
                <w:color w:val="FF0000"/>
                <w:lang w:eastAsia="en-AU"/>
              </w:rPr>
              <w:t>00</w:t>
            </w:r>
            <w:r w:rsidR="00180AC2">
              <w:rPr>
                <w:b/>
                <w:bCs/>
                <w:color w:val="FF0000"/>
                <w:lang w:eastAsia="en-AU"/>
              </w:rPr>
              <w:t xml:space="preserve"> AEDT</w:t>
            </w:r>
            <w:r w:rsidRPr="003636FF">
              <w:rPr>
                <w:b/>
                <w:bCs/>
                <w:color w:val="FF0000"/>
                <w:lang w:eastAsia="en-AU"/>
              </w:rPr>
              <w:t xml:space="preserve">, </w:t>
            </w:r>
            <w:r w:rsidR="00531A70" w:rsidRPr="003636FF">
              <w:rPr>
                <w:b/>
                <w:bCs/>
                <w:color w:val="FF0000"/>
                <w:lang w:eastAsia="en-AU"/>
              </w:rPr>
              <w:t>10</w:t>
            </w:r>
            <w:r w:rsidR="002D655D" w:rsidRPr="003636FF">
              <w:rPr>
                <w:b/>
                <w:bCs/>
                <w:color w:val="FF0000"/>
                <w:lang w:eastAsia="en-AU"/>
              </w:rPr>
              <w:t xml:space="preserve"> March</w:t>
            </w:r>
            <w:r w:rsidRPr="003636FF">
              <w:rPr>
                <w:b/>
                <w:bCs/>
                <w:color w:val="FF0000"/>
                <w:lang w:eastAsia="en-AU"/>
              </w:rPr>
              <w:t xml:space="preserve"> 2021</w:t>
            </w:r>
          </w:p>
        </w:tc>
      </w:tr>
      <w:tr w:rsidR="003636FF" w:rsidRPr="003636FF" w14:paraId="4615577D" w14:textId="77777777" w:rsidTr="009D6DEB">
        <w:trPr>
          <w:trHeight w:val="363"/>
          <w:tblHeader/>
        </w:trPr>
        <w:tc>
          <w:tcPr>
            <w:tcW w:w="3964" w:type="dxa"/>
            <w:shd w:val="clear" w:color="auto" w:fill="auto"/>
            <w:tcMar>
              <w:top w:w="57" w:type="dxa"/>
              <w:left w:w="75" w:type="dxa"/>
              <w:bottom w:w="45" w:type="dxa"/>
              <w:right w:w="75" w:type="dxa"/>
            </w:tcMar>
            <w:vAlign w:val="center"/>
            <w:hideMark/>
          </w:tcPr>
          <w:p w14:paraId="1F74BE86" w14:textId="77777777" w:rsidR="00B211B6" w:rsidRPr="003636FF" w:rsidRDefault="00B211B6" w:rsidP="00494230">
            <w:pPr>
              <w:spacing w:before="60" w:after="60" w:line="240" w:lineRule="auto"/>
              <w:rPr>
                <w:color w:val="FF0000"/>
                <w:sz w:val="20"/>
                <w:szCs w:val="20"/>
                <w:lang w:eastAsia="en-AU"/>
              </w:rPr>
            </w:pPr>
          </w:p>
        </w:tc>
        <w:tc>
          <w:tcPr>
            <w:tcW w:w="2127" w:type="dxa"/>
            <w:shd w:val="clear" w:color="auto" w:fill="auto"/>
            <w:tcMar>
              <w:top w:w="57" w:type="dxa"/>
              <w:left w:w="75" w:type="dxa"/>
              <w:bottom w:w="45" w:type="dxa"/>
              <w:right w:w="170" w:type="dxa"/>
            </w:tcMar>
            <w:vAlign w:val="center"/>
            <w:hideMark/>
          </w:tcPr>
          <w:p w14:paraId="5CBDD6EC" w14:textId="4426430C" w:rsidR="00B211B6" w:rsidRPr="003636FF" w:rsidRDefault="00B211B6" w:rsidP="00494230">
            <w:pPr>
              <w:spacing w:before="60" w:after="60" w:line="240" w:lineRule="auto"/>
              <w:jc w:val="center"/>
              <w:rPr>
                <w:b/>
                <w:bCs/>
                <w:color w:val="FF0000"/>
                <w:szCs w:val="20"/>
                <w:lang w:eastAsia="en-AU"/>
              </w:rPr>
            </w:pPr>
            <w:r w:rsidRPr="003636FF">
              <w:rPr>
                <w:b/>
                <w:bCs/>
                <w:color w:val="FF0000"/>
                <w:szCs w:val="20"/>
                <w:lang w:eastAsia="en-AU"/>
              </w:rPr>
              <w:t>Total</w:t>
            </w:r>
          </w:p>
        </w:tc>
        <w:tc>
          <w:tcPr>
            <w:tcW w:w="3118" w:type="dxa"/>
            <w:shd w:val="clear" w:color="auto" w:fill="auto"/>
            <w:tcMar>
              <w:top w:w="57" w:type="dxa"/>
              <w:left w:w="75" w:type="dxa"/>
              <w:bottom w:w="45" w:type="dxa"/>
              <w:right w:w="170" w:type="dxa"/>
            </w:tcMar>
            <w:vAlign w:val="center"/>
            <w:hideMark/>
          </w:tcPr>
          <w:p w14:paraId="79EAF712" w14:textId="1AFB932B" w:rsidR="00B211B6" w:rsidRPr="003636FF" w:rsidRDefault="00343B8C" w:rsidP="00494230">
            <w:pPr>
              <w:spacing w:before="60" w:after="60" w:line="240" w:lineRule="auto"/>
              <w:jc w:val="center"/>
              <w:rPr>
                <w:b/>
                <w:bCs/>
                <w:color w:val="FF0000"/>
                <w:szCs w:val="20"/>
                <w:lang w:eastAsia="en-AU"/>
              </w:rPr>
            </w:pPr>
            <w:r w:rsidRPr="003636FF">
              <w:rPr>
                <w:b/>
                <w:bCs/>
                <w:color w:val="FF0000"/>
                <w:szCs w:val="20"/>
                <w:lang w:eastAsia="en-AU"/>
              </w:rPr>
              <w:t xml:space="preserve">Change in last </w:t>
            </w:r>
            <w:r w:rsidR="001846B8" w:rsidRPr="003636FF">
              <w:rPr>
                <w:b/>
                <w:bCs/>
                <w:color w:val="FF0000"/>
                <w:szCs w:val="20"/>
                <w:lang w:eastAsia="en-AU"/>
              </w:rPr>
              <w:t>7</w:t>
            </w:r>
            <w:r w:rsidRPr="003636FF">
              <w:rPr>
                <w:b/>
                <w:bCs/>
                <w:color w:val="FF0000"/>
                <w:szCs w:val="20"/>
                <w:lang w:eastAsia="en-AU"/>
              </w:rPr>
              <w:t xml:space="preserve"> days</w:t>
            </w:r>
          </w:p>
        </w:tc>
      </w:tr>
      <w:tr w:rsidR="003636FF" w:rsidRPr="003636FF" w14:paraId="33B91CA1" w14:textId="77777777" w:rsidTr="00A1790B">
        <w:tc>
          <w:tcPr>
            <w:tcW w:w="3964" w:type="dxa"/>
            <w:shd w:val="clear" w:color="auto" w:fill="auto"/>
            <w:tcMar>
              <w:top w:w="57" w:type="dxa"/>
              <w:left w:w="75" w:type="dxa"/>
              <w:bottom w:w="45" w:type="dxa"/>
              <w:right w:w="75" w:type="dxa"/>
            </w:tcMar>
            <w:vAlign w:val="center"/>
            <w:hideMark/>
          </w:tcPr>
          <w:p w14:paraId="3BCA2A41" w14:textId="77777777" w:rsidR="00685E34" w:rsidRPr="003636FF" w:rsidRDefault="00685E34" w:rsidP="00494230">
            <w:pPr>
              <w:spacing w:before="60" w:after="60" w:line="240" w:lineRule="auto"/>
              <w:rPr>
                <w:b/>
                <w:bCs/>
                <w:color w:val="FF0000"/>
                <w:lang w:eastAsia="en-AU"/>
              </w:rPr>
            </w:pPr>
            <w:r w:rsidRPr="003636FF">
              <w:rPr>
                <w:b/>
                <w:bCs/>
                <w:color w:val="FF0000"/>
                <w:lang w:eastAsia="en-AU"/>
              </w:rPr>
              <w:t xml:space="preserve">Confirmed cases </w:t>
            </w:r>
          </w:p>
        </w:tc>
        <w:tc>
          <w:tcPr>
            <w:tcW w:w="2127" w:type="dxa"/>
            <w:shd w:val="clear" w:color="auto" w:fill="auto"/>
            <w:tcMar>
              <w:top w:w="57" w:type="dxa"/>
              <w:left w:w="75" w:type="dxa"/>
              <w:bottom w:w="45" w:type="dxa"/>
              <w:right w:w="170" w:type="dxa"/>
            </w:tcMar>
          </w:tcPr>
          <w:p w14:paraId="55C3E344" w14:textId="10D0C37D" w:rsidR="00685E34" w:rsidRPr="003636FF" w:rsidRDefault="00085A07" w:rsidP="00494230">
            <w:pPr>
              <w:spacing w:before="60" w:after="60" w:line="240" w:lineRule="auto"/>
              <w:jc w:val="center"/>
              <w:rPr>
                <w:color w:val="FF0000"/>
                <w:lang w:eastAsia="en-AU"/>
              </w:rPr>
            </w:pPr>
            <w:r w:rsidRPr="003636FF">
              <w:rPr>
                <w:color w:val="FF0000"/>
                <w:lang w:eastAsia="en-AU"/>
              </w:rPr>
              <w:t>2</w:t>
            </w:r>
            <w:r w:rsidR="00B71E64">
              <w:rPr>
                <w:color w:val="FF0000"/>
                <w:lang w:eastAsia="en-AU"/>
              </w:rPr>
              <w:t>,</w:t>
            </w:r>
            <w:r w:rsidRPr="003636FF">
              <w:rPr>
                <w:color w:val="FF0000"/>
                <w:lang w:eastAsia="en-AU"/>
              </w:rPr>
              <w:t>054</w:t>
            </w:r>
          </w:p>
        </w:tc>
        <w:tc>
          <w:tcPr>
            <w:tcW w:w="3118" w:type="dxa"/>
            <w:shd w:val="clear" w:color="auto" w:fill="auto"/>
            <w:tcMar>
              <w:top w:w="57" w:type="dxa"/>
              <w:left w:w="75" w:type="dxa"/>
              <w:bottom w:w="45" w:type="dxa"/>
              <w:right w:w="170" w:type="dxa"/>
            </w:tcMar>
          </w:tcPr>
          <w:p w14:paraId="56F297DF" w14:textId="7634F191" w:rsidR="00685E34" w:rsidRPr="003636FF" w:rsidRDefault="00123406" w:rsidP="00494230">
            <w:pPr>
              <w:spacing w:before="60" w:after="60" w:line="240" w:lineRule="auto"/>
              <w:jc w:val="center"/>
              <w:rPr>
                <w:color w:val="FF0000"/>
                <w:lang w:eastAsia="en-AU"/>
              </w:rPr>
            </w:pPr>
            <w:r w:rsidRPr="003636FF">
              <w:rPr>
                <w:color w:val="FF0000"/>
                <w:lang w:eastAsia="en-AU"/>
              </w:rPr>
              <w:t>26*</w:t>
            </w:r>
          </w:p>
        </w:tc>
      </w:tr>
      <w:tr w:rsidR="003636FF" w:rsidRPr="003636FF" w14:paraId="1183D8D0" w14:textId="77777777" w:rsidTr="00014341">
        <w:tc>
          <w:tcPr>
            <w:tcW w:w="3964" w:type="dxa"/>
            <w:shd w:val="clear" w:color="auto" w:fill="auto"/>
            <w:tcMar>
              <w:top w:w="57" w:type="dxa"/>
              <w:left w:w="75" w:type="dxa"/>
              <w:bottom w:w="45" w:type="dxa"/>
              <w:right w:w="75" w:type="dxa"/>
            </w:tcMar>
            <w:vAlign w:val="center"/>
            <w:hideMark/>
          </w:tcPr>
          <w:p w14:paraId="5F8C256D" w14:textId="77777777" w:rsidR="00685E34" w:rsidRPr="003636FF" w:rsidRDefault="00685E34" w:rsidP="00494230">
            <w:pPr>
              <w:spacing w:before="60" w:after="60" w:line="240" w:lineRule="auto"/>
              <w:rPr>
                <w:b/>
                <w:bCs/>
                <w:color w:val="FF0000"/>
                <w:lang w:eastAsia="en-AU"/>
              </w:rPr>
            </w:pPr>
            <w:r w:rsidRPr="003636FF">
              <w:rPr>
                <w:b/>
                <w:bCs/>
                <w:color w:val="FF0000"/>
                <w:lang w:eastAsia="en-AU"/>
              </w:rPr>
              <w:t>Probable cases</w:t>
            </w:r>
          </w:p>
        </w:tc>
        <w:tc>
          <w:tcPr>
            <w:tcW w:w="2127" w:type="dxa"/>
            <w:shd w:val="clear" w:color="auto" w:fill="auto"/>
            <w:tcMar>
              <w:top w:w="57" w:type="dxa"/>
              <w:left w:w="75" w:type="dxa"/>
              <w:bottom w:w="45" w:type="dxa"/>
              <w:right w:w="170" w:type="dxa"/>
            </w:tcMar>
          </w:tcPr>
          <w:p w14:paraId="1E84B7BE" w14:textId="6B3DDB29" w:rsidR="00685E34" w:rsidRPr="003636FF" w:rsidRDefault="00542E6B" w:rsidP="00494230">
            <w:pPr>
              <w:spacing w:before="60" w:after="60" w:line="240" w:lineRule="auto"/>
              <w:jc w:val="center"/>
              <w:rPr>
                <w:color w:val="FF0000"/>
                <w:lang w:eastAsia="en-AU"/>
              </w:rPr>
            </w:pPr>
            <w:r w:rsidRPr="003636FF">
              <w:rPr>
                <w:color w:val="FF0000"/>
                <w:lang w:eastAsia="en-AU"/>
              </w:rPr>
              <w:t>356</w:t>
            </w:r>
          </w:p>
        </w:tc>
        <w:tc>
          <w:tcPr>
            <w:tcW w:w="3118" w:type="dxa"/>
            <w:shd w:val="clear" w:color="auto" w:fill="auto"/>
            <w:tcMar>
              <w:top w:w="57" w:type="dxa"/>
              <w:left w:w="75" w:type="dxa"/>
              <w:bottom w:w="45" w:type="dxa"/>
              <w:right w:w="170" w:type="dxa"/>
            </w:tcMar>
          </w:tcPr>
          <w:p w14:paraId="6489B223" w14:textId="77777777" w:rsidR="00685E34" w:rsidRPr="003636FF" w:rsidRDefault="00542E6B" w:rsidP="00494230">
            <w:pPr>
              <w:spacing w:before="60" w:after="60" w:line="240" w:lineRule="auto"/>
              <w:jc w:val="center"/>
              <w:rPr>
                <w:color w:val="FF0000"/>
                <w:lang w:eastAsia="en-AU"/>
              </w:rPr>
            </w:pPr>
            <w:r w:rsidRPr="003636FF">
              <w:rPr>
                <w:color w:val="FF0000"/>
                <w:lang w:eastAsia="en-AU"/>
              </w:rPr>
              <w:t>0</w:t>
            </w:r>
          </w:p>
        </w:tc>
      </w:tr>
      <w:tr w:rsidR="003636FF" w:rsidRPr="003636FF" w14:paraId="09872339" w14:textId="77777777" w:rsidTr="00A1790B">
        <w:tc>
          <w:tcPr>
            <w:tcW w:w="3964" w:type="dxa"/>
            <w:shd w:val="clear" w:color="auto" w:fill="auto"/>
            <w:tcMar>
              <w:top w:w="57" w:type="dxa"/>
              <w:left w:w="75" w:type="dxa"/>
              <w:bottom w:w="45" w:type="dxa"/>
              <w:right w:w="75" w:type="dxa"/>
            </w:tcMar>
            <w:vAlign w:val="center"/>
            <w:hideMark/>
          </w:tcPr>
          <w:p w14:paraId="0A214CDA" w14:textId="77777777" w:rsidR="00685E34" w:rsidRPr="003636FF" w:rsidRDefault="00685E34" w:rsidP="00494230">
            <w:pPr>
              <w:spacing w:before="60" w:after="60" w:line="240" w:lineRule="auto"/>
              <w:rPr>
                <w:b/>
                <w:bCs/>
                <w:color w:val="FF0000"/>
                <w:lang w:eastAsia="en-AU"/>
              </w:rPr>
            </w:pPr>
            <w:r w:rsidRPr="003636FF">
              <w:rPr>
                <w:b/>
                <w:bCs/>
                <w:color w:val="FF0000"/>
                <w:lang w:eastAsia="en-AU"/>
              </w:rPr>
              <w:lastRenderedPageBreak/>
              <w:t>Total (confirmed and probable)</w:t>
            </w:r>
          </w:p>
        </w:tc>
        <w:tc>
          <w:tcPr>
            <w:tcW w:w="2127" w:type="dxa"/>
            <w:shd w:val="clear" w:color="auto" w:fill="auto"/>
            <w:tcMar>
              <w:top w:w="57" w:type="dxa"/>
              <w:left w:w="75" w:type="dxa"/>
              <w:bottom w:w="45" w:type="dxa"/>
              <w:right w:w="170" w:type="dxa"/>
            </w:tcMar>
          </w:tcPr>
          <w:p w14:paraId="3A8DFDE5" w14:textId="57101CAA" w:rsidR="00685E34" w:rsidRPr="003636FF" w:rsidRDefault="00085A07" w:rsidP="00494230">
            <w:pPr>
              <w:spacing w:before="60" w:after="60" w:line="240" w:lineRule="auto"/>
              <w:jc w:val="center"/>
              <w:rPr>
                <w:color w:val="FF0000"/>
                <w:lang w:eastAsia="en-AU"/>
              </w:rPr>
            </w:pPr>
            <w:r w:rsidRPr="003636FF">
              <w:rPr>
                <w:color w:val="FF0000"/>
                <w:lang w:eastAsia="en-AU"/>
              </w:rPr>
              <w:t>2</w:t>
            </w:r>
            <w:r w:rsidR="00B71E64">
              <w:rPr>
                <w:color w:val="FF0000"/>
                <w:lang w:eastAsia="en-AU"/>
              </w:rPr>
              <w:t>,</w:t>
            </w:r>
            <w:r w:rsidRPr="003636FF">
              <w:rPr>
                <w:color w:val="FF0000"/>
                <w:lang w:eastAsia="en-AU"/>
              </w:rPr>
              <w:t>410</w:t>
            </w:r>
          </w:p>
        </w:tc>
        <w:tc>
          <w:tcPr>
            <w:tcW w:w="3118" w:type="dxa"/>
            <w:shd w:val="clear" w:color="auto" w:fill="auto"/>
            <w:tcMar>
              <w:top w:w="57" w:type="dxa"/>
              <w:left w:w="75" w:type="dxa"/>
              <w:bottom w:w="45" w:type="dxa"/>
              <w:right w:w="170" w:type="dxa"/>
            </w:tcMar>
          </w:tcPr>
          <w:p w14:paraId="74520498" w14:textId="69C97069" w:rsidR="00685E34" w:rsidRPr="003636FF" w:rsidRDefault="00123406" w:rsidP="00494230">
            <w:pPr>
              <w:spacing w:before="60" w:after="60" w:line="240" w:lineRule="auto"/>
              <w:jc w:val="center"/>
              <w:rPr>
                <w:color w:val="FF0000"/>
                <w:lang w:eastAsia="en-AU"/>
              </w:rPr>
            </w:pPr>
            <w:r w:rsidRPr="003636FF">
              <w:rPr>
                <w:color w:val="FF0000"/>
                <w:lang w:eastAsia="en-AU"/>
              </w:rPr>
              <w:t>26*</w:t>
            </w:r>
          </w:p>
        </w:tc>
      </w:tr>
      <w:tr w:rsidR="003636FF" w:rsidRPr="003636FF" w14:paraId="0C3409E4" w14:textId="77777777" w:rsidTr="00976309">
        <w:tc>
          <w:tcPr>
            <w:tcW w:w="3964" w:type="dxa"/>
            <w:shd w:val="clear" w:color="auto" w:fill="auto"/>
            <w:tcMar>
              <w:top w:w="57" w:type="dxa"/>
              <w:left w:w="75" w:type="dxa"/>
              <w:bottom w:w="45" w:type="dxa"/>
              <w:right w:w="75" w:type="dxa"/>
            </w:tcMar>
            <w:vAlign w:val="center"/>
            <w:hideMark/>
          </w:tcPr>
          <w:p w14:paraId="7595BD14" w14:textId="77777777" w:rsidR="00685E34" w:rsidRPr="003636FF" w:rsidRDefault="00685E34" w:rsidP="00494230">
            <w:pPr>
              <w:spacing w:before="60" w:after="60" w:line="240" w:lineRule="auto"/>
              <w:rPr>
                <w:b/>
                <w:bCs/>
                <w:color w:val="FF0000"/>
                <w:lang w:eastAsia="en-AU"/>
              </w:rPr>
            </w:pPr>
            <w:r w:rsidRPr="003636FF">
              <w:rPr>
                <w:b/>
                <w:bCs/>
                <w:color w:val="FF0000"/>
                <w:lang w:eastAsia="en-AU"/>
              </w:rPr>
              <w:t>Deaths</w:t>
            </w:r>
          </w:p>
        </w:tc>
        <w:tc>
          <w:tcPr>
            <w:tcW w:w="2127" w:type="dxa"/>
            <w:shd w:val="clear" w:color="auto" w:fill="auto"/>
            <w:tcMar>
              <w:top w:w="57" w:type="dxa"/>
              <w:left w:w="75" w:type="dxa"/>
              <w:bottom w:w="45" w:type="dxa"/>
              <w:right w:w="170" w:type="dxa"/>
            </w:tcMar>
          </w:tcPr>
          <w:p w14:paraId="0C838DCC" w14:textId="6A074D74" w:rsidR="00685E34" w:rsidRPr="003636FF" w:rsidRDefault="00D2738C" w:rsidP="00494230">
            <w:pPr>
              <w:spacing w:before="60" w:after="60" w:line="240" w:lineRule="auto"/>
              <w:jc w:val="center"/>
              <w:rPr>
                <w:color w:val="FF0000"/>
                <w:lang w:eastAsia="en-AU"/>
              </w:rPr>
            </w:pPr>
            <w:r w:rsidRPr="003636FF">
              <w:rPr>
                <w:color w:val="FF0000"/>
                <w:lang w:eastAsia="en-AU"/>
              </w:rPr>
              <w:t>26</w:t>
            </w:r>
          </w:p>
        </w:tc>
        <w:tc>
          <w:tcPr>
            <w:tcW w:w="3118" w:type="dxa"/>
            <w:shd w:val="clear" w:color="auto" w:fill="auto"/>
            <w:tcMar>
              <w:top w:w="57" w:type="dxa"/>
              <w:left w:w="75" w:type="dxa"/>
              <w:bottom w:w="45" w:type="dxa"/>
              <w:right w:w="170" w:type="dxa"/>
            </w:tcMar>
          </w:tcPr>
          <w:p w14:paraId="2DE38362" w14:textId="4FFB0FD6" w:rsidR="00685E34" w:rsidRPr="003636FF" w:rsidRDefault="00D2738C" w:rsidP="00494230">
            <w:pPr>
              <w:spacing w:before="60" w:after="60" w:line="240" w:lineRule="auto"/>
              <w:jc w:val="center"/>
              <w:rPr>
                <w:color w:val="FF0000"/>
                <w:lang w:eastAsia="en-AU"/>
              </w:rPr>
            </w:pPr>
            <w:r w:rsidRPr="003636FF">
              <w:rPr>
                <w:color w:val="FF0000"/>
                <w:lang w:eastAsia="en-AU"/>
              </w:rPr>
              <w:t>0</w:t>
            </w:r>
          </w:p>
        </w:tc>
      </w:tr>
      <w:tr w:rsidR="003636FF" w:rsidRPr="003636FF" w14:paraId="6DD9F2BF" w14:textId="77777777" w:rsidTr="00976309">
        <w:tc>
          <w:tcPr>
            <w:tcW w:w="3964" w:type="dxa"/>
            <w:shd w:val="clear" w:color="auto" w:fill="auto"/>
            <w:tcMar>
              <w:top w:w="57" w:type="dxa"/>
              <w:left w:w="75" w:type="dxa"/>
              <w:bottom w:w="45" w:type="dxa"/>
              <w:right w:w="75" w:type="dxa"/>
            </w:tcMar>
            <w:vAlign w:val="center"/>
            <w:hideMark/>
          </w:tcPr>
          <w:p w14:paraId="0F024EEF" w14:textId="77777777" w:rsidR="00685E34" w:rsidRPr="003636FF" w:rsidRDefault="00685E34" w:rsidP="00494230">
            <w:pPr>
              <w:spacing w:before="60" w:after="60" w:line="240" w:lineRule="auto"/>
              <w:rPr>
                <w:b/>
                <w:bCs/>
                <w:color w:val="FF0000"/>
                <w:lang w:eastAsia="en-AU"/>
              </w:rPr>
            </w:pPr>
            <w:r w:rsidRPr="003636FF">
              <w:rPr>
                <w:b/>
                <w:bCs/>
                <w:color w:val="FF0000"/>
                <w:lang w:eastAsia="en-AU"/>
              </w:rPr>
              <w:t>Current hospitalised</w:t>
            </w:r>
          </w:p>
        </w:tc>
        <w:tc>
          <w:tcPr>
            <w:tcW w:w="2127" w:type="dxa"/>
            <w:shd w:val="clear" w:color="auto" w:fill="auto"/>
            <w:tcMar>
              <w:top w:w="57" w:type="dxa"/>
              <w:left w:w="75" w:type="dxa"/>
              <w:bottom w:w="45" w:type="dxa"/>
              <w:right w:w="170" w:type="dxa"/>
            </w:tcMar>
          </w:tcPr>
          <w:p w14:paraId="669AD487" w14:textId="181965DE" w:rsidR="00685E34" w:rsidRPr="003636FF" w:rsidRDefault="00A835AC" w:rsidP="00494230">
            <w:pPr>
              <w:spacing w:before="60" w:after="60" w:line="240" w:lineRule="auto"/>
              <w:jc w:val="center"/>
              <w:rPr>
                <w:color w:val="FF0000"/>
                <w:lang w:eastAsia="en-AU"/>
              </w:rPr>
            </w:pPr>
            <w:r w:rsidRPr="003636FF">
              <w:rPr>
                <w:color w:val="FF0000"/>
                <w:lang w:eastAsia="en-AU"/>
              </w:rPr>
              <w:t>0</w:t>
            </w:r>
          </w:p>
        </w:tc>
        <w:tc>
          <w:tcPr>
            <w:tcW w:w="3118" w:type="dxa"/>
            <w:shd w:val="clear" w:color="auto" w:fill="auto"/>
            <w:tcMar>
              <w:top w:w="57" w:type="dxa"/>
              <w:left w:w="75" w:type="dxa"/>
              <w:bottom w:w="45" w:type="dxa"/>
              <w:right w:w="170" w:type="dxa"/>
            </w:tcMar>
          </w:tcPr>
          <w:p w14:paraId="5CD8379A" w14:textId="5AE43BE9" w:rsidR="00685E34" w:rsidRPr="003636FF" w:rsidRDefault="00A835AC" w:rsidP="00494230">
            <w:pPr>
              <w:spacing w:before="60" w:after="60" w:line="240" w:lineRule="auto"/>
              <w:jc w:val="center"/>
              <w:rPr>
                <w:color w:val="FF0000"/>
                <w:lang w:eastAsia="en-AU"/>
              </w:rPr>
            </w:pPr>
            <w:r w:rsidRPr="003636FF">
              <w:rPr>
                <w:color w:val="FF0000"/>
                <w:lang w:eastAsia="en-AU"/>
              </w:rPr>
              <w:t>0</w:t>
            </w:r>
          </w:p>
        </w:tc>
      </w:tr>
    </w:tbl>
    <w:p w14:paraId="21458A2E" w14:textId="21291588" w:rsidR="00180AC2" w:rsidRPr="00180AC2" w:rsidRDefault="00123406" w:rsidP="00494230">
      <w:pPr>
        <w:pStyle w:val="List"/>
        <w:spacing w:after="180" w:line="264" w:lineRule="auto"/>
        <w:ind w:left="0" w:firstLine="0"/>
        <w:contextualSpacing w:val="0"/>
        <w:rPr>
          <w:rFonts w:cs="Arial"/>
          <w:i/>
          <w:color w:val="FF0000"/>
          <w:sz w:val="16"/>
          <w:szCs w:val="16"/>
          <w:lang w:val="en"/>
        </w:rPr>
      </w:pPr>
      <w:r w:rsidRPr="00180AC2">
        <w:rPr>
          <w:rFonts w:cs="Arial"/>
          <w:i/>
          <w:color w:val="FF0000"/>
          <w:sz w:val="16"/>
          <w:szCs w:val="16"/>
          <w:lang w:val="en"/>
        </w:rPr>
        <w:t>*Although New Zealand reported 27 cases this week, the total only increased by 26 because one previously reported histor</w:t>
      </w:r>
      <w:r w:rsidR="00180AC2" w:rsidRPr="00180AC2">
        <w:rPr>
          <w:rFonts w:cs="Arial"/>
          <w:i/>
          <w:color w:val="FF0000"/>
          <w:sz w:val="16"/>
          <w:szCs w:val="16"/>
          <w:lang w:val="en"/>
        </w:rPr>
        <w:t>ical case has been removed from case counts due to being reported and counted as a case in another country.</w:t>
      </w:r>
    </w:p>
    <w:tbl>
      <w:tblPr>
        <w:tblStyle w:val="TableGrid"/>
        <w:tblW w:w="0" w:type="auto"/>
        <w:tblCellMar>
          <w:top w:w="57" w:type="dxa"/>
        </w:tblCellMar>
        <w:tblLook w:val="04A0" w:firstRow="1" w:lastRow="0" w:firstColumn="1" w:lastColumn="0" w:noHBand="0" w:noVBand="1"/>
        <w:tblDescription w:val="Source of acquisition of cases in New Zealance for the week up to 4 November 2020."/>
      </w:tblPr>
      <w:tblGrid>
        <w:gridCol w:w="3964"/>
        <w:gridCol w:w="5245"/>
      </w:tblGrid>
      <w:tr w:rsidR="002F5E02" w:rsidRPr="002F5E02" w14:paraId="0813BFCA" w14:textId="77777777" w:rsidTr="009051AB">
        <w:trPr>
          <w:tblHeader/>
        </w:trPr>
        <w:tc>
          <w:tcPr>
            <w:tcW w:w="9209" w:type="dxa"/>
            <w:gridSpan w:val="2"/>
            <w:shd w:val="clear" w:color="auto" w:fill="DBE5F1" w:themeFill="accent1" w:themeFillTint="33"/>
          </w:tcPr>
          <w:p w14:paraId="791725D8" w14:textId="7CE998EA" w:rsidR="00B211B6" w:rsidRPr="00390B4D" w:rsidRDefault="00B211B6" w:rsidP="00494230">
            <w:pPr>
              <w:spacing w:before="60" w:after="60" w:line="22" w:lineRule="atLeast"/>
              <w:jc w:val="center"/>
              <w:rPr>
                <w:rStyle w:val="Strong"/>
                <w:color w:val="FF0000"/>
              </w:rPr>
            </w:pPr>
            <w:r w:rsidRPr="002063C3">
              <w:rPr>
                <w:rStyle w:val="Strong"/>
                <w:color w:val="auto"/>
              </w:rPr>
              <w:t>Source of acquisition of cases</w:t>
            </w:r>
            <w:r w:rsidR="009E7164">
              <w:rPr>
                <w:rStyle w:val="Strong"/>
                <w:color w:val="auto"/>
              </w:rPr>
              <w:t>*</w:t>
            </w:r>
            <w:r w:rsidRPr="002063C3">
              <w:rPr>
                <w:rStyle w:val="Strong"/>
                <w:color w:val="auto"/>
              </w:rPr>
              <w:t xml:space="preserve"> for the </w:t>
            </w:r>
            <w:r w:rsidR="001846B8" w:rsidRPr="002063C3">
              <w:rPr>
                <w:rStyle w:val="Strong"/>
                <w:color w:val="auto"/>
              </w:rPr>
              <w:t>7</w:t>
            </w:r>
            <w:r w:rsidRPr="002063C3">
              <w:rPr>
                <w:rStyle w:val="Strong"/>
                <w:color w:val="auto"/>
              </w:rPr>
              <w:t xml:space="preserve"> days </w:t>
            </w:r>
            <w:r w:rsidRPr="003F25FE">
              <w:rPr>
                <w:rStyle w:val="Strong"/>
                <w:color w:val="auto"/>
              </w:rPr>
              <w:t>to</w:t>
            </w:r>
            <w:r w:rsidRPr="00390B4D">
              <w:rPr>
                <w:rStyle w:val="Strong"/>
                <w:color w:val="FF0000"/>
              </w:rPr>
              <w:t xml:space="preserve"> </w:t>
            </w:r>
            <w:r w:rsidR="00531A70">
              <w:rPr>
                <w:rStyle w:val="Strong"/>
                <w:color w:val="FF0000"/>
              </w:rPr>
              <w:t>10</w:t>
            </w:r>
            <w:r w:rsidR="002D655D">
              <w:rPr>
                <w:rStyle w:val="Strong"/>
                <w:color w:val="FF0000"/>
              </w:rPr>
              <w:t xml:space="preserve"> March</w:t>
            </w:r>
            <w:r w:rsidR="00A1790B" w:rsidRPr="00390B4D">
              <w:rPr>
                <w:rStyle w:val="Strong"/>
                <w:color w:val="FF0000"/>
              </w:rPr>
              <w:t xml:space="preserve"> 2021</w:t>
            </w:r>
          </w:p>
        </w:tc>
      </w:tr>
      <w:tr w:rsidR="002F5E02" w:rsidRPr="002F5E02" w14:paraId="66A6A903" w14:textId="77777777" w:rsidTr="00D811E6">
        <w:tc>
          <w:tcPr>
            <w:tcW w:w="3964" w:type="dxa"/>
          </w:tcPr>
          <w:p w14:paraId="78B166A5" w14:textId="2AB48A83" w:rsidR="008112D6" w:rsidRPr="002F5E02" w:rsidRDefault="008112D6" w:rsidP="00494230">
            <w:pPr>
              <w:spacing w:before="60" w:after="60" w:line="22" w:lineRule="atLeast"/>
              <w:rPr>
                <w:rStyle w:val="Strong"/>
                <w:color w:val="auto"/>
              </w:rPr>
            </w:pPr>
            <w:r w:rsidRPr="002F5E02">
              <w:rPr>
                <w:rStyle w:val="Strong"/>
                <w:color w:val="auto"/>
              </w:rPr>
              <w:t>Overseas acquired/associated</w:t>
            </w:r>
          </w:p>
        </w:tc>
        <w:tc>
          <w:tcPr>
            <w:tcW w:w="5245" w:type="dxa"/>
            <w:vAlign w:val="center"/>
          </w:tcPr>
          <w:p w14:paraId="48BBC5F8" w14:textId="2AAD5887" w:rsidR="008112D6" w:rsidRPr="00D35673" w:rsidRDefault="00123406" w:rsidP="00494230">
            <w:pPr>
              <w:spacing w:before="60" w:after="60" w:line="22" w:lineRule="atLeast"/>
              <w:jc w:val="center"/>
              <w:rPr>
                <w:color w:val="FF0000"/>
              </w:rPr>
            </w:pPr>
            <w:r>
              <w:rPr>
                <w:color w:val="FF0000"/>
              </w:rPr>
              <w:t>27</w:t>
            </w:r>
          </w:p>
        </w:tc>
      </w:tr>
      <w:tr w:rsidR="002F5E02" w:rsidRPr="002F5E02" w14:paraId="64A9D29C" w14:textId="77777777" w:rsidTr="00D811E6">
        <w:tc>
          <w:tcPr>
            <w:tcW w:w="3964" w:type="dxa"/>
          </w:tcPr>
          <w:p w14:paraId="22AEC3D7" w14:textId="77777777" w:rsidR="008112D6" w:rsidRPr="002F5E02" w:rsidRDefault="008112D6" w:rsidP="00494230">
            <w:pPr>
              <w:spacing w:before="60" w:after="60" w:line="22" w:lineRule="atLeast"/>
              <w:rPr>
                <w:rStyle w:val="Strong"/>
                <w:color w:val="auto"/>
              </w:rPr>
            </w:pPr>
            <w:r w:rsidRPr="002F5E02">
              <w:rPr>
                <w:rStyle w:val="Strong"/>
                <w:color w:val="auto"/>
              </w:rPr>
              <w:t>Locally acquired</w:t>
            </w:r>
          </w:p>
        </w:tc>
        <w:tc>
          <w:tcPr>
            <w:tcW w:w="5245" w:type="dxa"/>
            <w:vAlign w:val="center"/>
          </w:tcPr>
          <w:p w14:paraId="259BCA3A" w14:textId="4558172E" w:rsidR="008112D6" w:rsidRPr="00D35673" w:rsidRDefault="007B0669" w:rsidP="00494230">
            <w:pPr>
              <w:spacing w:before="60" w:after="60" w:line="22" w:lineRule="atLeast"/>
              <w:jc w:val="center"/>
              <w:rPr>
                <w:color w:val="FF0000"/>
              </w:rPr>
            </w:pPr>
            <w:r>
              <w:rPr>
                <w:color w:val="FF0000"/>
              </w:rPr>
              <w:t>0</w:t>
            </w:r>
          </w:p>
        </w:tc>
      </w:tr>
    </w:tbl>
    <w:p w14:paraId="77E9CDBC" w14:textId="5E912053" w:rsidR="00A835AC" w:rsidRPr="00180AC2" w:rsidRDefault="00B211B6" w:rsidP="00494230">
      <w:pPr>
        <w:spacing w:after="0" w:line="264" w:lineRule="auto"/>
        <w:rPr>
          <w:i/>
          <w:color w:val="auto"/>
          <w:sz w:val="16"/>
          <w:szCs w:val="18"/>
        </w:rPr>
      </w:pPr>
      <w:r w:rsidRPr="002F5E02">
        <w:rPr>
          <w:i/>
          <w:color w:val="auto"/>
          <w:sz w:val="16"/>
          <w:szCs w:val="18"/>
        </w:rPr>
        <w:t>*</w:t>
      </w:r>
      <w:r w:rsidR="009E7164" w:rsidRPr="009E7164">
        <w:rPr>
          <w:i/>
          <w:color w:val="auto"/>
          <w:sz w:val="16"/>
          <w:szCs w:val="18"/>
        </w:rPr>
        <w:t xml:space="preserve"> </w:t>
      </w:r>
      <w:r w:rsidR="009E7164">
        <w:rPr>
          <w:i/>
          <w:color w:val="auto"/>
          <w:sz w:val="16"/>
          <w:szCs w:val="18"/>
        </w:rPr>
        <w:t>New Zealand categorises overseas acquired/associated c</w:t>
      </w:r>
      <w:r w:rsidR="009E7164" w:rsidRPr="002F5E02">
        <w:rPr>
          <w:i/>
          <w:color w:val="auto"/>
          <w:sz w:val="16"/>
          <w:szCs w:val="18"/>
        </w:rPr>
        <w:t xml:space="preserve">ases </w:t>
      </w:r>
      <w:r w:rsidR="009E7164">
        <w:rPr>
          <w:i/>
          <w:color w:val="auto"/>
          <w:sz w:val="16"/>
          <w:szCs w:val="18"/>
        </w:rPr>
        <w:t xml:space="preserve">(including those </w:t>
      </w:r>
      <w:r w:rsidR="009E7164" w:rsidRPr="002F5E02">
        <w:rPr>
          <w:i/>
          <w:color w:val="auto"/>
          <w:sz w:val="16"/>
          <w:szCs w:val="18"/>
        </w:rPr>
        <w:t>in managed isolation in New Zealand</w:t>
      </w:r>
      <w:r w:rsidR="009E7164">
        <w:rPr>
          <w:i/>
          <w:color w:val="auto"/>
          <w:sz w:val="16"/>
          <w:szCs w:val="18"/>
        </w:rPr>
        <w:t>)</w:t>
      </w:r>
      <w:r w:rsidR="009E7164" w:rsidRPr="002F5E02">
        <w:rPr>
          <w:i/>
          <w:color w:val="auto"/>
          <w:sz w:val="16"/>
          <w:szCs w:val="18"/>
        </w:rPr>
        <w:t xml:space="preserve"> </w:t>
      </w:r>
      <w:r w:rsidR="009E7164">
        <w:rPr>
          <w:i/>
          <w:color w:val="auto"/>
          <w:sz w:val="16"/>
          <w:szCs w:val="18"/>
        </w:rPr>
        <w:t>as ‘at the border’; New Zealand categorises locally acquired cases as ‘in the community’.</w:t>
      </w:r>
    </w:p>
    <w:p w14:paraId="00792D7B" w14:textId="3F9ECBFD" w:rsidR="00B211B6" w:rsidRPr="002F5E02" w:rsidRDefault="00B211B6" w:rsidP="00494230">
      <w:pPr>
        <w:pStyle w:val="Heading1"/>
        <w:spacing w:before="180" w:line="264" w:lineRule="auto"/>
        <w:contextualSpacing w:val="0"/>
        <w:rPr>
          <w:color w:val="auto"/>
        </w:rPr>
      </w:pPr>
      <w:r w:rsidRPr="002F5E02">
        <w:rPr>
          <w:color w:val="auto"/>
        </w:rPr>
        <w:t xml:space="preserve">New Zealand </w:t>
      </w:r>
      <w:r w:rsidR="00A24237" w:rsidRPr="002F5E02">
        <w:rPr>
          <w:color w:val="auto"/>
        </w:rPr>
        <w:t>q</w:t>
      </w:r>
      <w:r w:rsidRPr="002F5E02">
        <w:rPr>
          <w:color w:val="auto"/>
        </w:rPr>
        <w:t xml:space="preserve">uarantine-free travel </w:t>
      </w:r>
      <w:r w:rsidR="00A24237" w:rsidRPr="002F5E02">
        <w:rPr>
          <w:color w:val="auto"/>
        </w:rPr>
        <w:t>c</w:t>
      </w:r>
      <w:r w:rsidRPr="002F5E02">
        <w:rPr>
          <w:color w:val="auto"/>
        </w:rPr>
        <w:t>riteria</w:t>
      </w:r>
    </w:p>
    <w:p w14:paraId="44287EBB" w14:textId="77777777" w:rsidR="00214AD8" w:rsidRDefault="00214AD8" w:rsidP="00214AD8">
      <w:pPr>
        <w:pStyle w:val="s4"/>
        <w:numPr>
          <w:ilvl w:val="0"/>
          <w:numId w:val="23"/>
        </w:numPr>
        <w:spacing w:before="40" w:beforeAutospacing="0" w:after="40" w:afterAutospacing="0" w:line="264" w:lineRule="auto"/>
        <w:rPr>
          <w:rFonts w:ascii="Arial" w:eastAsia="Times New Roman" w:hAnsi="Arial" w:cs="Arial"/>
          <w:color w:val="FF0000"/>
        </w:rPr>
      </w:pPr>
      <w:r w:rsidRPr="00214AD8">
        <w:rPr>
          <w:rFonts w:ascii="Arial" w:eastAsia="Times New Roman" w:hAnsi="Arial" w:cs="Arial"/>
          <w:color w:val="FF0000"/>
        </w:rPr>
        <w:t>Between</w:t>
      </w:r>
      <w:r w:rsidRPr="004F10E5">
        <w:rPr>
          <w:rFonts w:ascii="Arial" w:eastAsia="Times New Roman" w:hAnsi="Arial" w:cs="Arial"/>
          <w:color w:val="FF0000"/>
        </w:rPr>
        <w:t xml:space="preserve"> 13 February </w:t>
      </w:r>
      <w:r>
        <w:rPr>
          <w:rFonts w:ascii="Arial" w:eastAsia="Times New Roman" w:hAnsi="Arial" w:cs="Arial"/>
          <w:color w:val="FF0000"/>
        </w:rPr>
        <w:t>and</w:t>
      </w:r>
      <w:r w:rsidRPr="004F10E5">
        <w:rPr>
          <w:rFonts w:ascii="Arial" w:eastAsia="Times New Roman" w:hAnsi="Arial" w:cs="Arial"/>
          <w:color w:val="FF0000"/>
        </w:rPr>
        <w:t xml:space="preserve"> 1 March 2021, the New Zealand Ministry of Health reported 15 cases of COVID-19 in one cluster</w:t>
      </w:r>
      <w:r>
        <w:rPr>
          <w:rFonts w:ascii="Arial" w:eastAsia="Times New Roman" w:hAnsi="Arial" w:cs="Arial"/>
          <w:color w:val="FF0000"/>
        </w:rPr>
        <w:t xml:space="preserve"> (the “Auckland February Cluster”)</w:t>
      </w:r>
      <w:r w:rsidRPr="004F10E5">
        <w:rPr>
          <w:rFonts w:ascii="Arial" w:eastAsia="Times New Roman" w:hAnsi="Arial" w:cs="Arial"/>
          <w:color w:val="FF0000"/>
        </w:rPr>
        <w:t xml:space="preserve"> linked to the Papatoetoe High School in South Auckland. All cases were infected with the UK variant B.1.1.7. </w:t>
      </w:r>
    </w:p>
    <w:p w14:paraId="0DC3EADC" w14:textId="0F2A38AC" w:rsidR="00214AD8" w:rsidRDefault="00214AD8" w:rsidP="00214AD8">
      <w:pPr>
        <w:pStyle w:val="s4"/>
        <w:numPr>
          <w:ilvl w:val="1"/>
          <w:numId w:val="23"/>
        </w:numPr>
        <w:spacing w:before="40" w:beforeAutospacing="0" w:after="40" w:afterAutospacing="0" w:line="264" w:lineRule="auto"/>
        <w:rPr>
          <w:rFonts w:ascii="Arial" w:eastAsia="Times New Roman" w:hAnsi="Arial" w:cs="Arial"/>
          <w:color w:val="FF0000"/>
        </w:rPr>
      </w:pPr>
      <w:r w:rsidRPr="00214AD8">
        <w:rPr>
          <w:rFonts w:ascii="Arial" w:eastAsia="Times New Roman" w:hAnsi="Arial" w:cs="Arial"/>
          <w:color w:val="FF0000"/>
        </w:rPr>
        <w:t xml:space="preserve">Minimal risk remains from this cluster. Thirteen of the cases have now recovered from their infection and have been released from quarantine, while two active cases remain in an Auckland quarantine facility. The majority of close and casual plus contacts have undergone </w:t>
      </w:r>
      <w:r w:rsidRPr="00214AD8">
        <w:rPr>
          <w:rFonts w:ascii="Arial" w:eastAsia="Times New Roman" w:hAnsi="Arial" w:cs="Arial"/>
          <w:color w:val="FF0000"/>
        </w:rPr>
        <w:lastRenderedPageBreak/>
        <w:t>testing, with 99 per cent of close contacts having received one test and 96 per cent of close contacts having received their Day 12 test.</w:t>
      </w:r>
    </w:p>
    <w:p w14:paraId="61CCE571" w14:textId="6A551465" w:rsidR="007B0669" w:rsidRPr="00214AD8" w:rsidRDefault="007B0669" w:rsidP="00214AD8">
      <w:pPr>
        <w:pStyle w:val="s4"/>
        <w:numPr>
          <w:ilvl w:val="1"/>
          <w:numId w:val="23"/>
        </w:numPr>
        <w:spacing w:before="40" w:beforeAutospacing="0" w:after="40" w:afterAutospacing="0" w:line="264" w:lineRule="auto"/>
        <w:rPr>
          <w:rFonts w:ascii="Arial" w:eastAsia="Times New Roman" w:hAnsi="Arial" w:cs="Arial"/>
          <w:color w:val="FF0000"/>
        </w:rPr>
      </w:pPr>
      <w:r>
        <w:rPr>
          <w:rFonts w:ascii="Arial" w:eastAsia="Times New Roman" w:hAnsi="Arial" w:cs="Arial"/>
          <w:color w:val="FF0000"/>
        </w:rPr>
        <w:t>Widespread community testing has been conducted with no further cases reported.</w:t>
      </w:r>
    </w:p>
    <w:p w14:paraId="1B27F146" w14:textId="77777777" w:rsidR="00214AD8" w:rsidRPr="00214AD8" w:rsidRDefault="00214AD8" w:rsidP="00214AD8">
      <w:pPr>
        <w:pStyle w:val="s4"/>
        <w:numPr>
          <w:ilvl w:val="0"/>
          <w:numId w:val="23"/>
        </w:numPr>
        <w:spacing w:before="40" w:beforeAutospacing="0" w:after="40" w:afterAutospacing="0" w:line="264" w:lineRule="auto"/>
        <w:rPr>
          <w:rFonts w:ascii="Arial" w:hAnsi="Arial" w:cs="Arial"/>
        </w:rPr>
      </w:pPr>
      <w:r w:rsidRPr="00214AD8">
        <w:rPr>
          <w:rFonts w:ascii="Arial" w:hAnsi="Arial" w:cs="Arial"/>
          <w:color w:val="FF0000"/>
        </w:rPr>
        <w:t xml:space="preserve">On 7 March 2021, New Zealand reported that an Air New Zealand crew member returned a positive test during routine testing. </w:t>
      </w:r>
    </w:p>
    <w:p w14:paraId="49BE3E55" w14:textId="39F8B897" w:rsidR="00214AD8" w:rsidRPr="00214AD8" w:rsidRDefault="00214AD8" w:rsidP="00214AD8">
      <w:pPr>
        <w:pStyle w:val="s4"/>
        <w:numPr>
          <w:ilvl w:val="1"/>
          <w:numId w:val="23"/>
        </w:numPr>
        <w:spacing w:before="40" w:beforeAutospacing="0" w:after="40" w:afterAutospacing="0" w:line="264" w:lineRule="auto"/>
        <w:rPr>
          <w:rFonts w:ascii="Arial" w:hAnsi="Arial" w:cs="Arial"/>
        </w:rPr>
      </w:pPr>
      <w:r w:rsidRPr="00214AD8">
        <w:rPr>
          <w:rFonts w:ascii="Arial" w:hAnsi="Arial" w:cs="Arial"/>
          <w:color w:val="FF0000"/>
        </w:rPr>
        <w:t>They are believed to have acquired the infection while in Japan; the crew member returned from Japan on 28 February 2021. The case is infected with the Russian variant B.1.1.317, which is not considered a variant of concern – and confirms that this case is not related to the Auckland February Cluster.</w:t>
      </w:r>
      <w:r w:rsidRPr="00214AD8">
        <w:rPr>
          <w:rFonts w:ascii="Arial" w:hAnsi="Arial" w:cs="Arial"/>
        </w:rPr>
        <w:t xml:space="preserve"> </w:t>
      </w:r>
    </w:p>
    <w:p w14:paraId="226A14ED" w14:textId="003395D2" w:rsidR="00214AD8" w:rsidRPr="007B0669" w:rsidRDefault="00214AD8" w:rsidP="00214AD8">
      <w:pPr>
        <w:pStyle w:val="s4"/>
        <w:numPr>
          <w:ilvl w:val="1"/>
          <w:numId w:val="23"/>
        </w:numPr>
        <w:spacing w:before="40" w:beforeAutospacing="0" w:after="40" w:afterAutospacing="0" w:line="264" w:lineRule="auto"/>
        <w:rPr>
          <w:rFonts w:ascii="Arial" w:hAnsi="Arial" w:cs="Arial"/>
        </w:rPr>
      </w:pPr>
      <w:r w:rsidRPr="00214AD8">
        <w:rPr>
          <w:rFonts w:ascii="Arial" w:hAnsi="Arial" w:cs="Arial"/>
          <w:color w:val="FF0000"/>
        </w:rPr>
        <w:t>Other</w:t>
      </w:r>
      <w:r w:rsidRPr="00214AD8">
        <w:rPr>
          <w:rFonts w:ascii="Arial" w:hAnsi="Arial" w:cs="Arial"/>
        </w:rPr>
        <w:t xml:space="preserve"> </w:t>
      </w:r>
      <w:r w:rsidRPr="00214AD8">
        <w:rPr>
          <w:rFonts w:ascii="Arial" w:hAnsi="Arial" w:cs="Arial"/>
          <w:color w:val="FF0000"/>
        </w:rPr>
        <w:t xml:space="preserve">crew members, and the case’s household members, have so far returned negative results.  </w:t>
      </w:r>
    </w:p>
    <w:p w14:paraId="56073B9B" w14:textId="06FF48D5" w:rsidR="007B0669" w:rsidRPr="00214AD8" w:rsidRDefault="007B0669" w:rsidP="00214AD8">
      <w:pPr>
        <w:pStyle w:val="s4"/>
        <w:numPr>
          <w:ilvl w:val="1"/>
          <w:numId w:val="23"/>
        </w:numPr>
        <w:spacing w:before="40" w:beforeAutospacing="0" w:after="40" w:afterAutospacing="0" w:line="264" w:lineRule="auto"/>
        <w:rPr>
          <w:rFonts w:ascii="Arial" w:hAnsi="Arial" w:cs="Arial"/>
        </w:rPr>
      </w:pPr>
      <w:r>
        <w:rPr>
          <w:rFonts w:ascii="Arial" w:hAnsi="Arial" w:cs="Arial"/>
          <w:color w:val="FF0000"/>
        </w:rPr>
        <w:t>There are two locations of interest associated with the case.</w:t>
      </w:r>
    </w:p>
    <w:p w14:paraId="5AB19DF7" w14:textId="77777777" w:rsidR="00214AD8" w:rsidRPr="00214AD8" w:rsidRDefault="00214AD8" w:rsidP="00214AD8">
      <w:pPr>
        <w:pStyle w:val="s4"/>
        <w:numPr>
          <w:ilvl w:val="1"/>
          <w:numId w:val="23"/>
        </w:numPr>
        <w:spacing w:before="40" w:beforeAutospacing="0" w:after="40" w:afterAutospacing="0" w:line="264" w:lineRule="auto"/>
        <w:rPr>
          <w:rFonts w:ascii="Arial" w:hAnsi="Arial" w:cs="Arial"/>
        </w:rPr>
      </w:pPr>
      <w:r w:rsidRPr="00214AD8">
        <w:rPr>
          <w:rFonts w:ascii="Arial" w:hAnsi="Arial" w:cs="Arial"/>
          <w:color w:val="FF0000"/>
        </w:rPr>
        <w:t xml:space="preserve">New Zealand authorities have assessed that there is a low risk of further spread because the case isolated at home in Auckland from 28 February 2021 complying with Alert Level 3 requirements at that time, and was moved to a managed quarantine facility following return of a positive result on 7 March 2021. </w:t>
      </w:r>
    </w:p>
    <w:p w14:paraId="6B05ECB6" w14:textId="77777777" w:rsidR="00214AD8" w:rsidRPr="00214AD8" w:rsidRDefault="00214AD8" w:rsidP="00214AD8">
      <w:pPr>
        <w:pStyle w:val="s4"/>
        <w:numPr>
          <w:ilvl w:val="0"/>
          <w:numId w:val="23"/>
        </w:numPr>
        <w:spacing w:before="40" w:beforeAutospacing="0" w:after="40" w:afterAutospacing="0" w:line="264" w:lineRule="auto"/>
        <w:rPr>
          <w:rFonts w:ascii="Arial" w:hAnsi="Arial" w:cs="Arial"/>
        </w:rPr>
      </w:pPr>
      <w:r w:rsidRPr="00214AD8">
        <w:rPr>
          <w:rFonts w:ascii="Arial" w:hAnsi="Arial" w:cs="Arial"/>
          <w:color w:val="FF0000"/>
        </w:rPr>
        <w:t xml:space="preserve">At 06:00 NZDT 7 March 2021, Auckland moved to Alert Level 2, and the remainder of New Zealand to Alert Level 1.  </w:t>
      </w:r>
    </w:p>
    <w:p w14:paraId="03FD0784" w14:textId="01BE7ECF" w:rsidR="006850C5" w:rsidRPr="00976309" w:rsidRDefault="00033906" w:rsidP="00494230">
      <w:pPr>
        <w:pStyle w:val="List"/>
        <w:spacing w:before="120" w:after="120" w:line="264" w:lineRule="auto"/>
        <w:ind w:left="357" w:firstLine="0"/>
        <w:contextualSpacing w:val="0"/>
        <w:rPr>
          <w:b/>
          <w:color w:val="auto"/>
        </w:rPr>
      </w:pPr>
      <w:r>
        <w:rPr>
          <w:b/>
          <w:color w:val="auto"/>
        </w:rPr>
        <w:lastRenderedPageBreak/>
        <w:t>Advice for</w:t>
      </w:r>
      <w:r w:rsidR="006850C5" w:rsidRPr="00976309">
        <w:rPr>
          <w:b/>
          <w:color w:val="auto"/>
        </w:rPr>
        <w:t xml:space="preserve"> green zone flights from New Zealand</w:t>
      </w:r>
    </w:p>
    <w:p w14:paraId="1008D0B8" w14:textId="4BB37278" w:rsidR="00D36311" w:rsidRPr="00452299" w:rsidRDefault="00033906" w:rsidP="00494230">
      <w:pPr>
        <w:pStyle w:val="s4"/>
        <w:numPr>
          <w:ilvl w:val="0"/>
          <w:numId w:val="23"/>
        </w:numPr>
        <w:spacing w:before="40" w:beforeAutospacing="0" w:after="40" w:afterAutospacing="0" w:line="264" w:lineRule="auto"/>
        <w:rPr>
          <w:rFonts w:ascii="Arial" w:eastAsia="Times New Roman" w:hAnsi="Arial" w:cs="Arial"/>
          <w:color w:val="FF0000"/>
        </w:rPr>
      </w:pPr>
      <w:r w:rsidRPr="00452299">
        <w:rPr>
          <w:rFonts w:ascii="Arial" w:eastAsia="Times New Roman" w:hAnsi="Arial" w:cs="Arial"/>
          <w:color w:val="FF0000"/>
        </w:rPr>
        <w:t xml:space="preserve">On </w:t>
      </w:r>
      <w:r w:rsidR="00531A70" w:rsidRPr="00452299">
        <w:rPr>
          <w:rFonts w:ascii="Arial" w:eastAsia="Times New Roman" w:hAnsi="Arial" w:cs="Arial"/>
          <w:color w:val="FF0000"/>
        </w:rPr>
        <w:t>9 March</w:t>
      </w:r>
      <w:r w:rsidRPr="00452299">
        <w:rPr>
          <w:rFonts w:ascii="Arial" w:eastAsia="Times New Roman" w:hAnsi="Arial" w:cs="Arial"/>
          <w:color w:val="FF0000"/>
        </w:rPr>
        <w:t xml:space="preserve"> 2021, </w:t>
      </w:r>
      <w:r w:rsidR="00180AC2" w:rsidRPr="00180AC2">
        <w:rPr>
          <w:rFonts w:ascii="Arial" w:eastAsia="Times New Roman" w:hAnsi="Arial" w:cs="Arial"/>
          <w:color w:val="FF0000"/>
        </w:rPr>
        <w:t>the Chief Medical Officer determined that the Auckland hotspot should be lifted, and that Green Zone flights from New Ze</w:t>
      </w:r>
      <w:r w:rsidR="00081BA5">
        <w:rPr>
          <w:rFonts w:ascii="Arial" w:eastAsia="Times New Roman" w:hAnsi="Arial" w:cs="Arial"/>
          <w:color w:val="FF0000"/>
        </w:rPr>
        <w:t>aland to Australia can resume from 11:59 pm AEDT on</w:t>
      </w:r>
      <w:r w:rsidR="00180AC2" w:rsidRPr="00180AC2">
        <w:rPr>
          <w:rFonts w:ascii="Arial" w:eastAsia="Times New Roman" w:hAnsi="Arial" w:cs="Arial"/>
          <w:color w:val="FF0000"/>
        </w:rPr>
        <w:t xml:space="preserve"> Thursday 11 March 2021.</w:t>
      </w:r>
    </w:p>
    <w:p w14:paraId="7EC86EAC" w14:textId="3CEDF2A3" w:rsidR="009D6DEB" w:rsidRPr="00180AC2" w:rsidRDefault="00033906" w:rsidP="00494230">
      <w:pPr>
        <w:pStyle w:val="s4"/>
        <w:numPr>
          <w:ilvl w:val="0"/>
          <w:numId w:val="23"/>
        </w:numPr>
        <w:spacing w:before="40" w:beforeAutospacing="0" w:after="40" w:afterAutospacing="0" w:line="264" w:lineRule="auto"/>
        <w:rPr>
          <w:rFonts w:ascii="Arial" w:eastAsia="Times New Roman" w:hAnsi="Arial" w:cs="Arial"/>
        </w:rPr>
      </w:pPr>
      <w:r w:rsidRPr="002D655D">
        <w:rPr>
          <w:rFonts w:ascii="Arial" w:eastAsia="Times New Roman" w:hAnsi="Arial" w:cs="Arial"/>
        </w:rPr>
        <w:t>Note: some jurisdictions have implemented arrangements wh</w:t>
      </w:r>
      <w:r w:rsidR="00123406">
        <w:rPr>
          <w:rFonts w:ascii="Arial" w:eastAsia="Times New Roman" w:hAnsi="Arial" w:cs="Arial"/>
        </w:rPr>
        <w:t>ich differ to those above. All t</w:t>
      </w:r>
      <w:r w:rsidRPr="002D655D">
        <w:rPr>
          <w:rFonts w:ascii="Arial" w:eastAsia="Times New Roman" w:hAnsi="Arial" w:cs="Arial"/>
        </w:rPr>
        <w:t xml:space="preserve">ravellers </w:t>
      </w:r>
      <w:r w:rsidR="00F86AE1">
        <w:rPr>
          <w:rFonts w:ascii="Arial" w:eastAsia="Times New Roman" w:hAnsi="Arial" w:cs="Arial"/>
        </w:rPr>
        <w:t xml:space="preserve">are advised to </w:t>
      </w:r>
      <w:r w:rsidRPr="002D655D">
        <w:rPr>
          <w:rFonts w:ascii="Arial" w:eastAsia="Times New Roman" w:hAnsi="Arial" w:cs="Arial"/>
        </w:rPr>
        <w:t>check the arrangements in both their place of arrival and place of final destination.</w:t>
      </w:r>
    </w:p>
    <w:p w14:paraId="6AAEFC1D" w14:textId="77777777" w:rsidR="00214AD8" w:rsidRDefault="00214AD8" w:rsidP="00494230">
      <w:pPr>
        <w:pStyle w:val="Heading1"/>
        <w:spacing w:before="180" w:line="22" w:lineRule="atLeast"/>
        <w:contextualSpacing w:val="0"/>
        <w:rPr>
          <w:color w:val="auto"/>
        </w:rPr>
      </w:pPr>
    </w:p>
    <w:p w14:paraId="0BCA2966" w14:textId="77777777" w:rsidR="00214AD8" w:rsidRDefault="00214AD8" w:rsidP="00494230">
      <w:pPr>
        <w:pStyle w:val="Heading1"/>
        <w:spacing w:before="180" w:line="22" w:lineRule="atLeast"/>
        <w:contextualSpacing w:val="0"/>
        <w:rPr>
          <w:color w:val="auto"/>
        </w:rPr>
      </w:pPr>
    </w:p>
    <w:p w14:paraId="0A3221D0" w14:textId="77777777" w:rsidR="00214AD8" w:rsidRDefault="00214AD8" w:rsidP="00494230">
      <w:pPr>
        <w:pStyle w:val="Heading1"/>
        <w:spacing w:before="180" w:line="22" w:lineRule="atLeast"/>
        <w:contextualSpacing w:val="0"/>
        <w:rPr>
          <w:color w:val="auto"/>
        </w:rPr>
      </w:pPr>
    </w:p>
    <w:p w14:paraId="49301CB8" w14:textId="77777777" w:rsidR="00214AD8" w:rsidRDefault="00214AD8" w:rsidP="00494230">
      <w:pPr>
        <w:pStyle w:val="Heading1"/>
        <w:spacing w:before="180" w:line="22" w:lineRule="atLeast"/>
        <w:contextualSpacing w:val="0"/>
        <w:rPr>
          <w:color w:val="auto"/>
        </w:rPr>
      </w:pPr>
    </w:p>
    <w:p w14:paraId="39640DCD" w14:textId="77777777" w:rsidR="00214AD8" w:rsidRDefault="00214AD8" w:rsidP="00494230">
      <w:pPr>
        <w:pStyle w:val="Heading1"/>
        <w:spacing w:before="180" w:line="22" w:lineRule="atLeast"/>
        <w:contextualSpacing w:val="0"/>
        <w:rPr>
          <w:color w:val="auto"/>
        </w:rPr>
      </w:pPr>
    </w:p>
    <w:p w14:paraId="6713A487" w14:textId="77777777" w:rsidR="00214AD8" w:rsidRDefault="00214AD8" w:rsidP="00494230">
      <w:pPr>
        <w:pStyle w:val="Heading1"/>
        <w:spacing w:before="180" w:line="22" w:lineRule="atLeast"/>
        <w:contextualSpacing w:val="0"/>
        <w:rPr>
          <w:color w:val="auto"/>
        </w:rPr>
      </w:pPr>
    </w:p>
    <w:p w14:paraId="34FAD048" w14:textId="77777777" w:rsidR="00214AD8" w:rsidRDefault="00214AD8" w:rsidP="00494230">
      <w:pPr>
        <w:pStyle w:val="Heading1"/>
        <w:spacing w:before="180" w:line="22" w:lineRule="atLeast"/>
        <w:contextualSpacing w:val="0"/>
        <w:rPr>
          <w:color w:val="auto"/>
        </w:rPr>
      </w:pPr>
    </w:p>
    <w:p w14:paraId="19764868" w14:textId="77777777" w:rsidR="00214AD8" w:rsidRDefault="00214AD8" w:rsidP="00494230">
      <w:pPr>
        <w:pStyle w:val="Heading1"/>
        <w:spacing w:before="180" w:line="22" w:lineRule="atLeast"/>
        <w:contextualSpacing w:val="0"/>
        <w:rPr>
          <w:color w:val="auto"/>
        </w:rPr>
      </w:pPr>
    </w:p>
    <w:p w14:paraId="6A4AC72D" w14:textId="4D88F044" w:rsidR="00B211B6" w:rsidRPr="002F5E02" w:rsidRDefault="00B211B6" w:rsidP="00494230">
      <w:pPr>
        <w:pStyle w:val="Heading1"/>
        <w:spacing w:before="180" w:line="22" w:lineRule="atLeast"/>
        <w:contextualSpacing w:val="0"/>
        <w:rPr>
          <w:color w:val="auto"/>
        </w:rPr>
      </w:pPr>
      <w:r w:rsidRPr="002F5E02">
        <w:rPr>
          <w:color w:val="auto"/>
        </w:rPr>
        <w:t>Summary of locally acquired cases</w:t>
      </w:r>
    </w:p>
    <w:tbl>
      <w:tblPr>
        <w:tblStyle w:val="TableGrid"/>
        <w:tblpPr w:leftFromText="180" w:rightFromText="180" w:vertAnchor="text" w:tblpY="1"/>
        <w:tblOverlap w:val="never"/>
        <w:tblW w:w="0" w:type="auto"/>
        <w:tblCellMar>
          <w:top w:w="85" w:type="dxa"/>
        </w:tblCellMar>
        <w:tblLook w:val="04A0" w:firstRow="1" w:lastRow="0" w:firstColumn="1" w:lastColumn="0" w:noHBand="0" w:noVBand="1"/>
        <w:tblDescription w:val="Summary of locally acquired COVID-19 cases in New Zealand, by date."/>
      </w:tblPr>
      <w:tblGrid>
        <w:gridCol w:w="2634"/>
        <w:gridCol w:w="3395"/>
        <w:gridCol w:w="3038"/>
      </w:tblGrid>
      <w:tr w:rsidR="002F5E02" w:rsidRPr="002F5E02" w14:paraId="0A854253" w14:textId="77777777" w:rsidTr="00494230">
        <w:trPr>
          <w:trHeight w:val="364"/>
          <w:tblHeader/>
        </w:trPr>
        <w:tc>
          <w:tcPr>
            <w:tcW w:w="2634" w:type="dxa"/>
            <w:shd w:val="clear" w:color="auto" w:fill="DBE5F1" w:themeFill="accent1" w:themeFillTint="33"/>
            <w:vAlign w:val="center"/>
          </w:tcPr>
          <w:p w14:paraId="51C7EB94" w14:textId="77777777" w:rsidR="00B211B6" w:rsidRPr="002F5E02" w:rsidRDefault="00B211B6" w:rsidP="00494230">
            <w:pPr>
              <w:spacing w:before="60" w:after="60" w:line="22" w:lineRule="atLeast"/>
              <w:jc w:val="center"/>
              <w:rPr>
                <w:rStyle w:val="Strong"/>
                <w:color w:val="auto"/>
              </w:rPr>
            </w:pPr>
            <w:r w:rsidRPr="002F5E02">
              <w:rPr>
                <w:rStyle w:val="Strong"/>
                <w:color w:val="auto"/>
              </w:rPr>
              <w:t>Date</w:t>
            </w:r>
          </w:p>
        </w:tc>
        <w:tc>
          <w:tcPr>
            <w:tcW w:w="3395" w:type="dxa"/>
            <w:shd w:val="clear" w:color="auto" w:fill="DBE5F1" w:themeFill="accent1" w:themeFillTint="33"/>
            <w:vAlign w:val="center"/>
          </w:tcPr>
          <w:p w14:paraId="7DA56B9F" w14:textId="77777777" w:rsidR="00B211B6" w:rsidRPr="002F5E02" w:rsidRDefault="00B211B6" w:rsidP="00494230">
            <w:pPr>
              <w:spacing w:before="60" w:after="60" w:line="22" w:lineRule="atLeast"/>
              <w:jc w:val="center"/>
              <w:rPr>
                <w:rStyle w:val="Strong"/>
                <w:color w:val="auto"/>
              </w:rPr>
            </w:pPr>
            <w:r w:rsidRPr="002F5E02">
              <w:rPr>
                <w:rStyle w:val="Strong"/>
                <w:color w:val="auto"/>
              </w:rPr>
              <w:t>Locally acquired cases</w:t>
            </w:r>
          </w:p>
        </w:tc>
        <w:tc>
          <w:tcPr>
            <w:tcW w:w="3038" w:type="dxa"/>
            <w:shd w:val="clear" w:color="auto" w:fill="DBE5F1" w:themeFill="accent1" w:themeFillTint="33"/>
            <w:vAlign w:val="center"/>
          </w:tcPr>
          <w:p w14:paraId="4E1EB151" w14:textId="77777777" w:rsidR="00B211B6" w:rsidRPr="002F5E02" w:rsidRDefault="00B211B6" w:rsidP="00494230">
            <w:pPr>
              <w:spacing w:before="60" w:after="60" w:line="22" w:lineRule="atLeast"/>
              <w:jc w:val="center"/>
              <w:rPr>
                <w:rStyle w:val="Strong"/>
                <w:color w:val="auto"/>
              </w:rPr>
            </w:pPr>
            <w:r w:rsidRPr="002F5E02">
              <w:rPr>
                <w:rStyle w:val="Strong"/>
                <w:color w:val="auto"/>
              </w:rPr>
              <w:t>Rolling 3-day average</w:t>
            </w:r>
          </w:p>
        </w:tc>
      </w:tr>
      <w:tr w:rsidR="007C0E67" w:rsidRPr="002F5E02" w14:paraId="6ACFA278" w14:textId="77777777" w:rsidTr="00494230">
        <w:trPr>
          <w:trHeight w:val="141"/>
        </w:trPr>
        <w:tc>
          <w:tcPr>
            <w:tcW w:w="2634" w:type="dxa"/>
            <w:tcMar>
              <w:top w:w="28" w:type="dxa"/>
            </w:tcMar>
            <w:vAlign w:val="center"/>
          </w:tcPr>
          <w:p w14:paraId="0C0B8A18" w14:textId="03ED7DF7" w:rsidR="007C0E67" w:rsidRDefault="00452299" w:rsidP="00494230">
            <w:pPr>
              <w:spacing w:before="60" w:after="60" w:line="22" w:lineRule="atLeast"/>
              <w:jc w:val="center"/>
              <w:rPr>
                <w:rStyle w:val="Strong"/>
                <w:b w:val="0"/>
                <w:color w:val="FF0000"/>
              </w:rPr>
            </w:pPr>
            <w:r>
              <w:rPr>
                <w:rStyle w:val="Strong"/>
                <w:b w:val="0"/>
                <w:color w:val="FF0000"/>
              </w:rPr>
              <w:t>4 March</w:t>
            </w:r>
            <w:r w:rsidR="007C0E67">
              <w:rPr>
                <w:rStyle w:val="Strong"/>
                <w:b w:val="0"/>
                <w:color w:val="FF0000"/>
              </w:rPr>
              <w:t xml:space="preserve"> 2021</w:t>
            </w:r>
          </w:p>
        </w:tc>
        <w:tc>
          <w:tcPr>
            <w:tcW w:w="3395" w:type="dxa"/>
            <w:tcMar>
              <w:top w:w="28" w:type="dxa"/>
            </w:tcMar>
            <w:vAlign w:val="center"/>
          </w:tcPr>
          <w:p w14:paraId="31BD8127" w14:textId="294B0376" w:rsidR="007C0E67" w:rsidRPr="00BC66AD" w:rsidRDefault="00452299" w:rsidP="00494230">
            <w:pPr>
              <w:spacing w:before="60" w:after="60" w:line="22" w:lineRule="atLeast"/>
              <w:jc w:val="center"/>
              <w:rPr>
                <w:rFonts w:cs="Arial"/>
                <w:color w:val="FF0000"/>
              </w:rPr>
            </w:pPr>
            <w:r>
              <w:rPr>
                <w:rFonts w:cs="Arial"/>
                <w:color w:val="FF0000"/>
              </w:rPr>
              <w:t>0</w:t>
            </w:r>
          </w:p>
        </w:tc>
        <w:tc>
          <w:tcPr>
            <w:tcW w:w="3038" w:type="dxa"/>
            <w:tcMar>
              <w:top w:w="28" w:type="dxa"/>
            </w:tcMar>
            <w:vAlign w:val="center"/>
          </w:tcPr>
          <w:p w14:paraId="4E10851E" w14:textId="3AC19A23" w:rsidR="007C0E67" w:rsidRPr="00BC66AD" w:rsidRDefault="00452299" w:rsidP="00494230">
            <w:pPr>
              <w:spacing w:before="60" w:after="60" w:line="22" w:lineRule="atLeast"/>
              <w:jc w:val="center"/>
              <w:rPr>
                <w:rFonts w:cs="Arial"/>
                <w:color w:val="FF0000"/>
              </w:rPr>
            </w:pPr>
            <w:r>
              <w:rPr>
                <w:rFonts w:cs="Arial"/>
                <w:color w:val="FF0000"/>
              </w:rPr>
              <w:t>0</w:t>
            </w:r>
          </w:p>
        </w:tc>
      </w:tr>
      <w:tr w:rsidR="00CF5CC0" w:rsidRPr="002F5E02" w14:paraId="63EE1F19" w14:textId="77777777" w:rsidTr="00494230">
        <w:trPr>
          <w:trHeight w:val="141"/>
        </w:trPr>
        <w:tc>
          <w:tcPr>
            <w:tcW w:w="2634" w:type="dxa"/>
            <w:tcMar>
              <w:top w:w="28" w:type="dxa"/>
            </w:tcMar>
            <w:vAlign w:val="center"/>
          </w:tcPr>
          <w:p w14:paraId="354E3216" w14:textId="7572DFFA" w:rsidR="00CF5CC0" w:rsidRPr="000F073C" w:rsidRDefault="00452299" w:rsidP="00494230">
            <w:pPr>
              <w:spacing w:before="60" w:after="60" w:line="22" w:lineRule="atLeast"/>
              <w:jc w:val="center"/>
              <w:rPr>
                <w:rStyle w:val="Strong"/>
                <w:b w:val="0"/>
                <w:color w:val="FF0000"/>
              </w:rPr>
            </w:pPr>
            <w:r>
              <w:rPr>
                <w:rStyle w:val="Strong"/>
                <w:b w:val="0"/>
                <w:color w:val="FF0000"/>
              </w:rPr>
              <w:t>5 March</w:t>
            </w:r>
            <w:r w:rsidR="007C0E67">
              <w:rPr>
                <w:rStyle w:val="Strong"/>
                <w:b w:val="0"/>
                <w:color w:val="FF0000"/>
              </w:rPr>
              <w:t xml:space="preserve"> 2021</w:t>
            </w:r>
          </w:p>
        </w:tc>
        <w:tc>
          <w:tcPr>
            <w:tcW w:w="3395" w:type="dxa"/>
            <w:tcMar>
              <w:top w:w="28" w:type="dxa"/>
            </w:tcMar>
            <w:vAlign w:val="center"/>
          </w:tcPr>
          <w:p w14:paraId="13E437DB" w14:textId="7E630665" w:rsidR="00CF5CC0" w:rsidRPr="00BC66AD" w:rsidRDefault="00452299" w:rsidP="00494230">
            <w:pPr>
              <w:spacing w:before="60" w:after="60" w:line="22" w:lineRule="atLeast"/>
              <w:jc w:val="center"/>
              <w:rPr>
                <w:color w:val="FF0000"/>
              </w:rPr>
            </w:pPr>
            <w:r>
              <w:rPr>
                <w:color w:val="FF0000"/>
              </w:rPr>
              <w:t>0</w:t>
            </w:r>
          </w:p>
        </w:tc>
        <w:tc>
          <w:tcPr>
            <w:tcW w:w="3038" w:type="dxa"/>
            <w:tcMar>
              <w:top w:w="28" w:type="dxa"/>
            </w:tcMar>
            <w:vAlign w:val="center"/>
          </w:tcPr>
          <w:p w14:paraId="353F9970" w14:textId="40FCF192" w:rsidR="00CF5CC0" w:rsidRPr="00BC66AD" w:rsidRDefault="00452299" w:rsidP="00494230">
            <w:pPr>
              <w:spacing w:before="60" w:after="60" w:line="22" w:lineRule="atLeast"/>
              <w:jc w:val="center"/>
              <w:rPr>
                <w:color w:val="FF0000"/>
              </w:rPr>
            </w:pPr>
            <w:r>
              <w:rPr>
                <w:color w:val="FF0000"/>
              </w:rPr>
              <w:t>0</w:t>
            </w:r>
          </w:p>
        </w:tc>
      </w:tr>
      <w:tr w:rsidR="00CF5CC0" w:rsidRPr="002F5E02" w14:paraId="79B4B29E" w14:textId="77777777" w:rsidTr="00494230">
        <w:trPr>
          <w:trHeight w:val="250"/>
        </w:trPr>
        <w:tc>
          <w:tcPr>
            <w:tcW w:w="2634" w:type="dxa"/>
            <w:tcMar>
              <w:top w:w="28" w:type="dxa"/>
            </w:tcMar>
            <w:vAlign w:val="center"/>
          </w:tcPr>
          <w:p w14:paraId="412BF1E0" w14:textId="7A73DE7E" w:rsidR="00CF5CC0" w:rsidRPr="000F073C" w:rsidRDefault="00452299" w:rsidP="00494230">
            <w:pPr>
              <w:spacing w:before="60" w:after="60" w:line="22" w:lineRule="atLeast"/>
              <w:jc w:val="center"/>
              <w:rPr>
                <w:rStyle w:val="Strong"/>
                <w:b w:val="0"/>
                <w:color w:val="FF0000"/>
              </w:rPr>
            </w:pPr>
            <w:r>
              <w:rPr>
                <w:rStyle w:val="Strong"/>
                <w:b w:val="0"/>
                <w:color w:val="FF0000"/>
              </w:rPr>
              <w:t>6 March</w:t>
            </w:r>
            <w:r w:rsidR="007C0E67">
              <w:rPr>
                <w:rStyle w:val="Strong"/>
                <w:b w:val="0"/>
                <w:color w:val="FF0000"/>
              </w:rPr>
              <w:t xml:space="preserve"> 2021</w:t>
            </w:r>
          </w:p>
        </w:tc>
        <w:tc>
          <w:tcPr>
            <w:tcW w:w="3395" w:type="dxa"/>
            <w:tcMar>
              <w:top w:w="28" w:type="dxa"/>
            </w:tcMar>
            <w:vAlign w:val="center"/>
          </w:tcPr>
          <w:p w14:paraId="4DEAF883" w14:textId="324E0EEE" w:rsidR="00CF5CC0" w:rsidRPr="00BC66AD" w:rsidRDefault="00452299" w:rsidP="00494230">
            <w:pPr>
              <w:spacing w:before="60" w:after="60" w:line="22" w:lineRule="atLeast"/>
              <w:jc w:val="center"/>
              <w:rPr>
                <w:color w:val="FF0000"/>
              </w:rPr>
            </w:pPr>
            <w:r>
              <w:rPr>
                <w:color w:val="FF0000"/>
              </w:rPr>
              <w:t>0</w:t>
            </w:r>
          </w:p>
        </w:tc>
        <w:tc>
          <w:tcPr>
            <w:tcW w:w="3038" w:type="dxa"/>
            <w:tcMar>
              <w:top w:w="28" w:type="dxa"/>
            </w:tcMar>
            <w:vAlign w:val="center"/>
          </w:tcPr>
          <w:p w14:paraId="4A4CA722" w14:textId="4E6BB7C6" w:rsidR="00CF5CC0" w:rsidRPr="00BC66AD" w:rsidRDefault="00452299" w:rsidP="00494230">
            <w:pPr>
              <w:spacing w:before="60" w:after="60" w:line="22" w:lineRule="atLeast"/>
              <w:jc w:val="center"/>
              <w:rPr>
                <w:color w:val="FF0000"/>
              </w:rPr>
            </w:pPr>
            <w:r>
              <w:rPr>
                <w:color w:val="FF0000"/>
              </w:rPr>
              <w:t>0</w:t>
            </w:r>
          </w:p>
        </w:tc>
      </w:tr>
      <w:tr w:rsidR="00CF5CC0" w:rsidRPr="002F5E02" w14:paraId="6657F63C" w14:textId="77777777" w:rsidTr="00494230">
        <w:trPr>
          <w:trHeight w:val="250"/>
        </w:trPr>
        <w:tc>
          <w:tcPr>
            <w:tcW w:w="2634" w:type="dxa"/>
            <w:tcMar>
              <w:top w:w="28" w:type="dxa"/>
            </w:tcMar>
            <w:vAlign w:val="center"/>
          </w:tcPr>
          <w:p w14:paraId="24354D7D" w14:textId="03871F1F" w:rsidR="00CF5CC0" w:rsidRPr="000F073C" w:rsidRDefault="00452299" w:rsidP="00494230">
            <w:pPr>
              <w:spacing w:before="60" w:after="60" w:line="22" w:lineRule="atLeast"/>
              <w:jc w:val="center"/>
              <w:rPr>
                <w:rStyle w:val="Strong"/>
                <w:b w:val="0"/>
                <w:color w:val="FF0000"/>
              </w:rPr>
            </w:pPr>
            <w:r>
              <w:rPr>
                <w:rStyle w:val="Strong"/>
                <w:b w:val="0"/>
                <w:color w:val="FF0000"/>
              </w:rPr>
              <w:t>7 March</w:t>
            </w:r>
            <w:r w:rsidR="00A1790B">
              <w:rPr>
                <w:rStyle w:val="Strong"/>
                <w:b w:val="0"/>
                <w:color w:val="FF0000"/>
              </w:rPr>
              <w:t xml:space="preserve"> 2021</w:t>
            </w:r>
          </w:p>
        </w:tc>
        <w:tc>
          <w:tcPr>
            <w:tcW w:w="3395" w:type="dxa"/>
            <w:tcMar>
              <w:top w:w="28" w:type="dxa"/>
            </w:tcMar>
            <w:vAlign w:val="center"/>
          </w:tcPr>
          <w:p w14:paraId="2BEA7214" w14:textId="7F58696C" w:rsidR="00CF5CC0" w:rsidRPr="00BC66AD" w:rsidRDefault="00452299" w:rsidP="00494230">
            <w:pPr>
              <w:spacing w:before="60" w:after="60" w:line="22" w:lineRule="atLeast"/>
              <w:jc w:val="center"/>
              <w:rPr>
                <w:color w:val="FF0000"/>
              </w:rPr>
            </w:pPr>
            <w:r>
              <w:rPr>
                <w:color w:val="FF0000"/>
              </w:rPr>
              <w:t>0</w:t>
            </w:r>
            <w:r w:rsidR="00214AD8">
              <w:rPr>
                <w:color w:val="FF0000"/>
              </w:rPr>
              <w:t>*</w:t>
            </w:r>
          </w:p>
        </w:tc>
        <w:tc>
          <w:tcPr>
            <w:tcW w:w="3038" w:type="dxa"/>
            <w:tcMar>
              <w:top w:w="28" w:type="dxa"/>
            </w:tcMar>
            <w:vAlign w:val="center"/>
          </w:tcPr>
          <w:p w14:paraId="5C272F8C" w14:textId="445139C2" w:rsidR="00CF5CC0" w:rsidRPr="00BC66AD" w:rsidRDefault="00452299" w:rsidP="00494230">
            <w:pPr>
              <w:spacing w:before="60" w:after="60" w:line="22" w:lineRule="atLeast"/>
              <w:jc w:val="center"/>
              <w:rPr>
                <w:color w:val="FF0000"/>
              </w:rPr>
            </w:pPr>
            <w:r>
              <w:rPr>
                <w:color w:val="FF0000"/>
              </w:rPr>
              <w:t>0</w:t>
            </w:r>
          </w:p>
        </w:tc>
      </w:tr>
      <w:tr w:rsidR="00CF5CC0" w:rsidRPr="002F5E02" w14:paraId="2A14B26C" w14:textId="77777777" w:rsidTr="00494230">
        <w:trPr>
          <w:trHeight w:val="236"/>
        </w:trPr>
        <w:tc>
          <w:tcPr>
            <w:tcW w:w="2634" w:type="dxa"/>
            <w:tcMar>
              <w:top w:w="28" w:type="dxa"/>
            </w:tcMar>
            <w:vAlign w:val="center"/>
          </w:tcPr>
          <w:p w14:paraId="578E369C" w14:textId="20232C7A" w:rsidR="00CF5CC0" w:rsidRPr="000F073C" w:rsidRDefault="00452299" w:rsidP="00494230">
            <w:pPr>
              <w:spacing w:before="60" w:after="60" w:line="22" w:lineRule="atLeast"/>
              <w:jc w:val="center"/>
              <w:rPr>
                <w:rStyle w:val="Strong"/>
                <w:b w:val="0"/>
                <w:color w:val="FF0000"/>
              </w:rPr>
            </w:pPr>
            <w:r>
              <w:rPr>
                <w:rStyle w:val="Strong"/>
                <w:b w:val="0"/>
                <w:color w:val="FF0000"/>
              </w:rPr>
              <w:t>8</w:t>
            </w:r>
            <w:r w:rsidR="00A1790B">
              <w:rPr>
                <w:rStyle w:val="Strong"/>
                <w:b w:val="0"/>
                <w:color w:val="FF0000"/>
              </w:rPr>
              <w:t xml:space="preserve"> </w:t>
            </w:r>
            <w:r w:rsidR="00394E16">
              <w:rPr>
                <w:rStyle w:val="Strong"/>
                <w:b w:val="0"/>
                <w:color w:val="FF0000"/>
              </w:rPr>
              <w:t>March</w:t>
            </w:r>
            <w:r w:rsidR="00A1790B">
              <w:rPr>
                <w:rStyle w:val="Strong"/>
                <w:b w:val="0"/>
                <w:color w:val="FF0000"/>
              </w:rPr>
              <w:t xml:space="preserve"> 2021</w:t>
            </w:r>
          </w:p>
        </w:tc>
        <w:tc>
          <w:tcPr>
            <w:tcW w:w="3395" w:type="dxa"/>
            <w:tcMar>
              <w:top w:w="28" w:type="dxa"/>
            </w:tcMar>
            <w:vAlign w:val="center"/>
          </w:tcPr>
          <w:p w14:paraId="05D1DE36" w14:textId="331AC71B" w:rsidR="00CF5CC0" w:rsidRPr="00BC66AD" w:rsidRDefault="00452299" w:rsidP="00494230">
            <w:pPr>
              <w:spacing w:before="60" w:after="60" w:line="22" w:lineRule="atLeast"/>
              <w:jc w:val="center"/>
              <w:rPr>
                <w:color w:val="FF0000"/>
              </w:rPr>
            </w:pPr>
            <w:r>
              <w:rPr>
                <w:color w:val="FF0000"/>
              </w:rPr>
              <w:t>0</w:t>
            </w:r>
          </w:p>
        </w:tc>
        <w:tc>
          <w:tcPr>
            <w:tcW w:w="3038" w:type="dxa"/>
            <w:tcMar>
              <w:top w:w="28" w:type="dxa"/>
            </w:tcMar>
            <w:vAlign w:val="center"/>
          </w:tcPr>
          <w:p w14:paraId="5F46616E" w14:textId="5294280F" w:rsidR="00CF5CC0" w:rsidRPr="00BC66AD" w:rsidRDefault="00452299" w:rsidP="00494230">
            <w:pPr>
              <w:spacing w:before="60" w:after="60" w:line="22" w:lineRule="atLeast"/>
              <w:jc w:val="center"/>
              <w:rPr>
                <w:color w:val="FF0000"/>
              </w:rPr>
            </w:pPr>
            <w:r>
              <w:rPr>
                <w:color w:val="FF0000"/>
              </w:rPr>
              <w:t>0</w:t>
            </w:r>
          </w:p>
        </w:tc>
      </w:tr>
      <w:tr w:rsidR="00CF5CC0" w:rsidRPr="002F5E02" w14:paraId="277688A6" w14:textId="77777777" w:rsidTr="00494230">
        <w:trPr>
          <w:trHeight w:val="250"/>
        </w:trPr>
        <w:tc>
          <w:tcPr>
            <w:tcW w:w="2634" w:type="dxa"/>
            <w:tcMar>
              <w:top w:w="28" w:type="dxa"/>
            </w:tcMar>
            <w:vAlign w:val="center"/>
          </w:tcPr>
          <w:p w14:paraId="770D9D91" w14:textId="1476D8C8" w:rsidR="00CF5CC0" w:rsidRPr="000F073C" w:rsidRDefault="00452299" w:rsidP="00494230">
            <w:pPr>
              <w:spacing w:before="60" w:after="60" w:line="22" w:lineRule="atLeast"/>
              <w:jc w:val="center"/>
              <w:rPr>
                <w:rStyle w:val="Strong"/>
                <w:b w:val="0"/>
                <w:color w:val="FF0000"/>
              </w:rPr>
            </w:pPr>
            <w:r>
              <w:rPr>
                <w:rStyle w:val="Strong"/>
                <w:b w:val="0"/>
                <w:color w:val="FF0000"/>
              </w:rPr>
              <w:t>9</w:t>
            </w:r>
            <w:r w:rsidR="00394E16">
              <w:rPr>
                <w:rStyle w:val="Strong"/>
                <w:b w:val="0"/>
                <w:color w:val="FF0000"/>
              </w:rPr>
              <w:t xml:space="preserve"> March</w:t>
            </w:r>
            <w:r w:rsidR="00A1790B">
              <w:rPr>
                <w:rStyle w:val="Strong"/>
                <w:b w:val="0"/>
                <w:color w:val="FF0000"/>
              </w:rPr>
              <w:t xml:space="preserve"> 2021</w:t>
            </w:r>
          </w:p>
        </w:tc>
        <w:tc>
          <w:tcPr>
            <w:tcW w:w="3395" w:type="dxa"/>
            <w:tcMar>
              <w:top w:w="28" w:type="dxa"/>
            </w:tcMar>
            <w:vAlign w:val="center"/>
          </w:tcPr>
          <w:p w14:paraId="6062B6B0" w14:textId="2BA49F86" w:rsidR="00CF5CC0" w:rsidRPr="00BC66AD" w:rsidRDefault="00452299" w:rsidP="00494230">
            <w:pPr>
              <w:spacing w:before="60" w:after="60" w:line="22" w:lineRule="atLeast"/>
              <w:jc w:val="center"/>
              <w:rPr>
                <w:color w:val="FF0000"/>
              </w:rPr>
            </w:pPr>
            <w:r>
              <w:rPr>
                <w:color w:val="FF0000"/>
              </w:rPr>
              <w:t>0</w:t>
            </w:r>
          </w:p>
        </w:tc>
        <w:tc>
          <w:tcPr>
            <w:tcW w:w="3038" w:type="dxa"/>
            <w:tcMar>
              <w:top w:w="28" w:type="dxa"/>
            </w:tcMar>
            <w:vAlign w:val="center"/>
          </w:tcPr>
          <w:p w14:paraId="4607773F" w14:textId="13E911C2" w:rsidR="00CF5CC0" w:rsidRPr="00BC66AD" w:rsidRDefault="00452299" w:rsidP="00494230">
            <w:pPr>
              <w:spacing w:before="60" w:after="60" w:line="22" w:lineRule="atLeast"/>
              <w:jc w:val="center"/>
              <w:rPr>
                <w:color w:val="FF0000"/>
              </w:rPr>
            </w:pPr>
            <w:r>
              <w:rPr>
                <w:color w:val="FF0000"/>
              </w:rPr>
              <w:t>0</w:t>
            </w:r>
          </w:p>
        </w:tc>
      </w:tr>
      <w:tr w:rsidR="00CF5CC0" w:rsidRPr="002F5E02" w14:paraId="0EA620F2" w14:textId="77777777" w:rsidTr="00494230">
        <w:trPr>
          <w:trHeight w:val="236"/>
        </w:trPr>
        <w:tc>
          <w:tcPr>
            <w:tcW w:w="2634" w:type="dxa"/>
            <w:tcMar>
              <w:top w:w="28" w:type="dxa"/>
            </w:tcMar>
            <w:vAlign w:val="center"/>
          </w:tcPr>
          <w:p w14:paraId="09651D34" w14:textId="0C193852" w:rsidR="00CF5CC0" w:rsidRPr="000F073C" w:rsidRDefault="00452299" w:rsidP="00494230">
            <w:pPr>
              <w:spacing w:before="60" w:after="60" w:line="22" w:lineRule="atLeast"/>
              <w:jc w:val="center"/>
              <w:rPr>
                <w:rStyle w:val="Strong"/>
                <w:b w:val="0"/>
                <w:color w:val="FF0000"/>
              </w:rPr>
            </w:pPr>
            <w:r>
              <w:rPr>
                <w:rStyle w:val="Strong"/>
                <w:b w:val="0"/>
                <w:color w:val="FF0000"/>
              </w:rPr>
              <w:t>10</w:t>
            </w:r>
            <w:r w:rsidR="00394E16">
              <w:rPr>
                <w:rStyle w:val="Strong"/>
                <w:b w:val="0"/>
                <w:color w:val="FF0000"/>
              </w:rPr>
              <w:t xml:space="preserve"> March</w:t>
            </w:r>
            <w:r w:rsidR="00A1790B">
              <w:rPr>
                <w:rStyle w:val="Strong"/>
                <w:b w:val="0"/>
                <w:color w:val="FF0000"/>
              </w:rPr>
              <w:t xml:space="preserve"> 2021</w:t>
            </w:r>
          </w:p>
        </w:tc>
        <w:tc>
          <w:tcPr>
            <w:tcW w:w="3395" w:type="dxa"/>
            <w:tcMar>
              <w:top w:w="28" w:type="dxa"/>
            </w:tcMar>
            <w:vAlign w:val="center"/>
          </w:tcPr>
          <w:p w14:paraId="071DFFA7" w14:textId="452CC8B9" w:rsidR="00CF5CC0" w:rsidRPr="00BC66AD" w:rsidRDefault="00123406" w:rsidP="00494230">
            <w:pPr>
              <w:spacing w:before="60" w:after="60" w:line="22" w:lineRule="atLeast"/>
              <w:jc w:val="center"/>
              <w:rPr>
                <w:color w:val="FF0000"/>
              </w:rPr>
            </w:pPr>
            <w:r>
              <w:rPr>
                <w:color w:val="FF0000"/>
              </w:rPr>
              <w:t>0</w:t>
            </w:r>
          </w:p>
        </w:tc>
        <w:tc>
          <w:tcPr>
            <w:tcW w:w="3038" w:type="dxa"/>
            <w:tcMar>
              <w:top w:w="28" w:type="dxa"/>
            </w:tcMar>
            <w:vAlign w:val="center"/>
          </w:tcPr>
          <w:p w14:paraId="24E56025" w14:textId="7C8836B5" w:rsidR="00CF5CC0" w:rsidRPr="00BC66AD" w:rsidRDefault="00123406" w:rsidP="00494230">
            <w:pPr>
              <w:spacing w:before="60" w:after="60" w:line="22" w:lineRule="atLeast"/>
              <w:jc w:val="center"/>
              <w:rPr>
                <w:color w:val="FF0000"/>
              </w:rPr>
            </w:pPr>
            <w:r>
              <w:rPr>
                <w:color w:val="FF0000"/>
              </w:rPr>
              <w:t>0</w:t>
            </w:r>
          </w:p>
        </w:tc>
      </w:tr>
    </w:tbl>
    <w:p w14:paraId="31675217" w14:textId="107E1478" w:rsidR="00086473" w:rsidRPr="00214AD8" w:rsidRDefault="00B211B6" w:rsidP="00214AD8">
      <w:pPr>
        <w:rPr>
          <w:rFonts w:cs="Arial"/>
          <w:i/>
          <w:color w:val="FF0000"/>
          <w:sz w:val="16"/>
          <w:szCs w:val="16"/>
        </w:rPr>
      </w:pPr>
      <w:r w:rsidRPr="002F5E02">
        <w:rPr>
          <w:color w:val="auto"/>
        </w:rPr>
        <w:br w:type="textWrapping" w:clear="all"/>
      </w:r>
      <w:r w:rsidR="00214AD8" w:rsidRPr="004E55BB">
        <w:rPr>
          <w:color w:val="FF0000"/>
        </w:rPr>
        <w:t>*</w:t>
      </w:r>
      <w:r w:rsidR="00214AD8" w:rsidRPr="006E2114">
        <w:rPr>
          <w:rFonts w:cs="Arial"/>
          <w:i/>
          <w:color w:val="FF0000"/>
          <w:sz w:val="16"/>
          <w:szCs w:val="16"/>
        </w:rPr>
        <w:t xml:space="preserve">The air crew member that tested positive to COVID-19 on 7 March 2021 has been classified by New Zealand as a ‘at the border case’ and not ‘in the community’. </w:t>
      </w:r>
      <w:r w:rsidR="00214AD8">
        <w:rPr>
          <w:rFonts w:cs="Arial"/>
          <w:i/>
          <w:color w:val="FF0000"/>
          <w:sz w:val="16"/>
          <w:szCs w:val="16"/>
        </w:rPr>
        <w:t xml:space="preserve">We await the outcome of the public health investigation by New Zealand to confirm if this case will be categorised as ‘of unknown source’. </w:t>
      </w:r>
    </w:p>
    <w:p w14:paraId="34CAD4D0" w14:textId="77777777" w:rsidR="00494230" w:rsidRPr="00494230" w:rsidRDefault="00494230" w:rsidP="00494230">
      <w:pPr>
        <w:pStyle w:val="BodyText"/>
      </w:pPr>
    </w:p>
    <w:tbl>
      <w:tblPr>
        <w:tblStyle w:val="TableGrid"/>
        <w:tblpPr w:leftFromText="180" w:rightFromText="180" w:vertAnchor="text" w:tblpY="1"/>
        <w:tblOverlap w:val="never"/>
        <w:tblW w:w="0" w:type="auto"/>
        <w:tblLayout w:type="fixed"/>
        <w:tblLook w:val="04A0" w:firstRow="1" w:lastRow="0" w:firstColumn="1" w:lastColumn="0" w:noHBand="0" w:noVBand="1"/>
        <w:tblDescription w:val="Locally acquired COVID-19 cases in New Zealand."/>
      </w:tblPr>
      <w:tblGrid>
        <w:gridCol w:w="5240"/>
        <w:gridCol w:w="1701"/>
        <w:gridCol w:w="2126"/>
      </w:tblGrid>
      <w:tr w:rsidR="002F5E02" w:rsidRPr="002F5E02" w14:paraId="1A6AD677" w14:textId="77777777" w:rsidTr="00494230">
        <w:trPr>
          <w:trHeight w:val="385"/>
          <w:tblHeader/>
        </w:trPr>
        <w:tc>
          <w:tcPr>
            <w:tcW w:w="5240" w:type="dxa"/>
            <w:tcBorders>
              <w:bottom w:val="single" w:sz="4" w:space="0" w:color="auto"/>
            </w:tcBorders>
            <w:shd w:val="clear" w:color="auto" w:fill="DBE5F1" w:themeFill="accent1" w:themeFillTint="33"/>
          </w:tcPr>
          <w:p w14:paraId="62724170" w14:textId="77777777" w:rsidR="00B211B6" w:rsidRPr="002F5E02" w:rsidRDefault="00B211B6" w:rsidP="00494230">
            <w:pPr>
              <w:spacing w:before="60" w:after="60" w:line="22" w:lineRule="atLeast"/>
              <w:rPr>
                <w:rFonts w:cs="Arial"/>
                <w:b/>
                <w:color w:val="auto"/>
                <w:szCs w:val="20"/>
                <w:lang w:val="en"/>
              </w:rPr>
            </w:pPr>
          </w:p>
        </w:tc>
        <w:tc>
          <w:tcPr>
            <w:tcW w:w="1701" w:type="dxa"/>
            <w:shd w:val="clear" w:color="auto" w:fill="DBE5F1" w:themeFill="accent1" w:themeFillTint="33"/>
            <w:vAlign w:val="center"/>
          </w:tcPr>
          <w:p w14:paraId="5445587A" w14:textId="18FE1733" w:rsidR="00B211B6" w:rsidRPr="002F5E02" w:rsidRDefault="00343B8C" w:rsidP="00494230">
            <w:pPr>
              <w:spacing w:before="60" w:after="60" w:line="22" w:lineRule="atLeast"/>
              <w:jc w:val="center"/>
              <w:rPr>
                <w:rFonts w:cs="Arial"/>
                <w:b/>
                <w:color w:val="auto"/>
                <w:szCs w:val="20"/>
                <w:lang w:val="en"/>
              </w:rPr>
            </w:pPr>
            <w:r w:rsidRPr="002F5E02">
              <w:rPr>
                <w:rFonts w:cs="Arial"/>
                <w:b/>
                <w:color w:val="auto"/>
                <w:szCs w:val="20"/>
                <w:lang w:val="en"/>
              </w:rPr>
              <w:t>Notification Date</w:t>
            </w:r>
          </w:p>
        </w:tc>
        <w:tc>
          <w:tcPr>
            <w:tcW w:w="2126" w:type="dxa"/>
            <w:shd w:val="clear" w:color="auto" w:fill="DBE5F1" w:themeFill="accent1" w:themeFillTint="33"/>
            <w:vAlign w:val="center"/>
          </w:tcPr>
          <w:p w14:paraId="036024A7" w14:textId="497DDD3B" w:rsidR="00B211B6" w:rsidRPr="002F5E02" w:rsidRDefault="00B211B6" w:rsidP="00494230">
            <w:pPr>
              <w:spacing w:before="60" w:after="60" w:line="22" w:lineRule="atLeast"/>
              <w:jc w:val="center"/>
              <w:rPr>
                <w:rFonts w:cs="Arial"/>
                <w:b/>
                <w:color w:val="auto"/>
                <w:szCs w:val="20"/>
                <w:lang w:val="en"/>
              </w:rPr>
            </w:pPr>
            <w:r w:rsidRPr="002F5E02">
              <w:rPr>
                <w:rFonts w:cs="Arial"/>
                <w:b/>
                <w:color w:val="auto"/>
                <w:szCs w:val="20"/>
                <w:lang w:val="en"/>
              </w:rPr>
              <w:t xml:space="preserve">Number of </w:t>
            </w:r>
            <w:r w:rsidR="00494230">
              <w:rPr>
                <w:rFonts w:cs="Arial"/>
                <w:b/>
                <w:color w:val="auto"/>
                <w:szCs w:val="20"/>
                <w:lang w:val="en"/>
              </w:rPr>
              <w:t>d</w:t>
            </w:r>
            <w:r w:rsidRPr="002F5E02">
              <w:rPr>
                <w:rFonts w:cs="Arial"/>
                <w:b/>
                <w:color w:val="auto"/>
                <w:szCs w:val="20"/>
                <w:lang w:val="en"/>
              </w:rPr>
              <w:t xml:space="preserve">ays </w:t>
            </w:r>
          </w:p>
        </w:tc>
      </w:tr>
      <w:tr w:rsidR="009D3C34" w:rsidRPr="002F5E02" w14:paraId="5954DFDD" w14:textId="77777777" w:rsidTr="00D811E6">
        <w:trPr>
          <w:trHeight w:val="370"/>
        </w:trPr>
        <w:tc>
          <w:tcPr>
            <w:tcW w:w="5240" w:type="dxa"/>
            <w:tcBorders>
              <w:top w:val="single" w:sz="4" w:space="0" w:color="auto"/>
            </w:tcBorders>
          </w:tcPr>
          <w:p w14:paraId="0FB244C3" w14:textId="77777777" w:rsidR="009D3C34" w:rsidRPr="002F5E02" w:rsidRDefault="009D3C34" w:rsidP="00494230">
            <w:pPr>
              <w:spacing w:before="60" w:after="60" w:line="22" w:lineRule="atLeast"/>
              <w:rPr>
                <w:rFonts w:cs="Arial"/>
                <w:color w:val="auto"/>
                <w:szCs w:val="20"/>
                <w:lang w:val="en"/>
              </w:rPr>
            </w:pPr>
            <w:r w:rsidRPr="002F5E02">
              <w:rPr>
                <w:color w:val="auto"/>
              </w:rPr>
              <w:t xml:space="preserve">Last locally acquired case </w:t>
            </w:r>
          </w:p>
        </w:tc>
        <w:tc>
          <w:tcPr>
            <w:tcW w:w="1701" w:type="dxa"/>
            <w:vAlign w:val="center"/>
          </w:tcPr>
          <w:p w14:paraId="4504A2CA" w14:textId="677024A9" w:rsidR="009D3C34" w:rsidRPr="00AA2159" w:rsidRDefault="00494230" w:rsidP="00494230">
            <w:pPr>
              <w:spacing w:before="60" w:after="60" w:line="22" w:lineRule="atLeast"/>
              <w:jc w:val="center"/>
              <w:rPr>
                <w:rFonts w:cs="Arial"/>
                <w:color w:val="FF0000"/>
                <w:szCs w:val="20"/>
                <w:lang w:val="en"/>
              </w:rPr>
            </w:pPr>
            <w:r>
              <w:rPr>
                <w:rFonts w:cs="Arial"/>
                <w:color w:val="auto"/>
                <w:szCs w:val="20"/>
                <w:lang w:val="en"/>
              </w:rPr>
              <w:t>0</w:t>
            </w:r>
            <w:r w:rsidR="00CC764C" w:rsidRPr="00123406">
              <w:rPr>
                <w:rFonts w:cs="Arial"/>
                <w:color w:val="auto"/>
                <w:szCs w:val="20"/>
                <w:lang w:val="en"/>
              </w:rPr>
              <w:t>1</w:t>
            </w:r>
            <w:r w:rsidR="00AA2159" w:rsidRPr="00123406">
              <w:rPr>
                <w:rFonts w:cs="Arial"/>
                <w:color w:val="auto"/>
                <w:szCs w:val="20"/>
                <w:lang w:val="en"/>
              </w:rPr>
              <w:t>/0</w:t>
            </w:r>
            <w:r w:rsidR="00CC764C" w:rsidRPr="00123406">
              <w:rPr>
                <w:rFonts w:cs="Arial"/>
                <w:color w:val="auto"/>
                <w:szCs w:val="20"/>
                <w:lang w:val="en"/>
              </w:rPr>
              <w:t>3</w:t>
            </w:r>
            <w:r w:rsidR="00AA2159" w:rsidRPr="00123406">
              <w:rPr>
                <w:rFonts w:cs="Arial"/>
                <w:color w:val="auto"/>
                <w:szCs w:val="20"/>
                <w:lang w:val="en"/>
              </w:rPr>
              <w:t>/21</w:t>
            </w:r>
          </w:p>
        </w:tc>
        <w:tc>
          <w:tcPr>
            <w:tcW w:w="2126" w:type="dxa"/>
            <w:vAlign w:val="center"/>
          </w:tcPr>
          <w:p w14:paraId="5DE5F0D4" w14:textId="0760DA42" w:rsidR="009D3C34" w:rsidRPr="00AA2159" w:rsidRDefault="00CA4CC3" w:rsidP="00494230">
            <w:pPr>
              <w:spacing w:before="60" w:after="60" w:line="22" w:lineRule="atLeast"/>
              <w:jc w:val="center"/>
              <w:rPr>
                <w:rFonts w:cs="Arial"/>
                <w:color w:val="FF0000"/>
                <w:szCs w:val="20"/>
                <w:lang w:val="en"/>
              </w:rPr>
            </w:pPr>
            <w:r>
              <w:rPr>
                <w:rFonts w:cs="Arial"/>
                <w:color w:val="FF0000"/>
                <w:szCs w:val="20"/>
                <w:lang w:val="en"/>
              </w:rPr>
              <w:t>9</w:t>
            </w:r>
          </w:p>
        </w:tc>
      </w:tr>
      <w:tr w:rsidR="009D3C34" w:rsidRPr="002F5E02" w14:paraId="5F4A4553" w14:textId="77777777" w:rsidTr="00D811E6">
        <w:trPr>
          <w:trHeight w:val="342"/>
        </w:trPr>
        <w:tc>
          <w:tcPr>
            <w:tcW w:w="5240" w:type="dxa"/>
          </w:tcPr>
          <w:p w14:paraId="281CFBE0" w14:textId="77777777" w:rsidR="009D3C34" w:rsidRPr="002F5E02" w:rsidRDefault="009D3C34" w:rsidP="00494230">
            <w:pPr>
              <w:spacing w:before="60" w:after="60" w:line="22" w:lineRule="atLeast"/>
              <w:rPr>
                <w:rFonts w:cs="Arial"/>
                <w:color w:val="auto"/>
                <w:szCs w:val="20"/>
                <w:lang w:val="en"/>
              </w:rPr>
            </w:pPr>
            <w:r w:rsidRPr="002F5E02">
              <w:rPr>
                <w:color w:val="auto"/>
              </w:rPr>
              <w:t xml:space="preserve">Last locally acquired case of unknown source </w:t>
            </w:r>
          </w:p>
        </w:tc>
        <w:tc>
          <w:tcPr>
            <w:tcW w:w="1701" w:type="dxa"/>
            <w:vAlign w:val="center"/>
          </w:tcPr>
          <w:p w14:paraId="7AF78B00" w14:textId="3C8725E4" w:rsidR="009D3C34" w:rsidRPr="007E68CB" w:rsidRDefault="00A83661" w:rsidP="00494230">
            <w:pPr>
              <w:pStyle w:val="NormalWeb"/>
              <w:spacing w:before="60" w:beforeAutospacing="0" w:after="60" w:afterAutospacing="0" w:line="22" w:lineRule="atLeast"/>
              <w:jc w:val="center"/>
              <w:rPr>
                <w:rFonts w:ascii="Arial" w:hAnsi="Arial" w:cs="Arial"/>
                <w:color w:val="FF0000"/>
              </w:rPr>
            </w:pPr>
            <w:r w:rsidRPr="00F55E42">
              <w:rPr>
                <w:rFonts w:ascii="Arial" w:hAnsi="Arial" w:cs="Arial"/>
              </w:rPr>
              <w:t>13/02/21</w:t>
            </w:r>
            <w:r w:rsidRPr="00180AC2">
              <w:rPr>
                <w:rFonts w:ascii="Arial" w:hAnsi="Arial" w:cs="Arial"/>
              </w:rPr>
              <w:t>*</w:t>
            </w:r>
            <w:r w:rsidRPr="00F55E42">
              <w:rPr>
                <w:rFonts w:ascii="Arial" w:hAnsi="Arial" w:cs="Arial"/>
              </w:rPr>
              <w:t xml:space="preserve"> </w:t>
            </w:r>
          </w:p>
        </w:tc>
        <w:tc>
          <w:tcPr>
            <w:tcW w:w="2126" w:type="dxa"/>
            <w:vAlign w:val="center"/>
          </w:tcPr>
          <w:p w14:paraId="059C7BE9" w14:textId="75804A8B" w:rsidR="009D3C34" w:rsidRPr="007E68CB" w:rsidRDefault="00CA4CC3" w:rsidP="00494230">
            <w:pPr>
              <w:spacing w:before="60" w:after="60" w:line="22" w:lineRule="atLeast"/>
              <w:jc w:val="center"/>
              <w:rPr>
                <w:rFonts w:cs="Arial"/>
                <w:color w:val="FF0000"/>
              </w:rPr>
            </w:pPr>
            <w:r>
              <w:rPr>
                <w:rFonts w:cs="Arial"/>
                <w:color w:val="FF0000"/>
              </w:rPr>
              <w:t>25</w:t>
            </w:r>
          </w:p>
        </w:tc>
      </w:tr>
    </w:tbl>
    <w:p w14:paraId="567F242A" w14:textId="0936535D" w:rsidR="009E7164" w:rsidRPr="00494230" w:rsidRDefault="00B211B6" w:rsidP="00494230">
      <w:pPr>
        <w:spacing w:after="0" w:line="264" w:lineRule="auto"/>
        <w:rPr>
          <w:rFonts w:cs="Arial"/>
          <w:color w:val="auto"/>
          <w:sz w:val="6"/>
          <w:szCs w:val="6"/>
        </w:rPr>
      </w:pPr>
      <w:r w:rsidRPr="002F5E02">
        <w:rPr>
          <w:color w:val="auto"/>
          <w:sz w:val="20"/>
          <w:szCs w:val="20"/>
          <w:lang w:val="en"/>
        </w:rPr>
        <w:br w:type="textWrapping" w:clear="all"/>
      </w:r>
      <w:r w:rsidR="00180AC2" w:rsidRPr="00494230">
        <w:rPr>
          <w:rFonts w:cs="Arial"/>
          <w:i/>
          <w:color w:val="auto"/>
          <w:sz w:val="16"/>
          <w:szCs w:val="16"/>
        </w:rPr>
        <w:t>*As there is no identified source of infection for Case A at 24 February 2021, this constitutes a case of unknown source. The New Zealand Ministry of Health has not yet classified this case as the last locally acquired of unknown source in New Zealand.</w:t>
      </w:r>
    </w:p>
    <w:p w14:paraId="5AA0F895" w14:textId="42FBF1FC" w:rsidR="0007741B" w:rsidRDefault="0007741B" w:rsidP="00494230">
      <w:pPr>
        <w:spacing w:line="22" w:lineRule="atLeast"/>
        <w:rPr>
          <w:noProof/>
          <w:lang w:eastAsia="en-AU"/>
        </w:rPr>
      </w:pPr>
    </w:p>
    <w:p w14:paraId="6C6D601E" w14:textId="1E30C93E" w:rsidR="00726BE0" w:rsidRDefault="00726BE0" w:rsidP="00494230">
      <w:pPr>
        <w:pStyle w:val="BodyText"/>
        <w:spacing w:line="22" w:lineRule="atLeast"/>
        <w:rPr>
          <w:color w:val="auto"/>
        </w:rPr>
      </w:pPr>
    </w:p>
    <w:p w14:paraId="55EC7ADF" w14:textId="161FE4A6" w:rsidR="003077BF" w:rsidRDefault="003077BF" w:rsidP="00494230">
      <w:pPr>
        <w:pStyle w:val="BodyText"/>
        <w:spacing w:line="22" w:lineRule="atLeast"/>
        <w:rPr>
          <w:color w:val="auto"/>
        </w:rPr>
      </w:pPr>
    </w:p>
    <w:p w14:paraId="609376D7" w14:textId="4CF6F805" w:rsidR="003077BF" w:rsidRDefault="00FB048F" w:rsidP="00494230">
      <w:pPr>
        <w:pStyle w:val="BodyText"/>
        <w:spacing w:line="22" w:lineRule="atLeast"/>
        <w:rPr>
          <w:color w:val="auto"/>
        </w:rPr>
      </w:pPr>
      <w:r>
        <w:rPr>
          <w:color w:val="auto"/>
        </w:rPr>
        <w:pict w14:anchorId="10AFA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59.7pt">
            <v:imagedata r:id="rId11" o:title="Pauls elec signature"/>
          </v:shape>
        </w:pict>
      </w:r>
    </w:p>
    <w:p w14:paraId="3B0D3FA2" w14:textId="1521C0D4" w:rsidR="00A1790B" w:rsidRDefault="00A1790B" w:rsidP="00494230">
      <w:pPr>
        <w:pStyle w:val="BodyText"/>
        <w:spacing w:line="22" w:lineRule="atLeast"/>
        <w:rPr>
          <w:color w:val="auto"/>
        </w:rPr>
      </w:pPr>
      <w:bookmarkStart w:id="0" w:name="_GoBack"/>
      <w:bookmarkEnd w:id="0"/>
    </w:p>
    <w:p w14:paraId="064EF083" w14:textId="29F6DE46" w:rsidR="00B211B6" w:rsidRPr="002F5E02" w:rsidRDefault="000A5B04" w:rsidP="00494230">
      <w:pPr>
        <w:spacing w:after="0" w:line="22" w:lineRule="atLeast"/>
        <w:rPr>
          <w:color w:val="auto"/>
        </w:rPr>
      </w:pPr>
      <w:r>
        <w:rPr>
          <w:color w:val="auto"/>
        </w:rPr>
        <w:t>C</w:t>
      </w:r>
      <w:r w:rsidR="00B211B6" w:rsidRPr="002F5E02">
        <w:rPr>
          <w:color w:val="auto"/>
        </w:rPr>
        <w:t>hief Medical Officer</w:t>
      </w:r>
    </w:p>
    <w:p w14:paraId="1D6D9015" w14:textId="2099B067" w:rsidR="00B211B6" w:rsidRPr="002F5E02" w:rsidRDefault="00B211B6" w:rsidP="00494230">
      <w:pPr>
        <w:spacing w:after="0" w:line="22" w:lineRule="atLeast"/>
        <w:rPr>
          <w:color w:val="auto"/>
        </w:rPr>
      </w:pPr>
      <w:r w:rsidRPr="002F5E02">
        <w:rPr>
          <w:color w:val="auto"/>
        </w:rPr>
        <w:t xml:space="preserve">Professor </w:t>
      </w:r>
      <w:r w:rsidR="00872F1C">
        <w:rPr>
          <w:color w:val="auto"/>
        </w:rPr>
        <w:t xml:space="preserve">Paul Kelly </w:t>
      </w:r>
    </w:p>
    <w:p w14:paraId="0F3D3BD7" w14:textId="682B1F8D" w:rsidR="00365261" w:rsidRPr="00593FC9" w:rsidRDefault="0084065A" w:rsidP="00494230">
      <w:pPr>
        <w:spacing w:after="0" w:line="22" w:lineRule="atLeast"/>
        <w:rPr>
          <w:color w:val="auto"/>
        </w:rPr>
      </w:pPr>
      <w:r w:rsidRPr="00593FC9">
        <w:rPr>
          <w:noProof/>
          <w:color w:val="auto"/>
          <w:lang w:eastAsia="en-AU"/>
        </w:rPr>
        <mc:AlternateContent>
          <mc:Choice Requires="wps">
            <w:drawing>
              <wp:anchor distT="0" distB="0" distL="114300" distR="114300" simplePos="0" relativeHeight="251657216" behindDoc="0" locked="0" layoutInCell="1" allowOverlap="1" wp14:anchorId="3B2D6226" wp14:editId="571B2ABD">
                <wp:simplePos x="0" y="0"/>
                <wp:positionH relativeFrom="column">
                  <wp:posOffset>6321087</wp:posOffset>
                </wp:positionH>
                <wp:positionV relativeFrom="paragraph">
                  <wp:posOffset>65273</wp:posOffset>
                </wp:positionV>
                <wp:extent cx="691375" cy="156117"/>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691375" cy="156117"/>
                        </a:xfrm>
                        <a:prstGeom prst="rect">
                          <a:avLst/>
                        </a:prstGeom>
                        <a:noFill/>
                        <a:ln w="6350">
                          <a:noFill/>
                        </a:ln>
                      </wps:spPr>
                      <wps:txbx>
                        <w:txbxContent>
                          <w:p w14:paraId="776782E3" w14:textId="77777777" w:rsidR="00A835AC" w:rsidRPr="0084065A" w:rsidRDefault="00A835AC"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5915312E" w14:textId="77777777" w:rsidR="00A835AC" w:rsidRDefault="00A83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D6226" id="_x0000_t202" coordsize="21600,21600" o:spt="202" path="m,l,21600r21600,l21600,xe">
                <v:stroke joinstyle="miter"/>
                <v:path gradientshapeok="t" o:connecttype="rect"/>
              </v:shapetype>
              <v:shape id="Text Box 3" o:spid="_x0000_s1026" type="#_x0000_t202" style="position:absolute;margin-left:497.7pt;margin-top:5.15pt;width:54.45pt;height:12.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dRMgIAAF8EAAAOAAAAZHJzL2Uyb0RvYy54bWysVE1v2zAMvQ/YfxB0Xxznq6sRp8haZBgQ&#10;tAWSoWdFlmIDlqhJSuzs14+S7Szodhrmg0CRxCP5HuXlQ6tqchbWVaBzmo7GlAjNoaj0Maff95tP&#10;nylxnumC1aBFTi/C0YfVxw/LxmRiAiXUhbAEQbTLGpPT0nuTJYnjpVDMjcAIjUEJVjGPV3tMCssa&#10;RFd1MhmPF0kDtjAWuHAOvU9dkK4ivpSC+xcpnfCkzin25uNp43kIZ7JasuxomSkr3rfB/qELxSqN&#10;Ra9QT8wzcrLVH1Cq4hYcSD/ioBKQsuIizoDTpON30+xKZkScBclx5kqT+3+w/Pn8aklV5HRKiWYK&#10;JdqL1pMv0JJpYKcxLsOkncE036IbVR78Dp1h6FZaRSwguekCRcEvcoHTEUxH2i9XqgM2R+fiPp3e&#10;zSnhGErnizS9C6BJhxUwjXX+qwBFgpFTi0pGUHbeOt+lDikhXcOmquuoZq1JgwWm866LawTBa401&#10;wkRd58Hy7aHtxzxAccEp4yDYtDN8U2HxLXP+lVlcC3TiqvsXPGQNWAR6i5IS7M+/+UM+qoVRShpc&#10;s5y6HydmBSX1N4063qezWdjLeJnN7yZ4sbeRw21En9Qj4CansbtohnxfD6a0oN7wRaxDVQwxzbF2&#10;Tv1gPvpu+fFFcbFexyTcRMP8Vu8MD9AD+/v2jVnT8+9RuGcYFpJl72Tocjsh1icPsooaBYI7Vnve&#10;cYujyv2LC8/k9h6zfv8XVr8AAAD//wMAUEsDBBQABgAIAAAAIQDfeGU+4gAAAAwBAAAPAAAAZHJz&#10;L2Rvd25yZXYueG1sTI/BasMwEETvhf6D2EBviWQH7MS1HEKhhB56qBNIj7K1td1YK2MpidOvr3Jq&#10;j8M+Zt7mm8n07IKj6yxJiBYCGFJtdUeNhMP+db4C5rwirXpLKOGGDjbF40OuMm2v9IGX0jcslJDL&#10;lITW+yHj3NUtGuUWdkAKty87GuVDHBuuR3UN5abnsRAJN6qjsNCqAV9arE/l2Uj4Nq5ar34wOm53&#10;NxO/l5/D285K+TSbts/APE7+D4a7flCHIjhV9kzasT5ksUyTwEqYL6M1sDsikjgGVklIUwG8yPn/&#10;J4pfAAAA//8DAFBLAQItABQABgAIAAAAIQC2gziS/gAAAOEBAAATAAAAAAAAAAAAAAAAAAAAAABb&#10;Q29udGVudF9UeXBlc10ueG1sUEsBAi0AFAAGAAgAAAAhADj9If/WAAAAlAEAAAsAAAAAAAAAAAAA&#10;AAAALwEAAF9yZWxzLy5yZWxzUEsBAi0AFAAGAAgAAAAhANIep1EyAgAAXwQAAA4AAAAAAAAAAAAA&#10;AAAALgIAAGRycy9lMm9Eb2MueG1sUEsBAi0AFAAGAAgAAAAhAN94ZT7iAAAADAEAAA8AAAAAAAAA&#10;AAAAAAAAjAQAAGRycy9kb3ducmV2LnhtbFBLBQYAAAAABAAEAPMAAACbBQAAAAA=&#10;" filled="f" stroked="f" strokeweight=".5pt">
                <v:textbox>
                  <w:txbxContent>
                    <w:p w14:paraId="776782E3" w14:textId="77777777" w:rsidR="00A835AC" w:rsidRPr="0084065A" w:rsidRDefault="00A835AC"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5915312E" w14:textId="77777777" w:rsidR="00A835AC" w:rsidRDefault="00A835AC"/>
                  </w:txbxContent>
                </v:textbox>
              </v:shape>
            </w:pict>
          </mc:Fallback>
        </mc:AlternateContent>
      </w:r>
      <w:r w:rsidR="00593FC9" w:rsidRPr="00593FC9">
        <w:rPr>
          <w:noProof/>
          <w:color w:val="auto"/>
          <w:lang w:eastAsia="en-AU"/>
        </w:rPr>
        <w:t>11</w:t>
      </w:r>
      <w:r w:rsidR="00E42337" w:rsidRPr="00593FC9">
        <w:rPr>
          <w:noProof/>
          <w:color w:val="auto"/>
          <w:lang w:eastAsia="en-AU"/>
        </w:rPr>
        <w:t xml:space="preserve"> </w:t>
      </w:r>
      <w:r w:rsidR="009C263D" w:rsidRPr="00593FC9">
        <w:rPr>
          <w:noProof/>
          <w:color w:val="auto"/>
          <w:lang w:eastAsia="en-AU"/>
        </w:rPr>
        <w:t>March</w:t>
      </w:r>
      <w:r w:rsidR="00A1790B" w:rsidRPr="00593FC9">
        <w:rPr>
          <w:color w:val="auto"/>
        </w:rPr>
        <w:t xml:space="preserve"> 2021</w:t>
      </w:r>
    </w:p>
    <w:sectPr w:rsidR="00365261" w:rsidRPr="00593FC9" w:rsidSect="00940B15">
      <w:headerReference w:type="even" r:id="rId12"/>
      <w:headerReference w:type="default" r:id="rId13"/>
      <w:footerReference w:type="default" r:id="rId14"/>
      <w:headerReference w:type="first" r:id="rId15"/>
      <w:pgSz w:w="11906" w:h="16838"/>
      <w:pgMar w:top="2552"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7CB81" w14:textId="77777777" w:rsidR="00A835AC" w:rsidRDefault="00A835AC" w:rsidP="003F5DCC">
      <w:pPr>
        <w:spacing w:after="0" w:line="240" w:lineRule="auto"/>
      </w:pPr>
      <w:r>
        <w:separator/>
      </w:r>
    </w:p>
  </w:endnote>
  <w:endnote w:type="continuationSeparator" w:id="0">
    <w:p w14:paraId="2A062664" w14:textId="77777777" w:rsidR="00A835AC" w:rsidRDefault="00A835AC" w:rsidP="003F5DCC">
      <w:pPr>
        <w:spacing w:after="0" w:line="240" w:lineRule="auto"/>
      </w:pPr>
      <w:r>
        <w:continuationSeparator/>
      </w:r>
    </w:p>
  </w:endnote>
  <w:endnote w:type="continuationNotice" w:id="1">
    <w:p w14:paraId="7862DC76" w14:textId="77777777" w:rsidR="00A835AC" w:rsidRDefault="00A835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NeueLT Std"/>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AA410" w14:textId="407F5502" w:rsidR="00A835AC" w:rsidRPr="006A4BBC" w:rsidRDefault="00A835AC" w:rsidP="002376FB">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FB048F">
      <w:rPr>
        <w:rStyle w:val="PageNumber"/>
        <w:noProof/>
        <w:color w:val="auto"/>
      </w:rPr>
      <w:t>3</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34614" w14:textId="77777777" w:rsidR="00A835AC" w:rsidRDefault="00A835AC" w:rsidP="003F5DCC">
      <w:pPr>
        <w:spacing w:after="0" w:line="240" w:lineRule="auto"/>
      </w:pPr>
      <w:r>
        <w:separator/>
      </w:r>
    </w:p>
  </w:footnote>
  <w:footnote w:type="continuationSeparator" w:id="0">
    <w:p w14:paraId="5826A669" w14:textId="77777777" w:rsidR="00A835AC" w:rsidRDefault="00A835AC" w:rsidP="003F5DCC">
      <w:pPr>
        <w:spacing w:after="0" w:line="240" w:lineRule="auto"/>
      </w:pPr>
      <w:r>
        <w:continuationSeparator/>
      </w:r>
    </w:p>
  </w:footnote>
  <w:footnote w:type="continuationNotice" w:id="1">
    <w:p w14:paraId="4D25BA5F" w14:textId="77777777" w:rsidR="00A835AC" w:rsidRDefault="00A835AC">
      <w:pPr>
        <w:spacing w:after="0" w:line="240" w:lineRule="auto"/>
      </w:pPr>
    </w:p>
  </w:footnote>
  <w:footnote w:id="2">
    <w:p w14:paraId="65329006" w14:textId="35A0FEB7" w:rsidR="00A835AC" w:rsidRPr="009E7164" w:rsidRDefault="00A835AC">
      <w:pPr>
        <w:pStyle w:val="FootnoteText"/>
        <w:rPr>
          <w:rFonts w:ascii="Arial" w:hAnsi="Arial" w:cs="Arial"/>
          <w:sz w:val="16"/>
          <w:szCs w:val="16"/>
        </w:rPr>
      </w:pPr>
      <w:r w:rsidRPr="009E7164">
        <w:rPr>
          <w:rStyle w:val="FootnoteReference"/>
          <w:rFonts w:ascii="Arial" w:hAnsi="Arial" w:cs="Arial"/>
          <w:sz w:val="16"/>
          <w:szCs w:val="16"/>
        </w:rPr>
        <w:footnoteRef/>
      </w:r>
      <w:r w:rsidRPr="009E7164">
        <w:rPr>
          <w:rFonts w:ascii="Arial" w:hAnsi="Arial" w:cs="Arial"/>
          <w:sz w:val="16"/>
          <w:szCs w:val="16"/>
        </w:rPr>
        <w:t xml:space="preserve"> </w:t>
      </w:r>
      <w:hyperlink r:id="rId1" w:history="1">
        <w:r w:rsidR="00B71E64" w:rsidRPr="00B61F1E">
          <w:rPr>
            <w:rStyle w:val="Hyperlink"/>
            <w:rFonts w:ascii="Arial" w:hAnsi="Arial" w:cs="Arial"/>
            <w:sz w:val="16"/>
            <w:szCs w:val="16"/>
          </w:rPr>
          <w:t>https://www.health.govt.nz/our-work/diseases-and-conditions/covid-19-novel-coronavirus</w:t>
        </w:r>
      </w:hyperlink>
      <w:r w:rsidR="00B71E64">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60C24" w14:textId="77777777" w:rsidR="00A835AC" w:rsidRDefault="00A835AC" w:rsidP="002376F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1CB3CC" w14:textId="77777777" w:rsidR="00A835AC" w:rsidRDefault="00A835AC" w:rsidP="002376F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0217" w14:textId="77777777" w:rsidR="00A835AC" w:rsidRDefault="00A835AC" w:rsidP="002376FB">
    <w:pPr>
      <w:pStyle w:val="Header"/>
      <w:ind w:firstLine="360"/>
    </w:pPr>
    <w:r>
      <w:rPr>
        <w:noProof/>
        <w:lang w:eastAsia="en-AU"/>
      </w:rPr>
      <w:drawing>
        <wp:anchor distT="0" distB="0" distL="114300" distR="114300" simplePos="0" relativeHeight="251656192" behindDoc="1" locked="1" layoutInCell="1" allowOverlap="1" wp14:anchorId="75E9EE15" wp14:editId="2A5F940A">
          <wp:simplePos x="0" y="0"/>
          <wp:positionH relativeFrom="page">
            <wp:align>left</wp:align>
          </wp:positionH>
          <wp:positionV relativeFrom="page">
            <wp:align>top</wp:align>
          </wp:positionV>
          <wp:extent cx="7657200" cy="10699200"/>
          <wp:effectExtent l="0" t="0" r="1270" b="6985"/>
          <wp:wrapNone/>
          <wp:docPr id="13" name="Picture 13" descr="Australian Government Department of Health BeCovidSafe header"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D4C7B" w14:textId="77777777" w:rsidR="00A835AC" w:rsidRDefault="00FB048F" w:rsidP="002376FB">
    <w:pPr>
      <w:pStyle w:val="Header"/>
      <w:ind w:right="360"/>
    </w:pPr>
    <w:sdt>
      <w:sdtPr>
        <w:id w:val="2133900075"/>
        <w:docPartObj>
          <w:docPartGallery w:val="Watermarks"/>
          <w:docPartUnique/>
        </w:docPartObj>
      </w:sdtPr>
      <w:sdtEndPr/>
      <w:sdtContent>
        <w:r>
          <w:rPr>
            <w:noProof/>
            <w:lang w:val="en-US"/>
          </w:rPr>
          <w:pict w14:anchorId="2FBF1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A835AC">
      <w:rPr>
        <w:noProof/>
        <w:lang w:eastAsia="en-AU"/>
      </w:rPr>
      <w:drawing>
        <wp:anchor distT="0" distB="0" distL="114300" distR="114300" simplePos="0" relativeHeight="251658240" behindDoc="0" locked="0" layoutInCell="1" allowOverlap="1" wp14:anchorId="5145035A" wp14:editId="5F9E8390">
          <wp:simplePos x="0" y="0"/>
          <wp:positionH relativeFrom="column">
            <wp:posOffset>-875030</wp:posOffset>
          </wp:positionH>
          <wp:positionV relativeFrom="paragraph">
            <wp:posOffset>-243840</wp:posOffset>
          </wp:positionV>
          <wp:extent cx="7698353" cy="10889445"/>
          <wp:effectExtent l="0" t="0" r="0" b="7620"/>
          <wp:wrapNone/>
          <wp:docPr id="14" name="Picture 14"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5AC">
      <w:rPr>
        <w:noProof/>
        <w:lang w:eastAsia="en-AU"/>
      </w:rPr>
      <w:drawing>
        <wp:anchor distT="0" distB="0" distL="114300" distR="114300" simplePos="0" relativeHeight="251657216" behindDoc="0" locked="0" layoutInCell="1" allowOverlap="1" wp14:anchorId="5F2A0C6B" wp14:editId="6B2B4E4B">
          <wp:simplePos x="0" y="0"/>
          <wp:positionH relativeFrom="column">
            <wp:posOffset>-1028700</wp:posOffset>
          </wp:positionH>
          <wp:positionV relativeFrom="paragraph">
            <wp:posOffset>-395605</wp:posOffset>
          </wp:positionV>
          <wp:extent cx="7698353" cy="10889445"/>
          <wp:effectExtent l="0" t="0" r="0" b="7620"/>
          <wp:wrapNone/>
          <wp:docPr id="15" name="Picture 15"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979"/>
    <w:multiLevelType w:val="hybridMultilevel"/>
    <w:tmpl w:val="B0C89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37B9B"/>
    <w:multiLevelType w:val="hybridMultilevel"/>
    <w:tmpl w:val="D6D2CD86"/>
    <w:lvl w:ilvl="0" w:tplc="097EA9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472F6"/>
    <w:multiLevelType w:val="hybridMultilevel"/>
    <w:tmpl w:val="44DC3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9522DE"/>
    <w:multiLevelType w:val="hybridMultilevel"/>
    <w:tmpl w:val="A760B7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10B053FA"/>
    <w:multiLevelType w:val="hybridMultilevel"/>
    <w:tmpl w:val="AEC69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B579BB"/>
    <w:multiLevelType w:val="hybridMultilevel"/>
    <w:tmpl w:val="E87C5EAA"/>
    <w:lvl w:ilvl="0" w:tplc="04CEB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FB6077"/>
    <w:multiLevelType w:val="hybridMultilevel"/>
    <w:tmpl w:val="E4F2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522492"/>
    <w:multiLevelType w:val="hybridMultilevel"/>
    <w:tmpl w:val="2E3AB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8F765D"/>
    <w:multiLevelType w:val="hybridMultilevel"/>
    <w:tmpl w:val="33325902"/>
    <w:lvl w:ilvl="0" w:tplc="04EE58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4881D16">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371D9A"/>
    <w:multiLevelType w:val="hybridMultilevel"/>
    <w:tmpl w:val="8DC683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F">
      <w:start w:val="1"/>
      <w:numFmt w:val="decimal"/>
      <w:lvlText w:val="%3."/>
      <w:lvlJc w:val="left"/>
      <w:pPr>
        <w:ind w:left="1800" w:hanging="360"/>
      </w:pPr>
      <w:rPr>
        <w:rFont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3134FE"/>
    <w:multiLevelType w:val="hybridMultilevel"/>
    <w:tmpl w:val="5BC8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2541C5"/>
    <w:multiLevelType w:val="hybridMultilevel"/>
    <w:tmpl w:val="25FEE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B9A8EC4C">
      <w:numFmt w:val="bullet"/>
      <w:lvlText w:val="-"/>
      <w:lvlJc w:val="left"/>
      <w:pPr>
        <w:ind w:left="1800" w:hanging="360"/>
      </w:pPr>
      <w:rPr>
        <w:rFonts w:ascii="Arial" w:eastAsia="Times New Roman" w:hAnsi="Arial" w:cs="Arial" w:hint="default"/>
        <w:color w:val="FF0000"/>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32B629E2"/>
    <w:multiLevelType w:val="hybridMultilevel"/>
    <w:tmpl w:val="E2E643D0"/>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3658133E"/>
    <w:multiLevelType w:val="hybridMultilevel"/>
    <w:tmpl w:val="AC26C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A513D2"/>
    <w:multiLevelType w:val="hybridMultilevel"/>
    <w:tmpl w:val="1EFCF6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A272E6"/>
    <w:multiLevelType w:val="hybridMultilevel"/>
    <w:tmpl w:val="579679FE"/>
    <w:lvl w:ilvl="0" w:tplc="DE203012">
      <w:start w:val="1"/>
      <w:numFmt w:val="bullet"/>
      <w:lvlText w:val=""/>
      <w:lvlJc w:val="left"/>
      <w:pPr>
        <w:ind w:left="720" w:hanging="360"/>
      </w:pPr>
      <w:rPr>
        <w:rFonts w:ascii="Symbol" w:hAnsi="Symbol" w:hint="default"/>
        <w:color w:val="auto"/>
      </w:rPr>
    </w:lvl>
    <w:lvl w:ilvl="1" w:tplc="6838A8DA">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5E1A56"/>
    <w:multiLevelType w:val="hybridMultilevel"/>
    <w:tmpl w:val="07FC9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12370C"/>
    <w:multiLevelType w:val="hybridMultilevel"/>
    <w:tmpl w:val="1C7C1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EC0B38"/>
    <w:multiLevelType w:val="hybridMultilevel"/>
    <w:tmpl w:val="1D862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9A0C8B"/>
    <w:multiLevelType w:val="hybridMultilevel"/>
    <w:tmpl w:val="E8C6A67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643D3854"/>
    <w:multiLevelType w:val="hybridMultilevel"/>
    <w:tmpl w:val="661C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A14EC1"/>
    <w:multiLevelType w:val="hybridMultilevel"/>
    <w:tmpl w:val="2A58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953372"/>
    <w:multiLevelType w:val="hybridMultilevel"/>
    <w:tmpl w:val="CF185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1"/>
  </w:num>
  <w:num w:numId="4">
    <w:abstractNumId w:val="5"/>
  </w:num>
  <w:num w:numId="5">
    <w:abstractNumId w:val="15"/>
  </w:num>
  <w:num w:numId="6">
    <w:abstractNumId w:val="1"/>
  </w:num>
  <w:num w:numId="7">
    <w:abstractNumId w:val="9"/>
  </w:num>
  <w:num w:numId="8">
    <w:abstractNumId w:val="20"/>
  </w:num>
  <w:num w:numId="9">
    <w:abstractNumId w:val="13"/>
  </w:num>
  <w:num w:numId="10">
    <w:abstractNumId w:val="3"/>
  </w:num>
  <w:num w:numId="11">
    <w:abstractNumId w:val="7"/>
  </w:num>
  <w:num w:numId="12">
    <w:abstractNumId w:val="14"/>
  </w:num>
  <w:num w:numId="13">
    <w:abstractNumId w:val="18"/>
  </w:num>
  <w:num w:numId="14">
    <w:abstractNumId w:val="0"/>
  </w:num>
  <w:num w:numId="15">
    <w:abstractNumId w:val="11"/>
  </w:num>
  <w:num w:numId="16">
    <w:abstractNumId w:val="23"/>
  </w:num>
  <w:num w:numId="17">
    <w:abstractNumId w:val="17"/>
  </w:num>
  <w:num w:numId="18">
    <w:abstractNumId w:val="22"/>
  </w:num>
  <w:num w:numId="19">
    <w:abstractNumId w:val="2"/>
  </w:num>
  <w:num w:numId="20">
    <w:abstractNumId w:val="19"/>
  </w:num>
  <w:num w:numId="21">
    <w:abstractNumId w:val="10"/>
  </w:num>
  <w:num w:numId="22">
    <w:abstractNumId w:val="8"/>
  </w:num>
  <w:num w:numId="23">
    <w:abstractNumId w:val="16"/>
  </w:num>
  <w:num w:numId="24">
    <w:abstractNumId w:val="1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CC"/>
    <w:rsid w:val="00014341"/>
    <w:rsid w:val="00022C1C"/>
    <w:rsid w:val="00025ED0"/>
    <w:rsid w:val="0002708E"/>
    <w:rsid w:val="00033906"/>
    <w:rsid w:val="00040026"/>
    <w:rsid w:val="00075BFE"/>
    <w:rsid w:val="00076817"/>
    <w:rsid w:val="0007741B"/>
    <w:rsid w:val="00081BA5"/>
    <w:rsid w:val="00085A07"/>
    <w:rsid w:val="000860B8"/>
    <w:rsid w:val="00086473"/>
    <w:rsid w:val="00097D19"/>
    <w:rsid w:val="000A5B04"/>
    <w:rsid w:val="000C1DBC"/>
    <w:rsid w:val="000F073C"/>
    <w:rsid w:val="000F5BB7"/>
    <w:rsid w:val="000F7501"/>
    <w:rsid w:val="0010335F"/>
    <w:rsid w:val="00115D98"/>
    <w:rsid w:val="00123406"/>
    <w:rsid w:val="00147564"/>
    <w:rsid w:val="001569AD"/>
    <w:rsid w:val="00157327"/>
    <w:rsid w:val="00170292"/>
    <w:rsid w:val="0018092F"/>
    <w:rsid w:val="00180AC2"/>
    <w:rsid w:val="001814A0"/>
    <w:rsid w:val="001843DC"/>
    <w:rsid w:val="001846B8"/>
    <w:rsid w:val="00185E09"/>
    <w:rsid w:val="00191F81"/>
    <w:rsid w:val="00192EC7"/>
    <w:rsid w:val="001951A1"/>
    <w:rsid w:val="001C2581"/>
    <w:rsid w:val="001C62FF"/>
    <w:rsid w:val="001D2FEF"/>
    <w:rsid w:val="001E047B"/>
    <w:rsid w:val="001E0E4A"/>
    <w:rsid w:val="001F546F"/>
    <w:rsid w:val="002063C3"/>
    <w:rsid w:val="00214AD8"/>
    <w:rsid w:val="002205B1"/>
    <w:rsid w:val="002209EC"/>
    <w:rsid w:val="002210D5"/>
    <w:rsid w:val="00227CE4"/>
    <w:rsid w:val="002329E8"/>
    <w:rsid w:val="002376FB"/>
    <w:rsid w:val="0024135B"/>
    <w:rsid w:val="00241BE8"/>
    <w:rsid w:val="002467A1"/>
    <w:rsid w:val="00256C08"/>
    <w:rsid w:val="0026125D"/>
    <w:rsid w:val="002630ED"/>
    <w:rsid w:val="00263F02"/>
    <w:rsid w:val="002705D3"/>
    <w:rsid w:val="00270AD7"/>
    <w:rsid w:val="00275246"/>
    <w:rsid w:val="00276092"/>
    <w:rsid w:val="00284A3B"/>
    <w:rsid w:val="002A519D"/>
    <w:rsid w:val="002B794D"/>
    <w:rsid w:val="002C3323"/>
    <w:rsid w:val="002D0DAD"/>
    <w:rsid w:val="002D655D"/>
    <w:rsid w:val="002E7AF7"/>
    <w:rsid w:val="002F5E02"/>
    <w:rsid w:val="00300221"/>
    <w:rsid w:val="00304E16"/>
    <w:rsid w:val="003077BF"/>
    <w:rsid w:val="00312B4E"/>
    <w:rsid w:val="003320C4"/>
    <w:rsid w:val="00337760"/>
    <w:rsid w:val="00343B8C"/>
    <w:rsid w:val="003555FE"/>
    <w:rsid w:val="003636FF"/>
    <w:rsid w:val="00365261"/>
    <w:rsid w:val="0038500F"/>
    <w:rsid w:val="00390B4D"/>
    <w:rsid w:val="00391355"/>
    <w:rsid w:val="00394E16"/>
    <w:rsid w:val="003A4DBC"/>
    <w:rsid w:val="003D22B2"/>
    <w:rsid w:val="003E1102"/>
    <w:rsid w:val="003F080B"/>
    <w:rsid w:val="003F25FE"/>
    <w:rsid w:val="003F5DCC"/>
    <w:rsid w:val="004009C1"/>
    <w:rsid w:val="0040157F"/>
    <w:rsid w:val="00401F86"/>
    <w:rsid w:val="00416B6A"/>
    <w:rsid w:val="0042089A"/>
    <w:rsid w:val="004229E8"/>
    <w:rsid w:val="0043061F"/>
    <w:rsid w:val="00433958"/>
    <w:rsid w:val="00452299"/>
    <w:rsid w:val="00465B56"/>
    <w:rsid w:val="00470665"/>
    <w:rsid w:val="00472E2A"/>
    <w:rsid w:val="004867D1"/>
    <w:rsid w:val="00486A4D"/>
    <w:rsid w:val="00494230"/>
    <w:rsid w:val="004A0E1F"/>
    <w:rsid w:val="004C3474"/>
    <w:rsid w:val="004C3A6B"/>
    <w:rsid w:val="004C49F6"/>
    <w:rsid w:val="004E1B97"/>
    <w:rsid w:val="004F6B1F"/>
    <w:rsid w:val="0050312A"/>
    <w:rsid w:val="005040A5"/>
    <w:rsid w:val="00511B99"/>
    <w:rsid w:val="00521CFC"/>
    <w:rsid w:val="00531A70"/>
    <w:rsid w:val="00542E6B"/>
    <w:rsid w:val="005536FF"/>
    <w:rsid w:val="005572F4"/>
    <w:rsid w:val="00567805"/>
    <w:rsid w:val="00581AE2"/>
    <w:rsid w:val="0058410E"/>
    <w:rsid w:val="00586656"/>
    <w:rsid w:val="00590CB1"/>
    <w:rsid w:val="00593FC9"/>
    <w:rsid w:val="005954C2"/>
    <w:rsid w:val="00596341"/>
    <w:rsid w:val="005B62AD"/>
    <w:rsid w:val="005F1BF3"/>
    <w:rsid w:val="005F201D"/>
    <w:rsid w:val="00604999"/>
    <w:rsid w:val="006060C4"/>
    <w:rsid w:val="0062366B"/>
    <w:rsid w:val="006236DF"/>
    <w:rsid w:val="006241BE"/>
    <w:rsid w:val="00662616"/>
    <w:rsid w:val="00672091"/>
    <w:rsid w:val="006850C5"/>
    <w:rsid w:val="00685E34"/>
    <w:rsid w:val="0069566E"/>
    <w:rsid w:val="006968FA"/>
    <w:rsid w:val="006A21FE"/>
    <w:rsid w:val="006A2F59"/>
    <w:rsid w:val="006B123D"/>
    <w:rsid w:val="006B229F"/>
    <w:rsid w:val="006B5542"/>
    <w:rsid w:val="006B63B0"/>
    <w:rsid w:val="006C1A96"/>
    <w:rsid w:val="006C75E4"/>
    <w:rsid w:val="006C79C8"/>
    <w:rsid w:val="006D5BC7"/>
    <w:rsid w:val="006F1695"/>
    <w:rsid w:val="006F4608"/>
    <w:rsid w:val="007000C4"/>
    <w:rsid w:val="00726BE0"/>
    <w:rsid w:val="0074789B"/>
    <w:rsid w:val="00755C1E"/>
    <w:rsid w:val="007575E7"/>
    <w:rsid w:val="007702C5"/>
    <w:rsid w:val="00771686"/>
    <w:rsid w:val="007A46D6"/>
    <w:rsid w:val="007A6C8A"/>
    <w:rsid w:val="007B0669"/>
    <w:rsid w:val="007C0E67"/>
    <w:rsid w:val="007E31DF"/>
    <w:rsid w:val="007E68CB"/>
    <w:rsid w:val="0080501F"/>
    <w:rsid w:val="008112D6"/>
    <w:rsid w:val="00813BF4"/>
    <w:rsid w:val="008222E4"/>
    <w:rsid w:val="00822CFB"/>
    <w:rsid w:val="0082509F"/>
    <w:rsid w:val="00827705"/>
    <w:rsid w:val="00836E47"/>
    <w:rsid w:val="0084065A"/>
    <w:rsid w:val="00845057"/>
    <w:rsid w:val="008542AB"/>
    <w:rsid w:val="00871AFD"/>
    <w:rsid w:val="00872F1C"/>
    <w:rsid w:val="00881BE8"/>
    <w:rsid w:val="00887D60"/>
    <w:rsid w:val="00894401"/>
    <w:rsid w:val="008A7DD1"/>
    <w:rsid w:val="008B05E5"/>
    <w:rsid w:val="008B1D87"/>
    <w:rsid w:val="008B5A8F"/>
    <w:rsid w:val="008C2A74"/>
    <w:rsid w:val="009051AB"/>
    <w:rsid w:val="009143D3"/>
    <w:rsid w:val="00935967"/>
    <w:rsid w:val="00936E09"/>
    <w:rsid w:val="00940B15"/>
    <w:rsid w:val="00942848"/>
    <w:rsid w:val="0095330F"/>
    <w:rsid w:val="00955515"/>
    <w:rsid w:val="00957B8A"/>
    <w:rsid w:val="00964674"/>
    <w:rsid w:val="00970BF3"/>
    <w:rsid w:val="00976309"/>
    <w:rsid w:val="00977AB9"/>
    <w:rsid w:val="009A175F"/>
    <w:rsid w:val="009B1C8A"/>
    <w:rsid w:val="009C263D"/>
    <w:rsid w:val="009C4B3A"/>
    <w:rsid w:val="009C7680"/>
    <w:rsid w:val="009D3C34"/>
    <w:rsid w:val="009D6DEB"/>
    <w:rsid w:val="009E5E2A"/>
    <w:rsid w:val="009E7164"/>
    <w:rsid w:val="00A05D52"/>
    <w:rsid w:val="00A1790B"/>
    <w:rsid w:val="00A24237"/>
    <w:rsid w:val="00A32BE1"/>
    <w:rsid w:val="00A516A0"/>
    <w:rsid w:val="00A6047A"/>
    <w:rsid w:val="00A611FF"/>
    <w:rsid w:val="00A62AF8"/>
    <w:rsid w:val="00A64036"/>
    <w:rsid w:val="00A835AC"/>
    <w:rsid w:val="00A83661"/>
    <w:rsid w:val="00A845B5"/>
    <w:rsid w:val="00A852DF"/>
    <w:rsid w:val="00A87EA6"/>
    <w:rsid w:val="00AA2159"/>
    <w:rsid w:val="00AA3035"/>
    <w:rsid w:val="00AC2072"/>
    <w:rsid w:val="00AC359C"/>
    <w:rsid w:val="00AD0165"/>
    <w:rsid w:val="00AD68CF"/>
    <w:rsid w:val="00AE1551"/>
    <w:rsid w:val="00AF38A0"/>
    <w:rsid w:val="00B00B16"/>
    <w:rsid w:val="00B211B6"/>
    <w:rsid w:val="00B2382E"/>
    <w:rsid w:val="00B279CB"/>
    <w:rsid w:val="00B303FF"/>
    <w:rsid w:val="00B30B2D"/>
    <w:rsid w:val="00B365FB"/>
    <w:rsid w:val="00B377B6"/>
    <w:rsid w:val="00B47C40"/>
    <w:rsid w:val="00B565BC"/>
    <w:rsid w:val="00B63EAA"/>
    <w:rsid w:val="00B67406"/>
    <w:rsid w:val="00B713E1"/>
    <w:rsid w:val="00B71E64"/>
    <w:rsid w:val="00B77066"/>
    <w:rsid w:val="00B83628"/>
    <w:rsid w:val="00B85810"/>
    <w:rsid w:val="00B867A8"/>
    <w:rsid w:val="00B968C7"/>
    <w:rsid w:val="00BA274A"/>
    <w:rsid w:val="00BA2E0E"/>
    <w:rsid w:val="00BA525E"/>
    <w:rsid w:val="00BB0833"/>
    <w:rsid w:val="00BC1ACA"/>
    <w:rsid w:val="00BC66AD"/>
    <w:rsid w:val="00BF6D6F"/>
    <w:rsid w:val="00C0041A"/>
    <w:rsid w:val="00C31BB8"/>
    <w:rsid w:val="00C410FF"/>
    <w:rsid w:val="00C44F9D"/>
    <w:rsid w:val="00C45B64"/>
    <w:rsid w:val="00C91BD6"/>
    <w:rsid w:val="00CA0AA7"/>
    <w:rsid w:val="00CA14DF"/>
    <w:rsid w:val="00CA4CC3"/>
    <w:rsid w:val="00CC47E8"/>
    <w:rsid w:val="00CC4C1B"/>
    <w:rsid w:val="00CC764C"/>
    <w:rsid w:val="00CF14FC"/>
    <w:rsid w:val="00CF5CC0"/>
    <w:rsid w:val="00D01F3D"/>
    <w:rsid w:val="00D0327A"/>
    <w:rsid w:val="00D23407"/>
    <w:rsid w:val="00D2738C"/>
    <w:rsid w:val="00D35673"/>
    <w:rsid w:val="00D36311"/>
    <w:rsid w:val="00D415AA"/>
    <w:rsid w:val="00D4409E"/>
    <w:rsid w:val="00D449A3"/>
    <w:rsid w:val="00D504C8"/>
    <w:rsid w:val="00D52A83"/>
    <w:rsid w:val="00D61008"/>
    <w:rsid w:val="00D72BB6"/>
    <w:rsid w:val="00D75434"/>
    <w:rsid w:val="00D80F63"/>
    <w:rsid w:val="00D811E6"/>
    <w:rsid w:val="00D857EA"/>
    <w:rsid w:val="00D941F3"/>
    <w:rsid w:val="00DA07DD"/>
    <w:rsid w:val="00DB1DD4"/>
    <w:rsid w:val="00DC55C7"/>
    <w:rsid w:val="00DC7086"/>
    <w:rsid w:val="00DD5DD6"/>
    <w:rsid w:val="00DE1D7A"/>
    <w:rsid w:val="00E025DA"/>
    <w:rsid w:val="00E03083"/>
    <w:rsid w:val="00E11B80"/>
    <w:rsid w:val="00E40EED"/>
    <w:rsid w:val="00E421D6"/>
    <w:rsid w:val="00E4221B"/>
    <w:rsid w:val="00E42337"/>
    <w:rsid w:val="00E47B8E"/>
    <w:rsid w:val="00E55E4E"/>
    <w:rsid w:val="00E66E74"/>
    <w:rsid w:val="00E80445"/>
    <w:rsid w:val="00E820A3"/>
    <w:rsid w:val="00E83222"/>
    <w:rsid w:val="00E93071"/>
    <w:rsid w:val="00E979D6"/>
    <w:rsid w:val="00EA1ED2"/>
    <w:rsid w:val="00EA7595"/>
    <w:rsid w:val="00EB15C1"/>
    <w:rsid w:val="00EB4ECF"/>
    <w:rsid w:val="00EC1E77"/>
    <w:rsid w:val="00EC43AB"/>
    <w:rsid w:val="00ED2D53"/>
    <w:rsid w:val="00ED67DE"/>
    <w:rsid w:val="00EF1499"/>
    <w:rsid w:val="00EF3FD8"/>
    <w:rsid w:val="00F00FC1"/>
    <w:rsid w:val="00F03901"/>
    <w:rsid w:val="00F057DB"/>
    <w:rsid w:val="00F10259"/>
    <w:rsid w:val="00F102EE"/>
    <w:rsid w:val="00F13CB4"/>
    <w:rsid w:val="00F13DFA"/>
    <w:rsid w:val="00F1508F"/>
    <w:rsid w:val="00F4102D"/>
    <w:rsid w:val="00F503F4"/>
    <w:rsid w:val="00F55E42"/>
    <w:rsid w:val="00F60D81"/>
    <w:rsid w:val="00F75E48"/>
    <w:rsid w:val="00F84338"/>
    <w:rsid w:val="00F85146"/>
    <w:rsid w:val="00F86AE1"/>
    <w:rsid w:val="00FA20EC"/>
    <w:rsid w:val="00FA4745"/>
    <w:rsid w:val="00FA677D"/>
    <w:rsid w:val="00FB048F"/>
    <w:rsid w:val="00FB7A38"/>
    <w:rsid w:val="00FD4B34"/>
    <w:rsid w:val="00FD57C2"/>
    <w:rsid w:val="00FE294C"/>
    <w:rsid w:val="00FF2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F82716"/>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of Text"/>
    <w:next w:val="BodyText"/>
    <w:qFormat/>
    <w:rsid w:val="003F5DCC"/>
    <w:pPr>
      <w:spacing w:after="160" w:line="259" w:lineRule="auto"/>
    </w:pPr>
    <w:rPr>
      <w:rFonts w:ascii="Arial" w:hAnsi="Arial" w:cs="Times New Roman"/>
      <w:color w:val="000000" w:themeColor="text1"/>
      <w:sz w:val="24"/>
      <w:szCs w:val="24"/>
    </w:rPr>
  </w:style>
  <w:style w:type="paragraph" w:styleId="Heading1">
    <w:name w:val="heading 1"/>
    <w:basedOn w:val="List"/>
    <w:next w:val="Normal"/>
    <w:link w:val="Heading1Char"/>
    <w:uiPriority w:val="9"/>
    <w:qFormat/>
    <w:rsid w:val="00B211B6"/>
    <w:pPr>
      <w:spacing w:after="120" w:line="240" w:lineRule="auto"/>
      <w:ind w:left="0" w:firstLine="0"/>
      <w:outlineLvl w:val="0"/>
    </w:pPr>
    <w:rPr>
      <w:rFonts w:cs="Arial"/>
      <w:color w:val="1B1F6C"/>
      <w:sz w:val="32"/>
      <w:szCs w:val="32"/>
      <w:lang w:val="en"/>
    </w:rPr>
  </w:style>
  <w:style w:type="paragraph" w:styleId="Heading2">
    <w:name w:val="heading 2"/>
    <w:basedOn w:val="Normal"/>
    <w:next w:val="Normal"/>
    <w:link w:val="Heading2Char"/>
    <w:uiPriority w:val="9"/>
    <w:unhideWhenUsed/>
    <w:qFormat/>
    <w:rsid w:val="00B211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7"/>
      </w:numPr>
      <w:spacing w:after="120" w:line="276" w:lineRule="auto"/>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B211B6"/>
    <w:pPr>
      <w:numPr>
        <w:ilvl w:val="1"/>
      </w:numPr>
      <w:spacing w:after="0" w:line="240" w:lineRule="auto"/>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B211B6"/>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table" w:styleId="TableGrid">
    <w:name w:val="Table Grid"/>
    <w:basedOn w:val="TableNormal"/>
    <w:uiPriority w:val="59"/>
    <w:rsid w:val="00D0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FA"/>
    <w:pPr>
      <w:spacing w:after="0" w:line="240" w:lineRule="auto"/>
    </w:pPr>
    <w:rPr>
      <w:rFonts w:ascii="Arial" w:hAnsi="Arial" w:cs="Times New Roman"/>
      <w:color w:val="000000" w:themeColor="text1"/>
      <w:sz w:val="24"/>
      <w:szCs w:val="24"/>
    </w:rPr>
  </w:style>
  <w:style w:type="character" w:styleId="Strong">
    <w:name w:val="Strong"/>
    <w:basedOn w:val="DefaultParagraphFont"/>
    <w:uiPriority w:val="22"/>
    <w:qFormat/>
    <w:rsid w:val="00B211B6"/>
    <w:rPr>
      <w:b/>
      <w:bCs/>
    </w:rPr>
  </w:style>
  <w:style w:type="character" w:customStyle="1" w:styleId="Heading1Char">
    <w:name w:val="Heading 1 Char"/>
    <w:basedOn w:val="DefaultParagraphFont"/>
    <w:link w:val="Heading1"/>
    <w:uiPriority w:val="9"/>
    <w:rsid w:val="00B211B6"/>
    <w:rPr>
      <w:rFonts w:ascii="Arial" w:hAnsi="Arial" w:cs="Arial"/>
      <w:color w:val="1B1F6C"/>
      <w:sz w:val="32"/>
      <w:szCs w:val="32"/>
      <w:lang w:val="en"/>
    </w:rPr>
  </w:style>
  <w:style w:type="character" w:customStyle="1" w:styleId="Heading2Char">
    <w:name w:val="Heading 2 Char"/>
    <w:basedOn w:val="DefaultParagraphFont"/>
    <w:link w:val="Heading2"/>
    <w:uiPriority w:val="9"/>
    <w:rsid w:val="00B211B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E7AF7"/>
    <w:pPr>
      <w:spacing w:after="0" w:line="240" w:lineRule="auto"/>
    </w:pPr>
    <w:rPr>
      <w:rFonts w:ascii="Calibri" w:hAnsi="Calibri" w:cs="Calibri"/>
      <w:color w:val="auto"/>
      <w:sz w:val="20"/>
      <w:szCs w:val="20"/>
    </w:rPr>
  </w:style>
  <w:style w:type="character" w:customStyle="1" w:styleId="FootnoteTextChar">
    <w:name w:val="Footnote Text Char"/>
    <w:basedOn w:val="DefaultParagraphFont"/>
    <w:link w:val="FootnoteText"/>
    <w:uiPriority w:val="99"/>
    <w:semiHidden/>
    <w:rsid w:val="002E7AF7"/>
    <w:rPr>
      <w:rFonts w:ascii="Calibri" w:hAnsi="Calibri" w:cs="Calibri"/>
      <w:sz w:val="20"/>
      <w:szCs w:val="20"/>
    </w:rPr>
  </w:style>
  <w:style w:type="character" w:styleId="FootnoteReference">
    <w:name w:val="footnote reference"/>
    <w:basedOn w:val="DefaultParagraphFont"/>
    <w:uiPriority w:val="99"/>
    <w:semiHidden/>
    <w:unhideWhenUsed/>
    <w:rsid w:val="002E7AF7"/>
    <w:rPr>
      <w:vertAlign w:val="superscript"/>
    </w:rPr>
  </w:style>
  <w:style w:type="paragraph" w:styleId="NormalWeb">
    <w:name w:val="Normal (Web)"/>
    <w:basedOn w:val="Normal"/>
    <w:uiPriority w:val="99"/>
    <w:unhideWhenUsed/>
    <w:rsid w:val="00845057"/>
    <w:pPr>
      <w:spacing w:before="100" w:beforeAutospacing="1" w:after="100" w:afterAutospacing="1" w:line="240" w:lineRule="auto"/>
    </w:pPr>
    <w:rPr>
      <w:rFonts w:ascii="Times New Roman" w:eastAsia="Times New Roman" w:hAnsi="Times New Roman"/>
      <w:color w:val="auto"/>
      <w:lang w:eastAsia="en-AU"/>
    </w:rPr>
  </w:style>
  <w:style w:type="paragraph" w:customStyle="1" w:styleId="s4">
    <w:name w:val="s4"/>
    <w:basedOn w:val="Normal"/>
    <w:rsid w:val="00033906"/>
    <w:pPr>
      <w:spacing w:before="100" w:beforeAutospacing="1" w:after="100" w:afterAutospacing="1" w:line="240" w:lineRule="auto"/>
    </w:pPr>
    <w:rPr>
      <w:rFonts w:ascii="Times New Roman" w:hAnsi="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41751">
      <w:bodyDiv w:val="1"/>
      <w:marLeft w:val="0"/>
      <w:marRight w:val="0"/>
      <w:marTop w:val="0"/>
      <w:marBottom w:val="0"/>
      <w:divBdr>
        <w:top w:val="none" w:sz="0" w:space="0" w:color="auto"/>
        <w:left w:val="none" w:sz="0" w:space="0" w:color="auto"/>
        <w:bottom w:val="none" w:sz="0" w:space="0" w:color="auto"/>
        <w:right w:val="none" w:sz="0" w:space="0" w:color="auto"/>
      </w:divBdr>
    </w:div>
    <w:div w:id="335614076">
      <w:bodyDiv w:val="1"/>
      <w:marLeft w:val="0"/>
      <w:marRight w:val="0"/>
      <w:marTop w:val="0"/>
      <w:marBottom w:val="0"/>
      <w:divBdr>
        <w:top w:val="none" w:sz="0" w:space="0" w:color="auto"/>
        <w:left w:val="none" w:sz="0" w:space="0" w:color="auto"/>
        <w:bottom w:val="none" w:sz="0" w:space="0" w:color="auto"/>
        <w:right w:val="none" w:sz="0" w:space="0" w:color="auto"/>
      </w:divBdr>
    </w:div>
    <w:div w:id="394814264">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609047699">
      <w:bodyDiv w:val="1"/>
      <w:marLeft w:val="0"/>
      <w:marRight w:val="0"/>
      <w:marTop w:val="0"/>
      <w:marBottom w:val="0"/>
      <w:divBdr>
        <w:top w:val="none" w:sz="0" w:space="0" w:color="auto"/>
        <w:left w:val="none" w:sz="0" w:space="0" w:color="auto"/>
        <w:bottom w:val="none" w:sz="0" w:space="0" w:color="auto"/>
        <w:right w:val="none" w:sz="0" w:space="0" w:color="auto"/>
      </w:divBdr>
    </w:div>
    <w:div w:id="653029516">
      <w:bodyDiv w:val="1"/>
      <w:marLeft w:val="0"/>
      <w:marRight w:val="0"/>
      <w:marTop w:val="0"/>
      <w:marBottom w:val="0"/>
      <w:divBdr>
        <w:top w:val="none" w:sz="0" w:space="0" w:color="auto"/>
        <w:left w:val="none" w:sz="0" w:space="0" w:color="auto"/>
        <w:bottom w:val="none" w:sz="0" w:space="0" w:color="auto"/>
        <w:right w:val="none" w:sz="0" w:space="0" w:color="auto"/>
      </w:divBdr>
    </w:div>
    <w:div w:id="770784348">
      <w:bodyDiv w:val="1"/>
      <w:marLeft w:val="0"/>
      <w:marRight w:val="0"/>
      <w:marTop w:val="0"/>
      <w:marBottom w:val="0"/>
      <w:divBdr>
        <w:top w:val="none" w:sz="0" w:space="0" w:color="auto"/>
        <w:left w:val="none" w:sz="0" w:space="0" w:color="auto"/>
        <w:bottom w:val="none" w:sz="0" w:space="0" w:color="auto"/>
        <w:right w:val="none" w:sz="0" w:space="0" w:color="auto"/>
      </w:divBdr>
    </w:div>
    <w:div w:id="894971788">
      <w:bodyDiv w:val="1"/>
      <w:marLeft w:val="0"/>
      <w:marRight w:val="0"/>
      <w:marTop w:val="0"/>
      <w:marBottom w:val="0"/>
      <w:divBdr>
        <w:top w:val="none" w:sz="0" w:space="0" w:color="auto"/>
        <w:left w:val="none" w:sz="0" w:space="0" w:color="auto"/>
        <w:bottom w:val="none" w:sz="0" w:space="0" w:color="auto"/>
        <w:right w:val="none" w:sz="0" w:space="0" w:color="auto"/>
      </w:divBdr>
    </w:div>
    <w:div w:id="920875197">
      <w:bodyDiv w:val="1"/>
      <w:marLeft w:val="0"/>
      <w:marRight w:val="0"/>
      <w:marTop w:val="0"/>
      <w:marBottom w:val="0"/>
      <w:divBdr>
        <w:top w:val="none" w:sz="0" w:space="0" w:color="auto"/>
        <w:left w:val="none" w:sz="0" w:space="0" w:color="auto"/>
        <w:bottom w:val="none" w:sz="0" w:space="0" w:color="auto"/>
        <w:right w:val="none" w:sz="0" w:space="0" w:color="auto"/>
      </w:divBdr>
    </w:div>
    <w:div w:id="1347555644">
      <w:bodyDiv w:val="1"/>
      <w:marLeft w:val="0"/>
      <w:marRight w:val="0"/>
      <w:marTop w:val="0"/>
      <w:marBottom w:val="0"/>
      <w:divBdr>
        <w:top w:val="none" w:sz="0" w:space="0" w:color="auto"/>
        <w:left w:val="none" w:sz="0" w:space="0" w:color="auto"/>
        <w:bottom w:val="none" w:sz="0" w:space="0" w:color="auto"/>
        <w:right w:val="none" w:sz="0" w:space="0" w:color="auto"/>
      </w:divBdr>
    </w:div>
    <w:div w:id="1611014600">
      <w:bodyDiv w:val="1"/>
      <w:marLeft w:val="0"/>
      <w:marRight w:val="0"/>
      <w:marTop w:val="0"/>
      <w:marBottom w:val="0"/>
      <w:divBdr>
        <w:top w:val="none" w:sz="0" w:space="0" w:color="auto"/>
        <w:left w:val="none" w:sz="0" w:space="0" w:color="auto"/>
        <w:bottom w:val="none" w:sz="0" w:space="0" w:color="auto"/>
        <w:right w:val="none" w:sz="0" w:space="0" w:color="auto"/>
      </w:divBdr>
    </w:div>
    <w:div w:id="17407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our-work/diseases-and-conditions/covid-19-novel-coronavir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87F50-FEB9-4394-99E5-F0F9275A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B96362-01F3-4029-92F6-17A2AAD9C0C1}">
  <ds:schemaRefs>
    <ds:schemaRef ds:uri="http://schemas.microsoft.com/sharepoint/v3/contenttype/forms"/>
  </ds:schemaRefs>
</ds:datastoreItem>
</file>

<file path=customXml/itemProps3.xml><?xml version="1.0" encoding="utf-8"?>
<ds:datastoreItem xmlns:ds="http://schemas.openxmlformats.org/officeDocument/2006/customXml" ds:itemID="{B7A2CDD0-89BB-43F4-973D-60F7E5C2F50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1929EC3-A2B3-4E35-B78C-80CD2807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629</Words>
  <Characters>3588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Coronavirus (COVID-19) – New Zealand – situation update as at 5 November 2020</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 New Zealand – situation update as at 5 November 2020</dc:title>
  <dc:subject>Communicable diseases; Emergency health management; Travel health</dc:subject>
  <dc:creator>Australian Government Department of Health</dc:creator>
  <cp:keywords>coronavirus; covid-19; statistics; NZ</cp:keywords>
  <dc:description/>
  <cp:lastModifiedBy>EDGE, Felicity</cp:lastModifiedBy>
  <cp:revision>2</cp:revision>
  <cp:lastPrinted>2021-02-24T03:46:00Z</cp:lastPrinted>
  <dcterms:created xsi:type="dcterms:W3CDTF">2021-03-17T02:49:00Z</dcterms:created>
  <dcterms:modified xsi:type="dcterms:W3CDTF">2021-03-17T02:49:00Z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