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810CE" w14:textId="6DCA6322" w:rsidR="00487D0D" w:rsidRPr="00F2173A" w:rsidRDefault="00487D0D" w:rsidP="00F6271A">
      <w:pPr>
        <w:ind w:left="720" w:hanging="720"/>
        <w:jc w:val="center"/>
      </w:pPr>
      <w:r>
        <w:rPr>
          <w:noProof/>
          <w:lang w:val="en-AU" w:eastAsia="en-AU"/>
        </w:rPr>
        <w:drawing>
          <wp:inline distT="0" distB="0" distL="0" distR="0" wp14:anchorId="1A65FE2E" wp14:editId="7C370ECF">
            <wp:extent cx="3352165" cy="1088390"/>
            <wp:effectExtent l="0" t="0" r="635" b="0"/>
            <wp:docPr id="7" name="Picture 7" descr="BreastScree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eastScreen logo_RGB - Dec 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165" cy="1088390"/>
                    </a:xfrm>
                    <a:prstGeom prst="rect">
                      <a:avLst/>
                    </a:prstGeom>
                    <a:noFill/>
                    <a:ln w="9525">
                      <a:noFill/>
                      <a:miter lim="800000"/>
                      <a:headEnd/>
                      <a:tailEnd/>
                    </a:ln>
                  </pic:spPr>
                </pic:pic>
              </a:graphicData>
            </a:graphic>
          </wp:inline>
        </w:drawing>
      </w:r>
    </w:p>
    <w:p w14:paraId="6C997112" w14:textId="77777777" w:rsidR="00487D0D" w:rsidRPr="00B3422A" w:rsidRDefault="00487D0D" w:rsidP="005D7619">
      <w:pPr>
        <w:pStyle w:val="Title"/>
        <w:pBdr>
          <w:bottom w:val="none" w:sz="0" w:space="0" w:color="auto"/>
        </w:pBdr>
        <w:spacing w:before="1320"/>
      </w:pPr>
      <w:r w:rsidRPr="00B3422A">
        <w:t>BREASTSCREEN AUSTRALIA</w:t>
      </w:r>
    </w:p>
    <w:p w14:paraId="5593AF42" w14:textId="77777777" w:rsidR="00487D0D" w:rsidRPr="00B3422A" w:rsidRDefault="00487D0D" w:rsidP="003834B6">
      <w:pPr>
        <w:pStyle w:val="Title"/>
        <w:pBdr>
          <w:bottom w:val="none" w:sz="0" w:space="0" w:color="auto"/>
        </w:pBdr>
      </w:pPr>
      <w:r w:rsidRPr="00B3422A">
        <w:t>NATIONAL ACCREDITATION HANDBOOK</w:t>
      </w:r>
    </w:p>
    <w:p w14:paraId="040CEF6F" w14:textId="0FF858C3" w:rsidR="00487D0D" w:rsidRDefault="00487D0D" w:rsidP="005D7619">
      <w:pPr>
        <w:spacing w:before="1080"/>
        <w:jc w:val="center"/>
      </w:pPr>
      <w:r w:rsidRPr="00650F37">
        <w:t>Updated under the auspices of the BreastScreen Australia Accreditation Review Committee</w:t>
      </w:r>
    </w:p>
    <w:p w14:paraId="5B052939" w14:textId="7D9932B3" w:rsidR="00AA6550" w:rsidRPr="00650F37" w:rsidRDefault="004960A0" w:rsidP="003834B6">
      <w:pPr>
        <w:jc w:val="center"/>
      </w:pPr>
      <w:r>
        <w:t>March</w:t>
      </w:r>
      <w:r w:rsidR="007457DB">
        <w:t xml:space="preserve"> </w:t>
      </w:r>
      <w:r w:rsidR="007457DB" w:rsidRPr="00714D13">
        <w:t>20</w:t>
      </w:r>
      <w:r w:rsidR="007457DB">
        <w:t>2</w:t>
      </w:r>
      <w:r w:rsidR="009675AF">
        <w:t>1</w:t>
      </w:r>
    </w:p>
    <w:p w14:paraId="7F4A2041" w14:textId="4E3580BF" w:rsidR="00487D0D" w:rsidRPr="00650F37" w:rsidRDefault="00487D0D" w:rsidP="00AB1C35"/>
    <w:p w14:paraId="59C460E3" w14:textId="77777777" w:rsidR="00A21310" w:rsidRPr="00650F37" w:rsidRDefault="00A21310" w:rsidP="00AB1C35">
      <w:pPr>
        <w:sectPr w:rsidR="00A21310" w:rsidRPr="00650F37" w:rsidSect="00213CDC">
          <w:footerReference w:type="even" r:id="rId9"/>
          <w:footerReference w:type="default" r:id="rId10"/>
          <w:pgSz w:w="11906" w:h="16838" w:code="9"/>
          <w:pgMar w:top="1440" w:right="1440" w:bottom="1440" w:left="1440" w:header="709" w:footer="567" w:gutter="0"/>
          <w:cols w:space="720"/>
          <w:titlePg/>
          <w:docGrid w:linePitch="299"/>
        </w:sectPr>
      </w:pPr>
    </w:p>
    <w:p w14:paraId="4146A0A5" w14:textId="3EDBBEF6" w:rsidR="00A21310" w:rsidRPr="00650F37" w:rsidRDefault="00A21310" w:rsidP="00AB1C35">
      <w:r w:rsidRPr="00650F37">
        <w:lastRenderedPageBreak/>
        <w:t>© Commonwealth of Australia 20</w:t>
      </w:r>
      <w:r w:rsidR="008F7101">
        <w:t>1</w:t>
      </w:r>
      <w:r w:rsidR="004204F2">
        <w:t>5</w:t>
      </w:r>
    </w:p>
    <w:p w14:paraId="37D174EB" w14:textId="4336C2C3" w:rsidR="00800469" w:rsidRPr="00DC0BCF" w:rsidRDefault="00800469" w:rsidP="00AB1C35">
      <w:pPr>
        <w:rPr>
          <w:b/>
          <w:bCs/>
        </w:rPr>
      </w:pPr>
      <w:r w:rsidRPr="00DC0BCF">
        <w:rPr>
          <w:b/>
          <w:bCs/>
        </w:rPr>
        <w:t xml:space="preserve">Accreditation Handbook </w:t>
      </w:r>
      <w:r w:rsidR="00FB0854">
        <w:rPr>
          <w:b/>
          <w:bCs/>
        </w:rPr>
        <w:t>version h</w:t>
      </w:r>
      <w:r w:rsidRPr="00DC0BCF">
        <w:rPr>
          <w:b/>
          <w:bCs/>
        </w:rPr>
        <w:t>istory</w:t>
      </w:r>
    </w:p>
    <w:tbl>
      <w:tblPr>
        <w:tblStyle w:val="TableGrid"/>
        <w:tblW w:w="9067" w:type="dxa"/>
        <w:tblLook w:val="04A0" w:firstRow="1" w:lastRow="0" w:firstColumn="1" w:lastColumn="0" w:noHBand="0" w:noVBand="1"/>
        <w:tblDescription w:val="Accreditation handbook list of releases"/>
      </w:tblPr>
      <w:tblGrid>
        <w:gridCol w:w="1838"/>
        <w:gridCol w:w="7229"/>
      </w:tblGrid>
      <w:tr w:rsidR="00800469" w14:paraId="1D5E6C9F" w14:textId="77777777" w:rsidTr="00FB0854">
        <w:trPr>
          <w:tblHeader/>
        </w:trPr>
        <w:tc>
          <w:tcPr>
            <w:tcW w:w="1838" w:type="dxa"/>
          </w:tcPr>
          <w:p w14:paraId="08276422" w14:textId="3F763A8C" w:rsidR="00800469" w:rsidRPr="000159B3" w:rsidRDefault="00800469" w:rsidP="00AB1C35">
            <w:pPr>
              <w:rPr>
                <w:b/>
              </w:rPr>
            </w:pPr>
            <w:r w:rsidRPr="000159B3">
              <w:rPr>
                <w:b/>
              </w:rPr>
              <w:t>Release Date</w:t>
            </w:r>
          </w:p>
        </w:tc>
        <w:tc>
          <w:tcPr>
            <w:tcW w:w="7229" w:type="dxa"/>
          </w:tcPr>
          <w:p w14:paraId="6A3914A9" w14:textId="367168ED" w:rsidR="00800469" w:rsidRPr="000159B3" w:rsidRDefault="00D5236D" w:rsidP="00AB1C35">
            <w:pPr>
              <w:rPr>
                <w:b/>
              </w:rPr>
            </w:pPr>
            <w:r w:rsidRPr="000159B3">
              <w:rPr>
                <w:b/>
              </w:rPr>
              <w:t>Detail</w:t>
            </w:r>
          </w:p>
        </w:tc>
      </w:tr>
      <w:tr w:rsidR="00800469" w14:paraId="4B538CEF" w14:textId="77777777" w:rsidTr="00FB0854">
        <w:trPr>
          <w:tblHeader/>
        </w:trPr>
        <w:tc>
          <w:tcPr>
            <w:tcW w:w="1838" w:type="dxa"/>
          </w:tcPr>
          <w:p w14:paraId="4A79CC87" w14:textId="3F62F671" w:rsidR="00800469" w:rsidRDefault="00800469" w:rsidP="00AB1C35">
            <w:r>
              <w:t>March 2015</w:t>
            </w:r>
          </w:p>
        </w:tc>
        <w:tc>
          <w:tcPr>
            <w:tcW w:w="7229" w:type="dxa"/>
          </w:tcPr>
          <w:p w14:paraId="3DA83CCC" w14:textId="25F452E2" w:rsidR="00800469" w:rsidRDefault="00800469" w:rsidP="00AB1C35">
            <w:r>
              <w:t>Original version</w:t>
            </w:r>
            <w:r w:rsidR="00297192">
              <w:t xml:space="preserve"> endorsed </w:t>
            </w:r>
            <w:r>
              <w:t>by the Standing Committee on Screening 12 March 2015.</w:t>
            </w:r>
          </w:p>
        </w:tc>
      </w:tr>
      <w:tr w:rsidR="00800469" w14:paraId="4844C6F3" w14:textId="77777777" w:rsidTr="00FB0854">
        <w:trPr>
          <w:tblHeader/>
        </w:trPr>
        <w:tc>
          <w:tcPr>
            <w:tcW w:w="1838" w:type="dxa"/>
          </w:tcPr>
          <w:p w14:paraId="5F529041" w14:textId="5CBBC8B9" w:rsidR="00800469" w:rsidRDefault="00D5236D" w:rsidP="00AB1C35">
            <w:r>
              <w:t>April 2017</w:t>
            </w:r>
          </w:p>
        </w:tc>
        <w:tc>
          <w:tcPr>
            <w:tcW w:w="7229" w:type="dxa"/>
          </w:tcPr>
          <w:p w14:paraId="7D74E8DF" w14:textId="2B2F77F9" w:rsidR="00800469" w:rsidRDefault="0032554E" w:rsidP="00AB1C35">
            <w:r>
              <w:t>Non-</w:t>
            </w:r>
            <w:r w:rsidR="00E31A4A">
              <w:t>m</w:t>
            </w:r>
            <w:r>
              <w:t xml:space="preserve">aterial </w:t>
            </w:r>
            <w:r w:rsidR="001E354B">
              <w:t>amendments</w:t>
            </w:r>
            <w:r>
              <w:t>, approved by NQMC March 2017</w:t>
            </w:r>
          </w:p>
        </w:tc>
      </w:tr>
      <w:tr w:rsidR="00800469" w14:paraId="40BAFCE1" w14:textId="77777777" w:rsidTr="00FB0854">
        <w:trPr>
          <w:tblHeader/>
        </w:trPr>
        <w:tc>
          <w:tcPr>
            <w:tcW w:w="1838" w:type="dxa"/>
          </w:tcPr>
          <w:p w14:paraId="11913498" w14:textId="2544DFC9" w:rsidR="00800469" w:rsidRDefault="00D5236D" w:rsidP="00AB1C35">
            <w:r>
              <w:t>June 2017</w:t>
            </w:r>
          </w:p>
        </w:tc>
        <w:tc>
          <w:tcPr>
            <w:tcW w:w="7229" w:type="dxa"/>
          </w:tcPr>
          <w:p w14:paraId="0A9B564E" w14:textId="3BB367D2" w:rsidR="00800469" w:rsidRDefault="00673001" w:rsidP="00AB1C35">
            <w:r>
              <w:t xml:space="preserve">Non-material </w:t>
            </w:r>
            <w:r w:rsidR="001E354B">
              <w:t>amendments</w:t>
            </w:r>
            <w:r>
              <w:t>, approved by NQMC May 2017</w:t>
            </w:r>
          </w:p>
        </w:tc>
      </w:tr>
      <w:tr w:rsidR="00800469" w14:paraId="2355D655" w14:textId="77777777" w:rsidTr="00FB0854">
        <w:trPr>
          <w:tblHeader/>
        </w:trPr>
        <w:tc>
          <w:tcPr>
            <w:tcW w:w="1838" w:type="dxa"/>
          </w:tcPr>
          <w:p w14:paraId="60840E5D" w14:textId="32906DEA" w:rsidR="00800469" w:rsidRDefault="00D5236D" w:rsidP="00AB1C35">
            <w:r>
              <w:t>Sept 2017</w:t>
            </w:r>
          </w:p>
        </w:tc>
        <w:tc>
          <w:tcPr>
            <w:tcW w:w="7229" w:type="dxa"/>
          </w:tcPr>
          <w:p w14:paraId="452802B1" w14:textId="14E3F72A" w:rsidR="00800469" w:rsidRDefault="00BD61FE" w:rsidP="00AB1C35">
            <w:r>
              <w:t>Non-material amendments, approved by NQMC May 2017</w:t>
            </w:r>
          </w:p>
        </w:tc>
      </w:tr>
      <w:tr w:rsidR="00192C03" w14:paraId="194A4134" w14:textId="77777777" w:rsidTr="00FB0854">
        <w:trPr>
          <w:tblHeader/>
        </w:trPr>
        <w:tc>
          <w:tcPr>
            <w:tcW w:w="1838" w:type="dxa"/>
          </w:tcPr>
          <w:p w14:paraId="3159C122" w14:textId="51CF911C" w:rsidR="00192C03" w:rsidRDefault="00192C03" w:rsidP="00192C03">
            <w:r>
              <w:t>April 2018</w:t>
            </w:r>
          </w:p>
        </w:tc>
        <w:tc>
          <w:tcPr>
            <w:tcW w:w="7229" w:type="dxa"/>
          </w:tcPr>
          <w:p w14:paraId="5B52F9E9" w14:textId="22FEC1B4" w:rsidR="00192C03" w:rsidRDefault="00192C03" w:rsidP="00192C03">
            <w:r>
              <w:t>Material amendments, approved by SCoS July 2017</w:t>
            </w:r>
          </w:p>
        </w:tc>
      </w:tr>
      <w:tr w:rsidR="00C96580" w14:paraId="03FF1C6C" w14:textId="77777777" w:rsidTr="00FB0854">
        <w:trPr>
          <w:tblHeader/>
        </w:trPr>
        <w:tc>
          <w:tcPr>
            <w:tcW w:w="1838" w:type="dxa"/>
          </w:tcPr>
          <w:p w14:paraId="622BBD4F" w14:textId="1F4BFBE2" w:rsidR="00C96580" w:rsidRDefault="00192C03" w:rsidP="00AB1C35">
            <w:r>
              <w:t>Ju</w:t>
            </w:r>
            <w:r w:rsidR="00385DD3">
              <w:t>ne</w:t>
            </w:r>
            <w:r>
              <w:t xml:space="preserve"> 2018</w:t>
            </w:r>
          </w:p>
        </w:tc>
        <w:tc>
          <w:tcPr>
            <w:tcW w:w="7229" w:type="dxa"/>
          </w:tcPr>
          <w:p w14:paraId="430A7A35" w14:textId="3CC85842" w:rsidR="00C96580" w:rsidRDefault="00192C03" w:rsidP="00AB1C35">
            <w:r>
              <w:t>Non-material amendments, approved by NQMC May 2018</w:t>
            </w:r>
          </w:p>
        </w:tc>
      </w:tr>
      <w:tr w:rsidR="00E75007" w14:paraId="3A49F89B" w14:textId="77777777" w:rsidTr="00FB0854">
        <w:trPr>
          <w:tblHeader/>
        </w:trPr>
        <w:tc>
          <w:tcPr>
            <w:tcW w:w="1838" w:type="dxa"/>
          </w:tcPr>
          <w:p w14:paraId="78CFF508" w14:textId="501562C6" w:rsidR="00E75007" w:rsidRDefault="00E75007" w:rsidP="00AB1C35">
            <w:r>
              <w:t>January 2019</w:t>
            </w:r>
          </w:p>
        </w:tc>
        <w:tc>
          <w:tcPr>
            <w:tcW w:w="7229" w:type="dxa"/>
          </w:tcPr>
          <w:p w14:paraId="5CF83D06" w14:textId="48C2EFCC" w:rsidR="00E75007" w:rsidRDefault="000E1FB7" w:rsidP="00AB1C35">
            <w:r>
              <w:t>Non-material amendments, approved by NQMC May &amp; August 2018</w:t>
            </w:r>
          </w:p>
        </w:tc>
      </w:tr>
      <w:tr w:rsidR="000B0375" w14:paraId="353AF40E" w14:textId="77777777" w:rsidTr="00FB0854">
        <w:trPr>
          <w:tblHeader/>
        </w:trPr>
        <w:tc>
          <w:tcPr>
            <w:tcW w:w="1838" w:type="dxa"/>
          </w:tcPr>
          <w:p w14:paraId="275C6BAE" w14:textId="0750CE75" w:rsidR="000B0375" w:rsidRDefault="000B0375" w:rsidP="000B0375">
            <w:r>
              <w:t>February 2020</w:t>
            </w:r>
          </w:p>
        </w:tc>
        <w:tc>
          <w:tcPr>
            <w:tcW w:w="7229" w:type="dxa"/>
          </w:tcPr>
          <w:p w14:paraId="1F9BC0AA" w14:textId="6D18ED4C" w:rsidR="000B0375" w:rsidRDefault="000B0375" w:rsidP="000B0375">
            <w:r>
              <w:t>Non-material amendments, approved by NQMC November 2019</w:t>
            </w:r>
          </w:p>
        </w:tc>
      </w:tr>
      <w:tr w:rsidR="00FD5075" w14:paraId="1A6F73FE" w14:textId="77777777" w:rsidTr="00FB0854">
        <w:trPr>
          <w:tblHeader/>
        </w:trPr>
        <w:tc>
          <w:tcPr>
            <w:tcW w:w="1838" w:type="dxa"/>
          </w:tcPr>
          <w:p w14:paraId="4670107C" w14:textId="258D3A8C" w:rsidR="00FD5075" w:rsidRDefault="00FD5075" w:rsidP="000B0375">
            <w:r>
              <w:t>May 2020</w:t>
            </w:r>
          </w:p>
        </w:tc>
        <w:tc>
          <w:tcPr>
            <w:tcW w:w="7229" w:type="dxa"/>
          </w:tcPr>
          <w:p w14:paraId="5435439B" w14:textId="7D3BDBA4" w:rsidR="00FD5075" w:rsidRDefault="00FD5075" w:rsidP="000B0375">
            <w:r>
              <w:t>Non-material amendments, approved by NQMC March 2020</w:t>
            </w:r>
          </w:p>
        </w:tc>
      </w:tr>
      <w:tr w:rsidR="004233F0" w14:paraId="4A0BD261" w14:textId="77777777" w:rsidTr="00FB0854">
        <w:trPr>
          <w:tblHeader/>
        </w:trPr>
        <w:tc>
          <w:tcPr>
            <w:tcW w:w="1838" w:type="dxa"/>
          </w:tcPr>
          <w:p w14:paraId="154C2F6C" w14:textId="792A92B2" w:rsidR="004233F0" w:rsidRDefault="004233F0" w:rsidP="000B0375">
            <w:r>
              <w:t>October 2020</w:t>
            </w:r>
          </w:p>
        </w:tc>
        <w:tc>
          <w:tcPr>
            <w:tcW w:w="7229" w:type="dxa"/>
          </w:tcPr>
          <w:p w14:paraId="26C40BF7" w14:textId="136D4B9D" w:rsidR="004233F0" w:rsidRDefault="004233F0" w:rsidP="000B0375">
            <w:r>
              <w:t>Non-material amendments, approved by NQMC August 2020</w:t>
            </w:r>
          </w:p>
        </w:tc>
      </w:tr>
      <w:tr w:rsidR="009675AF" w14:paraId="7939F4B1" w14:textId="77777777" w:rsidTr="00FB0854">
        <w:trPr>
          <w:tblHeader/>
        </w:trPr>
        <w:tc>
          <w:tcPr>
            <w:tcW w:w="1838" w:type="dxa"/>
          </w:tcPr>
          <w:p w14:paraId="4FB05F6E" w14:textId="49AB2CFD" w:rsidR="009675AF" w:rsidRDefault="009675AF" w:rsidP="000B0375">
            <w:r>
              <w:t>February 2021</w:t>
            </w:r>
          </w:p>
        </w:tc>
        <w:tc>
          <w:tcPr>
            <w:tcW w:w="7229" w:type="dxa"/>
          </w:tcPr>
          <w:p w14:paraId="3C49E098" w14:textId="181C6505" w:rsidR="009675AF" w:rsidRDefault="009675AF" w:rsidP="000B0375">
            <w:r>
              <w:t>Non-material amendments, approved by NQMC November 2020</w:t>
            </w:r>
          </w:p>
        </w:tc>
      </w:tr>
      <w:tr w:rsidR="004960A0" w14:paraId="4366D3BA" w14:textId="77777777" w:rsidTr="00FB0854">
        <w:trPr>
          <w:tblHeader/>
        </w:trPr>
        <w:tc>
          <w:tcPr>
            <w:tcW w:w="1838" w:type="dxa"/>
          </w:tcPr>
          <w:p w14:paraId="04ECDD25" w14:textId="0B9C2697" w:rsidR="004960A0" w:rsidRDefault="004960A0" w:rsidP="000B0375">
            <w:r>
              <w:t>March 2021</w:t>
            </w:r>
          </w:p>
        </w:tc>
        <w:tc>
          <w:tcPr>
            <w:tcW w:w="7229" w:type="dxa"/>
          </w:tcPr>
          <w:p w14:paraId="0DEC7590" w14:textId="05F6B005" w:rsidR="004960A0" w:rsidRDefault="004960A0" w:rsidP="000B0375">
            <w:r>
              <w:t>Non-material amendments, approved by NQMC March 2021</w:t>
            </w:r>
          </w:p>
        </w:tc>
      </w:tr>
    </w:tbl>
    <w:p w14:paraId="594953A9" w14:textId="77777777" w:rsidR="000D1BCB" w:rsidRDefault="00A21310" w:rsidP="00AB1C35">
      <w:r w:rsidRPr="00650F37">
        <w:t>ISBN:</w:t>
      </w:r>
    </w:p>
    <w:p w14:paraId="37D92C72" w14:textId="69D489C2" w:rsidR="002D370A" w:rsidRDefault="00A21310" w:rsidP="00AB1C35">
      <w:r w:rsidRPr="00650F37">
        <w:t>Publications Approval Number:</w:t>
      </w:r>
      <w:r w:rsidR="000D1BCB" w:rsidRPr="00650F37">
        <w:t xml:space="preserve"> </w:t>
      </w:r>
    </w:p>
    <w:p w14:paraId="042A7E16" w14:textId="77777777" w:rsidR="0095287A" w:rsidRPr="0095287A" w:rsidRDefault="0095287A" w:rsidP="0095287A">
      <w:pPr>
        <w:spacing w:after="240"/>
      </w:pPr>
      <w:r w:rsidRPr="0095287A">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5287A">
        <w:rPr>
          <w:i/>
          <w:iCs/>
        </w:rPr>
        <w:t xml:space="preserve">Copyright Act 1968 </w:t>
      </w:r>
      <w:r w:rsidRPr="0095287A">
        <w:t>or allowed by this copyright notice</w:t>
      </w:r>
      <w:r w:rsidRPr="0095287A">
        <w:rPr>
          <w:i/>
          <w:iCs/>
        </w:rPr>
        <w:t xml:space="preserve">, </w:t>
      </w:r>
      <w:r w:rsidRPr="0095287A">
        <w:t xml:space="preserve">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w:t>
      </w:r>
      <w:r w:rsidRPr="0095287A">
        <w:rPr>
          <w:u w:val="single"/>
        </w:rPr>
        <w:t>copyright@health.gov.au</w:t>
      </w:r>
      <w:r w:rsidRPr="0095287A">
        <w:t xml:space="preserve">. </w:t>
      </w:r>
    </w:p>
    <w:p w14:paraId="6BB092F7" w14:textId="77777777" w:rsidR="002D370A" w:rsidRPr="0051032A" w:rsidRDefault="002D370A" w:rsidP="00AB1C35">
      <w:pPr>
        <w:sectPr w:rsidR="002D370A" w:rsidRPr="0051032A">
          <w:pgSz w:w="11906" w:h="16838" w:code="9"/>
          <w:pgMar w:top="1440" w:right="1440" w:bottom="1440" w:left="1440" w:header="709" w:footer="567" w:gutter="0"/>
          <w:pgNumType w:fmt="lowerRoman" w:start="1"/>
          <w:cols w:space="720"/>
        </w:sectPr>
      </w:pPr>
    </w:p>
    <w:p w14:paraId="7F8DE641" w14:textId="2813C2A5" w:rsidR="00B04E7B" w:rsidRPr="00AE354C" w:rsidRDefault="00B04E7B" w:rsidP="005D1657">
      <w:pPr>
        <w:pStyle w:val="Heading1"/>
        <w:numPr>
          <w:ilvl w:val="0"/>
          <w:numId w:val="0"/>
        </w:numPr>
      </w:pPr>
      <w:bookmarkStart w:id="0" w:name="_Toc66438604"/>
      <w:r w:rsidRPr="00AE354C">
        <w:lastRenderedPageBreak/>
        <w:t>CONTENTS</w:t>
      </w:r>
      <w:bookmarkEnd w:id="0"/>
    </w:p>
    <w:sdt>
      <w:sdtPr>
        <w:id w:val="4643347"/>
        <w:docPartObj>
          <w:docPartGallery w:val="Table of Contents"/>
          <w:docPartUnique/>
        </w:docPartObj>
      </w:sdtPr>
      <w:sdtContent>
        <w:p w14:paraId="192A3DC6" w14:textId="72967213" w:rsidR="00411E0E" w:rsidRDefault="00264513">
          <w:pPr>
            <w:pStyle w:val="TOC1"/>
            <w:rPr>
              <w:rFonts w:eastAsiaTheme="minorEastAsia"/>
              <w:noProof/>
              <w:sz w:val="22"/>
              <w:szCs w:val="22"/>
              <w:lang w:val="en-AU" w:eastAsia="en-AU"/>
            </w:rPr>
          </w:pPr>
          <w:r>
            <w:fldChar w:fldCharType="begin"/>
          </w:r>
          <w:r w:rsidR="00EE1035">
            <w:instrText xml:space="preserve"> TOC \o "1-3" \h \z \u </w:instrText>
          </w:r>
          <w:r>
            <w:fldChar w:fldCharType="separate"/>
          </w:r>
          <w:hyperlink w:anchor="_Toc66438605" w:history="1">
            <w:r w:rsidR="00411E0E" w:rsidRPr="004F4F7F">
              <w:rPr>
                <w:rStyle w:val="Hyperlink"/>
                <w:noProof/>
              </w:rPr>
              <w:t>GLOSSARY OF TERMS</w:t>
            </w:r>
            <w:r w:rsidR="00411E0E">
              <w:rPr>
                <w:noProof/>
                <w:webHidden/>
              </w:rPr>
              <w:tab/>
            </w:r>
            <w:r w:rsidR="00411E0E">
              <w:rPr>
                <w:noProof/>
                <w:webHidden/>
              </w:rPr>
              <w:fldChar w:fldCharType="begin"/>
            </w:r>
            <w:r w:rsidR="00411E0E">
              <w:rPr>
                <w:noProof/>
                <w:webHidden/>
              </w:rPr>
              <w:instrText xml:space="preserve"> PAGEREF _Toc66438605 \h </w:instrText>
            </w:r>
            <w:r w:rsidR="00411E0E">
              <w:rPr>
                <w:noProof/>
                <w:webHidden/>
              </w:rPr>
            </w:r>
            <w:r w:rsidR="00411E0E">
              <w:rPr>
                <w:noProof/>
                <w:webHidden/>
              </w:rPr>
              <w:fldChar w:fldCharType="separate"/>
            </w:r>
            <w:r w:rsidR="005B63DF">
              <w:rPr>
                <w:noProof/>
                <w:webHidden/>
              </w:rPr>
              <w:t>vi</w:t>
            </w:r>
            <w:r w:rsidR="00411E0E">
              <w:rPr>
                <w:noProof/>
                <w:webHidden/>
              </w:rPr>
              <w:fldChar w:fldCharType="end"/>
            </w:r>
          </w:hyperlink>
        </w:p>
        <w:p w14:paraId="04909586" w14:textId="60BA06EB" w:rsidR="00411E0E" w:rsidRDefault="00411E0E">
          <w:pPr>
            <w:pStyle w:val="TOC1"/>
            <w:rPr>
              <w:rFonts w:eastAsiaTheme="minorEastAsia"/>
              <w:noProof/>
              <w:sz w:val="22"/>
              <w:szCs w:val="22"/>
              <w:lang w:val="en-AU" w:eastAsia="en-AU"/>
            </w:rPr>
          </w:pPr>
          <w:hyperlink w:anchor="_Toc66438606" w:history="1">
            <w:r w:rsidRPr="004F4F7F">
              <w:rPr>
                <w:rStyle w:val="Hyperlink"/>
                <w:noProof/>
              </w:rPr>
              <w:t>LIST</w:t>
            </w:r>
            <w:r w:rsidRPr="004F4F7F">
              <w:rPr>
                <w:rStyle w:val="Hyperlink"/>
                <w:noProof/>
                <w:spacing w:val="19"/>
              </w:rPr>
              <w:t xml:space="preserve"> </w:t>
            </w:r>
            <w:r w:rsidRPr="004F4F7F">
              <w:rPr>
                <w:rStyle w:val="Hyperlink"/>
                <w:noProof/>
              </w:rPr>
              <w:t>OF ACRONYMS</w:t>
            </w:r>
            <w:r>
              <w:rPr>
                <w:noProof/>
                <w:webHidden/>
              </w:rPr>
              <w:tab/>
            </w:r>
            <w:r>
              <w:rPr>
                <w:noProof/>
                <w:webHidden/>
              </w:rPr>
              <w:fldChar w:fldCharType="begin"/>
            </w:r>
            <w:r>
              <w:rPr>
                <w:noProof/>
                <w:webHidden/>
              </w:rPr>
              <w:instrText xml:space="preserve"> PAGEREF _Toc66438606 \h </w:instrText>
            </w:r>
            <w:r>
              <w:rPr>
                <w:noProof/>
                <w:webHidden/>
              </w:rPr>
            </w:r>
            <w:r>
              <w:rPr>
                <w:noProof/>
                <w:webHidden/>
              </w:rPr>
              <w:fldChar w:fldCharType="separate"/>
            </w:r>
            <w:r w:rsidR="005B63DF">
              <w:rPr>
                <w:noProof/>
                <w:webHidden/>
              </w:rPr>
              <w:t>xi</w:t>
            </w:r>
            <w:r>
              <w:rPr>
                <w:noProof/>
                <w:webHidden/>
              </w:rPr>
              <w:fldChar w:fldCharType="end"/>
            </w:r>
          </w:hyperlink>
        </w:p>
        <w:p w14:paraId="39C4D8D2" w14:textId="62FD9039" w:rsidR="00411E0E" w:rsidRDefault="00411E0E">
          <w:pPr>
            <w:pStyle w:val="TOC1"/>
            <w:rPr>
              <w:rFonts w:eastAsiaTheme="minorEastAsia"/>
              <w:noProof/>
              <w:sz w:val="22"/>
              <w:szCs w:val="22"/>
              <w:lang w:val="en-AU" w:eastAsia="en-AU"/>
            </w:rPr>
          </w:pPr>
          <w:hyperlink w:anchor="_Toc66438607" w:history="1">
            <w:r w:rsidRPr="004F4F7F">
              <w:rPr>
                <w:rStyle w:val="Hyperlink"/>
                <w:noProof/>
              </w:rPr>
              <w:t>LIST OF TABLES</w:t>
            </w:r>
            <w:r>
              <w:rPr>
                <w:noProof/>
                <w:webHidden/>
              </w:rPr>
              <w:tab/>
            </w:r>
            <w:r>
              <w:rPr>
                <w:noProof/>
                <w:webHidden/>
              </w:rPr>
              <w:fldChar w:fldCharType="begin"/>
            </w:r>
            <w:r>
              <w:rPr>
                <w:noProof/>
                <w:webHidden/>
              </w:rPr>
              <w:instrText xml:space="preserve"> PAGEREF _Toc66438607 \h </w:instrText>
            </w:r>
            <w:r>
              <w:rPr>
                <w:noProof/>
                <w:webHidden/>
              </w:rPr>
            </w:r>
            <w:r>
              <w:rPr>
                <w:noProof/>
                <w:webHidden/>
              </w:rPr>
              <w:fldChar w:fldCharType="separate"/>
            </w:r>
            <w:r w:rsidR="005B63DF">
              <w:rPr>
                <w:noProof/>
                <w:webHidden/>
              </w:rPr>
              <w:t>xii</w:t>
            </w:r>
            <w:r>
              <w:rPr>
                <w:noProof/>
                <w:webHidden/>
              </w:rPr>
              <w:fldChar w:fldCharType="end"/>
            </w:r>
          </w:hyperlink>
        </w:p>
        <w:p w14:paraId="4FBED165" w14:textId="7F0AA3A7" w:rsidR="00411E0E" w:rsidRDefault="00411E0E">
          <w:pPr>
            <w:pStyle w:val="TOC1"/>
            <w:rPr>
              <w:rFonts w:eastAsiaTheme="minorEastAsia"/>
              <w:noProof/>
              <w:sz w:val="22"/>
              <w:szCs w:val="22"/>
              <w:lang w:val="en-AU" w:eastAsia="en-AU"/>
            </w:rPr>
          </w:pPr>
          <w:hyperlink w:anchor="_Toc66438608" w:history="1">
            <w:r w:rsidRPr="004F4F7F">
              <w:rPr>
                <w:rStyle w:val="Hyperlink"/>
                <w:noProof/>
              </w:rPr>
              <w:t>FOREWORD</w:t>
            </w:r>
            <w:r>
              <w:rPr>
                <w:noProof/>
                <w:webHidden/>
              </w:rPr>
              <w:tab/>
            </w:r>
            <w:r>
              <w:rPr>
                <w:noProof/>
                <w:webHidden/>
              </w:rPr>
              <w:fldChar w:fldCharType="begin"/>
            </w:r>
            <w:r>
              <w:rPr>
                <w:noProof/>
                <w:webHidden/>
              </w:rPr>
              <w:instrText xml:space="preserve"> PAGEREF _Toc66438608 \h </w:instrText>
            </w:r>
            <w:r>
              <w:rPr>
                <w:noProof/>
                <w:webHidden/>
              </w:rPr>
            </w:r>
            <w:r>
              <w:rPr>
                <w:noProof/>
                <w:webHidden/>
              </w:rPr>
              <w:fldChar w:fldCharType="separate"/>
            </w:r>
            <w:r w:rsidR="005B63DF">
              <w:rPr>
                <w:noProof/>
                <w:webHidden/>
              </w:rPr>
              <w:t>xiii</w:t>
            </w:r>
            <w:r>
              <w:rPr>
                <w:noProof/>
                <w:webHidden/>
              </w:rPr>
              <w:fldChar w:fldCharType="end"/>
            </w:r>
          </w:hyperlink>
        </w:p>
        <w:p w14:paraId="6673F91D" w14:textId="51ECD8B2" w:rsidR="00411E0E" w:rsidRDefault="00411E0E">
          <w:pPr>
            <w:pStyle w:val="TOC1"/>
            <w:rPr>
              <w:rFonts w:eastAsiaTheme="minorEastAsia"/>
              <w:noProof/>
              <w:sz w:val="22"/>
              <w:szCs w:val="22"/>
              <w:lang w:val="en-AU" w:eastAsia="en-AU"/>
            </w:rPr>
          </w:pPr>
          <w:hyperlink w:anchor="_Toc66438609" w:history="1">
            <w:r w:rsidRPr="004F4F7F">
              <w:rPr>
                <w:rStyle w:val="Hyperlink"/>
                <w:noProof/>
              </w:rPr>
              <w:t>1</w:t>
            </w:r>
            <w:r>
              <w:rPr>
                <w:rFonts w:eastAsiaTheme="minorEastAsia"/>
                <w:noProof/>
                <w:sz w:val="22"/>
                <w:szCs w:val="22"/>
                <w:lang w:val="en-AU" w:eastAsia="en-AU"/>
              </w:rPr>
              <w:tab/>
            </w:r>
            <w:r w:rsidRPr="004F4F7F">
              <w:rPr>
                <w:rStyle w:val="Hyperlink"/>
                <w:noProof/>
              </w:rPr>
              <w:t>INTRODUCTION</w:t>
            </w:r>
            <w:r>
              <w:rPr>
                <w:noProof/>
                <w:webHidden/>
              </w:rPr>
              <w:tab/>
            </w:r>
            <w:r>
              <w:rPr>
                <w:noProof/>
                <w:webHidden/>
              </w:rPr>
              <w:fldChar w:fldCharType="begin"/>
            </w:r>
            <w:r>
              <w:rPr>
                <w:noProof/>
                <w:webHidden/>
              </w:rPr>
              <w:instrText xml:space="preserve"> PAGEREF _Toc66438609 \h </w:instrText>
            </w:r>
            <w:r>
              <w:rPr>
                <w:noProof/>
                <w:webHidden/>
              </w:rPr>
            </w:r>
            <w:r>
              <w:rPr>
                <w:noProof/>
                <w:webHidden/>
              </w:rPr>
              <w:fldChar w:fldCharType="separate"/>
            </w:r>
            <w:r w:rsidR="005B63DF">
              <w:rPr>
                <w:noProof/>
                <w:webHidden/>
              </w:rPr>
              <w:t>1</w:t>
            </w:r>
            <w:r>
              <w:rPr>
                <w:noProof/>
                <w:webHidden/>
              </w:rPr>
              <w:fldChar w:fldCharType="end"/>
            </w:r>
          </w:hyperlink>
        </w:p>
        <w:p w14:paraId="0A28BD2F" w14:textId="2B889B27" w:rsidR="00411E0E" w:rsidRDefault="00411E0E">
          <w:pPr>
            <w:pStyle w:val="TOC2"/>
            <w:rPr>
              <w:rFonts w:eastAsiaTheme="minorEastAsia"/>
              <w:sz w:val="22"/>
              <w:szCs w:val="22"/>
              <w:lang w:val="en-AU" w:eastAsia="en-AU"/>
            </w:rPr>
          </w:pPr>
          <w:hyperlink w:anchor="_Toc66438610" w:history="1">
            <w:r w:rsidRPr="004F4F7F">
              <w:rPr>
                <w:rStyle w:val="Hyperlink"/>
              </w:rPr>
              <w:t>1.1</w:t>
            </w:r>
            <w:r>
              <w:rPr>
                <w:rFonts w:eastAsiaTheme="minorEastAsia"/>
                <w:sz w:val="22"/>
                <w:szCs w:val="22"/>
                <w:lang w:val="en-AU" w:eastAsia="en-AU"/>
              </w:rPr>
              <w:tab/>
            </w:r>
            <w:r w:rsidRPr="004F4F7F">
              <w:rPr>
                <w:rStyle w:val="Hyperlink"/>
              </w:rPr>
              <w:t>PURPOSE OF THIS HANDBOOK</w:t>
            </w:r>
            <w:r>
              <w:rPr>
                <w:webHidden/>
              </w:rPr>
              <w:tab/>
            </w:r>
            <w:r>
              <w:rPr>
                <w:webHidden/>
              </w:rPr>
              <w:fldChar w:fldCharType="begin"/>
            </w:r>
            <w:r>
              <w:rPr>
                <w:webHidden/>
              </w:rPr>
              <w:instrText xml:space="preserve"> PAGEREF _Toc66438610 \h </w:instrText>
            </w:r>
            <w:r>
              <w:rPr>
                <w:webHidden/>
              </w:rPr>
            </w:r>
            <w:r>
              <w:rPr>
                <w:webHidden/>
              </w:rPr>
              <w:fldChar w:fldCharType="separate"/>
            </w:r>
            <w:r w:rsidR="005B63DF">
              <w:rPr>
                <w:webHidden/>
              </w:rPr>
              <w:t>1</w:t>
            </w:r>
            <w:r>
              <w:rPr>
                <w:webHidden/>
              </w:rPr>
              <w:fldChar w:fldCharType="end"/>
            </w:r>
          </w:hyperlink>
        </w:p>
        <w:p w14:paraId="57EE59E9" w14:textId="5FEF9535" w:rsidR="00411E0E" w:rsidRDefault="00411E0E">
          <w:pPr>
            <w:pStyle w:val="TOC2"/>
            <w:rPr>
              <w:rFonts w:eastAsiaTheme="minorEastAsia"/>
              <w:sz w:val="22"/>
              <w:szCs w:val="22"/>
              <w:lang w:val="en-AU" w:eastAsia="en-AU"/>
            </w:rPr>
          </w:pPr>
          <w:hyperlink w:anchor="_Toc66438611" w:history="1">
            <w:r w:rsidRPr="004F4F7F">
              <w:rPr>
                <w:rStyle w:val="Hyperlink"/>
              </w:rPr>
              <w:t>1.2</w:t>
            </w:r>
            <w:r>
              <w:rPr>
                <w:rFonts w:eastAsiaTheme="minorEastAsia"/>
                <w:sz w:val="22"/>
                <w:szCs w:val="22"/>
                <w:lang w:val="en-AU" w:eastAsia="en-AU"/>
              </w:rPr>
              <w:tab/>
            </w:r>
            <w:r w:rsidRPr="004F4F7F">
              <w:rPr>
                <w:rStyle w:val="Hyperlink"/>
              </w:rPr>
              <w:t>OVERVIEW OF THE BREASTSCREEN AUSTRALIA PROGRAM</w:t>
            </w:r>
            <w:r>
              <w:rPr>
                <w:webHidden/>
              </w:rPr>
              <w:tab/>
            </w:r>
            <w:r>
              <w:rPr>
                <w:webHidden/>
              </w:rPr>
              <w:fldChar w:fldCharType="begin"/>
            </w:r>
            <w:r>
              <w:rPr>
                <w:webHidden/>
              </w:rPr>
              <w:instrText xml:space="preserve"> PAGEREF _Toc66438611 \h </w:instrText>
            </w:r>
            <w:r>
              <w:rPr>
                <w:webHidden/>
              </w:rPr>
            </w:r>
            <w:r>
              <w:rPr>
                <w:webHidden/>
              </w:rPr>
              <w:fldChar w:fldCharType="separate"/>
            </w:r>
            <w:r w:rsidR="005B63DF">
              <w:rPr>
                <w:webHidden/>
              </w:rPr>
              <w:t>1</w:t>
            </w:r>
            <w:r>
              <w:rPr>
                <w:webHidden/>
              </w:rPr>
              <w:fldChar w:fldCharType="end"/>
            </w:r>
          </w:hyperlink>
        </w:p>
        <w:p w14:paraId="6DFC356E" w14:textId="66E5C600" w:rsidR="00411E0E" w:rsidRDefault="00411E0E">
          <w:pPr>
            <w:pStyle w:val="TOC3"/>
            <w:rPr>
              <w:rFonts w:eastAsiaTheme="minorEastAsia"/>
              <w:sz w:val="22"/>
              <w:szCs w:val="22"/>
              <w:lang w:val="en-AU" w:eastAsia="en-AU"/>
            </w:rPr>
          </w:pPr>
          <w:hyperlink w:anchor="_Toc66438612" w:history="1">
            <w:r w:rsidRPr="004F4F7F">
              <w:rPr>
                <w:rStyle w:val="Hyperlink"/>
              </w:rPr>
              <w:t>1.2.1</w:t>
            </w:r>
            <w:r>
              <w:rPr>
                <w:rFonts w:eastAsiaTheme="minorEastAsia"/>
                <w:sz w:val="22"/>
                <w:szCs w:val="22"/>
                <w:lang w:val="en-AU" w:eastAsia="en-AU"/>
              </w:rPr>
              <w:tab/>
            </w:r>
            <w:r w:rsidRPr="004F4F7F">
              <w:rPr>
                <w:rStyle w:val="Hyperlink"/>
              </w:rPr>
              <w:t>Objectives of the BreastScreen Australia Program</w:t>
            </w:r>
            <w:r>
              <w:rPr>
                <w:webHidden/>
              </w:rPr>
              <w:tab/>
            </w:r>
            <w:r>
              <w:rPr>
                <w:webHidden/>
              </w:rPr>
              <w:fldChar w:fldCharType="begin"/>
            </w:r>
            <w:r>
              <w:rPr>
                <w:webHidden/>
              </w:rPr>
              <w:instrText xml:space="preserve"> PAGEREF _Toc66438612 \h </w:instrText>
            </w:r>
            <w:r>
              <w:rPr>
                <w:webHidden/>
              </w:rPr>
            </w:r>
            <w:r>
              <w:rPr>
                <w:webHidden/>
              </w:rPr>
              <w:fldChar w:fldCharType="separate"/>
            </w:r>
            <w:r w:rsidR="005B63DF">
              <w:rPr>
                <w:webHidden/>
              </w:rPr>
              <w:t>2</w:t>
            </w:r>
            <w:r>
              <w:rPr>
                <w:webHidden/>
              </w:rPr>
              <w:fldChar w:fldCharType="end"/>
            </w:r>
          </w:hyperlink>
        </w:p>
        <w:p w14:paraId="7F9AAB7A" w14:textId="027888AE" w:rsidR="00411E0E" w:rsidRDefault="00411E0E">
          <w:pPr>
            <w:pStyle w:val="TOC3"/>
            <w:rPr>
              <w:rFonts w:eastAsiaTheme="minorEastAsia"/>
              <w:sz w:val="22"/>
              <w:szCs w:val="22"/>
              <w:lang w:val="en-AU" w:eastAsia="en-AU"/>
            </w:rPr>
          </w:pPr>
          <w:hyperlink w:anchor="_Toc66438613" w:history="1">
            <w:r w:rsidRPr="004F4F7F">
              <w:rPr>
                <w:rStyle w:val="Hyperlink"/>
              </w:rPr>
              <w:t>1.2.2</w:t>
            </w:r>
            <w:r>
              <w:rPr>
                <w:rFonts w:eastAsiaTheme="minorEastAsia"/>
                <w:sz w:val="22"/>
                <w:szCs w:val="22"/>
                <w:lang w:val="en-AU" w:eastAsia="en-AU"/>
              </w:rPr>
              <w:tab/>
            </w:r>
            <w:r w:rsidRPr="004F4F7F">
              <w:rPr>
                <w:rStyle w:val="Hyperlink"/>
              </w:rPr>
              <w:t>National Program Features</w:t>
            </w:r>
            <w:r>
              <w:rPr>
                <w:webHidden/>
              </w:rPr>
              <w:tab/>
            </w:r>
            <w:r>
              <w:rPr>
                <w:webHidden/>
              </w:rPr>
              <w:fldChar w:fldCharType="begin"/>
            </w:r>
            <w:r>
              <w:rPr>
                <w:webHidden/>
              </w:rPr>
              <w:instrText xml:space="preserve"> PAGEREF _Toc66438613 \h </w:instrText>
            </w:r>
            <w:r>
              <w:rPr>
                <w:webHidden/>
              </w:rPr>
            </w:r>
            <w:r>
              <w:rPr>
                <w:webHidden/>
              </w:rPr>
              <w:fldChar w:fldCharType="separate"/>
            </w:r>
            <w:r w:rsidR="005B63DF">
              <w:rPr>
                <w:webHidden/>
              </w:rPr>
              <w:t>2</w:t>
            </w:r>
            <w:r>
              <w:rPr>
                <w:webHidden/>
              </w:rPr>
              <w:fldChar w:fldCharType="end"/>
            </w:r>
          </w:hyperlink>
        </w:p>
        <w:p w14:paraId="6BB16486" w14:textId="20B9EFF3" w:rsidR="00411E0E" w:rsidRDefault="00411E0E">
          <w:pPr>
            <w:pStyle w:val="TOC2"/>
            <w:rPr>
              <w:rFonts w:eastAsiaTheme="minorEastAsia"/>
              <w:sz w:val="22"/>
              <w:szCs w:val="22"/>
              <w:lang w:val="en-AU" w:eastAsia="en-AU"/>
            </w:rPr>
          </w:pPr>
          <w:hyperlink w:anchor="_Toc66438614" w:history="1">
            <w:r w:rsidRPr="004F4F7F">
              <w:rPr>
                <w:rStyle w:val="Hyperlink"/>
              </w:rPr>
              <w:t>1.3</w:t>
            </w:r>
            <w:r>
              <w:rPr>
                <w:rFonts w:eastAsiaTheme="minorEastAsia"/>
                <w:sz w:val="22"/>
                <w:szCs w:val="22"/>
                <w:lang w:val="en-AU" w:eastAsia="en-AU"/>
              </w:rPr>
              <w:tab/>
            </w:r>
            <w:r w:rsidRPr="004F4F7F">
              <w:rPr>
                <w:rStyle w:val="Hyperlink"/>
              </w:rPr>
              <w:t>BACKGROUND TO ACCREDITATION</w:t>
            </w:r>
            <w:r>
              <w:rPr>
                <w:webHidden/>
              </w:rPr>
              <w:tab/>
            </w:r>
            <w:r>
              <w:rPr>
                <w:webHidden/>
              </w:rPr>
              <w:fldChar w:fldCharType="begin"/>
            </w:r>
            <w:r>
              <w:rPr>
                <w:webHidden/>
              </w:rPr>
              <w:instrText xml:space="preserve"> PAGEREF _Toc66438614 \h </w:instrText>
            </w:r>
            <w:r>
              <w:rPr>
                <w:webHidden/>
              </w:rPr>
            </w:r>
            <w:r>
              <w:rPr>
                <w:webHidden/>
              </w:rPr>
              <w:fldChar w:fldCharType="separate"/>
            </w:r>
            <w:r w:rsidR="005B63DF">
              <w:rPr>
                <w:webHidden/>
              </w:rPr>
              <w:t>4</w:t>
            </w:r>
            <w:r>
              <w:rPr>
                <w:webHidden/>
              </w:rPr>
              <w:fldChar w:fldCharType="end"/>
            </w:r>
          </w:hyperlink>
        </w:p>
        <w:p w14:paraId="0F6A569A" w14:textId="0E577272" w:rsidR="00411E0E" w:rsidRDefault="00411E0E">
          <w:pPr>
            <w:pStyle w:val="TOC3"/>
            <w:rPr>
              <w:rFonts w:eastAsiaTheme="minorEastAsia"/>
              <w:sz w:val="22"/>
              <w:szCs w:val="22"/>
              <w:lang w:val="en-AU" w:eastAsia="en-AU"/>
            </w:rPr>
          </w:pPr>
          <w:hyperlink w:anchor="_Toc66438615" w:history="1">
            <w:r w:rsidRPr="004F4F7F">
              <w:rPr>
                <w:rStyle w:val="Hyperlink"/>
              </w:rPr>
              <w:t>1.3.1</w:t>
            </w:r>
            <w:r>
              <w:rPr>
                <w:rFonts w:eastAsiaTheme="minorEastAsia"/>
                <w:sz w:val="22"/>
                <w:szCs w:val="22"/>
                <w:lang w:val="en-AU" w:eastAsia="en-AU"/>
              </w:rPr>
              <w:tab/>
            </w:r>
            <w:r w:rsidRPr="004F4F7F">
              <w:rPr>
                <w:rStyle w:val="Hyperlink"/>
              </w:rPr>
              <w:t>Purpose</w:t>
            </w:r>
            <w:r>
              <w:rPr>
                <w:webHidden/>
              </w:rPr>
              <w:tab/>
            </w:r>
            <w:r>
              <w:rPr>
                <w:webHidden/>
              </w:rPr>
              <w:fldChar w:fldCharType="begin"/>
            </w:r>
            <w:r>
              <w:rPr>
                <w:webHidden/>
              </w:rPr>
              <w:instrText xml:space="preserve"> PAGEREF _Toc66438615 \h </w:instrText>
            </w:r>
            <w:r>
              <w:rPr>
                <w:webHidden/>
              </w:rPr>
            </w:r>
            <w:r>
              <w:rPr>
                <w:webHidden/>
              </w:rPr>
              <w:fldChar w:fldCharType="separate"/>
            </w:r>
            <w:r w:rsidR="005B63DF">
              <w:rPr>
                <w:webHidden/>
              </w:rPr>
              <w:t>4</w:t>
            </w:r>
            <w:r>
              <w:rPr>
                <w:webHidden/>
              </w:rPr>
              <w:fldChar w:fldCharType="end"/>
            </w:r>
          </w:hyperlink>
        </w:p>
        <w:p w14:paraId="7D891767" w14:textId="3FAE7012" w:rsidR="00411E0E" w:rsidRDefault="00411E0E">
          <w:pPr>
            <w:pStyle w:val="TOC3"/>
            <w:rPr>
              <w:rFonts w:eastAsiaTheme="minorEastAsia"/>
              <w:sz w:val="22"/>
              <w:szCs w:val="22"/>
              <w:lang w:val="en-AU" w:eastAsia="en-AU"/>
            </w:rPr>
          </w:pPr>
          <w:hyperlink w:anchor="_Toc66438616" w:history="1">
            <w:r w:rsidRPr="004F4F7F">
              <w:rPr>
                <w:rStyle w:val="Hyperlink"/>
              </w:rPr>
              <w:t>1.3.2</w:t>
            </w:r>
            <w:r>
              <w:rPr>
                <w:rFonts w:eastAsiaTheme="minorEastAsia"/>
                <w:sz w:val="22"/>
                <w:szCs w:val="22"/>
                <w:lang w:val="en-AU" w:eastAsia="en-AU"/>
              </w:rPr>
              <w:tab/>
            </w:r>
            <w:r w:rsidRPr="004F4F7F">
              <w:rPr>
                <w:rStyle w:val="Hyperlink"/>
              </w:rPr>
              <w:t>History</w:t>
            </w:r>
            <w:r>
              <w:rPr>
                <w:webHidden/>
              </w:rPr>
              <w:tab/>
            </w:r>
            <w:r>
              <w:rPr>
                <w:webHidden/>
              </w:rPr>
              <w:fldChar w:fldCharType="begin"/>
            </w:r>
            <w:r>
              <w:rPr>
                <w:webHidden/>
              </w:rPr>
              <w:instrText xml:space="preserve"> PAGEREF _Toc66438616 \h </w:instrText>
            </w:r>
            <w:r>
              <w:rPr>
                <w:webHidden/>
              </w:rPr>
            </w:r>
            <w:r>
              <w:rPr>
                <w:webHidden/>
              </w:rPr>
              <w:fldChar w:fldCharType="separate"/>
            </w:r>
            <w:r w:rsidR="005B63DF">
              <w:rPr>
                <w:webHidden/>
              </w:rPr>
              <w:t>4</w:t>
            </w:r>
            <w:r>
              <w:rPr>
                <w:webHidden/>
              </w:rPr>
              <w:fldChar w:fldCharType="end"/>
            </w:r>
          </w:hyperlink>
        </w:p>
        <w:p w14:paraId="0F53B2DF" w14:textId="16D32B0D" w:rsidR="00411E0E" w:rsidRDefault="00411E0E">
          <w:pPr>
            <w:pStyle w:val="TOC3"/>
            <w:rPr>
              <w:rFonts w:eastAsiaTheme="minorEastAsia"/>
              <w:sz w:val="22"/>
              <w:szCs w:val="22"/>
              <w:lang w:val="en-AU" w:eastAsia="en-AU"/>
            </w:rPr>
          </w:pPr>
          <w:hyperlink w:anchor="_Toc66438617" w:history="1">
            <w:r w:rsidRPr="004F4F7F">
              <w:rPr>
                <w:rStyle w:val="Hyperlink"/>
              </w:rPr>
              <w:t>1.3.3</w:t>
            </w:r>
            <w:r>
              <w:rPr>
                <w:rFonts w:eastAsiaTheme="minorEastAsia"/>
                <w:sz w:val="22"/>
                <w:szCs w:val="22"/>
                <w:lang w:val="en-AU" w:eastAsia="en-AU"/>
              </w:rPr>
              <w:tab/>
            </w:r>
            <w:r w:rsidRPr="004F4F7F">
              <w:rPr>
                <w:rStyle w:val="Hyperlink"/>
              </w:rPr>
              <w:t>Key Components of the Accreditation Process</w:t>
            </w:r>
            <w:r>
              <w:rPr>
                <w:webHidden/>
              </w:rPr>
              <w:tab/>
            </w:r>
            <w:r>
              <w:rPr>
                <w:webHidden/>
              </w:rPr>
              <w:fldChar w:fldCharType="begin"/>
            </w:r>
            <w:r>
              <w:rPr>
                <w:webHidden/>
              </w:rPr>
              <w:instrText xml:space="preserve"> PAGEREF _Toc66438617 \h </w:instrText>
            </w:r>
            <w:r>
              <w:rPr>
                <w:webHidden/>
              </w:rPr>
            </w:r>
            <w:r>
              <w:rPr>
                <w:webHidden/>
              </w:rPr>
              <w:fldChar w:fldCharType="separate"/>
            </w:r>
            <w:r w:rsidR="005B63DF">
              <w:rPr>
                <w:webHidden/>
              </w:rPr>
              <w:t>5</w:t>
            </w:r>
            <w:r>
              <w:rPr>
                <w:webHidden/>
              </w:rPr>
              <w:fldChar w:fldCharType="end"/>
            </w:r>
          </w:hyperlink>
        </w:p>
        <w:p w14:paraId="1901D095" w14:textId="06092B03" w:rsidR="00411E0E" w:rsidRDefault="00411E0E">
          <w:pPr>
            <w:pStyle w:val="TOC2"/>
            <w:rPr>
              <w:rFonts w:eastAsiaTheme="minorEastAsia"/>
              <w:sz w:val="22"/>
              <w:szCs w:val="22"/>
              <w:lang w:val="en-AU" w:eastAsia="en-AU"/>
            </w:rPr>
          </w:pPr>
          <w:hyperlink w:anchor="_Toc66438618" w:history="1">
            <w:r w:rsidRPr="004F4F7F">
              <w:rPr>
                <w:rStyle w:val="Hyperlink"/>
              </w:rPr>
              <w:t>1.4</w:t>
            </w:r>
            <w:r>
              <w:rPr>
                <w:rFonts w:eastAsiaTheme="minorEastAsia"/>
                <w:sz w:val="22"/>
                <w:szCs w:val="22"/>
                <w:lang w:val="en-AU" w:eastAsia="en-AU"/>
              </w:rPr>
              <w:tab/>
            </w:r>
            <w:r w:rsidRPr="004F4F7F">
              <w:rPr>
                <w:rStyle w:val="Hyperlink"/>
              </w:rPr>
              <w:t>ACCREDITATION REVIEWS</w:t>
            </w:r>
            <w:r>
              <w:rPr>
                <w:webHidden/>
              </w:rPr>
              <w:tab/>
            </w:r>
            <w:r>
              <w:rPr>
                <w:webHidden/>
              </w:rPr>
              <w:fldChar w:fldCharType="begin"/>
            </w:r>
            <w:r>
              <w:rPr>
                <w:webHidden/>
              </w:rPr>
              <w:instrText xml:space="preserve"> PAGEREF _Toc66438618 \h </w:instrText>
            </w:r>
            <w:r>
              <w:rPr>
                <w:webHidden/>
              </w:rPr>
            </w:r>
            <w:r>
              <w:rPr>
                <w:webHidden/>
              </w:rPr>
              <w:fldChar w:fldCharType="separate"/>
            </w:r>
            <w:r w:rsidR="005B63DF">
              <w:rPr>
                <w:webHidden/>
              </w:rPr>
              <w:t>5</w:t>
            </w:r>
            <w:r>
              <w:rPr>
                <w:webHidden/>
              </w:rPr>
              <w:fldChar w:fldCharType="end"/>
            </w:r>
          </w:hyperlink>
        </w:p>
        <w:p w14:paraId="75ABA71D" w14:textId="7706B9CC" w:rsidR="00411E0E" w:rsidRDefault="00411E0E">
          <w:pPr>
            <w:pStyle w:val="TOC3"/>
            <w:rPr>
              <w:rFonts w:eastAsiaTheme="minorEastAsia"/>
              <w:sz w:val="22"/>
              <w:szCs w:val="22"/>
              <w:lang w:val="en-AU" w:eastAsia="en-AU"/>
            </w:rPr>
          </w:pPr>
          <w:hyperlink w:anchor="_Toc66438619" w:history="1">
            <w:r w:rsidRPr="004F4F7F">
              <w:rPr>
                <w:rStyle w:val="Hyperlink"/>
              </w:rPr>
              <w:t>1.4.1</w:t>
            </w:r>
            <w:r>
              <w:rPr>
                <w:rFonts w:eastAsiaTheme="minorEastAsia"/>
                <w:sz w:val="22"/>
                <w:szCs w:val="22"/>
                <w:lang w:val="en-AU" w:eastAsia="en-AU"/>
              </w:rPr>
              <w:tab/>
            </w:r>
            <w:r w:rsidRPr="004F4F7F">
              <w:rPr>
                <w:rStyle w:val="Hyperlink"/>
              </w:rPr>
              <w:t>1991-1994</w:t>
            </w:r>
            <w:r>
              <w:rPr>
                <w:webHidden/>
              </w:rPr>
              <w:tab/>
            </w:r>
            <w:r>
              <w:rPr>
                <w:webHidden/>
              </w:rPr>
              <w:fldChar w:fldCharType="begin"/>
            </w:r>
            <w:r>
              <w:rPr>
                <w:webHidden/>
              </w:rPr>
              <w:instrText xml:space="preserve"> PAGEREF _Toc66438619 \h </w:instrText>
            </w:r>
            <w:r>
              <w:rPr>
                <w:webHidden/>
              </w:rPr>
            </w:r>
            <w:r>
              <w:rPr>
                <w:webHidden/>
              </w:rPr>
              <w:fldChar w:fldCharType="separate"/>
            </w:r>
            <w:r w:rsidR="005B63DF">
              <w:rPr>
                <w:webHidden/>
              </w:rPr>
              <w:t>5</w:t>
            </w:r>
            <w:r>
              <w:rPr>
                <w:webHidden/>
              </w:rPr>
              <w:fldChar w:fldCharType="end"/>
            </w:r>
          </w:hyperlink>
        </w:p>
        <w:p w14:paraId="5536EC36" w14:textId="614772E6" w:rsidR="00411E0E" w:rsidRDefault="00411E0E">
          <w:pPr>
            <w:pStyle w:val="TOC3"/>
            <w:rPr>
              <w:rFonts w:eastAsiaTheme="minorEastAsia"/>
              <w:sz w:val="22"/>
              <w:szCs w:val="22"/>
              <w:lang w:val="en-AU" w:eastAsia="en-AU"/>
            </w:rPr>
          </w:pPr>
          <w:hyperlink w:anchor="_Toc66438620" w:history="1">
            <w:r w:rsidRPr="004F4F7F">
              <w:rPr>
                <w:rStyle w:val="Hyperlink"/>
              </w:rPr>
              <w:t>1.4.2</w:t>
            </w:r>
            <w:r>
              <w:rPr>
                <w:rFonts w:eastAsiaTheme="minorEastAsia"/>
                <w:sz w:val="22"/>
                <w:szCs w:val="22"/>
                <w:lang w:val="en-AU" w:eastAsia="en-AU"/>
              </w:rPr>
              <w:tab/>
            </w:r>
            <w:r w:rsidRPr="004F4F7F">
              <w:rPr>
                <w:rStyle w:val="Hyperlink"/>
              </w:rPr>
              <w:t>1999-2002</w:t>
            </w:r>
            <w:r>
              <w:rPr>
                <w:webHidden/>
              </w:rPr>
              <w:tab/>
            </w:r>
            <w:r>
              <w:rPr>
                <w:webHidden/>
              </w:rPr>
              <w:fldChar w:fldCharType="begin"/>
            </w:r>
            <w:r>
              <w:rPr>
                <w:webHidden/>
              </w:rPr>
              <w:instrText xml:space="preserve"> PAGEREF _Toc66438620 \h </w:instrText>
            </w:r>
            <w:r>
              <w:rPr>
                <w:webHidden/>
              </w:rPr>
            </w:r>
            <w:r>
              <w:rPr>
                <w:webHidden/>
              </w:rPr>
              <w:fldChar w:fldCharType="separate"/>
            </w:r>
            <w:r w:rsidR="005B63DF">
              <w:rPr>
                <w:webHidden/>
              </w:rPr>
              <w:t>5</w:t>
            </w:r>
            <w:r>
              <w:rPr>
                <w:webHidden/>
              </w:rPr>
              <w:fldChar w:fldCharType="end"/>
            </w:r>
          </w:hyperlink>
        </w:p>
        <w:p w14:paraId="3710A404" w14:textId="2FA342B8" w:rsidR="00411E0E" w:rsidRDefault="00411E0E">
          <w:pPr>
            <w:pStyle w:val="TOC3"/>
            <w:rPr>
              <w:rFonts w:eastAsiaTheme="minorEastAsia"/>
              <w:sz w:val="22"/>
              <w:szCs w:val="22"/>
              <w:lang w:val="en-AU" w:eastAsia="en-AU"/>
            </w:rPr>
          </w:pPr>
          <w:hyperlink w:anchor="_Toc66438621" w:history="1">
            <w:r w:rsidRPr="004F4F7F">
              <w:rPr>
                <w:rStyle w:val="Hyperlink"/>
              </w:rPr>
              <w:t>1.4.3</w:t>
            </w:r>
            <w:r>
              <w:rPr>
                <w:rFonts w:eastAsiaTheme="minorEastAsia"/>
                <w:sz w:val="22"/>
                <w:szCs w:val="22"/>
                <w:lang w:val="en-AU" w:eastAsia="en-AU"/>
              </w:rPr>
              <w:tab/>
            </w:r>
            <w:r w:rsidRPr="004F4F7F">
              <w:rPr>
                <w:rStyle w:val="Hyperlink"/>
              </w:rPr>
              <w:t>2011-2014</w:t>
            </w:r>
            <w:r>
              <w:rPr>
                <w:webHidden/>
              </w:rPr>
              <w:tab/>
            </w:r>
            <w:r>
              <w:rPr>
                <w:webHidden/>
              </w:rPr>
              <w:fldChar w:fldCharType="begin"/>
            </w:r>
            <w:r>
              <w:rPr>
                <w:webHidden/>
              </w:rPr>
              <w:instrText xml:space="preserve"> PAGEREF _Toc66438621 \h </w:instrText>
            </w:r>
            <w:r>
              <w:rPr>
                <w:webHidden/>
              </w:rPr>
            </w:r>
            <w:r>
              <w:rPr>
                <w:webHidden/>
              </w:rPr>
              <w:fldChar w:fldCharType="separate"/>
            </w:r>
            <w:r w:rsidR="005B63DF">
              <w:rPr>
                <w:webHidden/>
              </w:rPr>
              <w:t>6</w:t>
            </w:r>
            <w:r>
              <w:rPr>
                <w:webHidden/>
              </w:rPr>
              <w:fldChar w:fldCharType="end"/>
            </w:r>
          </w:hyperlink>
        </w:p>
        <w:p w14:paraId="14710379" w14:textId="229F5D97" w:rsidR="00411E0E" w:rsidRDefault="00411E0E">
          <w:pPr>
            <w:pStyle w:val="TOC1"/>
            <w:rPr>
              <w:rFonts w:eastAsiaTheme="minorEastAsia"/>
              <w:noProof/>
              <w:sz w:val="22"/>
              <w:szCs w:val="22"/>
              <w:lang w:val="en-AU" w:eastAsia="en-AU"/>
            </w:rPr>
          </w:pPr>
          <w:hyperlink w:anchor="_Toc66438622" w:history="1">
            <w:r w:rsidRPr="004F4F7F">
              <w:rPr>
                <w:rStyle w:val="Hyperlink"/>
                <w:noProof/>
              </w:rPr>
              <w:t>2</w:t>
            </w:r>
            <w:r>
              <w:rPr>
                <w:rFonts w:eastAsiaTheme="minorEastAsia"/>
                <w:noProof/>
                <w:sz w:val="22"/>
                <w:szCs w:val="22"/>
                <w:lang w:val="en-AU" w:eastAsia="en-AU"/>
              </w:rPr>
              <w:tab/>
            </w:r>
            <w:r w:rsidRPr="004F4F7F">
              <w:rPr>
                <w:rStyle w:val="Hyperlink"/>
                <w:noProof/>
              </w:rPr>
              <w:t>GOVERNANCE STRUCTURE ROLES AND RESPONSIBILITIES</w:t>
            </w:r>
            <w:r>
              <w:rPr>
                <w:noProof/>
                <w:webHidden/>
              </w:rPr>
              <w:tab/>
            </w:r>
            <w:r>
              <w:rPr>
                <w:noProof/>
                <w:webHidden/>
              </w:rPr>
              <w:fldChar w:fldCharType="begin"/>
            </w:r>
            <w:r>
              <w:rPr>
                <w:noProof/>
                <w:webHidden/>
              </w:rPr>
              <w:instrText xml:space="preserve"> PAGEREF _Toc66438622 \h </w:instrText>
            </w:r>
            <w:r>
              <w:rPr>
                <w:noProof/>
                <w:webHidden/>
              </w:rPr>
            </w:r>
            <w:r>
              <w:rPr>
                <w:noProof/>
                <w:webHidden/>
              </w:rPr>
              <w:fldChar w:fldCharType="separate"/>
            </w:r>
            <w:r w:rsidR="005B63DF">
              <w:rPr>
                <w:noProof/>
                <w:webHidden/>
              </w:rPr>
              <w:t>9</w:t>
            </w:r>
            <w:r>
              <w:rPr>
                <w:noProof/>
                <w:webHidden/>
              </w:rPr>
              <w:fldChar w:fldCharType="end"/>
            </w:r>
          </w:hyperlink>
        </w:p>
        <w:p w14:paraId="4E9F0083" w14:textId="702FEC0A" w:rsidR="00411E0E" w:rsidRDefault="00411E0E">
          <w:pPr>
            <w:pStyle w:val="TOC2"/>
            <w:rPr>
              <w:rFonts w:eastAsiaTheme="minorEastAsia"/>
              <w:sz w:val="22"/>
              <w:szCs w:val="22"/>
              <w:lang w:val="en-AU" w:eastAsia="en-AU"/>
            </w:rPr>
          </w:pPr>
          <w:hyperlink w:anchor="_Toc66438623" w:history="1">
            <w:r w:rsidRPr="004F4F7F">
              <w:rPr>
                <w:rStyle w:val="Hyperlink"/>
              </w:rPr>
              <w:t>2.1</w:t>
            </w:r>
            <w:r>
              <w:rPr>
                <w:rFonts w:eastAsiaTheme="minorEastAsia"/>
                <w:sz w:val="22"/>
                <w:szCs w:val="22"/>
                <w:lang w:val="en-AU" w:eastAsia="en-AU"/>
              </w:rPr>
              <w:tab/>
            </w:r>
            <w:r w:rsidRPr="004F4F7F">
              <w:rPr>
                <w:rStyle w:val="Hyperlink"/>
              </w:rPr>
              <w:t>GOVERNANCE STRUCTURE</w:t>
            </w:r>
            <w:r>
              <w:rPr>
                <w:webHidden/>
              </w:rPr>
              <w:tab/>
            </w:r>
            <w:r>
              <w:rPr>
                <w:webHidden/>
              </w:rPr>
              <w:fldChar w:fldCharType="begin"/>
            </w:r>
            <w:r>
              <w:rPr>
                <w:webHidden/>
              </w:rPr>
              <w:instrText xml:space="preserve"> PAGEREF _Toc66438623 \h </w:instrText>
            </w:r>
            <w:r>
              <w:rPr>
                <w:webHidden/>
              </w:rPr>
            </w:r>
            <w:r>
              <w:rPr>
                <w:webHidden/>
              </w:rPr>
              <w:fldChar w:fldCharType="separate"/>
            </w:r>
            <w:r w:rsidR="005B63DF">
              <w:rPr>
                <w:webHidden/>
              </w:rPr>
              <w:t>9</w:t>
            </w:r>
            <w:r>
              <w:rPr>
                <w:webHidden/>
              </w:rPr>
              <w:fldChar w:fldCharType="end"/>
            </w:r>
          </w:hyperlink>
        </w:p>
        <w:p w14:paraId="44E38D56" w14:textId="1DDD1875" w:rsidR="00411E0E" w:rsidRDefault="00411E0E">
          <w:pPr>
            <w:pStyle w:val="TOC2"/>
            <w:rPr>
              <w:rFonts w:eastAsiaTheme="minorEastAsia"/>
              <w:sz w:val="22"/>
              <w:szCs w:val="22"/>
              <w:lang w:val="en-AU" w:eastAsia="en-AU"/>
            </w:rPr>
          </w:pPr>
          <w:hyperlink w:anchor="_Toc66438624" w:history="1">
            <w:r w:rsidRPr="004F4F7F">
              <w:rPr>
                <w:rStyle w:val="Hyperlink"/>
              </w:rPr>
              <w:t>2.2</w:t>
            </w:r>
            <w:r>
              <w:rPr>
                <w:rFonts w:eastAsiaTheme="minorEastAsia"/>
                <w:sz w:val="22"/>
                <w:szCs w:val="22"/>
                <w:lang w:val="en-AU" w:eastAsia="en-AU"/>
              </w:rPr>
              <w:tab/>
            </w:r>
            <w:r w:rsidRPr="004F4F7F">
              <w:rPr>
                <w:rStyle w:val="Hyperlink"/>
              </w:rPr>
              <w:t>THE NATIONAL QUALITY MANAGEMENT COMMITTEE (NQMC)</w:t>
            </w:r>
            <w:r>
              <w:rPr>
                <w:webHidden/>
              </w:rPr>
              <w:tab/>
            </w:r>
            <w:r>
              <w:rPr>
                <w:webHidden/>
              </w:rPr>
              <w:fldChar w:fldCharType="begin"/>
            </w:r>
            <w:r>
              <w:rPr>
                <w:webHidden/>
              </w:rPr>
              <w:instrText xml:space="preserve"> PAGEREF _Toc66438624 \h </w:instrText>
            </w:r>
            <w:r>
              <w:rPr>
                <w:webHidden/>
              </w:rPr>
            </w:r>
            <w:r>
              <w:rPr>
                <w:webHidden/>
              </w:rPr>
              <w:fldChar w:fldCharType="separate"/>
            </w:r>
            <w:r w:rsidR="005B63DF">
              <w:rPr>
                <w:webHidden/>
              </w:rPr>
              <w:t>9</w:t>
            </w:r>
            <w:r>
              <w:rPr>
                <w:webHidden/>
              </w:rPr>
              <w:fldChar w:fldCharType="end"/>
            </w:r>
          </w:hyperlink>
        </w:p>
        <w:p w14:paraId="68B1FDB9" w14:textId="0C027F06" w:rsidR="00411E0E" w:rsidRDefault="00411E0E">
          <w:pPr>
            <w:pStyle w:val="TOC3"/>
            <w:rPr>
              <w:rFonts w:eastAsiaTheme="minorEastAsia"/>
              <w:sz w:val="22"/>
              <w:szCs w:val="22"/>
              <w:lang w:val="en-AU" w:eastAsia="en-AU"/>
            </w:rPr>
          </w:pPr>
          <w:hyperlink w:anchor="_Toc66438625" w:history="1">
            <w:r w:rsidRPr="004F4F7F">
              <w:rPr>
                <w:rStyle w:val="Hyperlink"/>
              </w:rPr>
              <w:t>2.2.1</w:t>
            </w:r>
            <w:r>
              <w:rPr>
                <w:rFonts w:eastAsiaTheme="minorEastAsia"/>
                <w:sz w:val="22"/>
                <w:szCs w:val="22"/>
                <w:lang w:val="en-AU" w:eastAsia="en-AU"/>
              </w:rPr>
              <w:tab/>
            </w:r>
            <w:r w:rsidRPr="004F4F7F">
              <w:rPr>
                <w:rStyle w:val="Hyperlink"/>
              </w:rPr>
              <w:t>NQMC Role and Responsibilities</w:t>
            </w:r>
            <w:r>
              <w:rPr>
                <w:webHidden/>
              </w:rPr>
              <w:tab/>
            </w:r>
            <w:r>
              <w:rPr>
                <w:webHidden/>
              </w:rPr>
              <w:fldChar w:fldCharType="begin"/>
            </w:r>
            <w:r>
              <w:rPr>
                <w:webHidden/>
              </w:rPr>
              <w:instrText xml:space="preserve"> PAGEREF _Toc66438625 \h </w:instrText>
            </w:r>
            <w:r>
              <w:rPr>
                <w:webHidden/>
              </w:rPr>
            </w:r>
            <w:r>
              <w:rPr>
                <w:webHidden/>
              </w:rPr>
              <w:fldChar w:fldCharType="separate"/>
            </w:r>
            <w:r w:rsidR="005B63DF">
              <w:rPr>
                <w:webHidden/>
              </w:rPr>
              <w:t>9</w:t>
            </w:r>
            <w:r>
              <w:rPr>
                <w:webHidden/>
              </w:rPr>
              <w:fldChar w:fldCharType="end"/>
            </w:r>
          </w:hyperlink>
        </w:p>
        <w:p w14:paraId="0F5F881D" w14:textId="7D0EED79" w:rsidR="00411E0E" w:rsidRDefault="00411E0E">
          <w:pPr>
            <w:pStyle w:val="TOC3"/>
            <w:rPr>
              <w:rFonts w:eastAsiaTheme="minorEastAsia"/>
              <w:sz w:val="22"/>
              <w:szCs w:val="22"/>
              <w:lang w:val="en-AU" w:eastAsia="en-AU"/>
            </w:rPr>
          </w:pPr>
          <w:hyperlink w:anchor="_Toc66438626" w:history="1">
            <w:r w:rsidRPr="004F4F7F">
              <w:rPr>
                <w:rStyle w:val="Hyperlink"/>
              </w:rPr>
              <w:t>2.2.2</w:t>
            </w:r>
            <w:r>
              <w:rPr>
                <w:rFonts w:eastAsiaTheme="minorEastAsia"/>
                <w:sz w:val="22"/>
                <w:szCs w:val="22"/>
                <w:lang w:val="en-AU" w:eastAsia="en-AU"/>
              </w:rPr>
              <w:tab/>
            </w:r>
            <w:r w:rsidRPr="004F4F7F">
              <w:rPr>
                <w:rStyle w:val="Hyperlink"/>
              </w:rPr>
              <w:t>NQMC Chair</w:t>
            </w:r>
            <w:r>
              <w:rPr>
                <w:webHidden/>
              </w:rPr>
              <w:tab/>
            </w:r>
            <w:r>
              <w:rPr>
                <w:webHidden/>
              </w:rPr>
              <w:fldChar w:fldCharType="begin"/>
            </w:r>
            <w:r>
              <w:rPr>
                <w:webHidden/>
              </w:rPr>
              <w:instrText xml:space="preserve"> PAGEREF _Toc66438626 \h </w:instrText>
            </w:r>
            <w:r>
              <w:rPr>
                <w:webHidden/>
              </w:rPr>
            </w:r>
            <w:r>
              <w:rPr>
                <w:webHidden/>
              </w:rPr>
              <w:fldChar w:fldCharType="separate"/>
            </w:r>
            <w:r w:rsidR="005B63DF">
              <w:rPr>
                <w:webHidden/>
              </w:rPr>
              <w:t>11</w:t>
            </w:r>
            <w:r>
              <w:rPr>
                <w:webHidden/>
              </w:rPr>
              <w:fldChar w:fldCharType="end"/>
            </w:r>
          </w:hyperlink>
        </w:p>
        <w:p w14:paraId="5EF57535" w14:textId="1B75F8C9" w:rsidR="00411E0E" w:rsidRDefault="00411E0E">
          <w:pPr>
            <w:pStyle w:val="TOC3"/>
            <w:rPr>
              <w:rFonts w:eastAsiaTheme="minorEastAsia"/>
              <w:sz w:val="22"/>
              <w:szCs w:val="22"/>
              <w:lang w:val="en-AU" w:eastAsia="en-AU"/>
            </w:rPr>
          </w:pPr>
          <w:hyperlink w:anchor="_Toc66438627" w:history="1">
            <w:r w:rsidRPr="004F4F7F">
              <w:rPr>
                <w:rStyle w:val="Hyperlink"/>
              </w:rPr>
              <w:t>2.2.3</w:t>
            </w:r>
            <w:r>
              <w:rPr>
                <w:rFonts w:eastAsiaTheme="minorEastAsia"/>
                <w:sz w:val="22"/>
                <w:szCs w:val="22"/>
                <w:lang w:val="en-AU" w:eastAsia="en-AU"/>
              </w:rPr>
              <w:tab/>
            </w:r>
            <w:r w:rsidRPr="004F4F7F">
              <w:rPr>
                <w:rStyle w:val="Hyperlink"/>
              </w:rPr>
              <w:t>NQMC Acting Chair</w:t>
            </w:r>
            <w:r>
              <w:rPr>
                <w:webHidden/>
              </w:rPr>
              <w:tab/>
            </w:r>
            <w:r>
              <w:rPr>
                <w:webHidden/>
              </w:rPr>
              <w:fldChar w:fldCharType="begin"/>
            </w:r>
            <w:r>
              <w:rPr>
                <w:webHidden/>
              </w:rPr>
              <w:instrText xml:space="preserve"> PAGEREF _Toc66438627 \h </w:instrText>
            </w:r>
            <w:r>
              <w:rPr>
                <w:webHidden/>
              </w:rPr>
            </w:r>
            <w:r>
              <w:rPr>
                <w:webHidden/>
              </w:rPr>
              <w:fldChar w:fldCharType="separate"/>
            </w:r>
            <w:r w:rsidR="005B63DF">
              <w:rPr>
                <w:webHidden/>
              </w:rPr>
              <w:t>11</w:t>
            </w:r>
            <w:r>
              <w:rPr>
                <w:webHidden/>
              </w:rPr>
              <w:fldChar w:fldCharType="end"/>
            </w:r>
          </w:hyperlink>
        </w:p>
        <w:p w14:paraId="099E66B2" w14:textId="04F67749" w:rsidR="00411E0E" w:rsidRDefault="00411E0E">
          <w:pPr>
            <w:pStyle w:val="TOC3"/>
            <w:rPr>
              <w:rFonts w:eastAsiaTheme="minorEastAsia"/>
              <w:sz w:val="22"/>
              <w:szCs w:val="22"/>
              <w:lang w:val="en-AU" w:eastAsia="en-AU"/>
            </w:rPr>
          </w:pPr>
          <w:hyperlink w:anchor="_Toc66438628" w:history="1">
            <w:r w:rsidRPr="004F4F7F">
              <w:rPr>
                <w:rStyle w:val="Hyperlink"/>
              </w:rPr>
              <w:t>2.2.4</w:t>
            </w:r>
            <w:r>
              <w:rPr>
                <w:rFonts w:eastAsiaTheme="minorEastAsia"/>
                <w:sz w:val="22"/>
                <w:szCs w:val="22"/>
                <w:lang w:val="en-AU" w:eastAsia="en-AU"/>
              </w:rPr>
              <w:tab/>
            </w:r>
            <w:r w:rsidRPr="004F4F7F">
              <w:rPr>
                <w:rStyle w:val="Hyperlink"/>
              </w:rPr>
              <w:t>NQMC Membership</w:t>
            </w:r>
            <w:r>
              <w:rPr>
                <w:webHidden/>
              </w:rPr>
              <w:tab/>
            </w:r>
            <w:r>
              <w:rPr>
                <w:webHidden/>
              </w:rPr>
              <w:fldChar w:fldCharType="begin"/>
            </w:r>
            <w:r>
              <w:rPr>
                <w:webHidden/>
              </w:rPr>
              <w:instrText xml:space="preserve"> PAGEREF _Toc66438628 \h </w:instrText>
            </w:r>
            <w:r>
              <w:rPr>
                <w:webHidden/>
              </w:rPr>
            </w:r>
            <w:r>
              <w:rPr>
                <w:webHidden/>
              </w:rPr>
              <w:fldChar w:fldCharType="separate"/>
            </w:r>
            <w:r w:rsidR="005B63DF">
              <w:rPr>
                <w:webHidden/>
              </w:rPr>
              <w:t>12</w:t>
            </w:r>
            <w:r>
              <w:rPr>
                <w:webHidden/>
              </w:rPr>
              <w:fldChar w:fldCharType="end"/>
            </w:r>
          </w:hyperlink>
        </w:p>
        <w:p w14:paraId="1CD6787B" w14:textId="1AA9FF2E" w:rsidR="00411E0E" w:rsidRDefault="00411E0E">
          <w:pPr>
            <w:pStyle w:val="TOC3"/>
            <w:rPr>
              <w:rFonts w:eastAsiaTheme="minorEastAsia"/>
              <w:sz w:val="22"/>
              <w:szCs w:val="22"/>
              <w:lang w:val="en-AU" w:eastAsia="en-AU"/>
            </w:rPr>
          </w:pPr>
          <w:hyperlink w:anchor="_Toc66438629" w:history="1">
            <w:r w:rsidRPr="004F4F7F">
              <w:rPr>
                <w:rStyle w:val="Hyperlink"/>
              </w:rPr>
              <w:t>2.2.5</w:t>
            </w:r>
            <w:r>
              <w:rPr>
                <w:rFonts w:eastAsiaTheme="minorEastAsia"/>
                <w:sz w:val="22"/>
                <w:szCs w:val="22"/>
                <w:lang w:val="en-AU" w:eastAsia="en-AU"/>
              </w:rPr>
              <w:tab/>
            </w:r>
            <w:r w:rsidRPr="004F4F7F">
              <w:rPr>
                <w:rStyle w:val="Hyperlink"/>
              </w:rPr>
              <w:t>NQMC Terms of Appointment</w:t>
            </w:r>
            <w:r>
              <w:rPr>
                <w:webHidden/>
              </w:rPr>
              <w:tab/>
            </w:r>
            <w:r>
              <w:rPr>
                <w:webHidden/>
              </w:rPr>
              <w:fldChar w:fldCharType="begin"/>
            </w:r>
            <w:r>
              <w:rPr>
                <w:webHidden/>
              </w:rPr>
              <w:instrText xml:space="preserve"> PAGEREF _Toc66438629 \h </w:instrText>
            </w:r>
            <w:r>
              <w:rPr>
                <w:webHidden/>
              </w:rPr>
            </w:r>
            <w:r>
              <w:rPr>
                <w:webHidden/>
              </w:rPr>
              <w:fldChar w:fldCharType="separate"/>
            </w:r>
            <w:r w:rsidR="005B63DF">
              <w:rPr>
                <w:webHidden/>
              </w:rPr>
              <w:t>13</w:t>
            </w:r>
            <w:r>
              <w:rPr>
                <w:webHidden/>
              </w:rPr>
              <w:fldChar w:fldCharType="end"/>
            </w:r>
          </w:hyperlink>
        </w:p>
        <w:p w14:paraId="6AD8DAE7" w14:textId="0DEB562E" w:rsidR="00411E0E" w:rsidRDefault="00411E0E">
          <w:pPr>
            <w:pStyle w:val="TOC3"/>
            <w:rPr>
              <w:rFonts w:eastAsiaTheme="minorEastAsia"/>
              <w:sz w:val="22"/>
              <w:szCs w:val="22"/>
              <w:lang w:val="en-AU" w:eastAsia="en-AU"/>
            </w:rPr>
          </w:pPr>
          <w:hyperlink w:anchor="_Toc66438630" w:history="1">
            <w:r w:rsidRPr="004F4F7F">
              <w:rPr>
                <w:rStyle w:val="Hyperlink"/>
              </w:rPr>
              <w:t>2.2.6</w:t>
            </w:r>
            <w:r>
              <w:rPr>
                <w:rFonts w:eastAsiaTheme="minorEastAsia"/>
                <w:sz w:val="22"/>
                <w:szCs w:val="22"/>
                <w:lang w:val="en-AU" w:eastAsia="en-AU"/>
              </w:rPr>
              <w:tab/>
            </w:r>
            <w:r w:rsidRPr="004F4F7F">
              <w:rPr>
                <w:rStyle w:val="Hyperlink"/>
              </w:rPr>
              <w:t>NQMC Meetings</w:t>
            </w:r>
            <w:r>
              <w:rPr>
                <w:webHidden/>
              </w:rPr>
              <w:tab/>
            </w:r>
            <w:r>
              <w:rPr>
                <w:webHidden/>
              </w:rPr>
              <w:fldChar w:fldCharType="begin"/>
            </w:r>
            <w:r>
              <w:rPr>
                <w:webHidden/>
              </w:rPr>
              <w:instrText xml:space="preserve"> PAGEREF _Toc66438630 \h </w:instrText>
            </w:r>
            <w:r>
              <w:rPr>
                <w:webHidden/>
              </w:rPr>
            </w:r>
            <w:r>
              <w:rPr>
                <w:webHidden/>
              </w:rPr>
              <w:fldChar w:fldCharType="separate"/>
            </w:r>
            <w:r w:rsidR="005B63DF">
              <w:rPr>
                <w:webHidden/>
              </w:rPr>
              <w:t>14</w:t>
            </w:r>
            <w:r>
              <w:rPr>
                <w:webHidden/>
              </w:rPr>
              <w:fldChar w:fldCharType="end"/>
            </w:r>
          </w:hyperlink>
        </w:p>
        <w:p w14:paraId="1C52B00E" w14:textId="2ECA8F56" w:rsidR="00411E0E" w:rsidRDefault="00411E0E">
          <w:pPr>
            <w:pStyle w:val="TOC3"/>
            <w:rPr>
              <w:rFonts w:eastAsiaTheme="minorEastAsia"/>
              <w:sz w:val="22"/>
              <w:szCs w:val="22"/>
              <w:lang w:val="en-AU" w:eastAsia="en-AU"/>
            </w:rPr>
          </w:pPr>
          <w:hyperlink w:anchor="_Toc66438631" w:history="1">
            <w:r w:rsidRPr="004F4F7F">
              <w:rPr>
                <w:rStyle w:val="Hyperlink"/>
              </w:rPr>
              <w:t>2.2.7</w:t>
            </w:r>
            <w:r>
              <w:rPr>
                <w:rFonts w:eastAsiaTheme="minorEastAsia"/>
                <w:sz w:val="22"/>
                <w:szCs w:val="22"/>
                <w:lang w:val="en-AU" w:eastAsia="en-AU"/>
              </w:rPr>
              <w:tab/>
            </w:r>
            <w:r w:rsidRPr="004F4F7F">
              <w:rPr>
                <w:rStyle w:val="Hyperlink"/>
              </w:rPr>
              <w:t>NQMC Secretariat</w:t>
            </w:r>
            <w:r>
              <w:rPr>
                <w:webHidden/>
              </w:rPr>
              <w:tab/>
            </w:r>
            <w:r>
              <w:rPr>
                <w:webHidden/>
              </w:rPr>
              <w:fldChar w:fldCharType="begin"/>
            </w:r>
            <w:r>
              <w:rPr>
                <w:webHidden/>
              </w:rPr>
              <w:instrText xml:space="preserve"> PAGEREF _Toc66438631 \h </w:instrText>
            </w:r>
            <w:r>
              <w:rPr>
                <w:webHidden/>
              </w:rPr>
            </w:r>
            <w:r>
              <w:rPr>
                <w:webHidden/>
              </w:rPr>
              <w:fldChar w:fldCharType="separate"/>
            </w:r>
            <w:r w:rsidR="005B63DF">
              <w:rPr>
                <w:webHidden/>
              </w:rPr>
              <w:t>14</w:t>
            </w:r>
            <w:r>
              <w:rPr>
                <w:webHidden/>
              </w:rPr>
              <w:fldChar w:fldCharType="end"/>
            </w:r>
          </w:hyperlink>
        </w:p>
        <w:p w14:paraId="2B38BE5D" w14:textId="3DF5743C" w:rsidR="00411E0E" w:rsidRDefault="00411E0E">
          <w:pPr>
            <w:pStyle w:val="TOC2"/>
            <w:rPr>
              <w:rFonts w:eastAsiaTheme="minorEastAsia"/>
              <w:sz w:val="22"/>
              <w:szCs w:val="22"/>
              <w:lang w:val="en-AU" w:eastAsia="en-AU"/>
            </w:rPr>
          </w:pPr>
          <w:hyperlink w:anchor="_Toc66438632" w:history="1">
            <w:r w:rsidRPr="004F4F7F">
              <w:rPr>
                <w:rStyle w:val="Hyperlink"/>
              </w:rPr>
              <w:t>2.3</w:t>
            </w:r>
            <w:r>
              <w:rPr>
                <w:rFonts w:eastAsiaTheme="minorEastAsia"/>
                <w:sz w:val="22"/>
                <w:szCs w:val="22"/>
                <w:lang w:val="en-AU" w:eastAsia="en-AU"/>
              </w:rPr>
              <w:tab/>
            </w:r>
            <w:r w:rsidRPr="004F4F7F">
              <w:rPr>
                <w:rStyle w:val="Hyperlink"/>
              </w:rPr>
              <w:t>THE STATE QUALITY COMMITTEE (SQC)</w:t>
            </w:r>
            <w:r>
              <w:rPr>
                <w:webHidden/>
              </w:rPr>
              <w:tab/>
            </w:r>
            <w:r>
              <w:rPr>
                <w:webHidden/>
              </w:rPr>
              <w:fldChar w:fldCharType="begin"/>
            </w:r>
            <w:r>
              <w:rPr>
                <w:webHidden/>
              </w:rPr>
              <w:instrText xml:space="preserve"> PAGEREF _Toc66438632 \h </w:instrText>
            </w:r>
            <w:r>
              <w:rPr>
                <w:webHidden/>
              </w:rPr>
            </w:r>
            <w:r>
              <w:rPr>
                <w:webHidden/>
              </w:rPr>
              <w:fldChar w:fldCharType="separate"/>
            </w:r>
            <w:r w:rsidR="005B63DF">
              <w:rPr>
                <w:webHidden/>
              </w:rPr>
              <w:t>15</w:t>
            </w:r>
            <w:r>
              <w:rPr>
                <w:webHidden/>
              </w:rPr>
              <w:fldChar w:fldCharType="end"/>
            </w:r>
          </w:hyperlink>
        </w:p>
        <w:p w14:paraId="3AEBAEE2" w14:textId="16CDBFBD" w:rsidR="00411E0E" w:rsidRDefault="00411E0E">
          <w:pPr>
            <w:pStyle w:val="TOC3"/>
            <w:rPr>
              <w:rFonts w:eastAsiaTheme="minorEastAsia"/>
              <w:sz w:val="22"/>
              <w:szCs w:val="22"/>
              <w:lang w:val="en-AU" w:eastAsia="en-AU"/>
            </w:rPr>
          </w:pPr>
          <w:hyperlink w:anchor="_Toc66438633" w:history="1">
            <w:r w:rsidRPr="004F4F7F">
              <w:rPr>
                <w:rStyle w:val="Hyperlink"/>
              </w:rPr>
              <w:t>2.3.1</w:t>
            </w:r>
            <w:r>
              <w:rPr>
                <w:rFonts w:eastAsiaTheme="minorEastAsia"/>
                <w:sz w:val="22"/>
                <w:szCs w:val="22"/>
                <w:lang w:val="en-AU" w:eastAsia="en-AU"/>
              </w:rPr>
              <w:tab/>
            </w:r>
            <w:r w:rsidRPr="004F4F7F">
              <w:rPr>
                <w:rStyle w:val="Hyperlink"/>
              </w:rPr>
              <w:t>SQC Role and Responsibilities</w:t>
            </w:r>
            <w:r>
              <w:rPr>
                <w:webHidden/>
              </w:rPr>
              <w:tab/>
            </w:r>
            <w:r>
              <w:rPr>
                <w:webHidden/>
              </w:rPr>
              <w:fldChar w:fldCharType="begin"/>
            </w:r>
            <w:r>
              <w:rPr>
                <w:webHidden/>
              </w:rPr>
              <w:instrText xml:space="preserve"> PAGEREF _Toc66438633 \h </w:instrText>
            </w:r>
            <w:r>
              <w:rPr>
                <w:webHidden/>
              </w:rPr>
            </w:r>
            <w:r>
              <w:rPr>
                <w:webHidden/>
              </w:rPr>
              <w:fldChar w:fldCharType="separate"/>
            </w:r>
            <w:r w:rsidR="005B63DF">
              <w:rPr>
                <w:webHidden/>
              </w:rPr>
              <w:t>15</w:t>
            </w:r>
            <w:r>
              <w:rPr>
                <w:webHidden/>
              </w:rPr>
              <w:fldChar w:fldCharType="end"/>
            </w:r>
          </w:hyperlink>
        </w:p>
        <w:p w14:paraId="7EA0D74F" w14:textId="5D5741CD" w:rsidR="00411E0E" w:rsidRDefault="00411E0E">
          <w:pPr>
            <w:pStyle w:val="TOC3"/>
            <w:rPr>
              <w:rFonts w:eastAsiaTheme="minorEastAsia"/>
              <w:sz w:val="22"/>
              <w:szCs w:val="22"/>
              <w:lang w:val="en-AU" w:eastAsia="en-AU"/>
            </w:rPr>
          </w:pPr>
          <w:hyperlink w:anchor="_Toc66438634" w:history="1">
            <w:r w:rsidRPr="004F4F7F">
              <w:rPr>
                <w:rStyle w:val="Hyperlink"/>
              </w:rPr>
              <w:t>2.3.2</w:t>
            </w:r>
            <w:r>
              <w:rPr>
                <w:rFonts w:eastAsiaTheme="minorEastAsia"/>
                <w:sz w:val="22"/>
                <w:szCs w:val="22"/>
                <w:lang w:val="en-AU" w:eastAsia="en-AU"/>
              </w:rPr>
              <w:tab/>
            </w:r>
            <w:r w:rsidRPr="004F4F7F">
              <w:rPr>
                <w:rStyle w:val="Hyperlink"/>
              </w:rPr>
              <w:t>SQC Membership</w:t>
            </w:r>
            <w:r>
              <w:rPr>
                <w:webHidden/>
              </w:rPr>
              <w:tab/>
            </w:r>
            <w:r>
              <w:rPr>
                <w:webHidden/>
              </w:rPr>
              <w:fldChar w:fldCharType="begin"/>
            </w:r>
            <w:r>
              <w:rPr>
                <w:webHidden/>
              </w:rPr>
              <w:instrText xml:space="preserve"> PAGEREF _Toc66438634 \h </w:instrText>
            </w:r>
            <w:r>
              <w:rPr>
                <w:webHidden/>
              </w:rPr>
            </w:r>
            <w:r>
              <w:rPr>
                <w:webHidden/>
              </w:rPr>
              <w:fldChar w:fldCharType="separate"/>
            </w:r>
            <w:r w:rsidR="005B63DF">
              <w:rPr>
                <w:webHidden/>
              </w:rPr>
              <w:t>16</w:t>
            </w:r>
            <w:r>
              <w:rPr>
                <w:webHidden/>
              </w:rPr>
              <w:fldChar w:fldCharType="end"/>
            </w:r>
          </w:hyperlink>
        </w:p>
        <w:p w14:paraId="7B70EF47" w14:textId="26D84D90" w:rsidR="00411E0E" w:rsidRDefault="00411E0E">
          <w:pPr>
            <w:pStyle w:val="TOC3"/>
            <w:rPr>
              <w:rFonts w:eastAsiaTheme="minorEastAsia"/>
              <w:sz w:val="22"/>
              <w:szCs w:val="22"/>
              <w:lang w:val="en-AU" w:eastAsia="en-AU"/>
            </w:rPr>
          </w:pPr>
          <w:hyperlink w:anchor="_Toc66438635" w:history="1">
            <w:r w:rsidRPr="004F4F7F">
              <w:rPr>
                <w:rStyle w:val="Hyperlink"/>
              </w:rPr>
              <w:t>2.3.3</w:t>
            </w:r>
            <w:r>
              <w:rPr>
                <w:rFonts w:eastAsiaTheme="minorEastAsia"/>
                <w:sz w:val="22"/>
                <w:szCs w:val="22"/>
                <w:lang w:val="en-AU" w:eastAsia="en-AU"/>
              </w:rPr>
              <w:tab/>
            </w:r>
            <w:r w:rsidRPr="004F4F7F">
              <w:rPr>
                <w:rStyle w:val="Hyperlink"/>
              </w:rPr>
              <w:t>SQC Chair</w:t>
            </w:r>
            <w:r>
              <w:rPr>
                <w:webHidden/>
              </w:rPr>
              <w:tab/>
            </w:r>
            <w:r>
              <w:rPr>
                <w:webHidden/>
              </w:rPr>
              <w:fldChar w:fldCharType="begin"/>
            </w:r>
            <w:r>
              <w:rPr>
                <w:webHidden/>
              </w:rPr>
              <w:instrText xml:space="preserve"> PAGEREF _Toc66438635 \h </w:instrText>
            </w:r>
            <w:r>
              <w:rPr>
                <w:webHidden/>
              </w:rPr>
            </w:r>
            <w:r>
              <w:rPr>
                <w:webHidden/>
              </w:rPr>
              <w:fldChar w:fldCharType="separate"/>
            </w:r>
            <w:r w:rsidR="005B63DF">
              <w:rPr>
                <w:webHidden/>
              </w:rPr>
              <w:t>17</w:t>
            </w:r>
            <w:r>
              <w:rPr>
                <w:webHidden/>
              </w:rPr>
              <w:fldChar w:fldCharType="end"/>
            </w:r>
          </w:hyperlink>
        </w:p>
        <w:p w14:paraId="3698611E" w14:textId="322F4789" w:rsidR="00411E0E" w:rsidRDefault="00411E0E">
          <w:pPr>
            <w:pStyle w:val="TOC3"/>
            <w:rPr>
              <w:rFonts w:eastAsiaTheme="minorEastAsia"/>
              <w:sz w:val="22"/>
              <w:szCs w:val="22"/>
              <w:lang w:val="en-AU" w:eastAsia="en-AU"/>
            </w:rPr>
          </w:pPr>
          <w:hyperlink w:anchor="_Toc66438636" w:history="1">
            <w:r w:rsidRPr="004F4F7F">
              <w:rPr>
                <w:rStyle w:val="Hyperlink"/>
              </w:rPr>
              <w:t>2.3.4</w:t>
            </w:r>
            <w:r>
              <w:rPr>
                <w:rFonts w:eastAsiaTheme="minorEastAsia"/>
                <w:sz w:val="22"/>
                <w:szCs w:val="22"/>
                <w:lang w:val="en-AU" w:eastAsia="en-AU"/>
              </w:rPr>
              <w:tab/>
            </w:r>
            <w:r w:rsidRPr="004F4F7F">
              <w:rPr>
                <w:rStyle w:val="Hyperlink"/>
              </w:rPr>
              <w:t>SQC Membership Renewal and Participation</w:t>
            </w:r>
            <w:r>
              <w:rPr>
                <w:webHidden/>
              </w:rPr>
              <w:tab/>
            </w:r>
            <w:r>
              <w:rPr>
                <w:webHidden/>
              </w:rPr>
              <w:fldChar w:fldCharType="begin"/>
            </w:r>
            <w:r>
              <w:rPr>
                <w:webHidden/>
              </w:rPr>
              <w:instrText xml:space="preserve"> PAGEREF _Toc66438636 \h </w:instrText>
            </w:r>
            <w:r>
              <w:rPr>
                <w:webHidden/>
              </w:rPr>
            </w:r>
            <w:r>
              <w:rPr>
                <w:webHidden/>
              </w:rPr>
              <w:fldChar w:fldCharType="separate"/>
            </w:r>
            <w:r w:rsidR="005B63DF">
              <w:rPr>
                <w:webHidden/>
              </w:rPr>
              <w:t>17</w:t>
            </w:r>
            <w:r>
              <w:rPr>
                <w:webHidden/>
              </w:rPr>
              <w:fldChar w:fldCharType="end"/>
            </w:r>
          </w:hyperlink>
        </w:p>
        <w:p w14:paraId="0ED28C26" w14:textId="32C3E7E1" w:rsidR="00411E0E" w:rsidRDefault="00411E0E">
          <w:pPr>
            <w:pStyle w:val="TOC3"/>
            <w:rPr>
              <w:rFonts w:eastAsiaTheme="minorEastAsia"/>
              <w:sz w:val="22"/>
              <w:szCs w:val="22"/>
              <w:lang w:val="en-AU" w:eastAsia="en-AU"/>
            </w:rPr>
          </w:pPr>
          <w:hyperlink w:anchor="_Toc66438637" w:history="1">
            <w:r w:rsidRPr="004F4F7F">
              <w:rPr>
                <w:rStyle w:val="Hyperlink"/>
              </w:rPr>
              <w:t>2.3.5</w:t>
            </w:r>
            <w:r>
              <w:rPr>
                <w:rFonts w:eastAsiaTheme="minorEastAsia"/>
                <w:sz w:val="22"/>
                <w:szCs w:val="22"/>
                <w:lang w:val="en-AU" w:eastAsia="en-AU"/>
              </w:rPr>
              <w:tab/>
            </w:r>
            <w:r w:rsidRPr="004F4F7F">
              <w:rPr>
                <w:rStyle w:val="Hyperlink"/>
              </w:rPr>
              <w:t>SQC Meetings</w:t>
            </w:r>
            <w:r>
              <w:rPr>
                <w:webHidden/>
              </w:rPr>
              <w:tab/>
            </w:r>
            <w:r>
              <w:rPr>
                <w:webHidden/>
              </w:rPr>
              <w:fldChar w:fldCharType="begin"/>
            </w:r>
            <w:r>
              <w:rPr>
                <w:webHidden/>
              </w:rPr>
              <w:instrText xml:space="preserve"> PAGEREF _Toc66438637 \h </w:instrText>
            </w:r>
            <w:r>
              <w:rPr>
                <w:webHidden/>
              </w:rPr>
            </w:r>
            <w:r>
              <w:rPr>
                <w:webHidden/>
              </w:rPr>
              <w:fldChar w:fldCharType="separate"/>
            </w:r>
            <w:r w:rsidR="005B63DF">
              <w:rPr>
                <w:webHidden/>
              </w:rPr>
              <w:t>17</w:t>
            </w:r>
            <w:r>
              <w:rPr>
                <w:webHidden/>
              </w:rPr>
              <w:fldChar w:fldCharType="end"/>
            </w:r>
          </w:hyperlink>
        </w:p>
        <w:p w14:paraId="3E5755E3" w14:textId="38BBA4C9" w:rsidR="00411E0E" w:rsidRDefault="00411E0E">
          <w:pPr>
            <w:pStyle w:val="TOC2"/>
            <w:rPr>
              <w:rFonts w:eastAsiaTheme="minorEastAsia"/>
              <w:sz w:val="22"/>
              <w:szCs w:val="22"/>
              <w:lang w:val="en-AU" w:eastAsia="en-AU"/>
            </w:rPr>
          </w:pPr>
          <w:hyperlink w:anchor="_Toc66438638" w:history="1">
            <w:r w:rsidRPr="004F4F7F">
              <w:rPr>
                <w:rStyle w:val="Hyperlink"/>
                <w:rFonts w:cs="Calibri"/>
              </w:rPr>
              <w:t>2.4</w:t>
            </w:r>
            <w:r>
              <w:rPr>
                <w:rFonts w:eastAsiaTheme="minorEastAsia"/>
                <w:sz w:val="22"/>
                <w:szCs w:val="22"/>
                <w:lang w:val="en-AU" w:eastAsia="en-AU"/>
              </w:rPr>
              <w:tab/>
            </w:r>
            <w:r w:rsidRPr="004F4F7F">
              <w:rPr>
                <w:rStyle w:val="Hyperlink"/>
              </w:rPr>
              <w:t>THE STATE COORDINATION UNIT (SCU)</w:t>
            </w:r>
            <w:r>
              <w:rPr>
                <w:webHidden/>
              </w:rPr>
              <w:tab/>
            </w:r>
            <w:r>
              <w:rPr>
                <w:webHidden/>
              </w:rPr>
              <w:fldChar w:fldCharType="begin"/>
            </w:r>
            <w:r>
              <w:rPr>
                <w:webHidden/>
              </w:rPr>
              <w:instrText xml:space="preserve"> PAGEREF _Toc66438638 \h </w:instrText>
            </w:r>
            <w:r>
              <w:rPr>
                <w:webHidden/>
              </w:rPr>
            </w:r>
            <w:r>
              <w:rPr>
                <w:webHidden/>
              </w:rPr>
              <w:fldChar w:fldCharType="separate"/>
            </w:r>
            <w:r w:rsidR="005B63DF">
              <w:rPr>
                <w:webHidden/>
              </w:rPr>
              <w:t>17</w:t>
            </w:r>
            <w:r>
              <w:rPr>
                <w:webHidden/>
              </w:rPr>
              <w:fldChar w:fldCharType="end"/>
            </w:r>
          </w:hyperlink>
        </w:p>
        <w:p w14:paraId="3786B544" w14:textId="4A40E2C0" w:rsidR="00411E0E" w:rsidRDefault="00411E0E">
          <w:pPr>
            <w:pStyle w:val="TOC3"/>
            <w:rPr>
              <w:rFonts w:eastAsiaTheme="minorEastAsia"/>
              <w:sz w:val="22"/>
              <w:szCs w:val="22"/>
              <w:lang w:val="en-AU" w:eastAsia="en-AU"/>
            </w:rPr>
          </w:pPr>
          <w:hyperlink w:anchor="_Toc66438639" w:history="1">
            <w:r w:rsidRPr="004F4F7F">
              <w:rPr>
                <w:rStyle w:val="Hyperlink"/>
              </w:rPr>
              <w:t>2.4.1</w:t>
            </w:r>
            <w:r>
              <w:rPr>
                <w:rFonts w:eastAsiaTheme="minorEastAsia"/>
                <w:sz w:val="22"/>
                <w:szCs w:val="22"/>
                <w:lang w:val="en-AU" w:eastAsia="en-AU"/>
              </w:rPr>
              <w:tab/>
            </w:r>
            <w:r w:rsidRPr="004F4F7F">
              <w:rPr>
                <w:rStyle w:val="Hyperlink"/>
              </w:rPr>
              <w:t>SCU Role and Responsibilities</w:t>
            </w:r>
            <w:r>
              <w:rPr>
                <w:webHidden/>
              </w:rPr>
              <w:tab/>
            </w:r>
            <w:r>
              <w:rPr>
                <w:webHidden/>
              </w:rPr>
              <w:fldChar w:fldCharType="begin"/>
            </w:r>
            <w:r>
              <w:rPr>
                <w:webHidden/>
              </w:rPr>
              <w:instrText xml:space="preserve"> PAGEREF _Toc66438639 \h </w:instrText>
            </w:r>
            <w:r>
              <w:rPr>
                <w:webHidden/>
              </w:rPr>
            </w:r>
            <w:r>
              <w:rPr>
                <w:webHidden/>
              </w:rPr>
              <w:fldChar w:fldCharType="separate"/>
            </w:r>
            <w:r w:rsidR="005B63DF">
              <w:rPr>
                <w:webHidden/>
              </w:rPr>
              <w:t>17</w:t>
            </w:r>
            <w:r>
              <w:rPr>
                <w:webHidden/>
              </w:rPr>
              <w:fldChar w:fldCharType="end"/>
            </w:r>
          </w:hyperlink>
        </w:p>
        <w:p w14:paraId="45E4B656" w14:textId="767FC05B" w:rsidR="00411E0E" w:rsidRDefault="00411E0E">
          <w:pPr>
            <w:pStyle w:val="TOC2"/>
            <w:rPr>
              <w:rFonts w:eastAsiaTheme="minorEastAsia"/>
              <w:sz w:val="22"/>
              <w:szCs w:val="22"/>
              <w:lang w:val="en-AU" w:eastAsia="en-AU"/>
            </w:rPr>
          </w:pPr>
          <w:hyperlink w:anchor="_Toc66438640" w:history="1">
            <w:r w:rsidRPr="004F4F7F">
              <w:rPr>
                <w:rStyle w:val="Hyperlink"/>
              </w:rPr>
              <w:t>2.5</w:t>
            </w:r>
            <w:r>
              <w:rPr>
                <w:rFonts w:eastAsiaTheme="minorEastAsia"/>
                <w:sz w:val="22"/>
                <w:szCs w:val="22"/>
                <w:lang w:val="en-AU" w:eastAsia="en-AU"/>
              </w:rPr>
              <w:tab/>
            </w:r>
            <w:r w:rsidRPr="004F4F7F">
              <w:rPr>
                <w:rStyle w:val="Hyperlink"/>
              </w:rPr>
              <w:t>BREASTSCREEN AUSTRALIA SERVICES</w:t>
            </w:r>
            <w:r>
              <w:rPr>
                <w:webHidden/>
              </w:rPr>
              <w:tab/>
            </w:r>
            <w:r>
              <w:rPr>
                <w:webHidden/>
              </w:rPr>
              <w:fldChar w:fldCharType="begin"/>
            </w:r>
            <w:r>
              <w:rPr>
                <w:webHidden/>
              </w:rPr>
              <w:instrText xml:space="preserve"> PAGEREF _Toc66438640 \h </w:instrText>
            </w:r>
            <w:r>
              <w:rPr>
                <w:webHidden/>
              </w:rPr>
            </w:r>
            <w:r>
              <w:rPr>
                <w:webHidden/>
              </w:rPr>
              <w:fldChar w:fldCharType="separate"/>
            </w:r>
            <w:r w:rsidR="005B63DF">
              <w:rPr>
                <w:webHidden/>
              </w:rPr>
              <w:t>20</w:t>
            </w:r>
            <w:r>
              <w:rPr>
                <w:webHidden/>
              </w:rPr>
              <w:fldChar w:fldCharType="end"/>
            </w:r>
          </w:hyperlink>
        </w:p>
        <w:p w14:paraId="7233E9C4" w14:textId="00CAACB3" w:rsidR="00411E0E" w:rsidRDefault="00411E0E">
          <w:pPr>
            <w:pStyle w:val="TOC3"/>
            <w:rPr>
              <w:rFonts w:eastAsiaTheme="minorEastAsia"/>
              <w:sz w:val="22"/>
              <w:szCs w:val="22"/>
              <w:lang w:val="en-AU" w:eastAsia="en-AU"/>
            </w:rPr>
          </w:pPr>
          <w:hyperlink w:anchor="_Toc66438641" w:history="1">
            <w:r w:rsidRPr="004F4F7F">
              <w:rPr>
                <w:rStyle w:val="Hyperlink"/>
              </w:rPr>
              <w:t>2.5.1</w:t>
            </w:r>
            <w:r>
              <w:rPr>
                <w:rFonts w:eastAsiaTheme="minorEastAsia"/>
                <w:sz w:val="22"/>
                <w:szCs w:val="22"/>
                <w:lang w:val="en-AU" w:eastAsia="en-AU"/>
              </w:rPr>
              <w:tab/>
            </w:r>
            <w:r w:rsidRPr="004F4F7F">
              <w:rPr>
                <w:rStyle w:val="Hyperlink"/>
              </w:rPr>
              <w:t>Roles and Responsibilities</w:t>
            </w:r>
            <w:r>
              <w:rPr>
                <w:webHidden/>
              </w:rPr>
              <w:tab/>
            </w:r>
            <w:r>
              <w:rPr>
                <w:webHidden/>
              </w:rPr>
              <w:fldChar w:fldCharType="begin"/>
            </w:r>
            <w:r>
              <w:rPr>
                <w:webHidden/>
              </w:rPr>
              <w:instrText xml:space="preserve"> PAGEREF _Toc66438641 \h </w:instrText>
            </w:r>
            <w:r>
              <w:rPr>
                <w:webHidden/>
              </w:rPr>
            </w:r>
            <w:r>
              <w:rPr>
                <w:webHidden/>
              </w:rPr>
              <w:fldChar w:fldCharType="separate"/>
            </w:r>
            <w:r w:rsidR="005B63DF">
              <w:rPr>
                <w:webHidden/>
              </w:rPr>
              <w:t>20</w:t>
            </w:r>
            <w:r>
              <w:rPr>
                <w:webHidden/>
              </w:rPr>
              <w:fldChar w:fldCharType="end"/>
            </w:r>
          </w:hyperlink>
        </w:p>
        <w:p w14:paraId="4C9BECF4" w14:textId="6743E5A7" w:rsidR="00411E0E" w:rsidRDefault="00411E0E">
          <w:pPr>
            <w:pStyle w:val="TOC2"/>
            <w:rPr>
              <w:rFonts w:eastAsiaTheme="minorEastAsia"/>
              <w:sz w:val="22"/>
              <w:szCs w:val="22"/>
              <w:lang w:val="en-AU" w:eastAsia="en-AU"/>
            </w:rPr>
          </w:pPr>
          <w:hyperlink w:anchor="_Toc66438642" w:history="1">
            <w:r w:rsidRPr="004F4F7F">
              <w:rPr>
                <w:rStyle w:val="Hyperlink"/>
              </w:rPr>
              <w:t>2.6</w:t>
            </w:r>
            <w:r>
              <w:rPr>
                <w:rFonts w:eastAsiaTheme="minorEastAsia"/>
                <w:sz w:val="22"/>
                <w:szCs w:val="22"/>
                <w:lang w:val="en-AU" w:eastAsia="en-AU"/>
              </w:rPr>
              <w:tab/>
            </w:r>
            <w:r w:rsidRPr="004F4F7F">
              <w:rPr>
                <w:rStyle w:val="Hyperlink"/>
              </w:rPr>
              <w:t>BREASTSCREEN AUSTRALIA NAS ACCOUNTABILITY FRAMEWORK</w:t>
            </w:r>
            <w:r>
              <w:rPr>
                <w:webHidden/>
              </w:rPr>
              <w:tab/>
            </w:r>
            <w:r>
              <w:rPr>
                <w:webHidden/>
              </w:rPr>
              <w:fldChar w:fldCharType="begin"/>
            </w:r>
            <w:r>
              <w:rPr>
                <w:webHidden/>
              </w:rPr>
              <w:instrText xml:space="preserve"> PAGEREF _Toc66438642 \h </w:instrText>
            </w:r>
            <w:r>
              <w:rPr>
                <w:webHidden/>
              </w:rPr>
            </w:r>
            <w:r>
              <w:rPr>
                <w:webHidden/>
              </w:rPr>
              <w:fldChar w:fldCharType="separate"/>
            </w:r>
            <w:r w:rsidR="005B63DF">
              <w:rPr>
                <w:webHidden/>
              </w:rPr>
              <w:t>22</w:t>
            </w:r>
            <w:r>
              <w:rPr>
                <w:webHidden/>
              </w:rPr>
              <w:fldChar w:fldCharType="end"/>
            </w:r>
          </w:hyperlink>
        </w:p>
        <w:p w14:paraId="14DE2416" w14:textId="2734B1E2" w:rsidR="00411E0E" w:rsidRDefault="00411E0E">
          <w:pPr>
            <w:pStyle w:val="TOC1"/>
            <w:rPr>
              <w:rFonts w:eastAsiaTheme="minorEastAsia"/>
              <w:noProof/>
              <w:sz w:val="22"/>
              <w:szCs w:val="22"/>
              <w:lang w:val="en-AU" w:eastAsia="en-AU"/>
            </w:rPr>
          </w:pPr>
          <w:hyperlink w:anchor="_Toc66438643" w:history="1">
            <w:r w:rsidRPr="004F4F7F">
              <w:rPr>
                <w:rStyle w:val="Hyperlink"/>
                <w:noProof/>
              </w:rPr>
              <w:t>3</w:t>
            </w:r>
            <w:r>
              <w:rPr>
                <w:rFonts w:eastAsiaTheme="minorEastAsia"/>
                <w:noProof/>
                <w:sz w:val="22"/>
                <w:szCs w:val="22"/>
                <w:lang w:val="en-AU" w:eastAsia="en-AU"/>
              </w:rPr>
              <w:tab/>
            </w:r>
            <w:r w:rsidRPr="004F4F7F">
              <w:rPr>
                <w:rStyle w:val="Hyperlink"/>
                <w:noProof/>
              </w:rPr>
              <w:t>ACCREDITATION</w:t>
            </w:r>
            <w:r w:rsidRPr="004F4F7F">
              <w:rPr>
                <w:rStyle w:val="Hyperlink"/>
                <w:rFonts w:cs="Calibri"/>
                <w:noProof/>
              </w:rPr>
              <w:t xml:space="preserve"> </w:t>
            </w:r>
            <w:r w:rsidRPr="004F4F7F">
              <w:rPr>
                <w:rStyle w:val="Hyperlink"/>
                <w:noProof/>
              </w:rPr>
              <w:t>DECISION-MAKING, DECISION TOOL AND APPEALS</w:t>
            </w:r>
            <w:r>
              <w:rPr>
                <w:noProof/>
                <w:webHidden/>
              </w:rPr>
              <w:tab/>
            </w:r>
            <w:r>
              <w:rPr>
                <w:noProof/>
                <w:webHidden/>
              </w:rPr>
              <w:fldChar w:fldCharType="begin"/>
            </w:r>
            <w:r>
              <w:rPr>
                <w:noProof/>
                <w:webHidden/>
              </w:rPr>
              <w:instrText xml:space="preserve"> PAGEREF _Toc66438643 \h </w:instrText>
            </w:r>
            <w:r>
              <w:rPr>
                <w:noProof/>
                <w:webHidden/>
              </w:rPr>
            </w:r>
            <w:r>
              <w:rPr>
                <w:noProof/>
                <w:webHidden/>
              </w:rPr>
              <w:fldChar w:fldCharType="separate"/>
            </w:r>
            <w:r w:rsidR="005B63DF">
              <w:rPr>
                <w:noProof/>
                <w:webHidden/>
              </w:rPr>
              <w:t>24</w:t>
            </w:r>
            <w:r>
              <w:rPr>
                <w:noProof/>
                <w:webHidden/>
              </w:rPr>
              <w:fldChar w:fldCharType="end"/>
            </w:r>
          </w:hyperlink>
        </w:p>
        <w:p w14:paraId="291B127F" w14:textId="24828FB6" w:rsidR="00411E0E" w:rsidRDefault="00411E0E">
          <w:pPr>
            <w:pStyle w:val="TOC2"/>
            <w:rPr>
              <w:rFonts w:eastAsiaTheme="minorEastAsia"/>
              <w:sz w:val="22"/>
              <w:szCs w:val="22"/>
              <w:lang w:val="en-AU" w:eastAsia="en-AU"/>
            </w:rPr>
          </w:pPr>
          <w:hyperlink w:anchor="_Toc66438644" w:history="1">
            <w:r w:rsidRPr="004F4F7F">
              <w:rPr>
                <w:rStyle w:val="Hyperlink"/>
              </w:rPr>
              <w:t>3.1</w:t>
            </w:r>
            <w:r>
              <w:rPr>
                <w:rFonts w:eastAsiaTheme="minorEastAsia"/>
                <w:sz w:val="22"/>
                <w:szCs w:val="22"/>
                <w:lang w:val="en-AU" w:eastAsia="en-AU"/>
              </w:rPr>
              <w:tab/>
            </w:r>
            <w:r w:rsidRPr="004F4F7F">
              <w:rPr>
                <w:rStyle w:val="Hyperlink"/>
              </w:rPr>
              <w:t>NQMC AUTHORITY AND TRANSPARENCY</w:t>
            </w:r>
            <w:r>
              <w:rPr>
                <w:webHidden/>
              </w:rPr>
              <w:tab/>
            </w:r>
            <w:r>
              <w:rPr>
                <w:webHidden/>
              </w:rPr>
              <w:fldChar w:fldCharType="begin"/>
            </w:r>
            <w:r>
              <w:rPr>
                <w:webHidden/>
              </w:rPr>
              <w:instrText xml:space="preserve"> PAGEREF _Toc66438644 \h </w:instrText>
            </w:r>
            <w:r>
              <w:rPr>
                <w:webHidden/>
              </w:rPr>
            </w:r>
            <w:r>
              <w:rPr>
                <w:webHidden/>
              </w:rPr>
              <w:fldChar w:fldCharType="separate"/>
            </w:r>
            <w:r w:rsidR="005B63DF">
              <w:rPr>
                <w:webHidden/>
              </w:rPr>
              <w:t>24</w:t>
            </w:r>
            <w:r>
              <w:rPr>
                <w:webHidden/>
              </w:rPr>
              <w:fldChar w:fldCharType="end"/>
            </w:r>
          </w:hyperlink>
        </w:p>
        <w:p w14:paraId="0EA155F3" w14:textId="2C1DD68F" w:rsidR="00411E0E" w:rsidRDefault="00411E0E">
          <w:pPr>
            <w:pStyle w:val="TOC2"/>
            <w:rPr>
              <w:rFonts w:eastAsiaTheme="minorEastAsia"/>
              <w:sz w:val="22"/>
              <w:szCs w:val="22"/>
              <w:lang w:val="en-AU" w:eastAsia="en-AU"/>
            </w:rPr>
          </w:pPr>
          <w:hyperlink w:anchor="_Toc66438645" w:history="1">
            <w:r w:rsidRPr="004F4F7F">
              <w:rPr>
                <w:rStyle w:val="Hyperlink"/>
              </w:rPr>
              <w:t>3.2</w:t>
            </w:r>
            <w:r>
              <w:rPr>
                <w:rFonts w:eastAsiaTheme="minorEastAsia"/>
                <w:sz w:val="22"/>
                <w:szCs w:val="22"/>
                <w:lang w:val="en-AU" w:eastAsia="en-AU"/>
              </w:rPr>
              <w:tab/>
            </w:r>
            <w:r w:rsidRPr="004F4F7F">
              <w:rPr>
                <w:rStyle w:val="Hyperlink"/>
              </w:rPr>
              <w:t>NQMC DECISION-MAKING</w:t>
            </w:r>
            <w:r>
              <w:rPr>
                <w:webHidden/>
              </w:rPr>
              <w:tab/>
            </w:r>
            <w:r>
              <w:rPr>
                <w:webHidden/>
              </w:rPr>
              <w:fldChar w:fldCharType="begin"/>
            </w:r>
            <w:r>
              <w:rPr>
                <w:webHidden/>
              </w:rPr>
              <w:instrText xml:space="preserve"> PAGEREF _Toc66438645 \h </w:instrText>
            </w:r>
            <w:r>
              <w:rPr>
                <w:webHidden/>
              </w:rPr>
            </w:r>
            <w:r>
              <w:rPr>
                <w:webHidden/>
              </w:rPr>
              <w:fldChar w:fldCharType="separate"/>
            </w:r>
            <w:r w:rsidR="005B63DF">
              <w:rPr>
                <w:webHidden/>
              </w:rPr>
              <w:t>24</w:t>
            </w:r>
            <w:r>
              <w:rPr>
                <w:webHidden/>
              </w:rPr>
              <w:fldChar w:fldCharType="end"/>
            </w:r>
          </w:hyperlink>
        </w:p>
        <w:p w14:paraId="5E6B0D83" w14:textId="5D0A9C4D" w:rsidR="00411E0E" w:rsidRDefault="00411E0E">
          <w:pPr>
            <w:pStyle w:val="TOC3"/>
            <w:rPr>
              <w:rFonts w:eastAsiaTheme="minorEastAsia"/>
              <w:sz w:val="22"/>
              <w:szCs w:val="22"/>
              <w:lang w:val="en-AU" w:eastAsia="en-AU"/>
            </w:rPr>
          </w:pPr>
          <w:hyperlink w:anchor="_Toc66438646" w:history="1">
            <w:r w:rsidRPr="004F4F7F">
              <w:rPr>
                <w:rStyle w:val="Hyperlink"/>
              </w:rPr>
              <w:t>3.2.1</w:t>
            </w:r>
            <w:r>
              <w:rPr>
                <w:rFonts w:eastAsiaTheme="minorEastAsia"/>
                <w:sz w:val="22"/>
                <w:szCs w:val="22"/>
                <w:lang w:val="en-AU" w:eastAsia="en-AU"/>
              </w:rPr>
              <w:tab/>
            </w:r>
            <w:r w:rsidRPr="004F4F7F">
              <w:rPr>
                <w:rStyle w:val="Hyperlink"/>
              </w:rPr>
              <w:t>Assessment of Service and SCU Performance</w:t>
            </w:r>
            <w:r>
              <w:rPr>
                <w:webHidden/>
              </w:rPr>
              <w:tab/>
            </w:r>
            <w:r>
              <w:rPr>
                <w:webHidden/>
              </w:rPr>
              <w:fldChar w:fldCharType="begin"/>
            </w:r>
            <w:r>
              <w:rPr>
                <w:webHidden/>
              </w:rPr>
              <w:instrText xml:space="preserve"> PAGEREF _Toc66438646 \h </w:instrText>
            </w:r>
            <w:r>
              <w:rPr>
                <w:webHidden/>
              </w:rPr>
            </w:r>
            <w:r>
              <w:rPr>
                <w:webHidden/>
              </w:rPr>
              <w:fldChar w:fldCharType="separate"/>
            </w:r>
            <w:r w:rsidR="005B63DF">
              <w:rPr>
                <w:webHidden/>
              </w:rPr>
              <w:t>25</w:t>
            </w:r>
            <w:r>
              <w:rPr>
                <w:webHidden/>
              </w:rPr>
              <w:fldChar w:fldCharType="end"/>
            </w:r>
          </w:hyperlink>
        </w:p>
        <w:p w14:paraId="4BF24A4F" w14:textId="5A7396A0" w:rsidR="00411E0E" w:rsidRDefault="00411E0E">
          <w:pPr>
            <w:pStyle w:val="TOC3"/>
            <w:rPr>
              <w:rFonts w:eastAsiaTheme="minorEastAsia"/>
              <w:sz w:val="22"/>
              <w:szCs w:val="22"/>
              <w:lang w:val="en-AU" w:eastAsia="en-AU"/>
            </w:rPr>
          </w:pPr>
          <w:hyperlink w:anchor="_Toc66438647" w:history="1">
            <w:r w:rsidRPr="004F4F7F">
              <w:rPr>
                <w:rStyle w:val="Hyperlink"/>
              </w:rPr>
              <w:t>3.2.2</w:t>
            </w:r>
            <w:r>
              <w:rPr>
                <w:rFonts w:eastAsiaTheme="minorEastAsia"/>
                <w:sz w:val="22"/>
                <w:szCs w:val="22"/>
                <w:lang w:val="en-AU" w:eastAsia="en-AU"/>
              </w:rPr>
              <w:tab/>
            </w:r>
            <w:r w:rsidRPr="004F4F7F">
              <w:rPr>
                <w:rStyle w:val="Hyperlink"/>
              </w:rPr>
              <w:t>Revisions of Accreditation Status</w:t>
            </w:r>
            <w:r>
              <w:rPr>
                <w:webHidden/>
              </w:rPr>
              <w:tab/>
            </w:r>
            <w:r>
              <w:rPr>
                <w:webHidden/>
              </w:rPr>
              <w:fldChar w:fldCharType="begin"/>
            </w:r>
            <w:r>
              <w:rPr>
                <w:webHidden/>
              </w:rPr>
              <w:instrText xml:space="preserve"> PAGEREF _Toc66438647 \h </w:instrText>
            </w:r>
            <w:r>
              <w:rPr>
                <w:webHidden/>
              </w:rPr>
            </w:r>
            <w:r>
              <w:rPr>
                <w:webHidden/>
              </w:rPr>
              <w:fldChar w:fldCharType="separate"/>
            </w:r>
            <w:r w:rsidR="005B63DF">
              <w:rPr>
                <w:webHidden/>
              </w:rPr>
              <w:t>25</w:t>
            </w:r>
            <w:r>
              <w:rPr>
                <w:webHidden/>
              </w:rPr>
              <w:fldChar w:fldCharType="end"/>
            </w:r>
          </w:hyperlink>
        </w:p>
        <w:p w14:paraId="29198BDF" w14:textId="378512D0" w:rsidR="00411E0E" w:rsidRDefault="00411E0E">
          <w:pPr>
            <w:pStyle w:val="TOC3"/>
            <w:rPr>
              <w:rFonts w:eastAsiaTheme="minorEastAsia"/>
              <w:sz w:val="22"/>
              <w:szCs w:val="22"/>
              <w:lang w:val="en-AU" w:eastAsia="en-AU"/>
            </w:rPr>
          </w:pPr>
          <w:hyperlink w:anchor="_Toc66438648" w:history="1">
            <w:r w:rsidRPr="004F4F7F">
              <w:rPr>
                <w:rStyle w:val="Hyperlink"/>
              </w:rPr>
              <w:t>3.2.3</w:t>
            </w:r>
            <w:r>
              <w:rPr>
                <w:rFonts w:eastAsiaTheme="minorEastAsia"/>
                <w:sz w:val="22"/>
                <w:szCs w:val="22"/>
                <w:lang w:val="en-AU" w:eastAsia="en-AU"/>
              </w:rPr>
              <w:tab/>
            </w:r>
            <w:r w:rsidRPr="004F4F7F">
              <w:rPr>
                <w:rStyle w:val="Hyperlink"/>
              </w:rPr>
              <w:t>Use of Confidence Intervals</w:t>
            </w:r>
            <w:r>
              <w:rPr>
                <w:webHidden/>
              </w:rPr>
              <w:tab/>
            </w:r>
            <w:r>
              <w:rPr>
                <w:webHidden/>
              </w:rPr>
              <w:fldChar w:fldCharType="begin"/>
            </w:r>
            <w:r>
              <w:rPr>
                <w:webHidden/>
              </w:rPr>
              <w:instrText xml:space="preserve"> PAGEREF _Toc66438648 \h </w:instrText>
            </w:r>
            <w:r>
              <w:rPr>
                <w:webHidden/>
              </w:rPr>
            </w:r>
            <w:r>
              <w:rPr>
                <w:webHidden/>
              </w:rPr>
              <w:fldChar w:fldCharType="separate"/>
            </w:r>
            <w:r w:rsidR="005B63DF">
              <w:rPr>
                <w:webHidden/>
              </w:rPr>
              <w:t>26</w:t>
            </w:r>
            <w:r>
              <w:rPr>
                <w:webHidden/>
              </w:rPr>
              <w:fldChar w:fldCharType="end"/>
            </w:r>
          </w:hyperlink>
        </w:p>
        <w:p w14:paraId="5417B550" w14:textId="437E180B" w:rsidR="00411E0E" w:rsidRDefault="00411E0E">
          <w:pPr>
            <w:pStyle w:val="TOC2"/>
            <w:rPr>
              <w:rFonts w:eastAsiaTheme="minorEastAsia"/>
              <w:sz w:val="22"/>
              <w:szCs w:val="22"/>
              <w:lang w:val="en-AU" w:eastAsia="en-AU"/>
            </w:rPr>
          </w:pPr>
          <w:hyperlink w:anchor="_Toc66438649" w:history="1">
            <w:r w:rsidRPr="004F4F7F">
              <w:rPr>
                <w:rStyle w:val="Hyperlink"/>
              </w:rPr>
              <w:t>3.3</w:t>
            </w:r>
            <w:r>
              <w:rPr>
                <w:rFonts w:eastAsiaTheme="minorEastAsia"/>
                <w:sz w:val="22"/>
                <w:szCs w:val="22"/>
                <w:lang w:val="en-AU" w:eastAsia="en-AU"/>
              </w:rPr>
              <w:tab/>
            </w:r>
            <w:r w:rsidRPr="004F4F7F">
              <w:rPr>
                <w:rStyle w:val="Hyperlink"/>
              </w:rPr>
              <w:t>DECISION TOOL</w:t>
            </w:r>
            <w:r>
              <w:rPr>
                <w:webHidden/>
              </w:rPr>
              <w:tab/>
            </w:r>
            <w:r>
              <w:rPr>
                <w:webHidden/>
              </w:rPr>
              <w:fldChar w:fldCharType="begin"/>
            </w:r>
            <w:r>
              <w:rPr>
                <w:webHidden/>
              </w:rPr>
              <w:instrText xml:space="preserve"> PAGEREF _Toc66438649 \h </w:instrText>
            </w:r>
            <w:r>
              <w:rPr>
                <w:webHidden/>
              </w:rPr>
            </w:r>
            <w:r>
              <w:rPr>
                <w:webHidden/>
              </w:rPr>
              <w:fldChar w:fldCharType="separate"/>
            </w:r>
            <w:r w:rsidR="005B63DF">
              <w:rPr>
                <w:webHidden/>
              </w:rPr>
              <w:t>27</w:t>
            </w:r>
            <w:r>
              <w:rPr>
                <w:webHidden/>
              </w:rPr>
              <w:fldChar w:fldCharType="end"/>
            </w:r>
          </w:hyperlink>
        </w:p>
        <w:p w14:paraId="2C93ACF5" w14:textId="1329683F" w:rsidR="00411E0E" w:rsidRDefault="00411E0E">
          <w:pPr>
            <w:pStyle w:val="TOC3"/>
            <w:rPr>
              <w:rFonts w:eastAsiaTheme="minorEastAsia"/>
              <w:sz w:val="22"/>
              <w:szCs w:val="22"/>
              <w:lang w:val="en-AU" w:eastAsia="en-AU"/>
            </w:rPr>
          </w:pPr>
          <w:hyperlink w:anchor="_Toc66438650" w:history="1">
            <w:r w:rsidRPr="004F4F7F">
              <w:rPr>
                <w:rStyle w:val="Hyperlink"/>
              </w:rPr>
              <w:t>3.3.1</w:t>
            </w:r>
            <w:r>
              <w:rPr>
                <w:rFonts w:eastAsiaTheme="minorEastAsia"/>
                <w:sz w:val="22"/>
                <w:szCs w:val="22"/>
                <w:lang w:val="en-AU" w:eastAsia="en-AU"/>
              </w:rPr>
              <w:tab/>
            </w:r>
            <w:r w:rsidRPr="004F4F7F">
              <w:rPr>
                <w:rStyle w:val="Hyperlink"/>
              </w:rPr>
              <w:t>Decision Tool Performance Targets</w:t>
            </w:r>
            <w:r>
              <w:rPr>
                <w:webHidden/>
              </w:rPr>
              <w:tab/>
            </w:r>
            <w:r>
              <w:rPr>
                <w:webHidden/>
              </w:rPr>
              <w:fldChar w:fldCharType="begin"/>
            </w:r>
            <w:r>
              <w:rPr>
                <w:webHidden/>
              </w:rPr>
              <w:instrText xml:space="preserve"> PAGEREF _Toc66438650 \h </w:instrText>
            </w:r>
            <w:r>
              <w:rPr>
                <w:webHidden/>
              </w:rPr>
            </w:r>
            <w:r>
              <w:rPr>
                <w:webHidden/>
              </w:rPr>
              <w:fldChar w:fldCharType="separate"/>
            </w:r>
            <w:r w:rsidR="005B63DF">
              <w:rPr>
                <w:webHidden/>
              </w:rPr>
              <w:t>27</w:t>
            </w:r>
            <w:r>
              <w:rPr>
                <w:webHidden/>
              </w:rPr>
              <w:fldChar w:fldCharType="end"/>
            </w:r>
          </w:hyperlink>
        </w:p>
        <w:p w14:paraId="385F0640" w14:textId="71A8B35E" w:rsidR="00411E0E" w:rsidRDefault="00411E0E">
          <w:pPr>
            <w:pStyle w:val="TOC3"/>
            <w:rPr>
              <w:rFonts w:eastAsiaTheme="minorEastAsia"/>
              <w:sz w:val="22"/>
              <w:szCs w:val="22"/>
              <w:lang w:val="en-AU" w:eastAsia="en-AU"/>
            </w:rPr>
          </w:pPr>
          <w:hyperlink w:anchor="_Toc66438651" w:history="1">
            <w:r w:rsidRPr="004F4F7F">
              <w:rPr>
                <w:rStyle w:val="Hyperlink"/>
              </w:rPr>
              <w:t>3.3.2</w:t>
            </w:r>
            <w:r>
              <w:rPr>
                <w:rFonts w:eastAsiaTheme="minorEastAsia"/>
                <w:sz w:val="22"/>
                <w:szCs w:val="22"/>
                <w:lang w:val="en-AU" w:eastAsia="en-AU"/>
              </w:rPr>
              <w:tab/>
            </w:r>
            <w:r w:rsidRPr="004F4F7F">
              <w:rPr>
                <w:rStyle w:val="Hyperlink"/>
              </w:rPr>
              <w:t>Risk Levels for NAS Measures</w:t>
            </w:r>
            <w:r>
              <w:rPr>
                <w:webHidden/>
              </w:rPr>
              <w:tab/>
            </w:r>
            <w:r>
              <w:rPr>
                <w:webHidden/>
              </w:rPr>
              <w:fldChar w:fldCharType="begin"/>
            </w:r>
            <w:r>
              <w:rPr>
                <w:webHidden/>
              </w:rPr>
              <w:instrText xml:space="preserve"> PAGEREF _Toc66438651 \h </w:instrText>
            </w:r>
            <w:r>
              <w:rPr>
                <w:webHidden/>
              </w:rPr>
            </w:r>
            <w:r>
              <w:rPr>
                <w:webHidden/>
              </w:rPr>
              <w:fldChar w:fldCharType="separate"/>
            </w:r>
            <w:r w:rsidR="005B63DF">
              <w:rPr>
                <w:webHidden/>
              </w:rPr>
              <w:t>28</w:t>
            </w:r>
            <w:r>
              <w:rPr>
                <w:webHidden/>
              </w:rPr>
              <w:fldChar w:fldCharType="end"/>
            </w:r>
          </w:hyperlink>
        </w:p>
        <w:p w14:paraId="307F9786" w14:textId="4D91F14F" w:rsidR="00411E0E" w:rsidRDefault="00411E0E">
          <w:pPr>
            <w:pStyle w:val="TOC3"/>
            <w:rPr>
              <w:rFonts w:eastAsiaTheme="minorEastAsia"/>
              <w:sz w:val="22"/>
              <w:szCs w:val="22"/>
              <w:lang w:val="en-AU" w:eastAsia="en-AU"/>
            </w:rPr>
          </w:pPr>
          <w:hyperlink w:anchor="_Toc66438652" w:history="1">
            <w:r w:rsidRPr="004F4F7F">
              <w:rPr>
                <w:rStyle w:val="Hyperlink"/>
              </w:rPr>
              <w:t>3.3.3</w:t>
            </w:r>
            <w:r>
              <w:rPr>
                <w:rFonts w:eastAsiaTheme="minorEastAsia"/>
                <w:sz w:val="22"/>
                <w:szCs w:val="22"/>
                <w:lang w:val="en-AU" w:eastAsia="en-AU"/>
              </w:rPr>
              <w:tab/>
            </w:r>
            <w:r w:rsidRPr="004F4F7F">
              <w:rPr>
                <w:rStyle w:val="Hyperlink"/>
              </w:rPr>
              <w:t>Tiered Accreditation</w:t>
            </w:r>
            <w:r>
              <w:rPr>
                <w:webHidden/>
              </w:rPr>
              <w:tab/>
            </w:r>
            <w:r>
              <w:rPr>
                <w:webHidden/>
              </w:rPr>
              <w:fldChar w:fldCharType="begin"/>
            </w:r>
            <w:r>
              <w:rPr>
                <w:webHidden/>
              </w:rPr>
              <w:instrText xml:space="preserve"> PAGEREF _Toc66438652 \h </w:instrText>
            </w:r>
            <w:r>
              <w:rPr>
                <w:webHidden/>
              </w:rPr>
            </w:r>
            <w:r>
              <w:rPr>
                <w:webHidden/>
              </w:rPr>
              <w:fldChar w:fldCharType="separate"/>
            </w:r>
            <w:r w:rsidR="005B63DF">
              <w:rPr>
                <w:webHidden/>
              </w:rPr>
              <w:t>30</w:t>
            </w:r>
            <w:r>
              <w:rPr>
                <w:webHidden/>
              </w:rPr>
              <w:fldChar w:fldCharType="end"/>
            </w:r>
          </w:hyperlink>
        </w:p>
        <w:p w14:paraId="29E4B417" w14:textId="10C2BF92" w:rsidR="00411E0E" w:rsidRDefault="00411E0E">
          <w:pPr>
            <w:pStyle w:val="TOC3"/>
            <w:rPr>
              <w:rFonts w:eastAsiaTheme="minorEastAsia"/>
              <w:sz w:val="22"/>
              <w:szCs w:val="22"/>
              <w:lang w:val="en-AU" w:eastAsia="en-AU"/>
            </w:rPr>
          </w:pPr>
          <w:hyperlink w:anchor="_Toc66438653" w:history="1">
            <w:r w:rsidRPr="004F4F7F">
              <w:rPr>
                <w:rStyle w:val="Hyperlink"/>
              </w:rPr>
              <w:t>3.3.4</w:t>
            </w:r>
            <w:r>
              <w:rPr>
                <w:rFonts w:eastAsiaTheme="minorEastAsia"/>
                <w:sz w:val="22"/>
                <w:szCs w:val="22"/>
                <w:lang w:val="en-AU" w:eastAsia="en-AU"/>
              </w:rPr>
              <w:tab/>
            </w:r>
            <w:r w:rsidRPr="004F4F7F">
              <w:rPr>
                <w:rStyle w:val="Hyperlink"/>
              </w:rPr>
              <w:t>Categorising Performance against Individual NAS Measures</w:t>
            </w:r>
            <w:r>
              <w:rPr>
                <w:webHidden/>
              </w:rPr>
              <w:tab/>
            </w:r>
            <w:r>
              <w:rPr>
                <w:webHidden/>
              </w:rPr>
              <w:fldChar w:fldCharType="begin"/>
            </w:r>
            <w:r>
              <w:rPr>
                <w:webHidden/>
              </w:rPr>
              <w:instrText xml:space="preserve"> PAGEREF _Toc66438653 \h </w:instrText>
            </w:r>
            <w:r>
              <w:rPr>
                <w:webHidden/>
              </w:rPr>
            </w:r>
            <w:r>
              <w:rPr>
                <w:webHidden/>
              </w:rPr>
              <w:fldChar w:fldCharType="separate"/>
            </w:r>
            <w:r w:rsidR="005B63DF">
              <w:rPr>
                <w:webHidden/>
              </w:rPr>
              <w:t>32</w:t>
            </w:r>
            <w:r>
              <w:rPr>
                <w:webHidden/>
              </w:rPr>
              <w:fldChar w:fldCharType="end"/>
            </w:r>
          </w:hyperlink>
        </w:p>
        <w:p w14:paraId="45DDA9FA" w14:textId="08FDDB5B" w:rsidR="00411E0E" w:rsidRDefault="00411E0E">
          <w:pPr>
            <w:pStyle w:val="TOC2"/>
            <w:rPr>
              <w:rFonts w:eastAsiaTheme="minorEastAsia"/>
              <w:sz w:val="22"/>
              <w:szCs w:val="22"/>
              <w:lang w:val="en-AU" w:eastAsia="en-AU"/>
            </w:rPr>
          </w:pPr>
          <w:hyperlink w:anchor="_Toc66438654" w:history="1">
            <w:r w:rsidRPr="004F4F7F">
              <w:rPr>
                <w:rStyle w:val="Hyperlink"/>
              </w:rPr>
              <w:t>3.4</w:t>
            </w:r>
            <w:r>
              <w:rPr>
                <w:rFonts w:eastAsiaTheme="minorEastAsia"/>
                <w:sz w:val="22"/>
                <w:szCs w:val="22"/>
                <w:lang w:val="en-AU" w:eastAsia="en-AU"/>
              </w:rPr>
              <w:tab/>
            </w:r>
            <w:r w:rsidRPr="004F4F7F">
              <w:rPr>
                <w:rStyle w:val="Hyperlink"/>
              </w:rPr>
              <w:t>AFTER AN ACCREDITATION DECISION IS MADE BY THE NQMC</w:t>
            </w:r>
            <w:r>
              <w:rPr>
                <w:webHidden/>
              </w:rPr>
              <w:tab/>
            </w:r>
            <w:r>
              <w:rPr>
                <w:webHidden/>
              </w:rPr>
              <w:fldChar w:fldCharType="begin"/>
            </w:r>
            <w:r>
              <w:rPr>
                <w:webHidden/>
              </w:rPr>
              <w:instrText xml:space="preserve"> PAGEREF _Toc66438654 \h </w:instrText>
            </w:r>
            <w:r>
              <w:rPr>
                <w:webHidden/>
              </w:rPr>
            </w:r>
            <w:r>
              <w:rPr>
                <w:webHidden/>
              </w:rPr>
              <w:fldChar w:fldCharType="separate"/>
            </w:r>
            <w:r w:rsidR="005B63DF">
              <w:rPr>
                <w:webHidden/>
              </w:rPr>
              <w:t>33</w:t>
            </w:r>
            <w:r>
              <w:rPr>
                <w:webHidden/>
              </w:rPr>
              <w:fldChar w:fldCharType="end"/>
            </w:r>
          </w:hyperlink>
        </w:p>
        <w:p w14:paraId="63CEAA91" w14:textId="3903E6A3" w:rsidR="00411E0E" w:rsidRDefault="00411E0E">
          <w:pPr>
            <w:pStyle w:val="TOC2"/>
            <w:rPr>
              <w:rFonts w:eastAsiaTheme="minorEastAsia"/>
              <w:sz w:val="22"/>
              <w:szCs w:val="22"/>
              <w:lang w:val="en-AU" w:eastAsia="en-AU"/>
            </w:rPr>
          </w:pPr>
          <w:hyperlink w:anchor="_Toc66438655" w:history="1">
            <w:r w:rsidRPr="004F4F7F">
              <w:rPr>
                <w:rStyle w:val="Hyperlink"/>
              </w:rPr>
              <w:t>3.5</w:t>
            </w:r>
            <w:r>
              <w:rPr>
                <w:rFonts w:eastAsiaTheme="minorEastAsia"/>
                <w:sz w:val="22"/>
                <w:szCs w:val="22"/>
                <w:lang w:val="en-AU" w:eastAsia="en-AU"/>
              </w:rPr>
              <w:tab/>
            </w:r>
            <w:r w:rsidRPr="004F4F7F">
              <w:rPr>
                <w:rStyle w:val="Hyperlink"/>
              </w:rPr>
              <w:t>APPEAL OF DECISIONS</w:t>
            </w:r>
            <w:r>
              <w:rPr>
                <w:webHidden/>
              </w:rPr>
              <w:tab/>
            </w:r>
            <w:r>
              <w:rPr>
                <w:webHidden/>
              </w:rPr>
              <w:fldChar w:fldCharType="begin"/>
            </w:r>
            <w:r>
              <w:rPr>
                <w:webHidden/>
              </w:rPr>
              <w:instrText xml:space="preserve"> PAGEREF _Toc66438655 \h </w:instrText>
            </w:r>
            <w:r>
              <w:rPr>
                <w:webHidden/>
              </w:rPr>
            </w:r>
            <w:r>
              <w:rPr>
                <w:webHidden/>
              </w:rPr>
              <w:fldChar w:fldCharType="separate"/>
            </w:r>
            <w:r w:rsidR="005B63DF">
              <w:rPr>
                <w:webHidden/>
              </w:rPr>
              <w:t>34</w:t>
            </w:r>
            <w:r>
              <w:rPr>
                <w:webHidden/>
              </w:rPr>
              <w:fldChar w:fldCharType="end"/>
            </w:r>
          </w:hyperlink>
        </w:p>
        <w:p w14:paraId="0A727936" w14:textId="3B977313" w:rsidR="00411E0E" w:rsidRDefault="00411E0E">
          <w:pPr>
            <w:pStyle w:val="TOC3"/>
            <w:rPr>
              <w:rFonts w:eastAsiaTheme="minorEastAsia"/>
              <w:sz w:val="22"/>
              <w:szCs w:val="22"/>
              <w:lang w:val="en-AU" w:eastAsia="en-AU"/>
            </w:rPr>
          </w:pPr>
          <w:hyperlink w:anchor="_Toc66438656" w:history="1">
            <w:r w:rsidRPr="004F4F7F">
              <w:rPr>
                <w:rStyle w:val="Hyperlink"/>
              </w:rPr>
              <w:t>3.5.1</w:t>
            </w:r>
            <w:r>
              <w:rPr>
                <w:rFonts w:eastAsiaTheme="minorEastAsia"/>
                <w:sz w:val="22"/>
                <w:szCs w:val="22"/>
                <w:lang w:val="en-AU" w:eastAsia="en-AU"/>
              </w:rPr>
              <w:tab/>
            </w:r>
            <w:r w:rsidRPr="004F4F7F">
              <w:rPr>
                <w:rStyle w:val="Hyperlink"/>
              </w:rPr>
              <w:t>Right of Appeal</w:t>
            </w:r>
            <w:r>
              <w:rPr>
                <w:webHidden/>
              </w:rPr>
              <w:tab/>
            </w:r>
            <w:r>
              <w:rPr>
                <w:webHidden/>
              </w:rPr>
              <w:fldChar w:fldCharType="begin"/>
            </w:r>
            <w:r>
              <w:rPr>
                <w:webHidden/>
              </w:rPr>
              <w:instrText xml:space="preserve"> PAGEREF _Toc66438656 \h </w:instrText>
            </w:r>
            <w:r>
              <w:rPr>
                <w:webHidden/>
              </w:rPr>
            </w:r>
            <w:r>
              <w:rPr>
                <w:webHidden/>
              </w:rPr>
              <w:fldChar w:fldCharType="separate"/>
            </w:r>
            <w:r w:rsidR="005B63DF">
              <w:rPr>
                <w:webHidden/>
              </w:rPr>
              <w:t>34</w:t>
            </w:r>
            <w:r>
              <w:rPr>
                <w:webHidden/>
              </w:rPr>
              <w:fldChar w:fldCharType="end"/>
            </w:r>
          </w:hyperlink>
        </w:p>
        <w:p w14:paraId="64A0BBBF" w14:textId="290E173C" w:rsidR="00411E0E" w:rsidRDefault="00411E0E">
          <w:pPr>
            <w:pStyle w:val="TOC3"/>
            <w:rPr>
              <w:rFonts w:eastAsiaTheme="minorEastAsia"/>
              <w:sz w:val="22"/>
              <w:szCs w:val="22"/>
              <w:lang w:val="en-AU" w:eastAsia="en-AU"/>
            </w:rPr>
          </w:pPr>
          <w:hyperlink w:anchor="_Toc66438657" w:history="1">
            <w:r w:rsidRPr="004F4F7F">
              <w:rPr>
                <w:rStyle w:val="Hyperlink"/>
              </w:rPr>
              <w:t>3.5.2</w:t>
            </w:r>
            <w:r>
              <w:rPr>
                <w:rFonts w:eastAsiaTheme="minorEastAsia"/>
                <w:sz w:val="22"/>
                <w:szCs w:val="22"/>
                <w:lang w:val="en-AU" w:eastAsia="en-AU"/>
              </w:rPr>
              <w:tab/>
            </w:r>
            <w:r w:rsidRPr="004F4F7F">
              <w:rPr>
                <w:rStyle w:val="Hyperlink"/>
              </w:rPr>
              <w:t>Grounds for Appeal</w:t>
            </w:r>
            <w:r>
              <w:rPr>
                <w:webHidden/>
              </w:rPr>
              <w:tab/>
            </w:r>
            <w:r>
              <w:rPr>
                <w:webHidden/>
              </w:rPr>
              <w:fldChar w:fldCharType="begin"/>
            </w:r>
            <w:r>
              <w:rPr>
                <w:webHidden/>
              </w:rPr>
              <w:instrText xml:space="preserve"> PAGEREF _Toc66438657 \h </w:instrText>
            </w:r>
            <w:r>
              <w:rPr>
                <w:webHidden/>
              </w:rPr>
            </w:r>
            <w:r>
              <w:rPr>
                <w:webHidden/>
              </w:rPr>
              <w:fldChar w:fldCharType="separate"/>
            </w:r>
            <w:r w:rsidR="005B63DF">
              <w:rPr>
                <w:webHidden/>
              </w:rPr>
              <w:t>34</w:t>
            </w:r>
            <w:r>
              <w:rPr>
                <w:webHidden/>
              </w:rPr>
              <w:fldChar w:fldCharType="end"/>
            </w:r>
          </w:hyperlink>
        </w:p>
        <w:p w14:paraId="054F71E5" w14:textId="79630768" w:rsidR="00411E0E" w:rsidRDefault="00411E0E">
          <w:pPr>
            <w:pStyle w:val="TOC3"/>
            <w:rPr>
              <w:rFonts w:eastAsiaTheme="minorEastAsia"/>
              <w:sz w:val="22"/>
              <w:szCs w:val="22"/>
              <w:lang w:val="en-AU" w:eastAsia="en-AU"/>
            </w:rPr>
          </w:pPr>
          <w:hyperlink w:anchor="_Toc66438658" w:history="1">
            <w:r w:rsidRPr="004F4F7F">
              <w:rPr>
                <w:rStyle w:val="Hyperlink"/>
              </w:rPr>
              <w:t>3.5.3</w:t>
            </w:r>
            <w:r>
              <w:rPr>
                <w:rFonts w:eastAsiaTheme="minorEastAsia"/>
                <w:sz w:val="22"/>
                <w:szCs w:val="22"/>
                <w:lang w:val="en-AU" w:eastAsia="en-AU"/>
              </w:rPr>
              <w:tab/>
            </w:r>
            <w:r w:rsidRPr="004F4F7F">
              <w:rPr>
                <w:rStyle w:val="Hyperlink"/>
              </w:rPr>
              <w:t>NQMC Consideration of Appeal</w:t>
            </w:r>
            <w:r>
              <w:rPr>
                <w:webHidden/>
              </w:rPr>
              <w:tab/>
            </w:r>
            <w:r>
              <w:rPr>
                <w:webHidden/>
              </w:rPr>
              <w:fldChar w:fldCharType="begin"/>
            </w:r>
            <w:r>
              <w:rPr>
                <w:webHidden/>
              </w:rPr>
              <w:instrText xml:space="preserve"> PAGEREF _Toc66438658 \h </w:instrText>
            </w:r>
            <w:r>
              <w:rPr>
                <w:webHidden/>
              </w:rPr>
            </w:r>
            <w:r>
              <w:rPr>
                <w:webHidden/>
              </w:rPr>
              <w:fldChar w:fldCharType="separate"/>
            </w:r>
            <w:r w:rsidR="005B63DF">
              <w:rPr>
                <w:webHidden/>
              </w:rPr>
              <w:t>34</w:t>
            </w:r>
            <w:r>
              <w:rPr>
                <w:webHidden/>
              </w:rPr>
              <w:fldChar w:fldCharType="end"/>
            </w:r>
          </w:hyperlink>
        </w:p>
        <w:p w14:paraId="53D11A0F" w14:textId="52D2A101" w:rsidR="00411E0E" w:rsidRDefault="00411E0E">
          <w:pPr>
            <w:pStyle w:val="TOC3"/>
            <w:rPr>
              <w:rFonts w:eastAsiaTheme="minorEastAsia"/>
              <w:sz w:val="22"/>
              <w:szCs w:val="22"/>
              <w:lang w:val="en-AU" w:eastAsia="en-AU"/>
            </w:rPr>
          </w:pPr>
          <w:hyperlink w:anchor="_Toc66438659" w:history="1">
            <w:r w:rsidRPr="004F4F7F">
              <w:rPr>
                <w:rStyle w:val="Hyperlink"/>
              </w:rPr>
              <w:t>3.5.4</w:t>
            </w:r>
            <w:r>
              <w:rPr>
                <w:rFonts w:eastAsiaTheme="minorEastAsia"/>
                <w:sz w:val="22"/>
                <w:szCs w:val="22"/>
                <w:lang w:val="en-AU" w:eastAsia="en-AU"/>
              </w:rPr>
              <w:tab/>
            </w:r>
            <w:r w:rsidRPr="004F4F7F">
              <w:rPr>
                <w:rStyle w:val="Hyperlink"/>
              </w:rPr>
              <w:t>Formation and Operation of an Appeals Committee</w:t>
            </w:r>
            <w:r>
              <w:rPr>
                <w:webHidden/>
              </w:rPr>
              <w:tab/>
            </w:r>
            <w:r>
              <w:rPr>
                <w:webHidden/>
              </w:rPr>
              <w:fldChar w:fldCharType="begin"/>
            </w:r>
            <w:r>
              <w:rPr>
                <w:webHidden/>
              </w:rPr>
              <w:instrText xml:space="preserve"> PAGEREF _Toc66438659 \h </w:instrText>
            </w:r>
            <w:r>
              <w:rPr>
                <w:webHidden/>
              </w:rPr>
            </w:r>
            <w:r>
              <w:rPr>
                <w:webHidden/>
              </w:rPr>
              <w:fldChar w:fldCharType="separate"/>
            </w:r>
            <w:r w:rsidR="005B63DF">
              <w:rPr>
                <w:webHidden/>
              </w:rPr>
              <w:t>35</w:t>
            </w:r>
            <w:r>
              <w:rPr>
                <w:webHidden/>
              </w:rPr>
              <w:fldChar w:fldCharType="end"/>
            </w:r>
          </w:hyperlink>
        </w:p>
        <w:p w14:paraId="17E19050" w14:textId="06CB45E2" w:rsidR="00411E0E" w:rsidRDefault="00411E0E">
          <w:pPr>
            <w:pStyle w:val="TOC3"/>
            <w:rPr>
              <w:rFonts w:eastAsiaTheme="minorEastAsia"/>
              <w:sz w:val="22"/>
              <w:szCs w:val="22"/>
              <w:lang w:val="en-AU" w:eastAsia="en-AU"/>
            </w:rPr>
          </w:pPr>
          <w:hyperlink w:anchor="_Toc66438660" w:history="1">
            <w:r w:rsidRPr="004F4F7F">
              <w:rPr>
                <w:rStyle w:val="Hyperlink"/>
              </w:rPr>
              <w:t>3.5.5</w:t>
            </w:r>
            <w:r>
              <w:rPr>
                <w:rFonts w:eastAsiaTheme="minorEastAsia"/>
                <w:sz w:val="22"/>
                <w:szCs w:val="22"/>
                <w:lang w:val="en-AU" w:eastAsia="en-AU"/>
              </w:rPr>
              <w:tab/>
            </w:r>
            <w:r w:rsidRPr="004F4F7F">
              <w:rPr>
                <w:rStyle w:val="Hyperlink"/>
              </w:rPr>
              <w:t>Consideration of Appeals</w:t>
            </w:r>
            <w:r>
              <w:rPr>
                <w:webHidden/>
              </w:rPr>
              <w:tab/>
            </w:r>
            <w:r>
              <w:rPr>
                <w:webHidden/>
              </w:rPr>
              <w:fldChar w:fldCharType="begin"/>
            </w:r>
            <w:r>
              <w:rPr>
                <w:webHidden/>
              </w:rPr>
              <w:instrText xml:space="preserve"> PAGEREF _Toc66438660 \h </w:instrText>
            </w:r>
            <w:r>
              <w:rPr>
                <w:webHidden/>
              </w:rPr>
            </w:r>
            <w:r>
              <w:rPr>
                <w:webHidden/>
              </w:rPr>
              <w:fldChar w:fldCharType="separate"/>
            </w:r>
            <w:r w:rsidR="005B63DF">
              <w:rPr>
                <w:webHidden/>
              </w:rPr>
              <w:t>36</w:t>
            </w:r>
            <w:r>
              <w:rPr>
                <w:webHidden/>
              </w:rPr>
              <w:fldChar w:fldCharType="end"/>
            </w:r>
          </w:hyperlink>
        </w:p>
        <w:p w14:paraId="4369FEE4" w14:textId="453AEF2A" w:rsidR="00411E0E" w:rsidRDefault="00411E0E">
          <w:pPr>
            <w:pStyle w:val="TOC3"/>
            <w:rPr>
              <w:rFonts w:eastAsiaTheme="minorEastAsia"/>
              <w:sz w:val="22"/>
              <w:szCs w:val="22"/>
              <w:lang w:val="en-AU" w:eastAsia="en-AU"/>
            </w:rPr>
          </w:pPr>
          <w:hyperlink w:anchor="_Toc66438661" w:history="1">
            <w:r w:rsidRPr="004F4F7F">
              <w:rPr>
                <w:rStyle w:val="Hyperlink"/>
              </w:rPr>
              <w:t>3.5.6</w:t>
            </w:r>
            <w:r>
              <w:rPr>
                <w:rFonts w:eastAsiaTheme="minorEastAsia"/>
                <w:sz w:val="22"/>
                <w:szCs w:val="22"/>
                <w:lang w:val="en-AU" w:eastAsia="en-AU"/>
              </w:rPr>
              <w:tab/>
            </w:r>
            <w:r w:rsidRPr="004F4F7F">
              <w:rPr>
                <w:rStyle w:val="Hyperlink"/>
              </w:rPr>
              <w:t>Confidentiality and Conflict Of Interest Provisions for NQMC And Appeals Committee Members</w:t>
            </w:r>
            <w:r>
              <w:rPr>
                <w:webHidden/>
              </w:rPr>
              <w:tab/>
            </w:r>
            <w:r>
              <w:rPr>
                <w:webHidden/>
              </w:rPr>
              <w:fldChar w:fldCharType="begin"/>
            </w:r>
            <w:r>
              <w:rPr>
                <w:webHidden/>
              </w:rPr>
              <w:instrText xml:space="preserve"> PAGEREF _Toc66438661 \h </w:instrText>
            </w:r>
            <w:r>
              <w:rPr>
                <w:webHidden/>
              </w:rPr>
            </w:r>
            <w:r>
              <w:rPr>
                <w:webHidden/>
              </w:rPr>
              <w:fldChar w:fldCharType="separate"/>
            </w:r>
            <w:r w:rsidR="005B63DF">
              <w:rPr>
                <w:webHidden/>
              </w:rPr>
              <w:t>37</w:t>
            </w:r>
            <w:r>
              <w:rPr>
                <w:webHidden/>
              </w:rPr>
              <w:fldChar w:fldCharType="end"/>
            </w:r>
          </w:hyperlink>
        </w:p>
        <w:p w14:paraId="546442A6" w14:textId="776F666C" w:rsidR="00411E0E" w:rsidRDefault="00411E0E">
          <w:pPr>
            <w:pStyle w:val="TOC3"/>
            <w:rPr>
              <w:rFonts w:eastAsiaTheme="minorEastAsia"/>
              <w:sz w:val="22"/>
              <w:szCs w:val="22"/>
              <w:lang w:val="en-AU" w:eastAsia="en-AU"/>
            </w:rPr>
          </w:pPr>
          <w:hyperlink w:anchor="_Toc66438662" w:history="1">
            <w:r w:rsidRPr="004F4F7F">
              <w:rPr>
                <w:rStyle w:val="Hyperlink"/>
              </w:rPr>
              <w:t>3.5.7</w:t>
            </w:r>
            <w:r>
              <w:rPr>
                <w:rFonts w:eastAsiaTheme="minorEastAsia"/>
                <w:sz w:val="22"/>
                <w:szCs w:val="22"/>
                <w:lang w:val="en-AU" w:eastAsia="en-AU"/>
              </w:rPr>
              <w:tab/>
            </w:r>
            <w:r w:rsidRPr="004F4F7F">
              <w:rPr>
                <w:rStyle w:val="Hyperlink"/>
              </w:rPr>
              <w:t>Administration of Appeals Committees</w:t>
            </w:r>
            <w:r>
              <w:rPr>
                <w:webHidden/>
              </w:rPr>
              <w:tab/>
            </w:r>
            <w:r>
              <w:rPr>
                <w:webHidden/>
              </w:rPr>
              <w:fldChar w:fldCharType="begin"/>
            </w:r>
            <w:r>
              <w:rPr>
                <w:webHidden/>
              </w:rPr>
              <w:instrText xml:space="preserve"> PAGEREF _Toc66438662 \h </w:instrText>
            </w:r>
            <w:r>
              <w:rPr>
                <w:webHidden/>
              </w:rPr>
            </w:r>
            <w:r>
              <w:rPr>
                <w:webHidden/>
              </w:rPr>
              <w:fldChar w:fldCharType="separate"/>
            </w:r>
            <w:r w:rsidR="005B63DF">
              <w:rPr>
                <w:webHidden/>
              </w:rPr>
              <w:t>37</w:t>
            </w:r>
            <w:r>
              <w:rPr>
                <w:webHidden/>
              </w:rPr>
              <w:fldChar w:fldCharType="end"/>
            </w:r>
          </w:hyperlink>
        </w:p>
        <w:p w14:paraId="255DC1A2" w14:textId="68C74B5A" w:rsidR="00411E0E" w:rsidRDefault="00411E0E">
          <w:pPr>
            <w:pStyle w:val="TOC1"/>
            <w:rPr>
              <w:rFonts w:eastAsiaTheme="minorEastAsia"/>
              <w:noProof/>
              <w:sz w:val="22"/>
              <w:szCs w:val="22"/>
              <w:lang w:val="en-AU" w:eastAsia="en-AU"/>
            </w:rPr>
          </w:pPr>
          <w:hyperlink w:anchor="_Toc66438663" w:history="1">
            <w:r w:rsidRPr="004F4F7F">
              <w:rPr>
                <w:rStyle w:val="Hyperlink"/>
                <w:noProof/>
              </w:rPr>
              <w:t>4</w:t>
            </w:r>
            <w:r>
              <w:rPr>
                <w:rFonts w:eastAsiaTheme="minorEastAsia"/>
                <w:noProof/>
                <w:sz w:val="22"/>
                <w:szCs w:val="22"/>
                <w:lang w:val="en-AU" w:eastAsia="en-AU"/>
              </w:rPr>
              <w:tab/>
            </w:r>
            <w:r w:rsidRPr="004F4F7F">
              <w:rPr>
                <w:rStyle w:val="Hyperlink"/>
                <w:noProof/>
              </w:rPr>
              <w:t>KEY COMPONENTS OF THE ACCREDITATION PROCESS</w:t>
            </w:r>
            <w:r>
              <w:rPr>
                <w:noProof/>
                <w:webHidden/>
              </w:rPr>
              <w:tab/>
            </w:r>
            <w:r>
              <w:rPr>
                <w:noProof/>
                <w:webHidden/>
              </w:rPr>
              <w:fldChar w:fldCharType="begin"/>
            </w:r>
            <w:r>
              <w:rPr>
                <w:noProof/>
                <w:webHidden/>
              </w:rPr>
              <w:instrText xml:space="preserve"> PAGEREF _Toc66438663 \h </w:instrText>
            </w:r>
            <w:r>
              <w:rPr>
                <w:noProof/>
                <w:webHidden/>
              </w:rPr>
            </w:r>
            <w:r>
              <w:rPr>
                <w:noProof/>
                <w:webHidden/>
              </w:rPr>
              <w:fldChar w:fldCharType="separate"/>
            </w:r>
            <w:r w:rsidR="005B63DF">
              <w:rPr>
                <w:noProof/>
                <w:webHidden/>
              </w:rPr>
              <w:t>38</w:t>
            </w:r>
            <w:r>
              <w:rPr>
                <w:noProof/>
                <w:webHidden/>
              </w:rPr>
              <w:fldChar w:fldCharType="end"/>
            </w:r>
          </w:hyperlink>
        </w:p>
        <w:p w14:paraId="18DA29D6" w14:textId="3915D185" w:rsidR="00411E0E" w:rsidRDefault="00411E0E">
          <w:pPr>
            <w:pStyle w:val="TOC2"/>
            <w:rPr>
              <w:rFonts w:eastAsiaTheme="minorEastAsia"/>
              <w:sz w:val="22"/>
              <w:szCs w:val="22"/>
              <w:lang w:val="en-AU" w:eastAsia="en-AU"/>
            </w:rPr>
          </w:pPr>
          <w:hyperlink w:anchor="_Toc66438664" w:history="1">
            <w:r w:rsidRPr="004F4F7F">
              <w:rPr>
                <w:rStyle w:val="Hyperlink"/>
              </w:rPr>
              <w:t>4.1</w:t>
            </w:r>
            <w:r>
              <w:rPr>
                <w:rFonts w:eastAsiaTheme="minorEastAsia"/>
                <w:sz w:val="22"/>
                <w:szCs w:val="22"/>
                <w:lang w:val="en-AU" w:eastAsia="en-AU"/>
              </w:rPr>
              <w:tab/>
            </w:r>
            <w:r w:rsidRPr="004F4F7F">
              <w:rPr>
                <w:rStyle w:val="Hyperlink"/>
              </w:rPr>
              <w:t>QUALITY IMPROVEMENT PLANS</w:t>
            </w:r>
            <w:r>
              <w:rPr>
                <w:webHidden/>
              </w:rPr>
              <w:tab/>
            </w:r>
            <w:r>
              <w:rPr>
                <w:webHidden/>
              </w:rPr>
              <w:fldChar w:fldCharType="begin"/>
            </w:r>
            <w:r>
              <w:rPr>
                <w:webHidden/>
              </w:rPr>
              <w:instrText xml:space="preserve"> PAGEREF _Toc66438664 \h </w:instrText>
            </w:r>
            <w:r>
              <w:rPr>
                <w:webHidden/>
              </w:rPr>
            </w:r>
            <w:r>
              <w:rPr>
                <w:webHidden/>
              </w:rPr>
              <w:fldChar w:fldCharType="separate"/>
            </w:r>
            <w:r w:rsidR="005B63DF">
              <w:rPr>
                <w:webHidden/>
              </w:rPr>
              <w:t>38</w:t>
            </w:r>
            <w:r>
              <w:rPr>
                <w:webHidden/>
              </w:rPr>
              <w:fldChar w:fldCharType="end"/>
            </w:r>
          </w:hyperlink>
        </w:p>
        <w:p w14:paraId="0483C33F" w14:textId="2DA9CD45" w:rsidR="00411E0E" w:rsidRDefault="00411E0E">
          <w:pPr>
            <w:pStyle w:val="TOC2"/>
            <w:rPr>
              <w:rFonts w:eastAsiaTheme="minorEastAsia"/>
              <w:sz w:val="22"/>
              <w:szCs w:val="22"/>
              <w:lang w:val="en-AU" w:eastAsia="en-AU"/>
            </w:rPr>
          </w:pPr>
          <w:hyperlink w:anchor="_Toc66438665" w:history="1">
            <w:r w:rsidRPr="004F4F7F">
              <w:rPr>
                <w:rStyle w:val="Hyperlink"/>
              </w:rPr>
              <w:t>4.2</w:t>
            </w:r>
            <w:r>
              <w:rPr>
                <w:rFonts w:eastAsiaTheme="minorEastAsia"/>
                <w:sz w:val="22"/>
                <w:szCs w:val="22"/>
                <w:lang w:val="en-AU" w:eastAsia="en-AU"/>
              </w:rPr>
              <w:tab/>
            </w:r>
            <w:r w:rsidRPr="004F4F7F">
              <w:rPr>
                <w:rStyle w:val="Hyperlink"/>
              </w:rPr>
              <w:t>SELF-ASSESSMENT</w:t>
            </w:r>
            <w:r>
              <w:rPr>
                <w:webHidden/>
              </w:rPr>
              <w:tab/>
            </w:r>
            <w:r>
              <w:rPr>
                <w:webHidden/>
              </w:rPr>
              <w:fldChar w:fldCharType="begin"/>
            </w:r>
            <w:r>
              <w:rPr>
                <w:webHidden/>
              </w:rPr>
              <w:instrText xml:space="preserve"> PAGEREF _Toc66438665 \h </w:instrText>
            </w:r>
            <w:r>
              <w:rPr>
                <w:webHidden/>
              </w:rPr>
            </w:r>
            <w:r>
              <w:rPr>
                <w:webHidden/>
              </w:rPr>
              <w:fldChar w:fldCharType="separate"/>
            </w:r>
            <w:r w:rsidR="005B63DF">
              <w:rPr>
                <w:webHidden/>
              </w:rPr>
              <w:t>38</w:t>
            </w:r>
            <w:r>
              <w:rPr>
                <w:webHidden/>
              </w:rPr>
              <w:fldChar w:fldCharType="end"/>
            </w:r>
          </w:hyperlink>
        </w:p>
        <w:p w14:paraId="4DE60CD2" w14:textId="095F0962" w:rsidR="00411E0E" w:rsidRDefault="00411E0E">
          <w:pPr>
            <w:pStyle w:val="TOC2"/>
            <w:rPr>
              <w:rFonts w:eastAsiaTheme="minorEastAsia"/>
              <w:sz w:val="22"/>
              <w:szCs w:val="22"/>
              <w:lang w:val="en-AU" w:eastAsia="en-AU"/>
            </w:rPr>
          </w:pPr>
          <w:hyperlink w:anchor="_Toc66438666" w:history="1">
            <w:r w:rsidRPr="004F4F7F">
              <w:rPr>
                <w:rStyle w:val="Hyperlink"/>
              </w:rPr>
              <w:t>4.3</w:t>
            </w:r>
            <w:r>
              <w:rPr>
                <w:rFonts w:eastAsiaTheme="minorEastAsia"/>
                <w:sz w:val="22"/>
                <w:szCs w:val="22"/>
                <w:lang w:val="en-AU" w:eastAsia="en-AU"/>
              </w:rPr>
              <w:tab/>
            </w:r>
            <w:r w:rsidRPr="004F4F7F">
              <w:rPr>
                <w:rStyle w:val="Hyperlink"/>
              </w:rPr>
              <w:t>ANNUAL DATA REPORTS</w:t>
            </w:r>
            <w:r>
              <w:rPr>
                <w:webHidden/>
              </w:rPr>
              <w:tab/>
            </w:r>
            <w:r>
              <w:rPr>
                <w:webHidden/>
              </w:rPr>
              <w:fldChar w:fldCharType="begin"/>
            </w:r>
            <w:r>
              <w:rPr>
                <w:webHidden/>
              </w:rPr>
              <w:instrText xml:space="preserve"> PAGEREF _Toc66438666 \h </w:instrText>
            </w:r>
            <w:r>
              <w:rPr>
                <w:webHidden/>
              </w:rPr>
            </w:r>
            <w:r>
              <w:rPr>
                <w:webHidden/>
              </w:rPr>
              <w:fldChar w:fldCharType="separate"/>
            </w:r>
            <w:r w:rsidR="005B63DF">
              <w:rPr>
                <w:webHidden/>
              </w:rPr>
              <w:t>39</w:t>
            </w:r>
            <w:r>
              <w:rPr>
                <w:webHidden/>
              </w:rPr>
              <w:fldChar w:fldCharType="end"/>
            </w:r>
          </w:hyperlink>
        </w:p>
        <w:p w14:paraId="0D86B254" w14:textId="44255457" w:rsidR="00411E0E" w:rsidRDefault="00411E0E">
          <w:pPr>
            <w:pStyle w:val="TOC3"/>
            <w:rPr>
              <w:rFonts w:eastAsiaTheme="minorEastAsia"/>
              <w:sz w:val="22"/>
              <w:szCs w:val="22"/>
              <w:lang w:val="en-AU" w:eastAsia="en-AU"/>
            </w:rPr>
          </w:pPr>
          <w:hyperlink w:anchor="_Toc66438667" w:history="1">
            <w:r w:rsidRPr="004F4F7F">
              <w:rPr>
                <w:rStyle w:val="Hyperlink"/>
              </w:rPr>
              <w:t>4.3.1</w:t>
            </w:r>
            <w:r>
              <w:rPr>
                <w:rFonts w:eastAsiaTheme="minorEastAsia"/>
                <w:sz w:val="22"/>
                <w:szCs w:val="22"/>
                <w:lang w:val="en-AU" w:eastAsia="en-AU"/>
              </w:rPr>
              <w:tab/>
            </w:r>
            <w:r w:rsidRPr="004F4F7F">
              <w:rPr>
                <w:rStyle w:val="Hyperlink"/>
              </w:rPr>
              <w:t>SCU Annual Data Report</w:t>
            </w:r>
            <w:r>
              <w:rPr>
                <w:webHidden/>
              </w:rPr>
              <w:tab/>
            </w:r>
            <w:r>
              <w:rPr>
                <w:webHidden/>
              </w:rPr>
              <w:fldChar w:fldCharType="begin"/>
            </w:r>
            <w:r>
              <w:rPr>
                <w:webHidden/>
              </w:rPr>
              <w:instrText xml:space="preserve"> PAGEREF _Toc66438667 \h </w:instrText>
            </w:r>
            <w:r>
              <w:rPr>
                <w:webHidden/>
              </w:rPr>
            </w:r>
            <w:r>
              <w:rPr>
                <w:webHidden/>
              </w:rPr>
              <w:fldChar w:fldCharType="separate"/>
            </w:r>
            <w:r w:rsidR="005B63DF">
              <w:rPr>
                <w:webHidden/>
              </w:rPr>
              <w:t>39</w:t>
            </w:r>
            <w:r>
              <w:rPr>
                <w:webHidden/>
              </w:rPr>
              <w:fldChar w:fldCharType="end"/>
            </w:r>
          </w:hyperlink>
        </w:p>
        <w:p w14:paraId="0373F26C" w14:textId="052BCD61" w:rsidR="00411E0E" w:rsidRDefault="00411E0E">
          <w:pPr>
            <w:pStyle w:val="TOC3"/>
            <w:rPr>
              <w:rFonts w:eastAsiaTheme="minorEastAsia"/>
              <w:sz w:val="22"/>
              <w:szCs w:val="22"/>
              <w:lang w:val="en-AU" w:eastAsia="en-AU"/>
            </w:rPr>
          </w:pPr>
          <w:hyperlink w:anchor="_Toc66438668" w:history="1">
            <w:r w:rsidRPr="004F4F7F">
              <w:rPr>
                <w:rStyle w:val="Hyperlink"/>
              </w:rPr>
              <w:t>4.3.2</w:t>
            </w:r>
            <w:r>
              <w:rPr>
                <w:rFonts w:eastAsiaTheme="minorEastAsia"/>
                <w:sz w:val="22"/>
                <w:szCs w:val="22"/>
                <w:lang w:val="en-AU" w:eastAsia="en-AU"/>
              </w:rPr>
              <w:tab/>
            </w:r>
            <w:r w:rsidRPr="004F4F7F">
              <w:rPr>
                <w:rStyle w:val="Hyperlink"/>
              </w:rPr>
              <w:t>Service Annual Data Report</w:t>
            </w:r>
            <w:r>
              <w:rPr>
                <w:webHidden/>
              </w:rPr>
              <w:tab/>
            </w:r>
            <w:r>
              <w:rPr>
                <w:webHidden/>
              </w:rPr>
              <w:fldChar w:fldCharType="begin"/>
            </w:r>
            <w:r>
              <w:rPr>
                <w:webHidden/>
              </w:rPr>
              <w:instrText xml:space="preserve"> PAGEREF _Toc66438668 \h </w:instrText>
            </w:r>
            <w:r>
              <w:rPr>
                <w:webHidden/>
              </w:rPr>
            </w:r>
            <w:r>
              <w:rPr>
                <w:webHidden/>
              </w:rPr>
              <w:fldChar w:fldCharType="separate"/>
            </w:r>
            <w:r w:rsidR="005B63DF">
              <w:rPr>
                <w:webHidden/>
              </w:rPr>
              <w:t>39</w:t>
            </w:r>
            <w:r>
              <w:rPr>
                <w:webHidden/>
              </w:rPr>
              <w:fldChar w:fldCharType="end"/>
            </w:r>
          </w:hyperlink>
        </w:p>
        <w:p w14:paraId="1227CBAA" w14:textId="55B5360B" w:rsidR="00411E0E" w:rsidRDefault="00411E0E">
          <w:pPr>
            <w:pStyle w:val="TOC2"/>
            <w:rPr>
              <w:rFonts w:eastAsiaTheme="minorEastAsia"/>
              <w:sz w:val="22"/>
              <w:szCs w:val="22"/>
              <w:lang w:val="en-AU" w:eastAsia="en-AU"/>
            </w:rPr>
          </w:pPr>
          <w:hyperlink w:anchor="_Toc66438669" w:history="1">
            <w:r w:rsidRPr="004F4F7F">
              <w:rPr>
                <w:rStyle w:val="Hyperlink"/>
              </w:rPr>
              <w:t>4.4</w:t>
            </w:r>
            <w:r>
              <w:rPr>
                <w:rFonts w:eastAsiaTheme="minorEastAsia"/>
                <w:sz w:val="22"/>
                <w:szCs w:val="22"/>
                <w:lang w:val="en-AU" w:eastAsia="en-AU"/>
              </w:rPr>
              <w:tab/>
            </w:r>
            <w:r w:rsidRPr="004F4F7F">
              <w:rPr>
                <w:rStyle w:val="Hyperlink"/>
              </w:rPr>
              <w:t>ACCREDITATION SURVEYS</w:t>
            </w:r>
            <w:r>
              <w:rPr>
                <w:webHidden/>
              </w:rPr>
              <w:tab/>
            </w:r>
            <w:r>
              <w:rPr>
                <w:webHidden/>
              </w:rPr>
              <w:fldChar w:fldCharType="begin"/>
            </w:r>
            <w:r>
              <w:rPr>
                <w:webHidden/>
              </w:rPr>
              <w:instrText xml:space="preserve"> PAGEREF _Toc66438669 \h </w:instrText>
            </w:r>
            <w:r>
              <w:rPr>
                <w:webHidden/>
              </w:rPr>
            </w:r>
            <w:r>
              <w:rPr>
                <w:webHidden/>
              </w:rPr>
              <w:fldChar w:fldCharType="separate"/>
            </w:r>
            <w:r w:rsidR="005B63DF">
              <w:rPr>
                <w:webHidden/>
              </w:rPr>
              <w:t>40</w:t>
            </w:r>
            <w:r>
              <w:rPr>
                <w:webHidden/>
              </w:rPr>
              <w:fldChar w:fldCharType="end"/>
            </w:r>
          </w:hyperlink>
        </w:p>
        <w:p w14:paraId="1BBCF59A" w14:textId="74762C27" w:rsidR="00411E0E" w:rsidRDefault="00411E0E">
          <w:pPr>
            <w:pStyle w:val="TOC2"/>
            <w:rPr>
              <w:rFonts w:eastAsiaTheme="minorEastAsia"/>
              <w:sz w:val="22"/>
              <w:szCs w:val="22"/>
              <w:lang w:val="en-AU" w:eastAsia="en-AU"/>
            </w:rPr>
          </w:pPr>
          <w:hyperlink w:anchor="_Toc66438670" w:history="1">
            <w:r w:rsidRPr="004F4F7F">
              <w:rPr>
                <w:rStyle w:val="Hyperlink"/>
              </w:rPr>
              <w:t>4.5</w:t>
            </w:r>
            <w:r>
              <w:rPr>
                <w:rFonts w:eastAsiaTheme="minorEastAsia"/>
                <w:sz w:val="22"/>
                <w:szCs w:val="22"/>
                <w:lang w:val="en-AU" w:eastAsia="en-AU"/>
              </w:rPr>
              <w:tab/>
            </w:r>
            <w:r w:rsidRPr="004F4F7F">
              <w:rPr>
                <w:rStyle w:val="Hyperlink"/>
              </w:rPr>
              <w:t>DATA GOVERNANCE AND MANAGEMENT ASSESSMENT</w:t>
            </w:r>
            <w:r>
              <w:rPr>
                <w:webHidden/>
              </w:rPr>
              <w:tab/>
            </w:r>
            <w:r>
              <w:rPr>
                <w:webHidden/>
              </w:rPr>
              <w:fldChar w:fldCharType="begin"/>
            </w:r>
            <w:r>
              <w:rPr>
                <w:webHidden/>
              </w:rPr>
              <w:instrText xml:space="preserve"> PAGEREF _Toc66438670 \h </w:instrText>
            </w:r>
            <w:r>
              <w:rPr>
                <w:webHidden/>
              </w:rPr>
            </w:r>
            <w:r>
              <w:rPr>
                <w:webHidden/>
              </w:rPr>
              <w:fldChar w:fldCharType="separate"/>
            </w:r>
            <w:r w:rsidR="005B63DF">
              <w:rPr>
                <w:webHidden/>
              </w:rPr>
              <w:t>40</w:t>
            </w:r>
            <w:r>
              <w:rPr>
                <w:webHidden/>
              </w:rPr>
              <w:fldChar w:fldCharType="end"/>
            </w:r>
          </w:hyperlink>
        </w:p>
        <w:p w14:paraId="3B26DB4E" w14:textId="3EFAA143" w:rsidR="00411E0E" w:rsidRDefault="00411E0E">
          <w:pPr>
            <w:pStyle w:val="TOC1"/>
            <w:rPr>
              <w:rFonts w:eastAsiaTheme="minorEastAsia"/>
              <w:noProof/>
              <w:sz w:val="22"/>
              <w:szCs w:val="22"/>
              <w:lang w:val="en-AU" w:eastAsia="en-AU"/>
            </w:rPr>
          </w:pPr>
          <w:hyperlink w:anchor="_Toc66438671" w:history="1">
            <w:r w:rsidRPr="004F4F7F">
              <w:rPr>
                <w:rStyle w:val="Hyperlink"/>
                <w:noProof/>
              </w:rPr>
              <w:t>5</w:t>
            </w:r>
            <w:r>
              <w:rPr>
                <w:rFonts w:eastAsiaTheme="minorEastAsia"/>
                <w:noProof/>
                <w:sz w:val="22"/>
                <w:szCs w:val="22"/>
                <w:lang w:val="en-AU" w:eastAsia="en-AU"/>
              </w:rPr>
              <w:tab/>
            </w:r>
            <w:r w:rsidRPr="004F4F7F">
              <w:rPr>
                <w:rStyle w:val="Hyperlink"/>
                <w:noProof/>
              </w:rPr>
              <w:t xml:space="preserve">ACCREDITATION SURVEYS AND DATA GOVERNANCE AND MANAGEMENT </w:t>
            </w:r>
            <w:r>
              <w:rPr>
                <w:rStyle w:val="Hyperlink"/>
                <w:noProof/>
              </w:rPr>
              <w:br/>
            </w:r>
            <w:r w:rsidRPr="004F4F7F">
              <w:rPr>
                <w:rStyle w:val="Hyperlink"/>
                <w:noProof/>
              </w:rPr>
              <w:t>ASSESSMENT</w:t>
            </w:r>
            <w:r>
              <w:rPr>
                <w:noProof/>
                <w:webHidden/>
              </w:rPr>
              <w:tab/>
            </w:r>
            <w:r>
              <w:rPr>
                <w:noProof/>
                <w:webHidden/>
              </w:rPr>
              <w:fldChar w:fldCharType="begin"/>
            </w:r>
            <w:r>
              <w:rPr>
                <w:noProof/>
                <w:webHidden/>
              </w:rPr>
              <w:instrText xml:space="preserve"> PAGEREF _Toc66438671 \h </w:instrText>
            </w:r>
            <w:r>
              <w:rPr>
                <w:noProof/>
                <w:webHidden/>
              </w:rPr>
            </w:r>
            <w:r>
              <w:rPr>
                <w:noProof/>
                <w:webHidden/>
              </w:rPr>
              <w:fldChar w:fldCharType="separate"/>
            </w:r>
            <w:r w:rsidR="005B63DF">
              <w:rPr>
                <w:noProof/>
                <w:webHidden/>
              </w:rPr>
              <w:t>42</w:t>
            </w:r>
            <w:r>
              <w:rPr>
                <w:noProof/>
                <w:webHidden/>
              </w:rPr>
              <w:fldChar w:fldCharType="end"/>
            </w:r>
          </w:hyperlink>
        </w:p>
        <w:p w14:paraId="5CB80851" w14:textId="70C58BB2" w:rsidR="00411E0E" w:rsidRDefault="00411E0E">
          <w:pPr>
            <w:pStyle w:val="TOC2"/>
            <w:rPr>
              <w:rFonts w:eastAsiaTheme="minorEastAsia"/>
              <w:sz w:val="22"/>
              <w:szCs w:val="22"/>
              <w:lang w:val="en-AU" w:eastAsia="en-AU"/>
            </w:rPr>
          </w:pPr>
          <w:hyperlink w:anchor="_Toc66438672" w:history="1">
            <w:r w:rsidRPr="004F4F7F">
              <w:rPr>
                <w:rStyle w:val="Hyperlink"/>
              </w:rPr>
              <w:t>5.1</w:t>
            </w:r>
            <w:r>
              <w:rPr>
                <w:rFonts w:eastAsiaTheme="minorEastAsia"/>
                <w:sz w:val="22"/>
                <w:szCs w:val="22"/>
                <w:lang w:val="en-AU" w:eastAsia="en-AU"/>
              </w:rPr>
              <w:tab/>
            </w:r>
            <w:r w:rsidRPr="004F4F7F">
              <w:rPr>
                <w:rStyle w:val="Hyperlink"/>
              </w:rPr>
              <w:t>FULL ACCREDITATION SURVEY</w:t>
            </w:r>
            <w:r>
              <w:rPr>
                <w:webHidden/>
              </w:rPr>
              <w:tab/>
            </w:r>
            <w:r>
              <w:rPr>
                <w:webHidden/>
              </w:rPr>
              <w:fldChar w:fldCharType="begin"/>
            </w:r>
            <w:r>
              <w:rPr>
                <w:webHidden/>
              </w:rPr>
              <w:instrText xml:space="preserve"> PAGEREF _Toc66438672 \h </w:instrText>
            </w:r>
            <w:r>
              <w:rPr>
                <w:webHidden/>
              </w:rPr>
            </w:r>
            <w:r>
              <w:rPr>
                <w:webHidden/>
              </w:rPr>
              <w:fldChar w:fldCharType="separate"/>
            </w:r>
            <w:r w:rsidR="005B63DF">
              <w:rPr>
                <w:webHidden/>
              </w:rPr>
              <w:t>42</w:t>
            </w:r>
            <w:r>
              <w:rPr>
                <w:webHidden/>
              </w:rPr>
              <w:fldChar w:fldCharType="end"/>
            </w:r>
          </w:hyperlink>
        </w:p>
        <w:p w14:paraId="1B23E21F" w14:textId="6F272B73" w:rsidR="00411E0E" w:rsidRDefault="00411E0E">
          <w:pPr>
            <w:pStyle w:val="TOC2"/>
            <w:rPr>
              <w:rFonts w:eastAsiaTheme="minorEastAsia"/>
              <w:sz w:val="22"/>
              <w:szCs w:val="22"/>
              <w:lang w:val="en-AU" w:eastAsia="en-AU"/>
            </w:rPr>
          </w:pPr>
          <w:hyperlink w:anchor="_Toc66438673" w:history="1">
            <w:r w:rsidRPr="004F4F7F">
              <w:rPr>
                <w:rStyle w:val="Hyperlink"/>
              </w:rPr>
              <w:t>5.2</w:t>
            </w:r>
            <w:r>
              <w:rPr>
                <w:rFonts w:eastAsiaTheme="minorEastAsia"/>
                <w:sz w:val="22"/>
                <w:szCs w:val="22"/>
                <w:lang w:val="en-AU" w:eastAsia="en-AU"/>
              </w:rPr>
              <w:tab/>
            </w:r>
            <w:r w:rsidRPr="004F4F7F">
              <w:rPr>
                <w:rStyle w:val="Hyperlink"/>
              </w:rPr>
              <w:t>SCOPE OF THE SURVEY</w:t>
            </w:r>
            <w:r>
              <w:rPr>
                <w:webHidden/>
              </w:rPr>
              <w:tab/>
            </w:r>
            <w:r>
              <w:rPr>
                <w:webHidden/>
              </w:rPr>
              <w:fldChar w:fldCharType="begin"/>
            </w:r>
            <w:r>
              <w:rPr>
                <w:webHidden/>
              </w:rPr>
              <w:instrText xml:space="preserve"> PAGEREF _Toc66438673 \h </w:instrText>
            </w:r>
            <w:r>
              <w:rPr>
                <w:webHidden/>
              </w:rPr>
            </w:r>
            <w:r>
              <w:rPr>
                <w:webHidden/>
              </w:rPr>
              <w:fldChar w:fldCharType="separate"/>
            </w:r>
            <w:r w:rsidR="005B63DF">
              <w:rPr>
                <w:webHidden/>
              </w:rPr>
              <w:t>43</w:t>
            </w:r>
            <w:r>
              <w:rPr>
                <w:webHidden/>
              </w:rPr>
              <w:fldChar w:fldCharType="end"/>
            </w:r>
          </w:hyperlink>
        </w:p>
        <w:p w14:paraId="4AA678CE" w14:textId="37D9FC12" w:rsidR="00411E0E" w:rsidRDefault="00411E0E">
          <w:pPr>
            <w:pStyle w:val="TOC2"/>
            <w:rPr>
              <w:rFonts w:eastAsiaTheme="minorEastAsia"/>
              <w:sz w:val="22"/>
              <w:szCs w:val="22"/>
              <w:lang w:val="en-AU" w:eastAsia="en-AU"/>
            </w:rPr>
          </w:pPr>
          <w:hyperlink w:anchor="_Toc66438674" w:history="1">
            <w:r w:rsidRPr="004F4F7F">
              <w:rPr>
                <w:rStyle w:val="Hyperlink"/>
              </w:rPr>
              <w:t>5.3</w:t>
            </w:r>
            <w:r>
              <w:rPr>
                <w:rFonts w:eastAsiaTheme="minorEastAsia"/>
                <w:sz w:val="22"/>
                <w:szCs w:val="22"/>
                <w:lang w:val="en-AU" w:eastAsia="en-AU"/>
              </w:rPr>
              <w:tab/>
            </w:r>
            <w:r w:rsidRPr="004F4F7F">
              <w:rPr>
                <w:rStyle w:val="Hyperlink"/>
              </w:rPr>
              <w:t>INTERIM SURVEYS</w:t>
            </w:r>
            <w:r>
              <w:rPr>
                <w:webHidden/>
              </w:rPr>
              <w:tab/>
            </w:r>
            <w:r>
              <w:rPr>
                <w:webHidden/>
              </w:rPr>
              <w:fldChar w:fldCharType="begin"/>
            </w:r>
            <w:r>
              <w:rPr>
                <w:webHidden/>
              </w:rPr>
              <w:instrText xml:space="preserve"> PAGEREF _Toc66438674 \h </w:instrText>
            </w:r>
            <w:r>
              <w:rPr>
                <w:webHidden/>
              </w:rPr>
            </w:r>
            <w:r>
              <w:rPr>
                <w:webHidden/>
              </w:rPr>
              <w:fldChar w:fldCharType="separate"/>
            </w:r>
            <w:r w:rsidR="005B63DF">
              <w:rPr>
                <w:webHidden/>
              </w:rPr>
              <w:t>43</w:t>
            </w:r>
            <w:r>
              <w:rPr>
                <w:webHidden/>
              </w:rPr>
              <w:fldChar w:fldCharType="end"/>
            </w:r>
          </w:hyperlink>
        </w:p>
        <w:p w14:paraId="6F7563DB" w14:textId="0BD03202" w:rsidR="00411E0E" w:rsidRDefault="00411E0E">
          <w:pPr>
            <w:pStyle w:val="TOC2"/>
            <w:rPr>
              <w:rFonts w:eastAsiaTheme="minorEastAsia"/>
              <w:sz w:val="22"/>
              <w:szCs w:val="22"/>
              <w:lang w:val="en-AU" w:eastAsia="en-AU"/>
            </w:rPr>
          </w:pPr>
          <w:hyperlink w:anchor="_Toc66438675" w:history="1">
            <w:r w:rsidRPr="004F4F7F">
              <w:rPr>
                <w:rStyle w:val="Hyperlink"/>
              </w:rPr>
              <w:t>5.4</w:t>
            </w:r>
            <w:r>
              <w:rPr>
                <w:rFonts w:eastAsiaTheme="minorEastAsia"/>
                <w:sz w:val="22"/>
                <w:szCs w:val="22"/>
                <w:lang w:val="en-AU" w:eastAsia="en-AU"/>
              </w:rPr>
              <w:tab/>
            </w:r>
            <w:r w:rsidRPr="004F4F7F">
              <w:rPr>
                <w:rStyle w:val="Hyperlink"/>
              </w:rPr>
              <w:t>UNSCHEDULED SURVEYS</w:t>
            </w:r>
            <w:r>
              <w:rPr>
                <w:webHidden/>
              </w:rPr>
              <w:tab/>
            </w:r>
            <w:r>
              <w:rPr>
                <w:webHidden/>
              </w:rPr>
              <w:fldChar w:fldCharType="begin"/>
            </w:r>
            <w:r>
              <w:rPr>
                <w:webHidden/>
              </w:rPr>
              <w:instrText xml:space="preserve"> PAGEREF _Toc66438675 \h </w:instrText>
            </w:r>
            <w:r>
              <w:rPr>
                <w:webHidden/>
              </w:rPr>
            </w:r>
            <w:r>
              <w:rPr>
                <w:webHidden/>
              </w:rPr>
              <w:fldChar w:fldCharType="separate"/>
            </w:r>
            <w:r w:rsidR="005B63DF">
              <w:rPr>
                <w:webHidden/>
              </w:rPr>
              <w:t>44</w:t>
            </w:r>
            <w:r>
              <w:rPr>
                <w:webHidden/>
              </w:rPr>
              <w:fldChar w:fldCharType="end"/>
            </w:r>
          </w:hyperlink>
        </w:p>
        <w:p w14:paraId="0584AD6A" w14:textId="278AAEEA" w:rsidR="00411E0E" w:rsidRDefault="00411E0E">
          <w:pPr>
            <w:pStyle w:val="TOC2"/>
            <w:rPr>
              <w:rFonts w:eastAsiaTheme="minorEastAsia"/>
              <w:sz w:val="22"/>
              <w:szCs w:val="22"/>
              <w:lang w:val="en-AU" w:eastAsia="en-AU"/>
            </w:rPr>
          </w:pPr>
          <w:hyperlink w:anchor="_Toc66438676" w:history="1">
            <w:r w:rsidRPr="004F4F7F">
              <w:rPr>
                <w:rStyle w:val="Hyperlink"/>
              </w:rPr>
              <w:t>5.5</w:t>
            </w:r>
            <w:r>
              <w:rPr>
                <w:rFonts w:eastAsiaTheme="minorEastAsia"/>
                <w:sz w:val="22"/>
                <w:szCs w:val="22"/>
                <w:lang w:val="en-AU" w:eastAsia="en-AU"/>
              </w:rPr>
              <w:tab/>
            </w:r>
            <w:r w:rsidRPr="004F4F7F">
              <w:rPr>
                <w:rStyle w:val="Hyperlink"/>
              </w:rPr>
              <w:t>INTERNAL SURVEYS</w:t>
            </w:r>
            <w:r>
              <w:rPr>
                <w:webHidden/>
              </w:rPr>
              <w:tab/>
            </w:r>
            <w:r>
              <w:rPr>
                <w:webHidden/>
              </w:rPr>
              <w:fldChar w:fldCharType="begin"/>
            </w:r>
            <w:r>
              <w:rPr>
                <w:webHidden/>
              </w:rPr>
              <w:instrText xml:space="preserve"> PAGEREF _Toc66438676 \h </w:instrText>
            </w:r>
            <w:r>
              <w:rPr>
                <w:webHidden/>
              </w:rPr>
            </w:r>
            <w:r>
              <w:rPr>
                <w:webHidden/>
              </w:rPr>
              <w:fldChar w:fldCharType="separate"/>
            </w:r>
            <w:r w:rsidR="005B63DF">
              <w:rPr>
                <w:webHidden/>
              </w:rPr>
              <w:t>44</w:t>
            </w:r>
            <w:r>
              <w:rPr>
                <w:webHidden/>
              </w:rPr>
              <w:fldChar w:fldCharType="end"/>
            </w:r>
          </w:hyperlink>
        </w:p>
        <w:p w14:paraId="4DFD81DD" w14:textId="589B9726" w:rsidR="00411E0E" w:rsidRDefault="00411E0E">
          <w:pPr>
            <w:pStyle w:val="TOC2"/>
            <w:rPr>
              <w:rFonts w:eastAsiaTheme="minorEastAsia"/>
              <w:sz w:val="22"/>
              <w:szCs w:val="22"/>
              <w:lang w:val="en-AU" w:eastAsia="en-AU"/>
            </w:rPr>
          </w:pPr>
          <w:hyperlink w:anchor="_Toc66438677" w:history="1">
            <w:r w:rsidRPr="004F4F7F">
              <w:rPr>
                <w:rStyle w:val="Hyperlink"/>
              </w:rPr>
              <w:t>5.6</w:t>
            </w:r>
            <w:r>
              <w:rPr>
                <w:rFonts w:eastAsiaTheme="minorEastAsia"/>
                <w:sz w:val="22"/>
                <w:szCs w:val="22"/>
                <w:lang w:val="en-AU" w:eastAsia="en-AU"/>
              </w:rPr>
              <w:tab/>
            </w:r>
            <w:r w:rsidRPr="004F4F7F">
              <w:rPr>
                <w:rStyle w:val="Hyperlink"/>
              </w:rPr>
              <w:t>PRE-COMMENCEMENT SURVEYS</w:t>
            </w:r>
            <w:r>
              <w:rPr>
                <w:webHidden/>
              </w:rPr>
              <w:tab/>
            </w:r>
            <w:r>
              <w:rPr>
                <w:webHidden/>
              </w:rPr>
              <w:fldChar w:fldCharType="begin"/>
            </w:r>
            <w:r>
              <w:rPr>
                <w:webHidden/>
              </w:rPr>
              <w:instrText xml:space="preserve"> PAGEREF _Toc66438677 \h </w:instrText>
            </w:r>
            <w:r>
              <w:rPr>
                <w:webHidden/>
              </w:rPr>
            </w:r>
            <w:r>
              <w:rPr>
                <w:webHidden/>
              </w:rPr>
              <w:fldChar w:fldCharType="separate"/>
            </w:r>
            <w:r w:rsidR="005B63DF">
              <w:rPr>
                <w:webHidden/>
              </w:rPr>
              <w:t>45</w:t>
            </w:r>
            <w:r>
              <w:rPr>
                <w:webHidden/>
              </w:rPr>
              <w:fldChar w:fldCharType="end"/>
            </w:r>
          </w:hyperlink>
        </w:p>
        <w:p w14:paraId="116BEAA2" w14:textId="4E2DD6D3" w:rsidR="00411E0E" w:rsidRDefault="00411E0E">
          <w:pPr>
            <w:pStyle w:val="TOC2"/>
            <w:rPr>
              <w:rFonts w:eastAsiaTheme="minorEastAsia"/>
              <w:sz w:val="22"/>
              <w:szCs w:val="22"/>
              <w:lang w:val="en-AU" w:eastAsia="en-AU"/>
            </w:rPr>
          </w:pPr>
          <w:hyperlink w:anchor="_Toc66438678" w:history="1">
            <w:r w:rsidRPr="004F4F7F">
              <w:rPr>
                <w:rStyle w:val="Hyperlink"/>
              </w:rPr>
              <w:t>5.7</w:t>
            </w:r>
            <w:r>
              <w:rPr>
                <w:rFonts w:eastAsiaTheme="minorEastAsia"/>
                <w:sz w:val="22"/>
                <w:szCs w:val="22"/>
                <w:lang w:val="en-AU" w:eastAsia="en-AU"/>
              </w:rPr>
              <w:tab/>
            </w:r>
            <w:r w:rsidRPr="004F4F7F">
              <w:rPr>
                <w:rStyle w:val="Hyperlink"/>
              </w:rPr>
              <w:t>DATA GOVERNANCE AND MANAGEMENT ASSESSMENT</w:t>
            </w:r>
            <w:r>
              <w:rPr>
                <w:webHidden/>
              </w:rPr>
              <w:tab/>
            </w:r>
            <w:r>
              <w:rPr>
                <w:webHidden/>
              </w:rPr>
              <w:fldChar w:fldCharType="begin"/>
            </w:r>
            <w:r>
              <w:rPr>
                <w:webHidden/>
              </w:rPr>
              <w:instrText xml:space="preserve"> PAGEREF _Toc66438678 \h </w:instrText>
            </w:r>
            <w:r>
              <w:rPr>
                <w:webHidden/>
              </w:rPr>
            </w:r>
            <w:r>
              <w:rPr>
                <w:webHidden/>
              </w:rPr>
              <w:fldChar w:fldCharType="separate"/>
            </w:r>
            <w:r w:rsidR="005B63DF">
              <w:rPr>
                <w:webHidden/>
              </w:rPr>
              <w:t>45</w:t>
            </w:r>
            <w:r>
              <w:rPr>
                <w:webHidden/>
              </w:rPr>
              <w:fldChar w:fldCharType="end"/>
            </w:r>
          </w:hyperlink>
        </w:p>
        <w:p w14:paraId="7414F92D" w14:textId="77996B5D" w:rsidR="00411E0E" w:rsidRDefault="00411E0E">
          <w:pPr>
            <w:pStyle w:val="TOC3"/>
            <w:rPr>
              <w:rFonts w:eastAsiaTheme="minorEastAsia"/>
              <w:sz w:val="22"/>
              <w:szCs w:val="22"/>
              <w:lang w:val="en-AU" w:eastAsia="en-AU"/>
            </w:rPr>
          </w:pPr>
          <w:hyperlink w:anchor="_Toc66438679" w:history="1">
            <w:r w:rsidRPr="004F4F7F">
              <w:rPr>
                <w:rStyle w:val="Hyperlink"/>
              </w:rPr>
              <w:t>5.7.1</w:t>
            </w:r>
            <w:r>
              <w:rPr>
                <w:rFonts w:eastAsiaTheme="minorEastAsia"/>
                <w:sz w:val="22"/>
                <w:szCs w:val="22"/>
                <w:lang w:val="en-AU" w:eastAsia="en-AU"/>
              </w:rPr>
              <w:tab/>
            </w:r>
            <w:r w:rsidRPr="004F4F7F">
              <w:rPr>
                <w:rStyle w:val="Hyperlink"/>
              </w:rPr>
              <w:t>Centralised PACS/Client Management System</w:t>
            </w:r>
            <w:r>
              <w:rPr>
                <w:webHidden/>
              </w:rPr>
              <w:tab/>
            </w:r>
            <w:r>
              <w:rPr>
                <w:webHidden/>
              </w:rPr>
              <w:fldChar w:fldCharType="begin"/>
            </w:r>
            <w:r>
              <w:rPr>
                <w:webHidden/>
              </w:rPr>
              <w:instrText xml:space="preserve"> PAGEREF _Toc66438679 \h </w:instrText>
            </w:r>
            <w:r>
              <w:rPr>
                <w:webHidden/>
              </w:rPr>
            </w:r>
            <w:r>
              <w:rPr>
                <w:webHidden/>
              </w:rPr>
              <w:fldChar w:fldCharType="separate"/>
            </w:r>
            <w:r w:rsidR="005B63DF">
              <w:rPr>
                <w:webHidden/>
              </w:rPr>
              <w:t>45</w:t>
            </w:r>
            <w:r>
              <w:rPr>
                <w:webHidden/>
              </w:rPr>
              <w:fldChar w:fldCharType="end"/>
            </w:r>
          </w:hyperlink>
        </w:p>
        <w:p w14:paraId="63A8399E" w14:textId="73907597" w:rsidR="00411E0E" w:rsidRDefault="00411E0E">
          <w:pPr>
            <w:pStyle w:val="TOC3"/>
            <w:rPr>
              <w:rFonts w:eastAsiaTheme="minorEastAsia"/>
              <w:sz w:val="22"/>
              <w:szCs w:val="22"/>
              <w:lang w:val="en-AU" w:eastAsia="en-AU"/>
            </w:rPr>
          </w:pPr>
          <w:hyperlink w:anchor="_Toc66438680" w:history="1">
            <w:r w:rsidRPr="004F4F7F">
              <w:rPr>
                <w:rStyle w:val="Hyperlink"/>
              </w:rPr>
              <w:t>5.7.2</w:t>
            </w:r>
            <w:r>
              <w:rPr>
                <w:rFonts w:eastAsiaTheme="minorEastAsia"/>
                <w:sz w:val="22"/>
                <w:szCs w:val="22"/>
                <w:lang w:val="en-AU" w:eastAsia="en-AU"/>
              </w:rPr>
              <w:tab/>
            </w:r>
            <w:r w:rsidRPr="004F4F7F">
              <w:rPr>
                <w:rStyle w:val="Hyperlink"/>
              </w:rPr>
              <w:t>Four Disciplines of Data Governance and Management</w:t>
            </w:r>
            <w:r>
              <w:rPr>
                <w:webHidden/>
              </w:rPr>
              <w:tab/>
            </w:r>
            <w:r>
              <w:rPr>
                <w:webHidden/>
              </w:rPr>
              <w:fldChar w:fldCharType="begin"/>
            </w:r>
            <w:r>
              <w:rPr>
                <w:webHidden/>
              </w:rPr>
              <w:instrText xml:space="preserve"> PAGEREF _Toc66438680 \h </w:instrText>
            </w:r>
            <w:r>
              <w:rPr>
                <w:webHidden/>
              </w:rPr>
            </w:r>
            <w:r>
              <w:rPr>
                <w:webHidden/>
              </w:rPr>
              <w:fldChar w:fldCharType="separate"/>
            </w:r>
            <w:r w:rsidR="005B63DF">
              <w:rPr>
                <w:webHidden/>
              </w:rPr>
              <w:t>46</w:t>
            </w:r>
            <w:r>
              <w:rPr>
                <w:webHidden/>
              </w:rPr>
              <w:fldChar w:fldCharType="end"/>
            </w:r>
          </w:hyperlink>
        </w:p>
        <w:p w14:paraId="47B74F6B" w14:textId="6AC83867" w:rsidR="00411E0E" w:rsidRDefault="00411E0E">
          <w:pPr>
            <w:pStyle w:val="TOC2"/>
            <w:rPr>
              <w:rFonts w:eastAsiaTheme="minorEastAsia"/>
              <w:sz w:val="22"/>
              <w:szCs w:val="22"/>
              <w:lang w:val="en-AU" w:eastAsia="en-AU"/>
            </w:rPr>
          </w:pPr>
          <w:hyperlink w:anchor="_Toc66438681" w:history="1">
            <w:r w:rsidRPr="004F4F7F">
              <w:rPr>
                <w:rStyle w:val="Hyperlink"/>
              </w:rPr>
              <w:t>5.8</w:t>
            </w:r>
            <w:r>
              <w:rPr>
                <w:rFonts w:eastAsiaTheme="minorEastAsia"/>
                <w:sz w:val="22"/>
                <w:szCs w:val="22"/>
                <w:lang w:val="en-AU" w:eastAsia="en-AU"/>
              </w:rPr>
              <w:tab/>
            </w:r>
            <w:r w:rsidRPr="004F4F7F">
              <w:rPr>
                <w:rStyle w:val="Hyperlink"/>
              </w:rPr>
              <w:t>SUITE OF FORMS</w:t>
            </w:r>
            <w:r>
              <w:rPr>
                <w:webHidden/>
              </w:rPr>
              <w:tab/>
            </w:r>
            <w:r>
              <w:rPr>
                <w:webHidden/>
              </w:rPr>
              <w:fldChar w:fldCharType="begin"/>
            </w:r>
            <w:r>
              <w:rPr>
                <w:webHidden/>
              </w:rPr>
              <w:instrText xml:space="preserve"> PAGEREF _Toc66438681 \h </w:instrText>
            </w:r>
            <w:r>
              <w:rPr>
                <w:webHidden/>
              </w:rPr>
            </w:r>
            <w:r>
              <w:rPr>
                <w:webHidden/>
              </w:rPr>
              <w:fldChar w:fldCharType="separate"/>
            </w:r>
            <w:r w:rsidR="005B63DF">
              <w:rPr>
                <w:webHidden/>
              </w:rPr>
              <w:t>49</w:t>
            </w:r>
            <w:r>
              <w:rPr>
                <w:webHidden/>
              </w:rPr>
              <w:fldChar w:fldCharType="end"/>
            </w:r>
          </w:hyperlink>
        </w:p>
        <w:p w14:paraId="5E6EA0B9" w14:textId="1C961B10" w:rsidR="00411E0E" w:rsidRDefault="00411E0E">
          <w:pPr>
            <w:pStyle w:val="TOC1"/>
            <w:rPr>
              <w:rFonts w:eastAsiaTheme="minorEastAsia"/>
              <w:noProof/>
              <w:sz w:val="22"/>
              <w:szCs w:val="22"/>
              <w:lang w:val="en-AU" w:eastAsia="en-AU"/>
            </w:rPr>
          </w:pPr>
          <w:hyperlink w:anchor="_Toc66438682" w:history="1">
            <w:r w:rsidRPr="004F4F7F">
              <w:rPr>
                <w:rStyle w:val="Hyperlink"/>
                <w:noProof/>
              </w:rPr>
              <w:t>6</w:t>
            </w:r>
            <w:r>
              <w:rPr>
                <w:rFonts w:eastAsiaTheme="minorEastAsia"/>
                <w:noProof/>
                <w:sz w:val="22"/>
                <w:szCs w:val="22"/>
                <w:lang w:val="en-AU" w:eastAsia="en-AU"/>
              </w:rPr>
              <w:tab/>
            </w:r>
            <w:r w:rsidRPr="004F4F7F">
              <w:rPr>
                <w:rStyle w:val="Hyperlink"/>
                <w:noProof/>
              </w:rPr>
              <w:t>APPLYING FOR ACCREDITATION</w:t>
            </w:r>
            <w:r>
              <w:rPr>
                <w:noProof/>
                <w:webHidden/>
              </w:rPr>
              <w:tab/>
            </w:r>
            <w:r>
              <w:rPr>
                <w:noProof/>
                <w:webHidden/>
              </w:rPr>
              <w:fldChar w:fldCharType="begin"/>
            </w:r>
            <w:r>
              <w:rPr>
                <w:noProof/>
                <w:webHidden/>
              </w:rPr>
              <w:instrText xml:space="preserve"> PAGEREF _Toc66438682 \h </w:instrText>
            </w:r>
            <w:r>
              <w:rPr>
                <w:noProof/>
                <w:webHidden/>
              </w:rPr>
            </w:r>
            <w:r>
              <w:rPr>
                <w:noProof/>
                <w:webHidden/>
              </w:rPr>
              <w:fldChar w:fldCharType="separate"/>
            </w:r>
            <w:r w:rsidR="005B63DF">
              <w:rPr>
                <w:noProof/>
                <w:webHidden/>
              </w:rPr>
              <w:t>51</w:t>
            </w:r>
            <w:r>
              <w:rPr>
                <w:noProof/>
                <w:webHidden/>
              </w:rPr>
              <w:fldChar w:fldCharType="end"/>
            </w:r>
          </w:hyperlink>
        </w:p>
        <w:p w14:paraId="5518C5C7" w14:textId="1661CD11" w:rsidR="00411E0E" w:rsidRDefault="00411E0E">
          <w:pPr>
            <w:pStyle w:val="TOC2"/>
            <w:rPr>
              <w:rFonts w:eastAsiaTheme="minorEastAsia"/>
              <w:sz w:val="22"/>
              <w:szCs w:val="22"/>
              <w:lang w:val="en-AU" w:eastAsia="en-AU"/>
            </w:rPr>
          </w:pPr>
          <w:hyperlink w:anchor="_Toc66438683" w:history="1">
            <w:r w:rsidRPr="004F4F7F">
              <w:rPr>
                <w:rStyle w:val="Hyperlink"/>
              </w:rPr>
              <w:t>6.1</w:t>
            </w:r>
            <w:r>
              <w:rPr>
                <w:rFonts w:eastAsiaTheme="minorEastAsia"/>
                <w:sz w:val="22"/>
                <w:szCs w:val="22"/>
                <w:lang w:val="en-AU" w:eastAsia="en-AU"/>
              </w:rPr>
              <w:tab/>
            </w:r>
            <w:r w:rsidRPr="004F4F7F">
              <w:rPr>
                <w:rStyle w:val="Hyperlink"/>
              </w:rPr>
              <w:t>INTRODUCTION</w:t>
            </w:r>
            <w:r>
              <w:rPr>
                <w:webHidden/>
              </w:rPr>
              <w:tab/>
            </w:r>
            <w:r>
              <w:rPr>
                <w:webHidden/>
              </w:rPr>
              <w:fldChar w:fldCharType="begin"/>
            </w:r>
            <w:r>
              <w:rPr>
                <w:webHidden/>
              </w:rPr>
              <w:instrText xml:space="preserve"> PAGEREF _Toc66438683 \h </w:instrText>
            </w:r>
            <w:r>
              <w:rPr>
                <w:webHidden/>
              </w:rPr>
            </w:r>
            <w:r>
              <w:rPr>
                <w:webHidden/>
              </w:rPr>
              <w:fldChar w:fldCharType="separate"/>
            </w:r>
            <w:r w:rsidR="005B63DF">
              <w:rPr>
                <w:webHidden/>
              </w:rPr>
              <w:t>51</w:t>
            </w:r>
            <w:r>
              <w:rPr>
                <w:webHidden/>
              </w:rPr>
              <w:fldChar w:fldCharType="end"/>
            </w:r>
          </w:hyperlink>
        </w:p>
        <w:p w14:paraId="326844B3" w14:textId="6DAE0A85" w:rsidR="00411E0E" w:rsidRDefault="00411E0E">
          <w:pPr>
            <w:pStyle w:val="TOC2"/>
            <w:rPr>
              <w:rFonts w:eastAsiaTheme="minorEastAsia"/>
              <w:sz w:val="22"/>
              <w:szCs w:val="22"/>
              <w:lang w:val="en-AU" w:eastAsia="en-AU"/>
            </w:rPr>
          </w:pPr>
          <w:hyperlink w:anchor="_Toc66438684" w:history="1">
            <w:r w:rsidRPr="004F4F7F">
              <w:rPr>
                <w:rStyle w:val="Hyperlink"/>
              </w:rPr>
              <w:t>6.2</w:t>
            </w:r>
            <w:r>
              <w:rPr>
                <w:rFonts w:eastAsiaTheme="minorEastAsia"/>
                <w:sz w:val="22"/>
                <w:szCs w:val="22"/>
                <w:lang w:val="en-AU" w:eastAsia="en-AU"/>
              </w:rPr>
              <w:tab/>
            </w:r>
            <w:r w:rsidRPr="004F4F7F">
              <w:rPr>
                <w:rStyle w:val="Hyperlink"/>
              </w:rPr>
              <w:t>STEPS FOR A NEW SERVICE</w:t>
            </w:r>
            <w:r>
              <w:rPr>
                <w:webHidden/>
              </w:rPr>
              <w:tab/>
            </w:r>
            <w:r>
              <w:rPr>
                <w:webHidden/>
              </w:rPr>
              <w:fldChar w:fldCharType="begin"/>
            </w:r>
            <w:r>
              <w:rPr>
                <w:webHidden/>
              </w:rPr>
              <w:instrText xml:space="preserve"> PAGEREF _Toc66438684 \h </w:instrText>
            </w:r>
            <w:r>
              <w:rPr>
                <w:webHidden/>
              </w:rPr>
            </w:r>
            <w:r>
              <w:rPr>
                <w:webHidden/>
              </w:rPr>
              <w:fldChar w:fldCharType="separate"/>
            </w:r>
            <w:r w:rsidR="005B63DF">
              <w:rPr>
                <w:webHidden/>
              </w:rPr>
              <w:t>51</w:t>
            </w:r>
            <w:r>
              <w:rPr>
                <w:webHidden/>
              </w:rPr>
              <w:fldChar w:fldCharType="end"/>
            </w:r>
          </w:hyperlink>
        </w:p>
        <w:p w14:paraId="652065F6" w14:textId="65966822" w:rsidR="00411E0E" w:rsidRDefault="00411E0E">
          <w:pPr>
            <w:pStyle w:val="TOC3"/>
            <w:rPr>
              <w:rFonts w:eastAsiaTheme="minorEastAsia"/>
              <w:sz w:val="22"/>
              <w:szCs w:val="22"/>
              <w:lang w:val="en-AU" w:eastAsia="en-AU"/>
            </w:rPr>
          </w:pPr>
          <w:hyperlink w:anchor="_Toc66438685" w:history="1">
            <w:r w:rsidRPr="004F4F7F">
              <w:rPr>
                <w:rStyle w:val="Hyperlink"/>
              </w:rPr>
              <w:t>6.2.1</w:t>
            </w:r>
            <w:r>
              <w:rPr>
                <w:rFonts w:eastAsiaTheme="minorEastAsia"/>
                <w:sz w:val="22"/>
                <w:szCs w:val="22"/>
                <w:lang w:val="en-AU" w:eastAsia="en-AU"/>
              </w:rPr>
              <w:tab/>
            </w:r>
            <w:r w:rsidRPr="004F4F7F">
              <w:rPr>
                <w:rStyle w:val="Hyperlink"/>
              </w:rPr>
              <w:t>Work with the SCU to become established as a new Service</w:t>
            </w:r>
            <w:r>
              <w:rPr>
                <w:webHidden/>
              </w:rPr>
              <w:tab/>
            </w:r>
            <w:r>
              <w:rPr>
                <w:webHidden/>
              </w:rPr>
              <w:fldChar w:fldCharType="begin"/>
            </w:r>
            <w:r>
              <w:rPr>
                <w:webHidden/>
              </w:rPr>
              <w:instrText xml:space="preserve"> PAGEREF _Toc66438685 \h </w:instrText>
            </w:r>
            <w:r>
              <w:rPr>
                <w:webHidden/>
              </w:rPr>
            </w:r>
            <w:r>
              <w:rPr>
                <w:webHidden/>
              </w:rPr>
              <w:fldChar w:fldCharType="separate"/>
            </w:r>
            <w:r w:rsidR="005B63DF">
              <w:rPr>
                <w:webHidden/>
              </w:rPr>
              <w:t>51</w:t>
            </w:r>
            <w:r>
              <w:rPr>
                <w:webHidden/>
              </w:rPr>
              <w:fldChar w:fldCharType="end"/>
            </w:r>
          </w:hyperlink>
        </w:p>
        <w:p w14:paraId="26F46D87" w14:textId="055E222F" w:rsidR="00411E0E" w:rsidRDefault="00411E0E">
          <w:pPr>
            <w:pStyle w:val="TOC3"/>
            <w:rPr>
              <w:rFonts w:eastAsiaTheme="minorEastAsia"/>
              <w:sz w:val="22"/>
              <w:szCs w:val="22"/>
              <w:lang w:val="en-AU" w:eastAsia="en-AU"/>
            </w:rPr>
          </w:pPr>
          <w:hyperlink w:anchor="_Toc66438686" w:history="1">
            <w:r w:rsidRPr="004F4F7F">
              <w:rPr>
                <w:rStyle w:val="Hyperlink"/>
              </w:rPr>
              <w:t>6.2.2</w:t>
            </w:r>
            <w:r>
              <w:rPr>
                <w:rFonts w:eastAsiaTheme="minorEastAsia"/>
                <w:sz w:val="22"/>
                <w:szCs w:val="22"/>
                <w:lang w:val="en-AU" w:eastAsia="en-AU"/>
              </w:rPr>
              <w:tab/>
            </w:r>
            <w:r w:rsidRPr="004F4F7F">
              <w:rPr>
                <w:rStyle w:val="Hyperlink"/>
              </w:rPr>
              <w:t>Make an application for accreditation</w:t>
            </w:r>
            <w:r>
              <w:rPr>
                <w:webHidden/>
              </w:rPr>
              <w:tab/>
            </w:r>
            <w:r>
              <w:rPr>
                <w:webHidden/>
              </w:rPr>
              <w:fldChar w:fldCharType="begin"/>
            </w:r>
            <w:r>
              <w:rPr>
                <w:webHidden/>
              </w:rPr>
              <w:instrText xml:space="preserve"> PAGEREF _Toc66438686 \h </w:instrText>
            </w:r>
            <w:r>
              <w:rPr>
                <w:webHidden/>
              </w:rPr>
            </w:r>
            <w:r>
              <w:rPr>
                <w:webHidden/>
              </w:rPr>
              <w:fldChar w:fldCharType="separate"/>
            </w:r>
            <w:r w:rsidR="005B63DF">
              <w:rPr>
                <w:webHidden/>
              </w:rPr>
              <w:t>52</w:t>
            </w:r>
            <w:r>
              <w:rPr>
                <w:webHidden/>
              </w:rPr>
              <w:fldChar w:fldCharType="end"/>
            </w:r>
          </w:hyperlink>
        </w:p>
        <w:p w14:paraId="0A1AA1BF" w14:textId="75D1F061" w:rsidR="00411E0E" w:rsidRDefault="00411E0E">
          <w:pPr>
            <w:pStyle w:val="TOC2"/>
            <w:rPr>
              <w:rFonts w:eastAsiaTheme="minorEastAsia"/>
              <w:sz w:val="22"/>
              <w:szCs w:val="22"/>
              <w:lang w:val="en-AU" w:eastAsia="en-AU"/>
            </w:rPr>
          </w:pPr>
          <w:hyperlink w:anchor="_Toc66438687" w:history="1">
            <w:r w:rsidRPr="004F4F7F">
              <w:rPr>
                <w:rStyle w:val="Hyperlink"/>
              </w:rPr>
              <w:t>6.3</w:t>
            </w:r>
            <w:r>
              <w:rPr>
                <w:rFonts w:eastAsiaTheme="minorEastAsia"/>
                <w:sz w:val="22"/>
                <w:szCs w:val="22"/>
                <w:lang w:val="en-AU" w:eastAsia="en-AU"/>
              </w:rPr>
              <w:tab/>
            </w:r>
            <w:r w:rsidRPr="004F4F7F">
              <w:rPr>
                <w:rStyle w:val="Hyperlink"/>
              </w:rPr>
              <w:t>STEPS FOR NEW UNITS WITHIN ACCREDITED SERVICES</w:t>
            </w:r>
            <w:r>
              <w:rPr>
                <w:webHidden/>
              </w:rPr>
              <w:tab/>
            </w:r>
            <w:r>
              <w:rPr>
                <w:webHidden/>
              </w:rPr>
              <w:fldChar w:fldCharType="begin"/>
            </w:r>
            <w:r>
              <w:rPr>
                <w:webHidden/>
              </w:rPr>
              <w:instrText xml:space="preserve"> PAGEREF _Toc66438687 \h </w:instrText>
            </w:r>
            <w:r>
              <w:rPr>
                <w:webHidden/>
              </w:rPr>
            </w:r>
            <w:r>
              <w:rPr>
                <w:webHidden/>
              </w:rPr>
              <w:fldChar w:fldCharType="separate"/>
            </w:r>
            <w:r w:rsidR="005B63DF">
              <w:rPr>
                <w:webHidden/>
              </w:rPr>
              <w:t>52</w:t>
            </w:r>
            <w:r>
              <w:rPr>
                <w:webHidden/>
              </w:rPr>
              <w:fldChar w:fldCharType="end"/>
            </w:r>
          </w:hyperlink>
        </w:p>
        <w:p w14:paraId="3ABBDDBA" w14:textId="1A491813" w:rsidR="00411E0E" w:rsidRDefault="00411E0E">
          <w:pPr>
            <w:pStyle w:val="TOC3"/>
            <w:rPr>
              <w:rFonts w:eastAsiaTheme="minorEastAsia"/>
              <w:sz w:val="22"/>
              <w:szCs w:val="22"/>
              <w:lang w:val="en-AU" w:eastAsia="en-AU"/>
            </w:rPr>
          </w:pPr>
          <w:hyperlink w:anchor="_Toc66438688" w:history="1">
            <w:r w:rsidRPr="004F4F7F">
              <w:rPr>
                <w:rStyle w:val="Hyperlink"/>
              </w:rPr>
              <w:t>6.3.1</w:t>
            </w:r>
            <w:r>
              <w:rPr>
                <w:rFonts w:eastAsiaTheme="minorEastAsia"/>
                <w:sz w:val="22"/>
                <w:szCs w:val="22"/>
                <w:lang w:val="en-AU" w:eastAsia="en-AU"/>
              </w:rPr>
              <w:tab/>
            </w:r>
            <w:r w:rsidRPr="004F4F7F">
              <w:rPr>
                <w:rStyle w:val="Hyperlink"/>
              </w:rPr>
              <w:t>Introduction</w:t>
            </w:r>
            <w:r>
              <w:rPr>
                <w:webHidden/>
              </w:rPr>
              <w:tab/>
            </w:r>
            <w:r>
              <w:rPr>
                <w:webHidden/>
              </w:rPr>
              <w:fldChar w:fldCharType="begin"/>
            </w:r>
            <w:r>
              <w:rPr>
                <w:webHidden/>
              </w:rPr>
              <w:instrText xml:space="preserve"> PAGEREF _Toc66438688 \h </w:instrText>
            </w:r>
            <w:r>
              <w:rPr>
                <w:webHidden/>
              </w:rPr>
            </w:r>
            <w:r>
              <w:rPr>
                <w:webHidden/>
              </w:rPr>
              <w:fldChar w:fldCharType="separate"/>
            </w:r>
            <w:r w:rsidR="005B63DF">
              <w:rPr>
                <w:webHidden/>
              </w:rPr>
              <w:t>52</w:t>
            </w:r>
            <w:r>
              <w:rPr>
                <w:webHidden/>
              </w:rPr>
              <w:fldChar w:fldCharType="end"/>
            </w:r>
          </w:hyperlink>
        </w:p>
        <w:p w14:paraId="5435EB08" w14:textId="41AAA324" w:rsidR="00411E0E" w:rsidRDefault="00411E0E">
          <w:pPr>
            <w:pStyle w:val="TOC3"/>
            <w:rPr>
              <w:rFonts w:eastAsiaTheme="minorEastAsia"/>
              <w:sz w:val="22"/>
              <w:szCs w:val="22"/>
              <w:lang w:val="en-AU" w:eastAsia="en-AU"/>
            </w:rPr>
          </w:pPr>
          <w:hyperlink w:anchor="_Toc66438689" w:history="1">
            <w:r w:rsidRPr="004F4F7F">
              <w:rPr>
                <w:rStyle w:val="Hyperlink"/>
              </w:rPr>
              <w:t>6.3.2</w:t>
            </w:r>
            <w:r>
              <w:rPr>
                <w:rFonts w:eastAsiaTheme="minorEastAsia"/>
                <w:sz w:val="22"/>
                <w:szCs w:val="22"/>
                <w:lang w:val="en-AU" w:eastAsia="en-AU"/>
              </w:rPr>
              <w:tab/>
            </w:r>
            <w:r w:rsidRPr="004F4F7F">
              <w:rPr>
                <w:rStyle w:val="Hyperlink"/>
              </w:rPr>
              <w:t>Work with the SCU to establish a new unit and notify commencement</w:t>
            </w:r>
            <w:r>
              <w:rPr>
                <w:webHidden/>
              </w:rPr>
              <w:tab/>
            </w:r>
            <w:r>
              <w:rPr>
                <w:webHidden/>
              </w:rPr>
              <w:fldChar w:fldCharType="begin"/>
            </w:r>
            <w:r>
              <w:rPr>
                <w:webHidden/>
              </w:rPr>
              <w:instrText xml:space="preserve"> PAGEREF _Toc66438689 \h </w:instrText>
            </w:r>
            <w:r>
              <w:rPr>
                <w:webHidden/>
              </w:rPr>
            </w:r>
            <w:r>
              <w:rPr>
                <w:webHidden/>
              </w:rPr>
              <w:fldChar w:fldCharType="separate"/>
            </w:r>
            <w:r w:rsidR="005B63DF">
              <w:rPr>
                <w:webHidden/>
              </w:rPr>
              <w:t>52</w:t>
            </w:r>
            <w:r>
              <w:rPr>
                <w:webHidden/>
              </w:rPr>
              <w:fldChar w:fldCharType="end"/>
            </w:r>
          </w:hyperlink>
        </w:p>
        <w:p w14:paraId="3386702B" w14:textId="4D8EE769" w:rsidR="00411E0E" w:rsidRDefault="00411E0E">
          <w:pPr>
            <w:pStyle w:val="TOC3"/>
            <w:rPr>
              <w:rFonts w:eastAsiaTheme="minorEastAsia"/>
              <w:sz w:val="22"/>
              <w:szCs w:val="22"/>
              <w:lang w:val="en-AU" w:eastAsia="en-AU"/>
            </w:rPr>
          </w:pPr>
          <w:hyperlink w:anchor="_Toc66438690" w:history="1">
            <w:r w:rsidRPr="004F4F7F">
              <w:rPr>
                <w:rStyle w:val="Hyperlink"/>
              </w:rPr>
              <w:t>6.3.3</w:t>
            </w:r>
            <w:r>
              <w:rPr>
                <w:rFonts w:eastAsiaTheme="minorEastAsia"/>
                <w:sz w:val="22"/>
                <w:szCs w:val="22"/>
                <w:lang w:val="en-AU" w:eastAsia="en-AU"/>
              </w:rPr>
              <w:tab/>
            </w:r>
            <w:r w:rsidRPr="004F4F7F">
              <w:rPr>
                <w:rStyle w:val="Hyperlink"/>
              </w:rPr>
              <w:t xml:space="preserve">Discuss self-assessment, the pre-commencement survey report and </w:t>
            </w:r>
            <w:r>
              <w:rPr>
                <w:rStyle w:val="Hyperlink"/>
              </w:rPr>
              <w:br/>
            </w:r>
            <w:r w:rsidRPr="004F4F7F">
              <w:rPr>
                <w:rStyle w:val="Hyperlink"/>
              </w:rPr>
              <w:t>any issues with the SCU and develop a response if appropriate</w:t>
            </w:r>
            <w:r>
              <w:rPr>
                <w:webHidden/>
              </w:rPr>
              <w:tab/>
            </w:r>
            <w:r>
              <w:rPr>
                <w:webHidden/>
              </w:rPr>
              <w:fldChar w:fldCharType="begin"/>
            </w:r>
            <w:r>
              <w:rPr>
                <w:webHidden/>
              </w:rPr>
              <w:instrText xml:space="preserve"> PAGEREF _Toc66438690 \h </w:instrText>
            </w:r>
            <w:r>
              <w:rPr>
                <w:webHidden/>
              </w:rPr>
            </w:r>
            <w:r>
              <w:rPr>
                <w:webHidden/>
              </w:rPr>
              <w:fldChar w:fldCharType="separate"/>
            </w:r>
            <w:r w:rsidR="005B63DF">
              <w:rPr>
                <w:webHidden/>
              </w:rPr>
              <w:t>53</w:t>
            </w:r>
            <w:r>
              <w:rPr>
                <w:webHidden/>
              </w:rPr>
              <w:fldChar w:fldCharType="end"/>
            </w:r>
          </w:hyperlink>
        </w:p>
        <w:p w14:paraId="4789E86E" w14:textId="71D8908F" w:rsidR="00411E0E" w:rsidRDefault="00411E0E">
          <w:pPr>
            <w:pStyle w:val="TOC3"/>
            <w:rPr>
              <w:rFonts w:eastAsiaTheme="minorEastAsia"/>
              <w:sz w:val="22"/>
              <w:szCs w:val="22"/>
              <w:lang w:val="en-AU" w:eastAsia="en-AU"/>
            </w:rPr>
          </w:pPr>
          <w:hyperlink w:anchor="_Toc66438691" w:history="1">
            <w:r w:rsidRPr="004F4F7F">
              <w:rPr>
                <w:rStyle w:val="Hyperlink"/>
              </w:rPr>
              <w:t>6.3.4</w:t>
            </w:r>
            <w:r>
              <w:rPr>
                <w:rFonts w:eastAsiaTheme="minorEastAsia"/>
                <w:sz w:val="22"/>
                <w:szCs w:val="22"/>
                <w:lang w:val="en-AU" w:eastAsia="en-AU"/>
              </w:rPr>
              <w:tab/>
            </w:r>
            <w:r w:rsidRPr="004F4F7F">
              <w:rPr>
                <w:rStyle w:val="Hyperlink"/>
              </w:rPr>
              <w:t>Engage in the overall Service’s accreditation process</w:t>
            </w:r>
            <w:r>
              <w:rPr>
                <w:webHidden/>
              </w:rPr>
              <w:tab/>
            </w:r>
            <w:r>
              <w:rPr>
                <w:webHidden/>
              </w:rPr>
              <w:fldChar w:fldCharType="begin"/>
            </w:r>
            <w:r>
              <w:rPr>
                <w:webHidden/>
              </w:rPr>
              <w:instrText xml:space="preserve"> PAGEREF _Toc66438691 \h </w:instrText>
            </w:r>
            <w:r>
              <w:rPr>
                <w:webHidden/>
              </w:rPr>
            </w:r>
            <w:r>
              <w:rPr>
                <w:webHidden/>
              </w:rPr>
              <w:fldChar w:fldCharType="separate"/>
            </w:r>
            <w:r w:rsidR="005B63DF">
              <w:rPr>
                <w:webHidden/>
              </w:rPr>
              <w:t>53</w:t>
            </w:r>
            <w:r>
              <w:rPr>
                <w:webHidden/>
              </w:rPr>
              <w:fldChar w:fldCharType="end"/>
            </w:r>
          </w:hyperlink>
        </w:p>
        <w:p w14:paraId="10A69064" w14:textId="48F9A7A3" w:rsidR="00411E0E" w:rsidRDefault="00411E0E">
          <w:pPr>
            <w:pStyle w:val="TOC2"/>
            <w:rPr>
              <w:rFonts w:eastAsiaTheme="minorEastAsia"/>
              <w:sz w:val="22"/>
              <w:szCs w:val="22"/>
              <w:lang w:val="en-AU" w:eastAsia="en-AU"/>
            </w:rPr>
          </w:pPr>
          <w:hyperlink w:anchor="_Toc66438692" w:history="1">
            <w:r w:rsidRPr="004F4F7F">
              <w:rPr>
                <w:rStyle w:val="Hyperlink"/>
              </w:rPr>
              <w:t>6.4</w:t>
            </w:r>
            <w:r>
              <w:rPr>
                <w:rFonts w:eastAsiaTheme="minorEastAsia"/>
                <w:sz w:val="22"/>
                <w:szCs w:val="22"/>
                <w:lang w:val="en-AU" w:eastAsia="en-AU"/>
              </w:rPr>
              <w:tab/>
            </w:r>
            <w:r w:rsidRPr="004F4F7F">
              <w:rPr>
                <w:rStyle w:val="Hyperlink"/>
              </w:rPr>
              <w:t>RE-APPLYING FOR ACCREDITATION AT THE END OF AN ACCREDITATION PERIOD</w:t>
            </w:r>
            <w:r>
              <w:rPr>
                <w:webHidden/>
              </w:rPr>
              <w:tab/>
            </w:r>
            <w:r>
              <w:rPr>
                <w:webHidden/>
              </w:rPr>
              <w:fldChar w:fldCharType="begin"/>
            </w:r>
            <w:r>
              <w:rPr>
                <w:webHidden/>
              </w:rPr>
              <w:instrText xml:space="preserve"> PAGEREF _Toc66438692 \h </w:instrText>
            </w:r>
            <w:r>
              <w:rPr>
                <w:webHidden/>
              </w:rPr>
            </w:r>
            <w:r>
              <w:rPr>
                <w:webHidden/>
              </w:rPr>
              <w:fldChar w:fldCharType="separate"/>
            </w:r>
            <w:r w:rsidR="005B63DF">
              <w:rPr>
                <w:webHidden/>
              </w:rPr>
              <w:t>53</w:t>
            </w:r>
            <w:r>
              <w:rPr>
                <w:webHidden/>
              </w:rPr>
              <w:fldChar w:fldCharType="end"/>
            </w:r>
          </w:hyperlink>
        </w:p>
        <w:p w14:paraId="60FE0A4B" w14:textId="3724E13B" w:rsidR="00411E0E" w:rsidRDefault="00411E0E">
          <w:pPr>
            <w:pStyle w:val="TOC2"/>
            <w:rPr>
              <w:rFonts w:eastAsiaTheme="minorEastAsia"/>
              <w:sz w:val="22"/>
              <w:szCs w:val="22"/>
              <w:lang w:val="en-AU" w:eastAsia="en-AU"/>
            </w:rPr>
          </w:pPr>
          <w:hyperlink w:anchor="_Toc66438693" w:history="1">
            <w:r w:rsidRPr="004F4F7F">
              <w:rPr>
                <w:rStyle w:val="Hyperlink"/>
              </w:rPr>
              <w:t>6.5</w:t>
            </w:r>
            <w:r>
              <w:rPr>
                <w:rFonts w:eastAsiaTheme="minorEastAsia"/>
                <w:sz w:val="22"/>
                <w:szCs w:val="22"/>
                <w:lang w:val="en-AU" w:eastAsia="en-AU"/>
              </w:rPr>
              <w:tab/>
            </w:r>
            <w:r w:rsidRPr="004F4F7F">
              <w:rPr>
                <w:rStyle w:val="Hyperlink"/>
              </w:rPr>
              <w:t>EXTENSIONS, UPGRADES AND EARLY APPLICATIONS</w:t>
            </w:r>
            <w:r>
              <w:rPr>
                <w:webHidden/>
              </w:rPr>
              <w:tab/>
            </w:r>
            <w:r>
              <w:rPr>
                <w:webHidden/>
              </w:rPr>
              <w:fldChar w:fldCharType="begin"/>
            </w:r>
            <w:r>
              <w:rPr>
                <w:webHidden/>
              </w:rPr>
              <w:instrText xml:space="preserve"> PAGEREF _Toc66438693 \h </w:instrText>
            </w:r>
            <w:r>
              <w:rPr>
                <w:webHidden/>
              </w:rPr>
            </w:r>
            <w:r>
              <w:rPr>
                <w:webHidden/>
              </w:rPr>
              <w:fldChar w:fldCharType="separate"/>
            </w:r>
            <w:r w:rsidR="005B63DF">
              <w:rPr>
                <w:webHidden/>
              </w:rPr>
              <w:t>53</w:t>
            </w:r>
            <w:r>
              <w:rPr>
                <w:webHidden/>
              </w:rPr>
              <w:fldChar w:fldCharType="end"/>
            </w:r>
          </w:hyperlink>
        </w:p>
        <w:p w14:paraId="0CDDC168" w14:textId="0DFA347F" w:rsidR="00411E0E" w:rsidRDefault="00411E0E">
          <w:pPr>
            <w:pStyle w:val="TOC3"/>
            <w:rPr>
              <w:rFonts w:eastAsiaTheme="minorEastAsia"/>
              <w:sz w:val="22"/>
              <w:szCs w:val="22"/>
              <w:lang w:val="en-AU" w:eastAsia="en-AU"/>
            </w:rPr>
          </w:pPr>
          <w:hyperlink w:anchor="_Toc66438694" w:history="1">
            <w:r w:rsidRPr="004F4F7F">
              <w:rPr>
                <w:rStyle w:val="Hyperlink"/>
                <w:lang w:eastAsia="en-AU"/>
              </w:rPr>
              <w:t>6.5.1</w:t>
            </w:r>
            <w:r>
              <w:rPr>
                <w:rFonts w:eastAsiaTheme="minorEastAsia"/>
                <w:sz w:val="22"/>
                <w:szCs w:val="22"/>
                <w:lang w:val="en-AU" w:eastAsia="en-AU"/>
              </w:rPr>
              <w:tab/>
            </w:r>
            <w:r w:rsidRPr="004F4F7F">
              <w:rPr>
                <w:rStyle w:val="Hyperlink"/>
                <w:lang w:eastAsia="en-AU"/>
              </w:rPr>
              <w:t>Upgrading accreditation status</w:t>
            </w:r>
            <w:r>
              <w:rPr>
                <w:webHidden/>
              </w:rPr>
              <w:tab/>
            </w:r>
            <w:r>
              <w:rPr>
                <w:webHidden/>
              </w:rPr>
              <w:fldChar w:fldCharType="begin"/>
            </w:r>
            <w:r>
              <w:rPr>
                <w:webHidden/>
              </w:rPr>
              <w:instrText xml:space="preserve"> PAGEREF _Toc66438694 \h </w:instrText>
            </w:r>
            <w:r>
              <w:rPr>
                <w:webHidden/>
              </w:rPr>
            </w:r>
            <w:r>
              <w:rPr>
                <w:webHidden/>
              </w:rPr>
              <w:fldChar w:fldCharType="separate"/>
            </w:r>
            <w:r w:rsidR="005B63DF">
              <w:rPr>
                <w:webHidden/>
              </w:rPr>
              <w:t>54</w:t>
            </w:r>
            <w:r>
              <w:rPr>
                <w:webHidden/>
              </w:rPr>
              <w:fldChar w:fldCharType="end"/>
            </w:r>
          </w:hyperlink>
        </w:p>
        <w:p w14:paraId="3251644F" w14:textId="27F3CAD7" w:rsidR="00411E0E" w:rsidRDefault="00411E0E">
          <w:pPr>
            <w:pStyle w:val="TOC3"/>
            <w:rPr>
              <w:rFonts w:eastAsiaTheme="minorEastAsia"/>
              <w:sz w:val="22"/>
              <w:szCs w:val="22"/>
              <w:lang w:val="en-AU" w:eastAsia="en-AU"/>
            </w:rPr>
          </w:pPr>
          <w:hyperlink w:anchor="_Toc66438695" w:history="1">
            <w:r w:rsidRPr="004F4F7F">
              <w:rPr>
                <w:rStyle w:val="Hyperlink"/>
                <w:rFonts w:cs="Arial"/>
                <w:lang w:eastAsia="en-AU"/>
              </w:rPr>
              <w:t>6.5.2</w:t>
            </w:r>
            <w:r>
              <w:rPr>
                <w:rFonts w:eastAsiaTheme="minorEastAsia"/>
                <w:sz w:val="22"/>
                <w:szCs w:val="22"/>
                <w:lang w:val="en-AU" w:eastAsia="en-AU"/>
              </w:rPr>
              <w:tab/>
            </w:r>
            <w:r w:rsidRPr="004F4F7F">
              <w:rPr>
                <w:rStyle w:val="Hyperlink"/>
                <w:lang w:eastAsia="en-AU"/>
              </w:rPr>
              <w:t>Early</w:t>
            </w:r>
            <w:r w:rsidRPr="004F4F7F">
              <w:rPr>
                <w:rStyle w:val="Hyperlink"/>
                <w:rFonts w:cs="Arial"/>
                <w:lang w:eastAsia="en-AU"/>
              </w:rPr>
              <w:t xml:space="preserve"> </w:t>
            </w:r>
            <w:r w:rsidRPr="004F4F7F">
              <w:rPr>
                <w:rStyle w:val="Hyperlink"/>
                <w:lang w:eastAsia="en-AU"/>
              </w:rPr>
              <w:t>applications</w:t>
            </w:r>
            <w:r>
              <w:rPr>
                <w:webHidden/>
              </w:rPr>
              <w:tab/>
            </w:r>
            <w:r>
              <w:rPr>
                <w:webHidden/>
              </w:rPr>
              <w:fldChar w:fldCharType="begin"/>
            </w:r>
            <w:r>
              <w:rPr>
                <w:webHidden/>
              </w:rPr>
              <w:instrText xml:space="preserve"> PAGEREF _Toc66438695 \h </w:instrText>
            </w:r>
            <w:r>
              <w:rPr>
                <w:webHidden/>
              </w:rPr>
            </w:r>
            <w:r>
              <w:rPr>
                <w:webHidden/>
              </w:rPr>
              <w:fldChar w:fldCharType="separate"/>
            </w:r>
            <w:r w:rsidR="005B63DF">
              <w:rPr>
                <w:webHidden/>
              </w:rPr>
              <w:t>54</w:t>
            </w:r>
            <w:r>
              <w:rPr>
                <w:webHidden/>
              </w:rPr>
              <w:fldChar w:fldCharType="end"/>
            </w:r>
          </w:hyperlink>
        </w:p>
        <w:p w14:paraId="77820702" w14:textId="391559F2" w:rsidR="00411E0E" w:rsidRDefault="00411E0E">
          <w:pPr>
            <w:pStyle w:val="TOC3"/>
            <w:rPr>
              <w:rFonts w:eastAsiaTheme="minorEastAsia"/>
              <w:sz w:val="22"/>
              <w:szCs w:val="22"/>
              <w:lang w:val="en-AU" w:eastAsia="en-AU"/>
            </w:rPr>
          </w:pPr>
          <w:hyperlink w:anchor="_Toc66438696" w:history="1">
            <w:r w:rsidRPr="004F4F7F">
              <w:rPr>
                <w:rStyle w:val="Hyperlink"/>
                <w:lang w:eastAsia="en-AU"/>
              </w:rPr>
              <w:t>6.5.3</w:t>
            </w:r>
            <w:r>
              <w:rPr>
                <w:rFonts w:eastAsiaTheme="minorEastAsia"/>
                <w:sz w:val="22"/>
                <w:szCs w:val="22"/>
                <w:lang w:val="en-AU" w:eastAsia="en-AU"/>
              </w:rPr>
              <w:tab/>
            </w:r>
            <w:r w:rsidRPr="004F4F7F">
              <w:rPr>
                <w:rStyle w:val="Hyperlink"/>
                <w:lang w:eastAsia="en-AU"/>
              </w:rPr>
              <w:t>Applications for extensions to an accreditation period</w:t>
            </w:r>
            <w:r>
              <w:rPr>
                <w:webHidden/>
              </w:rPr>
              <w:tab/>
            </w:r>
            <w:r>
              <w:rPr>
                <w:webHidden/>
              </w:rPr>
              <w:fldChar w:fldCharType="begin"/>
            </w:r>
            <w:r>
              <w:rPr>
                <w:webHidden/>
              </w:rPr>
              <w:instrText xml:space="preserve"> PAGEREF _Toc66438696 \h </w:instrText>
            </w:r>
            <w:r>
              <w:rPr>
                <w:webHidden/>
              </w:rPr>
            </w:r>
            <w:r>
              <w:rPr>
                <w:webHidden/>
              </w:rPr>
              <w:fldChar w:fldCharType="separate"/>
            </w:r>
            <w:r w:rsidR="005B63DF">
              <w:rPr>
                <w:webHidden/>
              </w:rPr>
              <w:t>54</w:t>
            </w:r>
            <w:r>
              <w:rPr>
                <w:webHidden/>
              </w:rPr>
              <w:fldChar w:fldCharType="end"/>
            </w:r>
          </w:hyperlink>
        </w:p>
        <w:p w14:paraId="5253CF89" w14:textId="3E2C714D" w:rsidR="00411E0E" w:rsidRDefault="00411E0E">
          <w:pPr>
            <w:pStyle w:val="TOC2"/>
            <w:rPr>
              <w:rFonts w:eastAsiaTheme="minorEastAsia"/>
              <w:sz w:val="22"/>
              <w:szCs w:val="22"/>
              <w:lang w:val="en-AU" w:eastAsia="en-AU"/>
            </w:rPr>
          </w:pPr>
          <w:hyperlink w:anchor="_Toc66438697" w:history="1">
            <w:r w:rsidRPr="004F4F7F">
              <w:rPr>
                <w:rStyle w:val="Hyperlink"/>
              </w:rPr>
              <w:t>6.6</w:t>
            </w:r>
            <w:r>
              <w:rPr>
                <w:rFonts w:eastAsiaTheme="minorEastAsia"/>
                <w:sz w:val="22"/>
                <w:szCs w:val="22"/>
                <w:lang w:val="en-AU" w:eastAsia="en-AU"/>
              </w:rPr>
              <w:tab/>
            </w:r>
            <w:r w:rsidRPr="004F4F7F">
              <w:rPr>
                <w:rStyle w:val="Hyperlink"/>
              </w:rPr>
              <w:t>CALCULATION OF THE ACCREDITATION PERIOD</w:t>
            </w:r>
            <w:r>
              <w:rPr>
                <w:webHidden/>
              </w:rPr>
              <w:tab/>
            </w:r>
            <w:r>
              <w:rPr>
                <w:webHidden/>
              </w:rPr>
              <w:fldChar w:fldCharType="begin"/>
            </w:r>
            <w:r>
              <w:rPr>
                <w:webHidden/>
              </w:rPr>
              <w:instrText xml:space="preserve"> PAGEREF _Toc66438697 \h </w:instrText>
            </w:r>
            <w:r>
              <w:rPr>
                <w:webHidden/>
              </w:rPr>
            </w:r>
            <w:r>
              <w:rPr>
                <w:webHidden/>
              </w:rPr>
              <w:fldChar w:fldCharType="separate"/>
            </w:r>
            <w:r w:rsidR="005B63DF">
              <w:rPr>
                <w:webHidden/>
              </w:rPr>
              <w:t>55</w:t>
            </w:r>
            <w:r>
              <w:rPr>
                <w:webHidden/>
              </w:rPr>
              <w:fldChar w:fldCharType="end"/>
            </w:r>
          </w:hyperlink>
        </w:p>
        <w:p w14:paraId="744DA5B0" w14:textId="7E00C748" w:rsidR="00411E0E" w:rsidRDefault="00411E0E">
          <w:pPr>
            <w:pStyle w:val="TOC3"/>
            <w:rPr>
              <w:rFonts w:eastAsiaTheme="minorEastAsia"/>
              <w:sz w:val="22"/>
              <w:szCs w:val="22"/>
              <w:lang w:val="en-AU" w:eastAsia="en-AU"/>
            </w:rPr>
          </w:pPr>
          <w:hyperlink w:anchor="_Toc66438698" w:history="1">
            <w:r w:rsidRPr="004F4F7F">
              <w:rPr>
                <w:rStyle w:val="Hyperlink"/>
              </w:rPr>
              <w:t>6.6.1</w:t>
            </w:r>
            <w:r>
              <w:rPr>
                <w:rFonts w:eastAsiaTheme="minorEastAsia"/>
                <w:sz w:val="22"/>
                <w:szCs w:val="22"/>
                <w:lang w:val="en-AU" w:eastAsia="en-AU"/>
              </w:rPr>
              <w:tab/>
            </w:r>
            <w:r w:rsidRPr="004F4F7F">
              <w:rPr>
                <w:rStyle w:val="Hyperlink"/>
              </w:rPr>
              <w:t>For accredited Services and/or SCUs</w:t>
            </w:r>
            <w:r>
              <w:rPr>
                <w:webHidden/>
              </w:rPr>
              <w:tab/>
            </w:r>
            <w:r>
              <w:rPr>
                <w:webHidden/>
              </w:rPr>
              <w:fldChar w:fldCharType="begin"/>
            </w:r>
            <w:r>
              <w:rPr>
                <w:webHidden/>
              </w:rPr>
              <w:instrText xml:space="preserve"> PAGEREF _Toc66438698 \h </w:instrText>
            </w:r>
            <w:r>
              <w:rPr>
                <w:webHidden/>
              </w:rPr>
            </w:r>
            <w:r>
              <w:rPr>
                <w:webHidden/>
              </w:rPr>
              <w:fldChar w:fldCharType="separate"/>
            </w:r>
            <w:r w:rsidR="005B63DF">
              <w:rPr>
                <w:webHidden/>
              </w:rPr>
              <w:t>55</w:t>
            </w:r>
            <w:r>
              <w:rPr>
                <w:webHidden/>
              </w:rPr>
              <w:fldChar w:fldCharType="end"/>
            </w:r>
          </w:hyperlink>
        </w:p>
        <w:p w14:paraId="61DA58DB" w14:textId="74790538" w:rsidR="00411E0E" w:rsidRDefault="00411E0E">
          <w:pPr>
            <w:pStyle w:val="TOC3"/>
            <w:rPr>
              <w:rFonts w:eastAsiaTheme="minorEastAsia"/>
              <w:sz w:val="22"/>
              <w:szCs w:val="22"/>
              <w:lang w:val="en-AU" w:eastAsia="en-AU"/>
            </w:rPr>
          </w:pPr>
          <w:hyperlink w:anchor="_Toc66438699" w:history="1">
            <w:r w:rsidRPr="004F4F7F">
              <w:rPr>
                <w:rStyle w:val="Hyperlink"/>
              </w:rPr>
              <w:t>6.6.2</w:t>
            </w:r>
            <w:r>
              <w:rPr>
                <w:rFonts w:eastAsiaTheme="minorEastAsia"/>
                <w:sz w:val="22"/>
                <w:szCs w:val="22"/>
                <w:lang w:val="en-AU" w:eastAsia="en-AU"/>
              </w:rPr>
              <w:tab/>
            </w:r>
            <w:r w:rsidRPr="004F4F7F">
              <w:rPr>
                <w:rStyle w:val="Hyperlink"/>
              </w:rPr>
              <w:t>For new Services or units</w:t>
            </w:r>
            <w:r>
              <w:rPr>
                <w:webHidden/>
              </w:rPr>
              <w:tab/>
            </w:r>
            <w:r>
              <w:rPr>
                <w:webHidden/>
              </w:rPr>
              <w:fldChar w:fldCharType="begin"/>
            </w:r>
            <w:r>
              <w:rPr>
                <w:webHidden/>
              </w:rPr>
              <w:instrText xml:space="preserve"> PAGEREF _Toc66438699 \h </w:instrText>
            </w:r>
            <w:r>
              <w:rPr>
                <w:webHidden/>
              </w:rPr>
            </w:r>
            <w:r>
              <w:rPr>
                <w:webHidden/>
              </w:rPr>
              <w:fldChar w:fldCharType="separate"/>
            </w:r>
            <w:r w:rsidR="005B63DF">
              <w:rPr>
                <w:webHidden/>
              </w:rPr>
              <w:t>55</w:t>
            </w:r>
            <w:r>
              <w:rPr>
                <w:webHidden/>
              </w:rPr>
              <w:fldChar w:fldCharType="end"/>
            </w:r>
          </w:hyperlink>
        </w:p>
        <w:p w14:paraId="108FB695" w14:textId="23AEE20B" w:rsidR="00411E0E" w:rsidRDefault="00411E0E">
          <w:pPr>
            <w:pStyle w:val="TOC3"/>
            <w:rPr>
              <w:rFonts w:eastAsiaTheme="minorEastAsia"/>
              <w:sz w:val="22"/>
              <w:szCs w:val="22"/>
              <w:lang w:val="en-AU" w:eastAsia="en-AU"/>
            </w:rPr>
          </w:pPr>
          <w:hyperlink w:anchor="_Toc66438700" w:history="1">
            <w:r w:rsidRPr="004F4F7F">
              <w:rPr>
                <w:rStyle w:val="Hyperlink"/>
              </w:rPr>
              <w:t>6.6.3</w:t>
            </w:r>
            <w:r>
              <w:rPr>
                <w:rFonts w:eastAsiaTheme="minorEastAsia"/>
                <w:sz w:val="22"/>
                <w:szCs w:val="22"/>
                <w:lang w:val="en-AU" w:eastAsia="en-AU"/>
              </w:rPr>
              <w:tab/>
            </w:r>
            <w:r w:rsidRPr="004F4F7F">
              <w:rPr>
                <w:rStyle w:val="Hyperlink"/>
              </w:rPr>
              <w:t>End of the accreditation period</w:t>
            </w:r>
            <w:r>
              <w:rPr>
                <w:webHidden/>
              </w:rPr>
              <w:tab/>
            </w:r>
            <w:r>
              <w:rPr>
                <w:webHidden/>
              </w:rPr>
              <w:fldChar w:fldCharType="begin"/>
            </w:r>
            <w:r>
              <w:rPr>
                <w:webHidden/>
              </w:rPr>
              <w:instrText xml:space="preserve"> PAGEREF _Toc66438700 \h </w:instrText>
            </w:r>
            <w:r>
              <w:rPr>
                <w:webHidden/>
              </w:rPr>
            </w:r>
            <w:r>
              <w:rPr>
                <w:webHidden/>
              </w:rPr>
              <w:fldChar w:fldCharType="separate"/>
            </w:r>
            <w:r w:rsidR="005B63DF">
              <w:rPr>
                <w:webHidden/>
              </w:rPr>
              <w:t>55</w:t>
            </w:r>
            <w:r>
              <w:rPr>
                <w:webHidden/>
              </w:rPr>
              <w:fldChar w:fldCharType="end"/>
            </w:r>
          </w:hyperlink>
        </w:p>
        <w:p w14:paraId="745C309E" w14:textId="50869130" w:rsidR="00411E0E" w:rsidRDefault="00411E0E">
          <w:pPr>
            <w:pStyle w:val="TOC2"/>
            <w:rPr>
              <w:rFonts w:eastAsiaTheme="minorEastAsia"/>
              <w:sz w:val="22"/>
              <w:szCs w:val="22"/>
              <w:lang w:val="en-AU" w:eastAsia="en-AU"/>
            </w:rPr>
          </w:pPr>
          <w:hyperlink w:anchor="_Toc66438701" w:history="1">
            <w:r w:rsidRPr="004F4F7F">
              <w:rPr>
                <w:rStyle w:val="Hyperlink"/>
              </w:rPr>
              <w:t>6.7</w:t>
            </w:r>
            <w:r>
              <w:rPr>
                <w:rFonts w:eastAsiaTheme="minorEastAsia"/>
                <w:sz w:val="22"/>
                <w:szCs w:val="22"/>
                <w:lang w:val="en-AU" w:eastAsia="en-AU"/>
              </w:rPr>
              <w:tab/>
            </w:r>
            <w:r w:rsidRPr="004F4F7F">
              <w:rPr>
                <w:rStyle w:val="Hyperlink"/>
              </w:rPr>
              <w:t>LAPSED ACCREDITATION</w:t>
            </w:r>
            <w:r>
              <w:rPr>
                <w:webHidden/>
              </w:rPr>
              <w:tab/>
            </w:r>
            <w:r>
              <w:rPr>
                <w:webHidden/>
              </w:rPr>
              <w:fldChar w:fldCharType="begin"/>
            </w:r>
            <w:r>
              <w:rPr>
                <w:webHidden/>
              </w:rPr>
              <w:instrText xml:space="preserve"> PAGEREF _Toc66438701 \h </w:instrText>
            </w:r>
            <w:r>
              <w:rPr>
                <w:webHidden/>
              </w:rPr>
            </w:r>
            <w:r>
              <w:rPr>
                <w:webHidden/>
              </w:rPr>
              <w:fldChar w:fldCharType="separate"/>
            </w:r>
            <w:r w:rsidR="005B63DF">
              <w:rPr>
                <w:webHidden/>
              </w:rPr>
              <w:t>55</w:t>
            </w:r>
            <w:r>
              <w:rPr>
                <w:webHidden/>
              </w:rPr>
              <w:fldChar w:fldCharType="end"/>
            </w:r>
          </w:hyperlink>
        </w:p>
        <w:p w14:paraId="0FC209F9" w14:textId="2D8DE3C4" w:rsidR="00411E0E" w:rsidRDefault="00411E0E">
          <w:pPr>
            <w:pStyle w:val="TOC2"/>
            <w:rPr>
              <w:rFonts w:eastAsiaTheme="minorEastAsia"/>
              <w:sz w:val="22"/>
              <w:szCs w:val="22"/>
              <w:lang w:val="en-AU" w:eastAsia="en-AU"/>
            </w:rPr>
          </w:pPr>
          <w:hyperlink w:anchor="_Toc66438702" w:history="1">
            <w:r w:rsidRPr="004F4F7F">
              <w:rPr>
                <w:rStyle w:val="Hyperlink"/>
              </w:rPr>
              <w:t>6.8</w:t>
            </w:r>
            <w:r>
              <w:rPr>
                <w:rFonts w:eastAsiaTheme="minorEastAsia"/>
                <w:sz w:val="22"/>
                <w:szCs w:val="22"/>
                <w:lang w:val="en-AU" w:eastAsia="en-AU"/>
              </w:rPr>
              <w:tab/>
            </w:r>
            <w:r w:rsidRPr="004F4F7F">
              <w:rPr>
                <w:rStyle w:val="Hyperlink"/>
              </w:rPr>
              <w:t>ACCREDITATION AND SIGNIFICANT CHANGES TO A SERVICE</w:t>
            </w:r>
            <w:r>
              <w:rPr>
                <w:webHidden/>
              </w:rPr>
              <w:tab/>
            </w:r>
            <w:r>
              <w:rPr>
                <w:webHidden/>
              </w:rPr>
              <w:fldChar w:fldCharType="begin"/>
            </w:r>
            <w:r>
              <w:rPr>
                <w:webHidden/>
              </w:rPr>
              <w:instrText xml:space="preserve"> PAGEREF _Toc66438702 \h </w:instrText>
            </w:r>
            <w:r>
              <w:rPr>
                <w:webHidden/>
              </w:rPr>
            </w:r>
            <w:r>
              <w:rPr>
                <w:webHidden/>
              </w:rPr>
              <w:fldChar w:fldCharType="separate"/>
            </w:r>
            <w:r w:rsidR="005B63DF">
              <w:rPr>
                <w:webHidden/>
              </w:rPr>
              <w:t>56</w:t>
            </w:r>
            <w:r>
              <w:rPr>
                <w:webHidden/>
              </w:rPr>
              <w:fldChar w:fldCharType="end"/>
            </w:r>
          </w:hyperlink>
        </w:p>
        <w:p w14:paraId="22055094" w14:textId="1F74CC32" w:rsidR="00411E0E" w:rsidRDefault="00411E0E">
          <w:pPr>
            <w:pStyle w:val="TOC1"/>
            <w:rPr>
              <w:rFonts w:eastAsiaTheme="minorEastAsia"/>
              <w:noProof/>
              <w:sz w:val="22"/>
              <w:szCs w:val="22"/>
              <w:lang w:val="en-AU" w:eastAsia="en-AU"/>
            </w:rPr>
          </w:pPr>
          <w:hyperlink w:anchor="_Toc66438703" w:history="1">
            <w:r w:rsidRPr="004F4F7F">
              <w:rPr>
                <w:rStyle w:val="Hyperlink"/>
                <w:noProof/>
              </w:rPr>
              <w:t>7</w:t>
            </w:r>
            <w:r>
              <w:rPr>
                <w:rFonts w:eastAsiaTheme="minorEastAsia"/>
                <w:noProof/>
                <w:sz w:val="22"/>
                <w:szCs w:val="22"/>
                <w:lang w:val="en-AU" w:eastAsia="en-AU"/>
              </w:rPr>
              <w:tab/>
            </w:r>
            <w:r w:rsidRPr="004F4F7F">
              <w:rPr>
                <w:rStyle w:val="Hyperlink"/>
                <w:noProof/>
              </w:rPr>
              <w:t>ACCREDITATION SURVEY - ACTIVITIES</w:t>
            </w:r>
            <w:r>
              <w:rPr>
                <w:noProof/>
                <w:webHidden/>
              </w:rPr>
              <w:tab/>
            </w:r>
            <w:r>
              <w:rPr>
                <w:noProof/>
                <w:webHidden/>
              </w:rPr>
              <w:fldChar w:fldCharType="begin"/>
            </w:r>
            <w:r>
              <w:rPr>
                <w:noProof/>
                <w:webHidden/>
              </w:rPr>
              <w:instrText xml:space="preserve"> PAGEREF _Toc66438703 \h </w:instrText>
            </w:r>
            <w:r>
              <w:rPr>
                <w:noProof/>
                <w:webHidden/>
              </w:rPr>
            </w:r>
            <w:r>
              <w:rPr>
                <w:noProof/>
                <w:webHidden/>
              </w:rPr>
              <w:fldChar w:fldCharType="separate"/>
            </w:r>
            <w:r w:rsidR="005B63DF">
              <w:rPr>
                <w:noProof/>
                <w:webHidden/>
              </w:rPr>
              <w:t>57</w:t>
            </w:r>
            <w:r>
              <w:rPr>
                <w:noProof/>
                <w:webHidden/>
              </w:rPr>
              <w:fldChar w:fldCharType="end"/>
            </w:r>
          </w:hyperlink>
        </w:p>
        <w:p w14:paraId="40F0FD4E" w14:textId="165E4CB9" w:rsidR="00411E0E" w:rsidRDefault="00411E0E">
          <w:pPr>
            <w:pStyle w:val="TOC2"/>
            <w:rPr>
              <w:rFonts w:eastAsiaTheme="minorEastAsia"/>
              <w:sz w:val="22"/>
              <w:szCs w:val="22"/>
              <w:lang w:val="en-AU" w:eastAsia="en-AU"/>
            </w:rPr>
          </w:pPr>
          <w:hyperlink w:anchor="_Toc66438704" w:history="1">
            <w:r w:rsidRPr="004F4F7F">
              <w:rPr>
                <w:rStyle w:val="Hyperlink"/>
              </w:rPr>
              <w:t>7.1</w:t>
            </w:r>
            <w:r>
              <w:rPr>
                <w:rFonts w:eastAsiaTheme="minorEastAsia"/>
                <w:sz w:val="22"/>
                <w:szCs w:val="22"/>
                <w:lang w:val="en-AU" w:eastAsia="en-AU"/>
              </w:rPr>
              <w:tab/>
            </w:r>
            <w:r w:rsidRPr="004F4F7F">
              <w:rPr>
                <w:rStyle w:val="Hyperlink"/>
              </w:rPr>
              <w:t>PRE-SURVEY ACTIVITIES</w:t>
            </w:r>
            <w:r>
              <w:rPr>
                <w:webHidden/>
              </w:rPr>
              <w:tab/>
            </w:r>
            <w:r>
              <w:rPr>
                <w:webHidden/>
              </w:rPr>
              <w:fldChar w:fldCharType="begin"/>
            </w:r>
            <w:r>
              <w:rPr>
                <w:webHidden/>
              </w:rPr>
              <w:instrText xml:space="preserve"> PAGEREF _Toc66438704 \h </w:instrText>
            </w:r>
            <w:r>
              <w:rPr>
                <w:webHidden/>
              </w:rPr>
            </w:r>
            <w:r>
              <w:rPr>
                <w:webHidden/>
              </w:rPr>
              <w:fldChar w:fldCharType="separate"/>
            </w:r>
            <w:r w:rsidR="005B63DF">
              <w:rPr>
                <w:webHidden/>
              </w:rPr>
              <w:t>57</w:t>
            </w:r>
            <w:r>
              <w:rPr>
                <w:webHidden/>
              </w:rPr>
              <w:fldChar w:fldCharType="end"/>
            </w:r>
          </w:hyperlink>
        </w:p>
        <w:p w14:paraId="7832745F" w14:textId="5A20DD76" w:rsidR="00411E0E" w:rsidRDefault="00411E0E">
          <w:pPr>
            <w:pStyle w:val="TOC3"/>
            <w:rPr>
              <w:rFonts w:eastAsiaTheme="minorEastAsia"/>
              <w:sz w:val="22"/>
              <w:szCs w:val="22"/>
              <w:lang w:val="en-AU" w:eastAsia="en-AU"/>
            </w:rPr>
          </w:pPr>
          <w:hyperlink w:anchor="_Toc66438705" w:history="1">
            <w:r w:rsidRPr="004F4F7F">
              <w:rPr>
                <w:rStyle w:val="Hyperlink"/>
              </w:rPr>
              <w:t>7.1.1</w:t>
            </w:r>
            <w:r>
              <w:rPr>
                <w:rFonts w:eastAsiaTheme="minorEastAsia"/>
                <w:sz w:val="22"/>
                <w:szCs w:val="22"/>
                <w:lang w:val="en-AU" w:eastAsia="en-AU"/>
              </w:rPr>
              <w:tab/>
            </w:r>
            <w:r w:rsidRPr="004F4F7F">
              <w:rPr>
                <w:rStyle w:val="Hyperlink"/>
              </w:rPr>
              <w:t>Pre-survey activities - National Surveyor</w:t>
            </w:r>
            <w:r>
              <w:rPr>
                <w:webHidden/>
              </w:rPr>
              <w:tab/>
            </w:r>
            <w:r>
              <w:rPr>
                <w:webHidden/>
              </w:rPr>
              <w:fldChar w:fldCharType="begin"/>
            </w:r>
            <w:r>
              <w:rPr>
                <w:webHidden/>
              </w:rPr>
              <w:instrText xml:space="preserve"> PAGEREF _Toc66438705 \h </w:instrText>
            </w:r>
            <w:r>
              <w:rPr>
                <w:webHidden/>
              </w:rPr>
            </w:r>
            <w:r>
              <w:rPr>
                <w:webHidden/>
              </w:rPr>
              <w:fldChar w:fldCharType="separate"/>
            </w:r>
            <w:r w:rsidR="005B63DF">
              <w:rPr>
                <w:webHidden/>
              </w:rPr>
              <w:t>57</w:t>
            </w:r>
            <w:r>
              <w:rPr>
                <w:webHidden/>
              </w:rPr>
              <w:fldChar w:fldCharType="end"/>
            </w:r>
          </w:hyperlink>
        </w:p>
        <w:p w14:paraId="42A754F3" w14:textId="6A205EFF" w:rsidR="00411E0E" w:rsidRDefault="00411E0E">
          <w:pPr>
            <w:pStyle w:val="TOC3"/>
            <w:rPr>
              <w:rFonts w:eastAsiaTheme="minorEastAsia"/>
              <w:sz w:val="22"/>
              <w:szCs w:val="22"/>
              <w:lang w:val="en-AU" w:eastAsia="en-AU"/>
            </w:rPr>
          </w:pPr>
          <w:hyperlink w:anchor="_Toc66438706" w:history="1">
            <w:r w:rsidRPr="004F4F7F">
              <w:rPr>
                <w:rStyle w:val="Hyperlink"/>
              </w:rPr>
              <w:t>7.1.2</w:t>
            </w:r>
            <w:r>
              <w:rPr>
                <w:rFonts w:eastAsiaTheme="minorEastAsia"/>
                <w:sz w:val="22"/>
                <w:szCs w:val="22"/>
                <w:lang w:val="en-AU" w:eastAsia="en-AU"/>
              </w:rPr>
              <w:tab/>
            </w:r>
            <w:r w:rsidRPr="004F4F7F">
              <w:rPr>
                <w:rStyle w:val="Hyperlink"/>
              </w:rPr>
              <w:t>Pre-survey activities - The SCU</w:t>
            </w:r>
            <w:r>
              <w:rPr>
                <w:webHidden/>
              </w:rPr>
              <w:tab/>
            </w:r>
            <w:r>
              <w:rPr>
                <w:webHidden/>
              </w:rPr>
              <w:fldChar w:fldCharType="begin"/>
            </w:r>
            <w:r>
              <w:rPr>
                <w:webHidden/>
              </w:rPr>
              <w:instrText xml:space="preserve"> PAGEREF _Toc66438706 \h </w:instrText>
            </w:r>
            <w:r>
              <w:rPr>
                <w:webHidden/>
              </w:rPr>
            </w:r>
            <w:r>
              <w:rPr>
                <w:webHidden/>
              </w:rPr>
              <w:fldChar w:fldCharType="separate"/>
            </w:r>
            <w:r w:rsidR="005B63DF">
              <w:rPr>
                <w:webHidden/>
              </w:rPr>
              <w:t>58</w:t>
            </w:r>
            <w:r>
              <w:rPr>
                <w:webHidden/>
              </w:rPr>
              <w:fldChar w:fldCharType="end"/>
            </w:r>
          </w:hyperlink>
        </w:p>
        <w:p w14:paraId="2872D29C" w14:textId="70F1DD68" w:rsidR="00411E0E" w:rsidRDefault="00411E0E">
          <w:pPr>
            <w:pStyle w:val="TOC3"/>
            <w:rPr>
              <w:rFonts w:eastAsiaTheme="minorEastAsia"/>
              <w:sz w:val="22"/>
              <w:szCs w:val="22"/>
              <w:lang w:val="en-AU" w:eastAsia="en-AU"/>
            </w:rPr>
          </w:pPr>
          <w:hyperlink w:anchor="_Toc66438707" w:history="1">
            <w:r w:rsidRPr="004F4F7F">
              <w:rPr>
                <w:rStyle w:val="Hyperlink"/>
              </w:rPr>
              <w:t>7.1.3</w:t>
            </w:r>
            <w:r>
              <w:rPr>
                <w:rFonts w:eastAsiaTheme="minorEastAsia"/>
                <w:sz w:val="22"/>
                <w:szCs w:val="22"/>
                <w:lang w:val="en-AU" w:eastAsia="en-AU"/>
              </w:rPr>
              <w:tab/>
            </w:r>
            <w:r w:rsidRPr="004F4F7F">
              <w:rPr>
                <w:rStyle w:val="Hyperlink"/>
              </w:rPr>
              <w:t>Pre-survey activities - The Service</w:t>
            </w:r>
            <w:r>
              <w:rPr>
                <w:webHidden/>
              </w:rPr>
              <w:tab/>
            </w:r>
            <w:r>
              <w:rPr>
                <w:webHidden/>
              </w:rPr>
              <w:fldChar w:fldCharType="begin"/>
            </w:r>
            <w:r>
              <w:rPr>
                <w:webHidden/>
              </w:rPr>
              <w:instrText xml:space="preserve"> PAGEREF _Toc66438707 \h </w:instrText>
            </w:r>
            <w:r>
              <w:rPr>
                <w:webHidden/>
              </w:rPr>
            </w:r>
            <w:r>
              <w:rPr>
                <w:webHidden/>
              </w:rPr>
              <w:fldChar w:fldCharType="separate"/>
            </w:r>
            <w:r w:rsidR="005B63DF">
              <w:rPr>
                <w:webHidden/>
              </w:rPr>
              <w:t>59</w:t>
            </w:r>
            <w:r>
              <w:rPr>
                <w:webHidden/>
              </w:rPr>
              <w:fldChar w:fldCharType="end"/>
            </w:r>
          </w:hyperlink>
        </w:p>
        <w:p w14:paraId="58066677" w14:textId="4FE567C8" w:rsidR="00411E0E" w:rsidRDefault="00411E0E">
          <w:pPr>
            <w:pStyle w:val="TOC2"/>
            <w:rPr>
              <w:rFonts w:eastAsiaTheme="minorEastAsia"/>
              <w:sz w:val="22"/>
              <w:szCs w:val="22"/>
              <w:lang w:val="en-AU" w:eastAsia="en-AU"/>
            </w:rPr>
          </w:pPr>
          <w:hyperlink w:anchor="_Toc66438708" w:history="1">
            <w:r w:rsidRPr="004F4F7F">
              <w:rPr>
                <w:rStyle w:val="Hyperlink"/>
              </w:rPr>
              <w:t>7.2</w:t>
            </w:r>
            <w:r>
              <w:rPr>
                <w:rFonts w:eastAsiaTheme="minorEastAsia"/>
                <w:sz w:val="22"/>
                <w:szCs w:val="22"/>
                <w:lang w:val="en-AU" w:eastAsia="en-AU"/>
              </w:rPr>
              <w:tab/>
            </w:r>
            <w:r w:rsidRPr="004F4F7F">
              <w:rPr>
                <w:rStyle w:val="Hyperlink"/>
              </w:rPr>
              <w:t>DURING THE SURVEY</w:t>
            </w:r>
            <w:r>
              <w:rPr>
                <w:webHidden/>
              </w:rPr>
              <w:tab/>
            </w:r>
            <w:r>
              <w:rPr>
                <w:webHidden/>
              </w:rPr>
              <w:fldChar w:fldCharType="begin"/>
            </w:r>
            <w:r>
              <w:rPr>
                <w:webHidden/>
              </w:rPr>
              <w:instrText xml:space="preserve"> PAGEREF _Toc66438708 \h </w:instrText>
            </w:r>
            <w:r>
              <w:rPr>
                <w:webHidden/>
              </w:rPr>
            </w:r>
            <w:r>
              <w:rPr>
                <w:webHidden/>
              </w:rPr>
              <w:fldChar w:fldCharType="separate"/>
            </w:r>
            <w:r w:rsidR="005B63DF">
              <w:rPr>
                <w:webHidden/>
              </w:rPr>
              <w:t>60</w:t>
            </w:r>
            <w:r>
              <w:rPr>
                <w:webHidden/>
              </w:rPr>
              <w:fldChar w:fldCharType="end"/>
            </w:r>
          </w:hyperlink>
        </w:p>
        <w:p w14:paraId="0895BB20" w14:textId="46B81AA9" w:rsidR="00411E0E" w:rsidRDefault="00411E0E">
          <w:pPr>
            <w:pStyle w:val="TOC2"/>
            <w:rPr>
              <w:rFonts w:eastAsiaTheme="minorEastAsia"/>
              <w:sz w:val="22"/>
              <w:szCs w:val="22"/>
              <w:lang w:val="en-AU" w:eastAsia="en-AU"/>
            </w:rPr>
          </w:pPr>
          <w:hyperlink w:anchor="_Toc66438709" w:history="1">
            <w:r w:rsidRPr="004F4F7F">
              <w:rPr>
                <w:rStyle w:val="Hyperlink"/>
              </w:rPr>
              <w:t>7.3</w:t>
            </w:r>
            <w:r>
              <w:rPr>
                <w:rFonts w:eastAsiaTheme="minorEastAsia"/>
                <w:sz w:val="22"/>
                <w:szCs w:val="22"/>
                <w:lang w:val="en-AU" w:eastAsia="en-AU"/>
              </w:rPr>
              <w:tab/>
            </w:r>
            <w:r w:rsidRPr="004F4F7F">
              <w:rPr>
                <w:rStyle w:val="Hyperlink"/>
              </w:rPr>
              <w:t>CLOSING MEETING WITH THE SERVICE/SCU</w:t>
            </w:r>
            <w:r>
              <w:rPr>
                <w:webHidden/>
              </w:rPr>
              <w:tab/>
            </w:r>
            <w:r>
              <w:rPr>
                <w:webHidden/>
              </w:rPr>
              <w:fldChar w:fldCharType="begin"/>
            </w:r>
            <w:r>
              <w:rPr>
                <w:webHidden/>
              </w:rPr>
              <w:instrText xml:space="preserve"> PAGEREF _Toc66438709 \h </w:instrText>
            </w:r>
            <w:r>
              <w:rPr>
                <w:webHidden/>
              </w:rPr>
            </w:r>
            <w:r>
              <w:rPr>
                <w:webHidden/>
              </w:rPr>
              <w:fldChar w:fldCharType="separate"/>
            </w:r>
            <w:r w:rsidR="005B63DF">
              <w:rPr>
                <w:webHidden/>
              </w:rPr>
              <w:t>61</w:t>
            </w:r>
            <w:r>
              <w:rPr>
                <w:webHidden/>
              </w:rPr>
              <w:fldChar w:fldCharType="end"/>
            </w:r>
          </w:hyperlink>
        </w:p>
        <w:p w14:paraId="73387092" w14:textId="7BA563DA" w:rsidR="00411E0E" w:rsidRDefault="00411E0E">
          <w:pPr>
            <w:pStyle w:val="TOC2"/>
            <w:rPr>
              <w:rFonts w:eastAsiaTheme="minorEastAsia"/>
              <w:sz w:val="22"/>
              <w:szCs w:val="22"/>
              <w:lang w:val="en-AU" w:eastAsia="en-AU"/>
            </w:rPr>
          </w:pPr>
          <w:hyperlink w:anchor="_Toc66438710" w:history="1">
            <w:r w:rsidRPr="004F4F7F">
              <w:rPr>
                <w:rStyle w:val="Hyperlink"/>
              </w:rPr>
              <w:t>7.4</w:t>
            </w:r>
            <w:r>
              <w:rPr>
                <w:rFonts w:eastAsiaTheme="minorEastAsia"/>
                <w:sz w:val="22"/>
                <w:szCs w:val="22"/>
                <w:lang w:val="en-AU" w:eastAsia="en-AU"/>
              </w:rPr>
              <w:tab/>
            </w:r>
            <w:r w:rsidRPr="004F4F7F">
              <w:rPr>
                <w:rStyle w:val="Hyperlink"/>
              </w:rPr>
              <w:t>PROVISION OF FEEDBACK FOR SERVICES, STATE COORDINATION UNITS AND SURVEYORS</w:t>
            </w:r>
            <w:r>
              <w:rPr>
                <w:webHidden/>
              </w:rPr>
              <w:tab/>
            </w:r>
            <w:r>
              <w:rPr>
                <w:webHidden/>
              </w:rPr>
              <w:fldChar w:fldCharType="begin"/>
            </w:r>
            <w:r>
              <w:rPr>
                <w:webHidden/>
              </w:rPr>
              <w:instrText xml:space="preserve"> PAGEREF _Toc66438710 \h </w:instrText>
            </w:r>
            <w:r>
              <w:rPr>
                <w:webHidden/>
              </w:rPr>
            </w:r>
            <w:r>
              <w:rPr>
                <w:webHidden/>
              </w:rPr>
              <w:fldChar w:fldCharType="separate"/>
            </w:r>
            <w:r w:rsidR="005B63DF">
              <w:rPr>
                <w:webHidden/>
              </w:rPr>
              <w:t>62</w:t>
            </w:r>
            <w:r>
              <w:rPr>
                <w:webHidden/>
              </w:rPr>
              <w:fldChar w:fldCharType="end"/>
            </w:r>
          </w:hyperlink>
        </w:p>
        <w:p w14:paraId="574388D9" w14:textId="4D299ED6" w:rsidR="00411E0E" w:rsidRDefault="00411E0E">
          <w:pPr>
            <w:pStyle w:val="TOC3"/>
            <w:rPr>
              <w:rFonts w:eastAsiaTheme="minorEastAsia"/>
              <w:sz w:val="22"/>
              <w:szCs w:val="22"/>
              <w:lang w:val="en-AU" w:eastAsia="en-AU"/>
            </w:rPr>
          </w:pPr>
          <w:hyperlink w:anchor="_Toc66438711" w:history="1">
            <w:r w:rsidRPr="004F4F7F">
              <w:rPr>
                <w:rStyle w:val="Hyperlink"/>
              </w:rPr>
              <w:t>7.4.1</w:t>
            </w:r>
            <w:r>
              <w:rPr>
                <w:rFonts w:eastAsiaTheme="minorEastAsia"/>
                <w:sz w:val="22"/>
                <w:szCs w:val="22"/>
                <w:lang w:val="en-AU" w:eastAsia="en-AU"/>
              </w:rPr>
              <w:tab/>
            </w:r>
            <w:r w:rsidRPr="004F4F7F">
              <w:rPr>
                <w:rStyle w:val="Hyperlink"/>
              </w:rPr>
              <w:t>A 'Survey Evaluation Tool' (BSA009)</w:t>
            </w:r>
            <w:r>
              <w:rPr>
                <w:webHidden/>
              </w:rPr>
              <w:tab/>
            </w:r>
            <w:r>
              <w:rPr>
                <w:webHidden/>
              </w:rPr>
              <w:fldChar w:fldCharType="begin"/>
            </w:r>
            <w:r>
              <w:rPr>
                <w:webHidden/>
              </w:rPr>
              <w:instrText xml:space="preserve"> PAGEREF _Toc66438711 \h </w:instrText>
            </w:r>
            <w:r>
              <w:rPr>
                <w:webHidden/>
              </w:rPr>
            </w:r>
            <w:r>
              <w:rPr>
                <w:webHidden/>
              </w:rPr>
              <w:fldChar w:fldCharType="separate"/>
            </w:r>
            <w:r w:rsidR="005B63DF">
              <w:rPr>
                <w:webHidden/>
              </w:rPr>
              <w:t>62</w:t>
            </w:r>
            <w:r>
              <w:rPr>
                <w:webHidden/>
              </w:rPr>
              <w:fldChar w:fldCharType="end"/>
            </w:r>
          </w:hyperlink>
        </w:p>
        <w:p w14:paraId="54E5D7C1" w14:textId="547ECBC2" w:rsidR="00411E0E" w:rsidRDefault="00411E0E">
          <w:pPr>
            <w:pStyle w:val="TOC3"/>
            <w:rPr>
              <w:rFonts w:eastAsiaTheme="minorEastAsia"/>
              <w:sz w:val="22"/>
              <w:szCs w:val="22"/>
              <w:lang w:val="en-AU" w:eastAsia="en-AU"/>
            </w:rPr>
          </w:pPr>
          <w:hyperlink w:anchor="_Toc66438712" w:history="1">
            <w:r w:rsidRPr="004F4F7F">
              <w:rPr>
                <w:rStyle w:val="Hyperlink"/>
              </w:rPr>
              <w:t>7.4.2</w:t>
            </w:r>
            <w:r>
              <w:rPr>
                <w:rFonts w:eastAsiaTheme="minorEastAsia"/>
                <w:sz w:val="22"/>
                <w:szCs w:val="22"/>
                <w:lang w:val="en-AU" w:eastAsia="en-AU"/>
              </w:rPr>
              <w:tab/>
            </w:r>
            <w:r w:rsidRPr="004F4F7F">
              <w:rPr>
                <w:rStyle w:val="Hyperlink"/>
              </w:rPr>
              <w:t>A 'Report Evaluation Tool' (BSA008),</w:t>
            </w:r>
            <w:r>
              <w:rPr>
                <w:webHidden/>
              </w:rPr>
              <w:tab/>
            </w:r>
            <w:r>
              <w:rPr>
                <w:webHidden/>
              </w:rPr>
              <w:fldChar w:fldCharType="begin"/>
            </w:r>
            <w:r>
              <w:rPr>
                <w:webHidden/>
              </w:rPr>
              <w:instrText xml:space="preserve"> PAGEREF _Toc66438712 \h </w:instrText>
            </w:r>
            <w:r>
              <w:rPr>
                <w:webHidden/>
              </w:rPr>
            </w:r>
            <w:r>
              <w:rPr>
                <w:webHidden/>
              </w:rPr>
              <w:fldChar w:fldCharType="separate"/>
            </w:r>
            <w:r w:rsidR="005B63DF">
              <w:rPr>
                <w:webHidden/>
              </w:rPr>
              <w:t>62</w:t>
            </w:r>
            <w:r>
              <w:rPr>
                <w:webHidden/>
              </w:rPr>
              <w:fldChar w:fldCharType="end"/>
            </w:r>
          </w:hyperlink>
        </w:p>
        <w:p w14:paraId="1092E8AC" w14:textId="1EECC461" w:rsidR="00411E0E" w:rsidRDefault="00411E0E">
          <w:pPr>
            <w:pStyle w:val="TOC3"/>
            <w:rPr>
              <w:rFonts w:eastAsiaTheme="minorEastAsia"/>
              <w:sz w:val="22"/>
              <w:szCs w:val="22"/>
              <w:lang w:val="en-AU" w:eastAsia="en-AU"/>
            </w:rPr>
          </w:pPr>
          <w:hyperlink w:anchor="_Toc66438713" w:history="1">
            <w:r w:rsidRPr="004F4F7F">
              <w:rPr>
                <w:rStyle w:val="Hyperlink"/>
              </w:rPr>
              <w:t>7.4.3</w:t>
            </w:r>
            <w:r>
              <w:rPr>
                <w:rFonts w:eastAsiaTheme="minorEastAsia"/>
                <w:sz w:val="22"/>
                <w:szCs w:val="22"/>
                <w:lang w:val="en-AU" w:eastAsia="en-AU"/>
              </w:rPr>
              <w:tab/>
            </w:r>
            <w:r w:rsidRPr="004F4F7F">
              <w:rPr>
                <w:rStyle w:val="Hyperlink"/>
              </w:rPr>
              <w:t>A ‘Surveyor Evaluation Tool' (BSA010)</w:t>
            </w:r>
            <w:r>
              <w:rPr>
                <w:webHidden/>
              </w:rPr>
              <w:tab/>
            </w:r>
            <w:r>
              <w:rPr>
                <w:webHidden/>
              </w:rPr>
              <w:fldChar w:fldCharType="begin"/>
            </w:r>
            <w:r>
              <w:rPr>
                <w:webHidden/>
              </w:rPr>
              <w:instrText xml:space="preserve"> PAGEREF _Toc66438713 \h </w:instrText>
            </w:r>
            <w:r>
              <w:rPr>
                <w:webHidden/>
              </w:rPr>
            </w:r>
            <w:r>
              <w:rPr>
                <w:webHidden/>
              </w:rPr>
              <w:fldChar w:fldCharType="separate"/>
            </w:r>
            <w:r w:rsidR="005B63DF">
              <w:rPr>
                <w:webHidden/>
              </w:rPr>
              <w:t>63</w:t>
            </w:r>
            <w:r>
              <w:rPr>
                <w:webHidden/>
              </w:rPr>
              <w:fldChar w:fldCharType="end"/>
            </w:r>
          </w:hyperlink>
        </w:p>
        <w:p w14:paraId="6EF4D4FD" w14:textId="51917701" w:rsidR="00411E0E" w:rsidRDefault="00411E0E">
          <w:pPr>
            <w:pStyle w:val="TOC3"/>
            <w:rPr>
              <w:rFonts w:eastAsiaTheme="minorEastAsia"/>
              <w:sz w:val="22"/>
              <w:szCs w:val="22"/>
              <w:lang w:val="en-AU" w:eastAsia="en-AU"/>
            </w:rPr>
          </w:pPr>
          <w:hyperlink w:anchor="_Toc66438714" w:history="1">
            <w:r w:rsidRPr="004F4F7F">
              <w:rPr>
                <w:rStyle w:val="Hyperlink"/>
              </w:rPr>
              <w:t>7.4.4</w:t>
            </w:r>
            <w:r>
              <w:rPr>
                <w:rFonts w:eastAsiaTheme="minorEastAsia"/>
                <w:sz w:val="22"/>
                <w:szCs w:val="22"/>
                <w:lang w:val="en-AU" w:eastAsia="en-AU"/>
              </w:rPr>
              <w:tab/>
            </w:r>
            <w:r w:rsidRPr="004F4F7F">
              <w:rPr>
                <w:rStyle w:val="Hyperlink"/>
              </w:rPr>
              <w:t>An 'Accreditation Outcome Letter',</w:t>
            </w:r>
            <w:r>
              <w:rPr>
                <w:webHidden/>
              </w:rPr>
              <w:tab/>
            </w:r>
            <w:r>
              <w:rPr>
                <w:webHidden/>
              </w:rPr>
              <w:fldChar w:fldCharType="begin"/>
            </w:r>
            <w:r>
              <w:rPr>
                <w:webHidden/>
              </w:rPr>
              <w:instrText xml:space="preserve"> PAGEREF _Toc66438714 \h </w:instrText>
            </w:r>
            <w:r>
              <w:rPr>
                <w:webHidden/>
              </w:rPr>
            </w:r>
            <w:r>
              <w:rPr>
                <w:webHidden/>
              </w:rPr>
              <w:fldChar w:fldCharType="separate"/>
            </w:r>
            <w:r w:rsidR="005B63DF">
              <w:rPr>
                <w:webHidden/>
              </w:rPr>
              <w:t>63</w:t>
            </w:r>
            <w:r>
              <w:rPr>
                <w:webHidden/>
              </w:rPr>
              <w:fldChar w:fldCharType="end"/>
            </w:r>
          </w:hyperlink>
        </w:p>
        <w:p w14:paraId="419BEB31" w14:textId="14805B58" w:rsidR="00411E0E" w:rsidRDefault="00411E0E">
          <w:pPr>
            <w:pStyle w:val="TOC2"/>
            <w:rPr>
              <w:rFonts w:eastAsiaTheme="minorEastAsia"/>
              <w:sz w:val="22"/>
              <w:szCs w:val="22"/>
              <w:lang w:val="en-AU" w:eastAsia="en-AU"/>
            </w:rPr>
          </w:pPr>
          <w:hyperlink w:anchor="_Toc66438715" w:history="1">
            <w:r w:rsidRPr="004F4F7F">
              <w:rPr>
                <w:rStyle w:val="Hyperlink"/>
              </w:rPr>
              <w:t>7.5</w:t>
            </w:r>
            <w:r>
              <w:rPr>
                <w:rFonts w:eastAsiaTheme="minorEastAsia"/>
                <w:sz w:val="22"/>
                <w:szCs w:val="22"/>
                <w:lang w:val="en-AU" w:eastAsia="en-AU"/>
              </w:rPr>
              <w:tab/>
            </w:r>
            <w:r w:rsidRPr="004F4F7F">
              <w:rPr>
                <w:rStyle w:val="Hyperlink"/>
              </w:rPr>
              <w:t xml:space="preserve">THE STATE COORDINATION UNIT - ACCREDITATION DOCUMENTATION </w:t>
            </w:r>
            <w:r>
              <w:rPr>
                <w:rStyle w:val="Hyperlink"/>
              </w:rPr>
              <w:br/>
            </w:r>
            <w:r w:rsidRPr="004F4F7F">
              <w:rPr>
                <w:rStyle w:val="Hyperlink"/>
              </w:rPr>
              <w:t>TO NQMC</w:t>
            </w:r>
            <w:r>
              <w:rPr>
                <w:webHidden/>
              </w:rPr>
              <w:tab/>
            </w:r>
            <w:r>
              <w:rPr>
                <w:webHidden/>
              </w:rPr>
              <w:fldChar w:fldCharType="begin"/>
            </w:r>
            <w:r>
              <w:rPr>
                <w:webHidden/>
              </w:rPr>
              <w:instrText xml:space="preserve"> PAGEREF _Toc66438715 \h </w:instrText>
            </w:r>
            <w:r>
              <w:rPr>
                <w:webHidden/>
              </w:rPr>
            </w:r>
            <w:r>
              <w:rPr>
                <w:webHidden/>
              </w:rPr>
              <w:fldChar w:fldCharType="separate"/>
            </w:r>
            <w:r w:rsidR="005B63DF">
              <w:rPr>
                <w:webHidden/>
              </w:rPr>
              <w:t>63</w:t>
            </w:r>
            <w:r>
              <w:rPr>
                <w:webHidden/>
              </w:rPr>
              <w:fldChar w:fldCharType="end"/>
            </w:r>
          </w:hyperlink>
        </w:p>
        <w:p w14:paraId="159A8541" w14:textId="0CB7CAE2" w:rsidR="00411E0E" w:rsidRDefault="00411E0E">
          <w:pPr>
            <w:pStyle w:val="TOC1"/>
            <w:rPr>
              <w:rFonts w:eastAsiaTheme="minorEastAsia"/>
              <w:noProof/>
              <w:sz w:val="22"/>
              <w:szCs w:val="22"/>
              <w:lang w:val="en-AU" w:eastAsia="en-AU"/>
            </w:rPr>
          </w:pPr>
          <w:hyperlink w:anchor="_Toc66438716" w:history="1">
            <w:r w:rsidRPr="004F4F7F">
              <w:rPr>
                <w:rStyle w:val="Hyperlink"/>
                <w:noProof/>
              </w:rPr>
              <w:t>8</w:t>
            </w:r>
            <w:r>
              <w:rPr>
                <w:rFonts w:eastAsiaTheme="minorEastAsia"/>
                <w:noProof/>
                <w:sz w:val="22"/>
                <w:szCs w:val="22"/>
                <w:lang w:val="en-AU" w:eastAsia="en-AU"/>
              </w:rPr>
              <w:tab/>
            </w:r>
            <w:r w:rsidRPr="004F4F7F">
              <w:rPr>
                <w:rStyle w:val="Hyperlink"/>
                <w:noProof/>
                <w:w w:val="97"/>
              </w:rPr>
              <w:t xml:space="preserve">SURVEYORS </w:t>
            </w:r>
            <w:r w:rsidRPr="004F4F7F">
              <w:rPr>
                <w:rStyle w:val="Hyperlink"/>
                <w:noProof/>
              </w:rPr>
              <w:t>AND</w:t>
            </w:r>
            <w:r w:rsidRPr="004F4F7F">
              <w:rPr>
                <w:rStyle w:val="Hyperlink"/>
                <w:noProof/>
                <w:w w:val="107"/>
              </w:rPr>
              <w:t xml:space="preserve"> D</w:t>
            </w:r>
            <w:r w:rsidRPr="004F4F7F">
              <w:rPr>
                <w:rStyle w:val="Hyperlink"/>
                <w:noProof/>
                <w:spacing w:val="-19"/>
                <w:w w:val="107"/>
              </w:rPr>
              <w:t>A</w:t>
            </w:r>
            <w:r w:rsidRPr="004F4F7F">
              <w:rPr>
                <w:rStyle w:val="Hyperlink"/>
                <w:noProof/>
                <w:spacing w:val="-21"/>
                <w:w w:val="83"/>
              </w:rPr>
              <w:t>T</w:t>
            </w:r>
            <w:r w:rsidRPr="004F4F7F">
              <w:rPr>
                <w:rStyle w:val="Hyperlink"/>
                <w:noProof/>
                <w:w w:val="107"/>
              </w:rPr>
              <w:t>A</w:t>
            </w:r>
            <w:r w:rsidRPr="004F4F7F">
              <w:rPr>
                <w:rStyle w:val="Hyperlink"/>
                <w:noProof/>
                <w:spacing w:val="16"/>
              </w:rPr>
              <w:t xml:space="preserve"> </w:t>
            </w:r>
            <w:r w:rsidRPr="004F4F7F">
              <w:rPr>
                <w:rStyle w:val="Hyperlink"/>
                <w:noProof/>
              </w:rPr>
              <w:t>ASSESSORS</w:t>
            </w:r>
            <w:r>
              <w:rPr>
                <w:noProof/>
                <w:webHidden/>
              </w:rPr>
              <w:tab/>
            </w:r>
            <w:r>
              <w:rPr>
                <w:noProof/>
                <w:webHidden/>
              </w:rPr>
              <w:fldChar w:fldCharType="begin"/>
            </w:r>
            <w:r>
              <w:rPr>
                <w:noProof/>
                <w:webHidden/>
              </w:rPr>
              <w:instrText xml:space="preserve"> PAGEREF _Toc66438716 \h </w:instrText>
            </w:r>
            <w:r>
              <w:rPr>
                <w:noProof/>
                <w:webHidden/>
              </w:rPr>
            </w:r>
            <w:r>
              <w:rPr>
                <w:noProof/>
                <w:webHidden/>
              </w:rPr>
              <w:fldChar w:fldCharType="separate"/>
            </w:r>
            <w:r w:rsidR="005B63DF">
              <w:rPr>
                <w:noProof/>
                <w:webHidden/>
              </w:rPr>
              <w:t>64</w:t>
            </w:r>
            <w:r>
              <w:rPr>
                <w:noProof/>
                <w:webHidden/>
              </w:rPr>
              <w:fldChar w:fldCharType="end"/>
            </w:r>
          </w:hyperlink>
        </w:p>
        <w:p w14:paraId="63F6C8E8" w14:textId="460C118F" w:rsidR="00411E0E" w:rsidRDefault="00411E0E">
          <w:pPr>
            <w:pStyle w:val="TOC2"/>
            <w:rPr>
              <w:rFonts w:eastAsiaTheme="minorEastAsia"/>
              <w:sz w:val="22"/>
              <w:szCs w:val="22"/>
              <w:lang w:val="en-AU" w:eastAsia="en-AU"/>
            </w:rPr>
          </w:pPr>
          <w:hyperlink w:anchor="_Toc66438717" w:history="1">
            <w:r w:rsidRPr="004F4F7F">
              <w:rPr>
                <w:rStyle w:val="Hyperlink"/>
              </w:rPr>
              <w:t>8.1</w:t>
            </w:r>
            <w:r>
              <w:rPr>
                <w:rFonts w:eastAsiaTheme="minorEastAsia"/>
                <w:sz w:val="22"/>
                <w:szCs w:val="22"/>
                <w:lang w:val="en-AU" w:eastAsia="en-AU"/>
              </w:rPr>
              <w:tab/>
            </w:r>
            <w:r w:rsidRPr="004F4F7F">
              <w:rPr>
                <w:rStyle w:val="Hyperlink"/>
              </w:rPr>
              <w:t>ROLES AND RESPONSIBILITIES OF THE NATIONAL SURVEYOR</w:t>
            </w:r>
            <w:r>
              <w:rPr>
                <w:webHidden/>
              </w:rPr>
              <w:tab/>
            </w:r>
            <w:r>
              <w:rPr>
                <w:webHidden/>
              </w:rPr>
              <w:fldChar w:fldCharType="begin"/>
            </w:r>
            <w:r>
              <w:rPr>
                <w:webHidden/>
              </w:rPr>
              <w:instrText xml:space="preserve"> PAGEREF _Toc66438717 \h </w:instrText>
            </w:r>
            <w:r>
              <w:rPr>
                <w:webHidden/>
              </w:rPr>
            </w:r>
            <w:r>
              <w:rPr>
                <w:webHidden/>
              </w:rPr>
              <w:fldChar w:fldCharType="separate"/>
            </w:r>
            <w:r w:rsidR="005B63DF">
              <w:rPr>
                <w:webHidden/>
              </w:rPr>
              <w:t>64</w:t>
            </w:r>
            <w:r>
              <w:rPr>
                <w:webHidden/>
              </w:rPr>
              <w:fldChar w:fldCharType="end"/>
            </w:r>
          </w:hyperlink>
        </w:p>
        <w:p w14:paraId="0D865243" w14:textId="257CC30F" w:rsidR="00411E0E" w:rsidRDefault="00411E0E">
          <w:pPr>
            <w:pStyle w:val="TOC3"/>
            <w:rPr>
              <w:rFonts w:eastAsiaTheme="minorEastAsia"/>
              <w:sz w:val="22"/>
              <w:szCs w:val="22"/>
              <w:lang w:val="en-AU" w:eastAsia="en-AU"/>
            </w:rPr>
          </w:pPr>
          <w:hyperlink w:anchor="_Toc66438718" w:history="1">
            <w:r w:rsidRPr="004F4F7F">
              <w:rPr>
                <w:rStyle w:val="Hyperlink"/>
              </w:rPr>
              <w:t>8.1.1</w:t>
            </w:r>
            <w:r>
              <w:rPr>
                <w:rFonts w:eastAsiaTheme="minorEastAsia"/>
                <w:sz w:val="22"/>
                <w:szCs w:val="22"/>
                <w:lang w:val="en-AU" w:eastAsia="en-AU"/>
              </w:rPr>
              <w:tab/>
            </w:r>
            <w:r w:rsidRPr="004F4F7F">
              <w:rPr>
                <w:rStyle w:val="Hyperlink"/>
              </w:rPr>
              <w:t>Planning and Coordination</w:t>
            </w:r>
            <w:r>
              <w:rPr>
                <w:webHidden/>
              </w:rPr>
              <w:tab/>
            </w:r>
            <w:r>
              <w:rPr>
                <w:webHidden/>
              </w:rPr>
              <w:fldChar w:fldCharType="begin"/>
            </w:r>
            <w:r>
              <w:rPr>
                <w:webHidden/>
              </w:rPr>
              <w:instrText xml:space="preserve"> PAGEREF _Toc66438718 \h </w:instrText>
            </w:r>
            <w:r>
              <w:rPr>
                <w:webHidden/>
              </w:rPr>
            </w:r>
            <w:r>
              <w:rPr>
                <w:webHidden/>
              </w:rPr>
              <w:fldChar w:fldCharType="separate"/>
            </w:r>
            <w:r w:rsidR="005B63DF">
              <w:rPr>
                <w:webHidden/>
              </w:rPr>
              <w:t>64</w:t>
            </w:r>
            <w:r>
              <w:rPr>
                <w:webHidden/>
              </w:rPr>
              <w:fldChar w:fldCharType="end"/>
            </w:r>
          </w:hyperlink>
        </w:p>
        <w:p w14:paraId="750E8FFB" w14:textId="3122A780" w:rsidR="00411E0E" w:rsidRDefault="00411E0E">
          <w:pPr>
            <w:pStyle w:val="TOC3"/>
            <w:rPr>
              <w:rFonts w:eastAsiaTheme="minorEastAsia"/>
              <w:sz w:val="22"/>
              <w:szCs w:val="22"/>
              <w:lang w:val="en-AU" w:eastAsia="en-AU"/>
            </w:rPr>
          </w:pPr>
          <w:hyperlink w:anchor="_Toc66438719" w:history="1">
            <w:r w:rsidRPr="004F4F7F">
              <w:rPr>
                <w:rStyle w:val="Hyperlink"/>
              </w:rPr>
              <w:t>8.1.2</w:t>
            </w:r>
            <w:r>
              <w:rPr>
                <w:rFonts w:eastAsiaTheme="minorEastAsia"/>
                <w:sz w:val="22"/>
                <w:szCs w:val="22"/>
                <w:lang w:val="en-AU" w:eastAsia="en-AU"/>
              </w:rPr>
              <w:tab/>
            </w:r>
            <w:r w:rsidRPr="004F4F7F">
              <w:rPr>
                <w:rStyle w:val="Hyperlink"/>
              </w:rPr>
              <w:t>Leading accreditation surveys</w:t>
            </w:r>
            <w:r>
              <w:rPr>
                <w:webHidden/>
              </w:rPr>
              <w:tab/>
            </w:r>
            <w:r>
              <w:rPr>
                <w:webHidden/>
              </w:rPr>
              <w:fldChar w:fldCharType="begin"/>
            </w:r>
            <w:r>
              <w:rPr>
                <w:webHidden/>
              </w:rPr>
              <w:instrText xml:space="preserve"> PAGEREF _Toc66438719 \h </w:instrText>
            </w:r>
            <w:r>
              <w:rPr>
                <w:webHidden/>
              </w:rPr>
            </w:r>
            <w:r>
              <w:rPr>
                <w:webHidden/>
              </w:rPr>
              <w:fldChar w:fldCharType="separate"/>
            </w:r>
            <w:r w:rsidR="005B63DF">
              <w:rPr>
                <w:webHidden/>
              </w:rPr>
              <w:t>65</w:t>
            </w:r>
            <w:r>
              <w:rPr>
                <w:webHidden/>
              </w:rPr>
              <w:fldChar w:fldCharType="end"/>
            </w:r>
          </w:hyperlink>
        </w:p>
        <w:p w14:paraId="4AB68080" w14:textId="79530370" w:rsidR="00411E0E" w:rsidRDefault="00411E0E">
          <w:pPr>
            <w:pStyle w:val="TOC3"/>
            <w:rPr>
              <w:rFonts w:eastAsiaTheme="minorEastAsia"/>
              <w:sz w:val="22"/>
              <w:szCs w:val="22"/>
              <w:lang w:val="en-AU" w:eastAsia="en-AU"/>
            </w:rPr>
          </w:pPr>
          <w:hyperlink w:anchor="_Toc66438720" w:history="1">
            <w:r w:rsidRPr="004F4F7F">
              <w:rPr>
                <w:rStyle w:val="Hyperlink"/>
              </w:rPr>
              <w:t>8.1.3</w:t>
            </w:r>
            <w:r>
              <w:rPr>
                <w:rFonts w:eastAsiaTheme="minorEastAsia"/>
                <w:sz w:val="22"/>
                <w:szCs w:val="22"/>
                <w:lang w:val="en-AU" w:eastAsia="en-AU"/>
              </w:rPr>
              <w:tab/>
            </w:r>
            <w:r w:rsidRPr="004F4F7F">
              <w:rPr>
                <w:rStyle w:val="Hyperlink"/>
              </w:rPr>
              <w:t>Performance appraisal/Review and Training</w:t>
            </w:r>
            <w:r>
              <w:rPr>
                <w:webHidden/>
              </w:rPr>
              <w:tab/>
            </w:r>
            <w:r>
              <w:rPr>
                <w:webHidden/>
              </w:rPr>
              <w:fldChar w:fldCharType="begin"/>
            </w:r>
            <w:r>
              <w:rPr>
                <w:webHidden/>
              </w:rPr>
              <w:instrText xml:space="preserve"> PAGEREF _Toc66438720 \h </w:instrText>
            </w:r>
            <w:r>
              <w:rPr>
                <w:webHidden/>
              </w:rPr>
            </w:r>
            <w:r>
              <w:rPr>
                <w:webHidden/>
              </w:rPr>
              <w:fldChar w:fldCharType="separate"/>
            </w:r>
            <w:r w:rsidR="005B63DF">
              <w:rPr>
                <w:webHidden/>
              </w:rPr>
              <w:t>65</w:t>
            </w:r>
            <w:r>
              <w:rPr>
                <w:webHidden/>
              </w:rPr>
              <w:fldChar w:fldCharType="end"/>
            </w:r>
          </w:hyperlink>
        </w:p>
        <w:p w14:paraId="566C9321" w14:textId="28D2E27A" w:rsidR="00411E0E" w:rsidRDefault="00411E0E">
          <w:pPr>
            <w:pStyle w:val="TOC3"/>
            <w:rPr>
              <w:rFonts w:eastAsiaTheme="minorEastAsia"/>
              <w:sz w:val="22"/>
              <w:szCs w:val="22"/>
              <w:lang w:val="en-AU" w:eastAsia="en-AU"/>
            </w:rPr>
          </w:pPr>
          <w:hyperlink w:anchor="_Toc66438721" w:history="1">
            <w:r w:rsidRPr="004F4F7F">
              <w:rPr>
                <w:rStyle w:val="Hyperlink"/>
              </w:rPr>
              <w:t>8.1.4</w:t>
            </w:r>
            <w:r>
              <w:rPr>
                <w:rFonts w:eastAsiaTheme="minorEastAsia"/>
                <w:sz w:val="22"/>
                <w:szCs w:val="22"/>
                <w:lang w:val="en-AU" w:eastAsia="en-AU"/>
              </w:rPr>
              <w:tab/>
            </w:r>
            <w:r w:rsidRPr="004F4F7F">
              <w:rPr>
                <w:rStyle w:val="Hyperlink"/>
              </w:rPr>
              <w:t>Reporting and Analysis</w:t>
            </w:r>
            <w:r>
              <w:rPr>
                <w:webHidden/>
              </w:rPr>
              <w:tab/>
            </w:r>
            <w:r>
              <w:rPr>
                <w:webHidden/>
              </w:rPr>
              <w:fldChar w:fldCharType="begin"/>
            </w:r>
            <w:r>
              <w:rPr>
                <w:webHidden/>
              </w:rPr>
              <w:instrText xml:space="preserve"> PAGEREF _Toc66438721 \h </w:instrText>
            </w:r>
            <w:r>
              <w:rPr>
                <w:webHidden/>
              </w:rPr>
            </w:r>
            <w:r>
              <w:rPr>
                <w:webHidden/>
              </w:rPr>
              <w:fldChar w:fldCharType="separate"/>
            </w:r>
            <w:r w:rsidR="005B63DF">
              <w:rPr>
                <w:webHidden/>
              </w:rPr>
              <w:t>65</w:t>
            </w:r>
            <w:r>
              <w:rPr>
                <w:webHidden/>
              </w:rPr>
              <w:fldChar w:fldCharType="end"/>
            </w:r>
          </w:hyperlink>
        </w:p>
        <w:p w14:paraId="1E5530A8" w14:textId="6DBF91E3" w:rsidR="00411E0E" w:rsidRDefault="00411E0E">
          <w:pPr>
            <w:pStyle w:val="TOC2"/>
            <w:rPr>
              <w:rFonts w:eastAsiaTheme="minorEastAsia"/>
              <w:sz w:val="22"/>
              <w:szCs w:val="22"/>
              <w:lang w:val="en-AU" w:eastAsia="en-AU"/>
            </w:rPr>
          </w:pPr>
          <w:hyperlink w:anchor="_Toc66438722" w:history="1">
            <w:r w:rsidRPr="004F4F7F">
              <w:rPr>
                <w:rStyle w:val="Hyperlink"/>
              </w:rPr>
              <w:t>8.2</w:t>
            </w:r>
            <w:r>
              <w:rPr>
                <w:rFonts w:eastAsiaTheme="minorEastAsia"/>
                <w:sz w:val="22"/>
                <w:szCs w:val="22"/>
                <w:lang w:val="en-AU" w:eastAsia="en-AU"/>
              </w:rPr>
              <w:tab/>
            </w:r>
            <w:r w:rsidRPr="004F4F7F">
              <w:rPr>
                <w:rStyle w:val="Hyperlink"/>
              </w:rPr>
              <w:t>COMMITMENT AND RESPONSIBILITIES – SURVEYORS AND DATA ASSESSORS</w:t>
            </w:r>
            <w:r>
              <w:rPr>
                <w:webHidden/>
              </w:rPr>
              <w:tab/>
            </w:r>
            <w:r>
              <w:rPr>
                <w:webHidden/>
              </w:rPr>
              <w:fldChar w:fldCharType="begin"/>
            </w:r>
            <w:r>
              <w:rPr>
                <w:webHidden/>
              </w:rPr>
              <w:instrText xml:space="preserve"> PAGEREF _Toc66438722 \h </w:instrText>
            </w:r>
            <w:r>
              <w:rPr>
                <w:webHidden/>
              </w:rPr>
            </w:r>
            <w:r>
              <w:rPr>
                <w:webHidden/>
              </w:rPr>
              <w:fldChar w:fldCharType="separate"/>
            </w:r>
            <w:r w:rsidR="005B63DF">
              <w:rPr>
                <w:webHidden/>
              </w:rPr>
              <w:t>66</w:t>
            </w:r>
            <w:r>
              <w:rPr>
                <w:webHidden/>
              </w:rPr>
              <w:fldChar w:fldCharType="end"/>
            </w:r>
          </w:hyperlink>
        </w:p>
        <w:p w14:paraId="45386470" w14:textId="3F039663" w:rsidR="00411E0E" w:rsidRDefault="00411E0E">
          <w:pPr>
            <w:pStyle w:val="TOC3"/>
            <w:rPr>
              <w:rFonts w:eastAsiaTheme="minorEastAsia"/>
              <w:sz w:val="22"/>
              <w:szCs w:val="22"/>
              <w:lang w:val="en-AU" w:eastAsia="en-AU"/>
            </w:rPr>
          </w:pPr>
          <w:hyperlink w:anchor="_Toc66438723" w:history="1">
            <w:r w:rsidRPr="004F4F7F">
              <w:rPr>
                <w:rStyle w:val="Hyperlink"/>
              </w:rPr>
              <w:t>8.2.1</w:t>
            </w:r>
            <w:r>
              <w:rPr>
                <w:rFonts w:eastAsiaTheme="minorEastAsia"/>
                <w:sz w:val="22"/>
                <w:szCs w:val="22"/>
                <w:lang w:val="en-AU" w:eastAsia="en-AU"/>
              </w:rPr>
              <w:tab/>
            </w:r>
            <w:r w:rsidRPr="004F4F7F">
              <w:rPr>
                <w:rStyle w:val="Hyperlink"/>
              </w:rPr>
              <w:t>BreastScreen Australia Surveyor Roles/Responsibilities</w:t>
            </w:r>
            <w:r>
              <w:rPr>
                <w:webHidden/>
              </w:rPr>
              <w:tab/>
            </w:r>
            <w:r>
              <w:rPr>
                <w:webHidden/>
              </w:rPr>
              <w:fldChar w:fldCharType="begin"/>
            </w:r>
            <w:r>
              <w:rPr>
                <w:webHidden/>
              </w:rPr>
              <w:instrText xml:space="preserve"> PAGEREF _Toc66438723 \h </w:instrText>
            </w:r>
            <w:r>
              <w:rPr>
                <w:webHidden/>
              </w:rPr>
            </w:r>
            <w:r>
              <w:rPr>
                <w:webHidden/>
              </w:rPr>
              <w:fldChar w:fldCharType="separate"/>
            </w:r>
            <w:r w:rsidR="005B63DF">
              <w:rPr>
                <w:webHidden/>
              </w:rPr>
              <w:t>66</w:t>
            </w:r>
            <w:r>
              <w:rPr>
                <w:webHidden/>
              </w:rPr>
              <w:fldChar w:fldCharType="end"/>
            </w:r>
          </w:hyperlink>
        </w:p>
        <w:p w14:paraId="1F71FA80" w14:textId="19CBA91F" w:rsidR="00411E0E" w:rsidRDefault="00411E0E">
          <w:pPr>
            <w:pStyle w:val="TOC3"/>
            <w:rPr>
              <w:rFonts w:eastAsiaTheme="minorEastAsia"/>
              <w:sz w:val="22"/>
              <w:szCs w:val="22"/>
              <w:lang w:val="en-AU" w:eastAsia="en-AU"/>
            </w:rPr>
          </w:pPr>
          <w:hyperlink w:anchor="_Toc66438724" w:history="1">
            <w:r w:rsidRPr="004F4F7F">
              <w:rPr>
                <w:rStyle w:val="Hyperlink"/>
              </w:rPr>
              <w:t>8.2.2</w:t>
            </w:r>
            <w:r>
              <w:rPr>
                <w:rFonts w:eastAsiaTheme="minorEastAsia"/>
                <w:sz w:val="22"/>
                <w:szCs w:val="22"/>
                <w:lang w:val="en-AU" w:eastAsia="en-AU"/>
              </w:rPr>
              <w:tab/>
            </w:r>
            <w:r w:rsidRPr="004F4F7F">
              <w:rPr>
                <w:rStyle w:val="Hyperlink"/>
              </w:rPr>
              <w:t>BreastScreen Australia Surveyor Commitments</w:t>
            </w:r>
            <w:r>
              <w:rPr>
                <w:webHidden/>
              </w:rPr>
              <w:tab/>
            </w:r>
            <w:r>
              <w:rPr>
                <w:webHidden/>
              </w:rPr>
              <w:fldChar w:fldCharType="begin"/>
            </w:r>
            <w:r>
              <w:rPr>
                <w:webHidden/>
              </w:rPr>
              <w:instrText xml:space="preserve"> PAGEREF _Toc66438724 \h </w:instrText>
            </w:r>
            <w:r>
              <w:rPr>
                <w:webHidden/>
              </w:rPr>
            </w:r>
            <w:r>
              <w:rPr>
                <w:webHidden/>
              </w:rPr>
              <w:fldChar w:fldCharType="separate"/>
            </w:r>
            <w:r w:rsidR="005B63DF">
              <w:rPr>
                <w:webHidden/>
              </w:rPr>
              <w:t>66</w:t>
            </w:r>
            <w:r>
              <w:rPr>
                <w:webHidden/>
              </w:rPr>
              <w:fldChar w:fldCharType="end"/>
            </w:r>
          </w:hyperlink>
        </w:p>
        <w:p w14:paraId="72A3C3DC" w14:textId="3B07013C" w:rsidR="00411E0E" w:rsidRDefault="00411E0E">
          <w:pPr>
            <w:pStyle w:val="TOC2"/>
            <w:rPr>
              <w:rFonts w:eastAsiaTheme="minorEastAsia"/>
              <w:sz w:val="22"/>
              <w:szCs w:val="22"/>
              <w:lang w:val="en-AU" w:eastAsia="en-AU"/>
            </w:rPr>
          </w:pPr>
          <w:hyperlink w:anchor="_Toc66438725" w:history="1">
            <w:r w:rsidRPr="004F4F7F">
              <w:rPr>
                <w:rStyle w:val="Hyperlink"/>
              </w:rPr>
              <w:t>8.3</w:t>
            </w:r>
            <w:r>
              <w:rPr>
                <w:rFonts w:eastAsiaTheme="minorEastAsia"/>
                <w:sz w:val="22"/>
                <w:szCs w:val="22"/>
                <w:lang w:val="en-AU" w:eastAsia="en-AU"/>
              </w:rPr>
              <w:tab/>
            </w:r>
            <w:r w:rsidRPr="004F4F7F">
              <w:rPr>
                <w:rStyle w:val="Hyperlink"/>
              </w:rPr>
              <w:t>SELECTION CRITERIA AND COMPETENCIES FOR NEW SURVEYORS OR DATA ASSESSORS</w:t>
            </w:r>
            <w:r>
              <w:rPr>
                <w:webHidden/>
              </w:rPr>
              <w:tab/>
            </w:r>
            <w:r>
              <w:rPr>
                <w:webHidden/>
              </w:rPr>
              <w:fldChar w:fldCharType="begin"/>
            </w:r>
            <w:r>
              <w:rPr>
                <w:webHidden/>
              </w:rPr>
              <w:instrText xml:space="preserve"> PAGEREF _Toc66438725 \h </w:instrText>
            </w:r>
            <w:r>
              <w:rPr>
                <w:webHidden/>
              </w:rPr>
            </w:r>
            <w:r>
              <w:rPr>
                <w:webHidden/>
              </w:rPr>
              <w:fldChar w:fldCharType="separate"/>
            </w:r>
            <w:r w:rsidR="005B63DF">
              <w:rPr>
                <w:webHidden/>
              </w:rPr>
              <w:t>67</w:t>
            </w:r>
            <w:r>
              <w:rPr>
                <w:webHidden/>
              </w:rPr>
              <w:fldChar w:fldCharType="end"/>
            </w:r>
          </w:hyperlink>
        </w:p>
        <w:p w14:paraId="0F9DB414" w14:textId="6F896D6F" w:rsidR="00411E0E" w:rsidRDefault="00411E0E">
          <w:pPr>
            <w:pStyle w:val="TOC2"/>
            <w:rPr>
              <w:rFonts w:eastAsiaTheme="minorEastAsia"/>
              <w:sz w:val="22"/>
              <w:szCs w:val="22"/>
              <w:lang w:val="en-AU" w:eastAsia="en-AU"/>
            </w:rPr>
          </w:pPr>
          <w:hyperlink w:anchor="_Toc66438726" w:history="1">
            <w:r w:rsidRPr="004F4F7F">
              <w:rPr>
                <w:rStyle w:val="Hyperlink"/>
              </w:rPr>
              <w:t>8.4</w:t>
            </w:r>
            <w:r>
              <w:rPr>
                <w:rFonts w:eastAsiaTheme="minorEastAsia"/>
                <w:sz w:val="22"/>
                <w:szCs w:val="22"/>
                <w:lang w:val="en-AU" w:eastAsia="en-AU"/>
              </w:rPr>
              <w:tab/>
            </w:r>
            <w:r w:rsidRPr="004F4F7F">
              <w:rPr>
                <w:rStyle w:val="Hyperlink"/>
              </w:rPr>
              <w:t>SURVEYOR AND DATA ASSESSOR APPLICATION PROCESS</w:t>
            </w:r>
            <w:r>
              <w:rPr>
                <w:webHidden/>
              </w:rPr>
              <w:tab/>
            </w:r>
            <w:r>
              <w:rPr>
                <w:webHidden/>
              </w:rPr>
              <w:fldChar w:fldCharType="begin"/>
            </w:r>
            <w:r>
              <w:rPr>
                <w:webHidden/>
              </w:rPr>
              <w:instrText xml:space="preserve"> PAGEREF _Toc66438726 \h </w:instrText>
            </w:r>
            <w:r>
              <w:rPr>
                <w:webHidden/>
              </w:rPr>
            </w:r>
            <w:r>
              <w:rPr>
                <w:webHidden/>
              </w:rPr>
              <w:fldChar w:fldCharType="separate"/>
            </w:r>
            <w:r w:rsidR="005B63DF">
              <w:rPr>
                <w:webHidden/>
              </w:rPr>
              <w:t>67</w:t>
            </w:r>
            <w:r>
              <w:rPr>
                <w:webHidden/>
              </w:rPr>
              <w:fldChar w:fldCharType="end"/>
            </w:r>
          </w:hyperlink>
        </w:p>
        <w:p w14:paraId="30121F22" w14:textId="32768813" w:rsidR="00411E0E" w:rsidRDefault="00411E0E">
          <w:pPr>
            <w:pStyle w:val="TOC2"/>
            <w:rPr>
              <w:rFonts w:eastAsiaTheme="minorEastAsia"/>
              <w:sz w:val="22"/>
              <w:szCs w:val="22"/>
              <w:lang w:val="en-AU" w:eastAsia="en-AU"/>
            </w:rPr>
          </w:pPr>
          <w:hyperlink w:anchor="_Toc66438727" w:history="1">
            <w:r w:rsidRPr="004F4F7F">
              <w:rPr>
                <w:rStyle w:val="Hyperlink"/>
              </w:rPr>
              <w:t>8.5</w:t>
            </w:r>
            <w:r>
              <w:rPr>
                <w:rFonts w:eastAsiaTheme="minorEastAsia"/>
                <w:sz w:val="22"/>
                <w:szCs w:val="22"/>
                <w:lang w:val="en-AU" w:eastAsia="en-AU"/>
              </w:rPr>
              <w:tab/>
            </w:r>
            <w:r w:rsidRPr="004F4F7F">
              <w:rPr>
                <w:rStyle w:val="Hyperlink"/>
              </w:rPr>
              <w:t>REGISTER OF SURVEYORS AND DATA ASSESSORS</w:t>
            </w:r>
            <w:r>
              <w:rPr>
                <w:webHidden/>
              </w:rPr>
              <w:tab/>
            </w:r>
            <w:r>
              <w:rPr>
                <w:webHidden/>
              </w:rPr>
              <w:fldChar w:fldCharType="begin"/>
            </w:r>
            <w:r>
              <w:rPr>
                <w:webHidden/>
              </w:rPr>
              <w:instrText xml:space="preserve"> PAGEREF _Toc66438727 \h </w:instrText>
            </w:r>
            <w:r>
              <w:rPr>
                <w:webHidden/>
              </w:rPr>
            </w:r>
            <w:r>
              <w:rPr>
                <w:webHidden/>
              </w:rPr>
              <w:fldChar w:fldCharType="separate"/>
            </w:r>
            <w:r w:rsidR="005B63DF">
              <w:rPr>
                <w:webHidden/>
              </w:rPr>
              <w:t>68</w:t>
            </w:r>
            <w:r>
              <w:rPr>
                <w:webHidden/>
              </w:rPr>
              <w:fldChar w:fldCharType="end"/>
            </w:r>
          </w:hyperlink>
        </w:p>
        <w:p w14:paraId="42413A36" w14:textId="5CCD67B0" w:rsidR="00411E0E" w:rsidRDefault="00411E0E">
          <w:pPr>
            <w:pStyle w:val="TOC2"/>
            <w:rPr>
              <w:rFonts w:eastAsiaTheme="minorEastAsia"/>
              <w:sz w:val="22"/>
              <w:szCs w:val="22"/>
              <w:lang w:val="en-AU" w:eastAsia="en-AU"/>
            </w:rPr>
          </w:pPr>
          <w:hyperlink w:anchor="_Toc66438728" w:history="1">
            <w:r w:rsidRPr="004F4F7F">
              <w:rPr>
                <w:rStyle w:val="Hyperlink"/>
              </w:rPr>
              <w:t>8.6</w:t>
            </w:r>
            <w:r>
              <w:rPr>
                <w:rFonts w:eastAsiaTheme="minorEastAsia"/>
                <w:sz w:val="22"/>
                <w:szCs w:val="22"/>
                <w:lang w:val="en-AU" w:eastAsia="en-AU"/>
              </w:rPr>
              <w:tab/>
            </w:r>
            <w:r w:rsidRPr="004F4F7F">
              <w:rPr>
                <w:rStyle w:val="Hyperlink"/>
              </w:rPr>
              <w:t>TRAINING</w:t>
            </w:r>
            <w:r>
              <w:rPr>
                <w:webHidden/>
              </w:rPr>
              <w:tab/>
            </w:r>
            <w:r>
              <w:rPr>
                <w:webHidden/>
              </w:rPr>
              <w:fldChar w:fldCharType="begin"/>
            </w:r>
            <w:r>
              <w:rPr>
                <w:webHidden/>
              </w:rPr>
              <w:instrText xml:space="preserve"> PAGEREF _Toc66438728 \h </w:instrText>
            </w:r>
            <w:r>
              <w:rPr>
                <w:webHidden/>
              </w:rPr>
            </w:r>
            <w:r>
              <w:rPr>
                <w:webHidden/>
              </w:rPr>
              <w:fldChar w:fldCharType="separate"/>
            </w:r>
            <w:r w:rsidR="005B63DF">
              <w:rPr>
                <w:webHidden/>
              </w:rPr>
              <w:t>68</w:t>
            </w:r>
            <w:r>
              <w:rPr>
                <w:webHidden/>
              </w:rPr>
              <w:fldChar w:fldCharType="end"/>
            </w:r>
          </w:hyperlink>
        </w:p>
        <w:p w14:paraId="5B6301CE" w14:textId="26E09014" w:rsidR="00411E0E" w:rsidRDefault="00411E0E">
          <w:pPr>
            <w:pStyle w:val="TOC1"/>
            <w:rPr>
              <w:rFonts w:eastAsiaTheme="minorEastAsia"/>
              <w:noProof/>
              <w:sz w:val="22"/>
              <w:szCs w:val="22"/>
              <w:lang w:val="en-AU" w:eastAsia="en-AU"/>
            </w:rPr>
          </w:pPr>
          <w:hyperlink w:anchor="_Toc66438729" w:history="1">
            <w:r w:rsidRPr="004F4F7F">
              <w:rPr>
                <w:rStyle w:val="Hyperlink"/>
                <w:noProof/>
              </w:rPr>
              <w:t>9</w:t>
            </w:r>
            <w:r>
              <w:rPr>
                <w:rFonts w:eastAsiaTheme="minorEastAsia"/>
                <w:noProof/>
                <w:sz w:val="22"/>
                <w:szCs w:val="22"/>
                <w:lang w:val="en-AU" w:eastAsia="en-AU"/>
              </w:rPr>
              <w:tab/>
            </w:r>
            <w:r w:rsidRPr="004F4F7F">
              <w:rPr>
                <w:rStyle w:val="Hyperlink"/>
                <w:noProof/>
              </w:rPr>
              <w:t>MANAGING ADVERSE EVENTS AND GAPS IN PERFORMANCE</w:t>
            </w:r>
            <w:r>
              <w:rPr>
                <w:noProof/>
                <w:webHidden/>
              </w:rPr>
              <w:tab/>
            </w:r>
            <w:r>
              <w:rPr>
                <w:noProof/>
                <w:webHidden/>
              </w:rPr>
              <w:fldChar w:fldCharType="begin"/>
            </w:r>
            <w:r>
              <w:rPr>
                <w:noProof/>
                <w:webHidden/>
              </w:rPr>
              <w:instrText xml:space="preserve"> PAGEREF _Toc66438729 \h </w:instrText>
            </w:r>
            <w:r>
              <w:rPr>
                <w:noProof/>
                <w:webHidden/>
              </w:rPr>
            </w:r>
            <w:r>
              <w:rPr>
                <w:noProof/>
                <w:webHidden/>
              </w:rPr>
              <w:fldChar w:fldCharType="separate"/>
            </w:r>
            <w:r w:rsidR="005B63DF">
              <w:rPr>
                <w:noProof/>
                <w:webHidden/>
              </w:rPr>
              <w:t>70</w:t>
            </w:r>
            <w:r>
              <w:rPr>
                <w:noProof/>
                <w:webHidden/>
              </w:rPr>
              <w:fldChar w:fldCharType="end"/>
            </w:r>
          </w:hyperlink>
        </w:p>
        <w:p w14:paraId="00493406" w14:textId="076B07DC" w:rsidR="00411E0E" w:rsidRDefault="00411E0E">
          <w:pPr>
            <w:pStyle w:val="TOC2"/>
            <w:rPr>
              <w:rFonts w:eastAsiaTheme="minorEastAsia"/>
              <w:sz w:val="22"/>
              <w:szCs w:val="22"/>
              <w:lang w:val="en-AU" w:eastAsia="en-AU"/>
            </w:rPr>
          </w:pPr>
          <w:hyperlink w:anchor="_Toc66438730" w:history="1">
            <w:r w:rsidRPr="004F4F7F">
              <w:rPr>
                <w:rStyle w:val="Hyperlink"/>
              </w:rPr>
              <w:t>9.1</w:t>
            </w:r>
            <w:r>
              <w:rPr>
                <w:rFonts w:eastAsiaTheme="minorEastAsia"/>
                <w:sz w:val="22"/>
                <w:szCs w:val="22"/>
                <w:lang w:val="en-AU" w:eastAsia="en-AU"/>
              </w:rPr>
              <w:tab/>
            </w:r>
            <w:r w:rsidRPr="004F4F7F">
              <w:rPr>
                <w:rStyle w:val="Hyperlink"/>
              </w:rPr>
              <w:t>MANAGING ADVERSE EVENTS</w:t>
            </w:r>
            <w:r>
              <w:rPr>
                <w:webHidden/>
              </w:rPr>
              <w:tab/>
            </w:r>
            <w:r>
              <w:rPr>
                <w:webHidden/>
              </w:rPr>
              <w:fldChar w:fldCharType="begin"/>
            </w:r>
            <w:r>
              <w:rPr>
                <w:webHidden/>
              </w:rPr>
              <w:instrText xml:space="preserve"> PAGEREF _Toc66438730 \h </w:instrText>
            </w:r>
            <w:r>
              <w:rPr>
                <w:webHidden/>
              </w:rPr>
            </w:r>
            <w:r>
              <w:rPr>
                <w:webHidden/>
              </w:rPr>
              <w:fldChar w:fldCharType="separate"/>
            </w:r>
            <w:r w:rsidR="005B63DF">
              <w:rPr>
                <w:webHidden/>
              </w:rPr>
              <w:t>70</w:t>
            </w:r>
            <w:r>
              <w:rPr>
                <w:webHidden/>
              </w:rPr>
              <w:fldChar w:fldCharType="end"/>
            </w:r>
          </w:hyperlink>
        </w:p>
        <w:p w14:paraId="135D8B25" w14:textId="52799687" w:rsidR="00411E0E" w:rsidRDefault="00411E0E">
          <w:pPr>
            <w:pStyle w:val="TOC2"/>
            <w:rPr>
              <w:rFonts w:eastAsiaTheme="minorEastAsia"/>
              <w:sz w:val="22"/>
              <w:szCs w:val="22"/>
              <w:lang w:val="en-AU" w:eastAsia="en-AU"/>
            </w:rPr>
          </w:pPr>
          <w:hyperlink w:anchor="_Toc66438731" w:history="1">
            <w:r w:rsidRPr="004F4F7F">
              <w:rPr>
                <w:rStyle w:val="Hyperlink"/>
                <w:lang w:val="en-GB"/>
              </w:rPr>
              <w:t>9.2</w:t>
            </w:r>
            <w:r>
              <w:rPr>
                <w:rFonts w:eastAsiaTheme="minorEastAsia"/>
                <w:sz w:val="22"/>
                <w:szCs w:val="22"/>
                <w:lang w:val="en-AU" w:eastAsia="en-AU"/>
              </w:rPr>
              <w:tab/>
            </w:r>
            <w:r w:rsidRPr="004F4F7F">
              <w:rPr>
                <w:rStyle w:val="Hyperlink"/>
                <w:lang w:val="en-GB"/>
              </w:rPr>
              <w:t>THE ROLE OF THE NATIONAL QUALITY MANAGEMENT COMMITTEE (NQMC) IN MANAGING ADVERSE EVENTS</w:t>
            </w:r>
            <w:r>
              <w:rPr>
                <w:webHidden/>
              </w:rPr>
              <w:tab/>
            </w:r>
            <w:r>
              <w:rPr>
                <w:webHidden/>
              </w:rPr>
              <w:fldChar w:fldCharType="begin"/>
            </w:r>
            <w:r>
              <w:rPr>
                <w:webHidden/>
              </w:rPr>
              <w:instrText xml:space="preserve"> PAGEREF _Toc66438731 \h </w:instrText>
            </w:r>
            <w:r>
              <w:rPr>
                <w:webHidden/>
              </w:rPr>
            </w:r>
            <w:r>
              <w:rPr>
                <w:webHidden/>
              </w:rPr>
              <w:fldChar w:fldCharType="separate"/>
            </w:r>
            <w:r w:rsidR="005B63DF">
              <w:rPr>
                <w:webHidden/>
              </w:rPr>
              <w:t>70</w:t>
            </w:r>
            <w:r>
              <w:rPr>
                <w:webHidden/>
              </w:rPr>
              <w:fldChar w:fldCharType="end"/>
            </w:r>
          </w:hyperlink>
        </w:p>
        <w:p w14:paraId="06AFD06E" w14:textId="4F4E4F0A" w:rsidR="00411E0E" w:rsidRDefault="00411E0E">
          <w:pPr>
            <w:pStyle w:val="TOC2"/>
            <w:rPr>
              <w:rFonts w:eastAsiaTheme="minorEastAsia"/>
              <w:sz w:val="22"/>
              <w:szCs w:val="22"/>
              <w:lang w:val="en-AU" w:eastAsia="en-AU"/>
            </w:rPr>
          </w:pPr>
          <w:hyperlink w:anchor="_Toc66438732" w:history="1">
            <w:r w:rsidRPr="004F4F7F">
              <w:rPr>
                <w:rStyle w:val="Hyperlink"/>
                <w:lang w:val="en-GB"/>
              </w:rPr>
              <w:t>9.3</w:t>
            </w:r>
            <w:r>
              <w:rPr>
                <w:rFonts w:eastAsiaTheme="minorEastAsia"/>
                <w:sz w:val="22"/>
                <w:szCs w:val="22"/>
                <w:lang w:val="en-AU" w:eastAsia="en-AU"/>
              </w:rPr>
              <w:tab/>
            </w:r>
            <w:r w:rsidRPr="004F4F7F">
              <w:rPr>
                <w:rStyle w:val="Hyperlink"/>
                <w:lang w:val="en-GB"/>
              </w:rPr>
              <w:t>INCIDENT MANAGEMENT PROCESS</w:t>
            </w:r>
            <w:r>
              <w:rPr>
                <w:webHidden/>
              </w:rPr>
              <w:tab/>
            </w:r>
            <w:r>
              <w:rPr>
                <w:webHidden/>
              </w:rPr>
              <w:fldChar w:fldCharType="begin"/>
            </w:r>
            <w:r>
              <w:rPr>
                <w:webHidden/>
              </w:rPr>
              <w:instrText xml:space="preserve"> PAGEREF _Toc66438732 \h </w:instrText>
            </w:r>
            <w:r>
              <w:rPr>
                <w:webHidden/>
              </w:rPr>
            </w:r>
            <w:r>
              <w:rPr>
                <w:webHidden/>
              </w:rPr>
              <w:fldChar w:fldCharType="separate"/>
            </w:r>
            <w:r w:rsidR="005B63DF">
              <w:rPr>
                <w:webHidden/>
              </w:rPr>
              <w:t>70</w:t>
            </w:r>
            <w:r>
              <w:rPr>
                <w:webHidden/>
              </w:rPr>
              <w:fldChar w:fldCharType="end"/>
            </w:r>
          </w:hyperlink>
        </w:p>
        <w:p w14:paraId="21DBC078" w14:textId="16C4AAD9" w:rsidR="00411E0E" w:rsidRDefault="00411E0E">
          <w:pPr>
            <w:pStyle w:val="TOC2"/>
            <w:rPr>
              <w:rFonts w:eastAsiaTheme="minorEastAsia"/>
              <w:sz w:val="22"/>
              <w:szCs w:val="22"/>
              <w:lang w:val="en-AU" w:eastAsia="en-AU"/>
            </w:rPr>
          </w:pPr>
          <w:hyperlink w:anchor="_Toc66438733" w:history="1">
            <w:r w:rsidRPr="004F4F7F">
              <w:rPr>
                <w:rStyle w:val="Hyperlink"/>
                <w:lang w:val="en-GB"/>
              </w:rPr>
              <w:t>9.4</w:t>
            </w:r>
            <w:r>
              <w:rPr>
                <w:rFonts w:eastAsiaTheme="minorEastAsia"/>
                <w:sz w:val="22"/>
                <w:szCs w:val="22"/>
                <w:lang w:val="en-AU" w:eastAsia="en-AU"/>
              </w:rPr>
              <w:tab/>
            </w:r>
            <w:r w:rsidRPr="004F4F7F">
              <w:rPr>
                <w:rStyle w:val="Hyperlink"/>
                <w:lang w:val="en-GB"/>
              </w:rPr>
              <w:t>INCIDENT CLASSIFICATION</w:t>
            </w:r>
            <w:r>
              <w:rPr>
                <w:webHidden/>
              </w:rPr>
              <w:tab/>
            </w:r>
            <w:r>
              <w:rPr>
                <w:webHidden/>
              </w:rPr>
              <w:fldChar w:fldCharType="begin"/>
            </w:r>
            <w:r>
              <w:rPr>
                <w:webHidden/>
              </w:rPr>
              <w:instrText xml:space="preserve"> PAGEREF _Toc66438733 \h </w:instrText>
            </w:r>
            <w:r>
              <w:rPr>
                <w:webHidden/>
              </w:rPr>
            </w:r>
            <w:r>
              <w:rPr>
                <w:webHidden/>
              </w:rPr>
              <w:fldChar w:fldCharType="separate"/>
            </w:r>
            <w:r w:rsidR="005B63DF">
              <w:rPr>
                <w:webHidden/>
              </w:rPr>
              <w:t>71</w:t>
            </w:r>
            <w:r>
              <w:rPr>
                <w:webHidden/>
              </w:rPr>
              <w:fldChar w:fldCharType="end"/>
            </w:r>
          </w:hyperlink>
        </w:p>
        <w:p w14:paraId="06738396" w14:textId="18D59978" w:rsidR="00411E0E" w:rsidRDefault="00411E0E">
          <w:pPr>
            <w:pStyle w:val="TOC2"/>
            <w:rPr>
              <w:rFonts w:eastAsiaTheme="minorEastAsia"/>
              <w:sz w:val="22"/>
              <w:szCs w:val="22"/>
              <w:lang w:val="en-AU" w:eastAsia="en-AU"/>
            </w:rPr>
          </w:pPr>
          <w:hyperlink w:anchor="_Toc66438734" w:history="1">
            <w:r w:rsidRPr="004F4F7F">
              <w:rPr>
                <w:rStyle w:val="Hyperlink"/>
                <w:lang w:val="en-GB"/>
              </w:rPr>
              <w:t>9.5</w:t>
            </w:r>
            <w:r>
              <w:rPr>
                <w:rFonts w:eastAsiaTheme="minorEastAsia"/>
                <w:sz w:val="22"/>
                <w:szCs w:val="22"/>
                <w:lang w:val="en-AU" w:eastAsia="en-AU"/>
              </w:rPr>
              <w:tab/>
            </w:r>
            <w:r w:rsidRPr="004F4F7F">
              <w:rPr>
                <w:rStyle w:val="Hyperlink"/>
                <w:lang w:val="en-GB"/>
              </w:rPr>
              <w:t>NATIONAL SENTINEL EVENTS</w:t>
            </w:r>
            <w:r>
              <w:rPr>
                <w:webHidden/>
              </w:rPr>
              <w:tab/>
            </w:r>
            <w:r>
              <w:rPr>
                <w:webHidden/>
              </w:rPr>
              <w:fldChar w:fldCharType="begin"/>
            </w:r>
            <w:r>
              <w:rPr>
                <w:webHidden/>
              </w:rPr>
              <w:instrText xml:space="preserve"> PAGEREF _Toc66438734 \h </w:instrText>
            </w:r>
            <w:r>
              <w:rPr>
                <w:webHidden/>
              </w:rPr>
            </w:r>
            <w:r>
              <w:rPr>
                <w:webHidden/>
              </w:rPr>
              <w:fldChar w:fldCharType="separate"/>
            </w:r>
            <w:r w:rsidR="005B63DF">
              <w:rPr>
                <w:webHidden/>
              </w:rPr>
              <w:t>73</w:t>
            </w:r>
            <w:r>
              <w:rPr>
                <w:webHidden/>
              </w:rPr>
              <w:fldChar w:fldCharType="end"/>
            </w:r>
          </w:hyperlink>
        </w:p>
        <w:p w14:paraId="188BBBD4" w14:textId="5D350890" w:rsidR="00411E0E" w:rsidRDefault="00411E0E">
          <w:pPr>
            <w:pStyle w:val="TOC2"/>
            <w:rPr>
              <w:rFonts w:eastAsiaTheme="minorEastAsia"/>
              <w:sz w:val="22"/>
              <w:szCs w:val="22"/>
              <w:lang w:val="en-AU" w:eastAsia="en-AU"/>
            </w:rPr>
          </w:pPr>
          <w:hyperlink w:anchor="_Toc66438735" w:history="1">
            <w:r w:rsidRPr="004F4F7F">
              <w:rPr>
                <w:rStyle w:val="Hyperlink"/>
                <w:lang w:val="en-GB"/>
              </w:rPr>
              <w:t>9.6</w:t>
            </w:r>
            <w:r>
              <w:rPr>
                <w:rFonts w:eastAsiaTheme="minorEastAsia"/>
                <w:sz w:val="22"/>
                <w:szCs w:val="22"/>
                <w:lang w:val="en-AU" w:eastAsia="en-AU"/>
              </w:rPr>
              <w:tab/>
            </w:r>
            <w:r w:rsidRPr="004F4F7F">
              <w:rPr>
                <w:rStyle w:val="Hyperlink"/>
                <w:lang w:val="en-GB"/>
              </w:rPr>
              <w:t>ACTION</w:t>
            </w:r>
            <w:r>
              <w:rPr>
                <w:webHidden/>
              </w:rPr>
              <w:tab/>
            </w:r>
            <w:r>
              <w:rPr>
                <w:webHidden/>
              </w:rPr>
              <w:fldChar w:fldCharType="begin"/>
            </w:r>
            <w:r>
              <w:rPr>
                <w:webHidden/>
              </w:rPr>
              <w:instrText xml:space="preserve"> PAGEREF _Toc66438735 \h </w:instrText>
            </w:r>
            <w:r>
              <w:rPr>
                <w:webHidden/>
              </w:rPr>
            </w:r>
            <w:r>
              <w:rPr>
                <w:webHidden/>
              </w:rPr>
              <w:fldChar w:fldCharType="separate"/>
            </w:r>
            <w:r w:rsidR="005B63DF">
              <w:rPr>
                <w:webHidden/>
              </w:rPr>
              <w:t>73</w:t>
            </w:r>
            <w:r>
              <w:rPr>
                <w:webHidden/>
              </w:rPr>
              <w:fldChar w:fldCharType="end"/>
            </w:r>
          </w:hyperlink>
        </w:p>
        <w:p w14:paraId="43B17F8B" w14:textId="6065887C" w:rsidR="00411E0E" w:rsidRDefault="00411E0E">
          <w:pPr>
            <w:pStyle w:val="TOC1"/>
            <w:tabs>
              <w:tab w:val="left" w:pos="1760"/>
            </w:tabs>
            <w:rPr>
              <w:rFonts w:eastAsiaTheme="minorEastAsia"/>
              <w:noProof/>
              <w:sz w:val="22"/>
              <w:szCs w:val="22"/>
              <w:lang w:val="en-AU" w:eastAsia="en-AU"/>
            </w:rPr>
          </w:pPr>
          <w:hyperlink w:anchor="_Toc66438736" w:history="1">
            <w:r w:rsidRPr="004F4F7F">
              <w:rPr>
                <w:rStyle w:val="Hyperlink"/>
                <w:noProof/>
              </w:rPr>
              <w:t>Attachment 1:</w:t>
            </w:r>
            <w:r>
              <w:rPr>
                <w:rFonts w:eastAsiaTheme="minorEastAsia"/>
                <w:noProof/>
                <w:sz w:val="22"/>
                <w:szCs w:val="22"/>
                <w:lang w:val="en-AU" w:eastAsia="en-AU"/>
              </w:rPr>
              <w:tab/>
            </w:r>
            <w:r w:rsidRPr="004F4F7F">
              <w:rPr>
                <w:rStyle w:val="Hyperlink"/>
                <w:noProof/>
              </w:rPr>
              <w:t>BreastScreen Australia National Quality Improvement Framework</w:t>
            </w:r>
            <w:r>
              <w:rPr>
                <w:noProof/>
                <w:webHidden/>
              </w:rPr>
              <w:tab/>
            </w:r>
            <w:r>
              <w:rPr>
                <w:noProof/>
                <w:webHidden/>
              </w:rPr>
              <w:fldChar w:fldCharType="begin"/>
            </w:r>
            <w:r>
              <w:rPr>
                <w:noProof/>
                <w:webHidden/>
              </w:rPr>
              <w:instrText xml:space="preserve"> PAGEREF _Toc66438736 \h </w:instrText>
            </w:r>
            <w:r>
              <w:rPr>
                <w:noProof/>
                <w:webHidden/>
              </w:rPr>
            </w:r>
            <w:r>
              <w:rPr>
                <w:noProof/>
                <w:webHidden/>
              </w:rPr>
              <w:fldChar w:fldCharType="separate"/>
            </w:r>
            <w:r w:rsidR="005B63DF">
              <w:rPr>
                <w:noProof/>
                <w:webHidden/>
              </w:rPr>
              <w:t>75</w:t>
            </w:r>
            <w:r>
              <w:rPr>
                <w:noProof/>
                <w:webHidden/>
              </w:rPr>
              <w:fldChar w:fldCharType="end"/>
            </w:r>
          </w:hyperlink>
        </w:p>
        <w:p w14:paraId="0B76D4EF" w14:textId="4012D159" w:rsidR="00411E0E" w:rsidRDefault="00411E0E">
          <w:pPr>
            <w:pStyle w:val="TOC1"/>
            <w:tabs>
              <w:tab w:val="left" w:pos="1760"/>
            </w:tabs>
            <w:rPr>
              <w:rFonts w:eastAsiaTheme="minorEastAsia"/>
              <w:noProof/>
              <w:sz w:val="22"/>
              <w:szCs w:val="22"/>
              <w:lang w:val="en-AU" w:eastAsia="en-AU"/>
            </w:rPr>
          </w:pPr>
          <w:hyperlink w:anchor="_Toc66438737" w:history="1">
            <w:r w:rsidRPr="004F4F7F">
              <w:rPr>
                <w:rStyle w:val="Hyperlink"/>
                <w:noProof/>
              </w:rPr>
              <w:t xml:space="preserve">Attachment 2: </w:t>
            </w:r>
            <w:r>
              <w:rPr>
                <w:rFonts w:eastAsiaTheme="minorEastAsia"/>
                <w:noProof/>
                <w:sz w:val="22"/>
                <w:szCs w:val="22"/>
                <w:lang w:val="en-AU" w:eastAsia="en-AU"/>
              </w:rPr>
              <w:tab/>
            </w:r>
            <w:r w:rsidRPr="004F4F7F">
              <w:rPr>
                <w:rStyle w:val="Hyperlink"/>
                <w:noProof/>
              </w:rPr>
              <w:t>BreastScreen Australia National Accreditation Standards and Risk Category Grouping</w:t>
            </w:r>
            <w:r>
              <w:rPr>
                <w:noProof/>
                <w:webHidden/>
              </w:rPr>
              <w:tab/>
            </w:r>
            <w:r>
              <w:rPr>
                <w:noProof/>
                <w:webHidden/>
              </w:rPr>
              <w:fldChar w:fldCharType="begin"/>
            </w:r>
            <w:r>
              <w:rPr>
                <w:noProof/>
                <w:webHidden/>
              </w:rPr>
              <w:instrText xml:space="preserve"> PAGEREF _Toc66438737 \h </w:instrText>
            </w:r>
            <w:r>
              <w:rPr>
                <w:noProof/>
                <w:webHidden/>
              </w:rPr>
            </w:r>
            <w:r>
              <w:rPr>
                <w:noProof/>
                <w:webHidden/>
              </w:rPr>
              <w:fldChar w:fldCharType="separate"/>
            </w:r>
            <w:r w:rsidR="005B63DF">
              <w:rPr>
                <w:noProof/>
                <w:webHidden/>
              </w:rPr>
              <w:t>77</w:t>
            </w:r>
            <w:r>
              <w:rPr>
                <w:noProof/>
                <w:webHidden/>
              </w:rPr>
              <w:fldChar w:fldCharType="end"/>
            </w:r>
          </w:hyperlink>
        </w:p>
        <w:p w14:paraId="68D39BB4" w14:textId="79510C93" w:rsidR="00411E0E" w:rsidRDefault="00411E0E">
          <w:pPr>
            <w:pStyle w:val="TOC1"/>
            <w:tabs>
              <w:tab w:val="left" w:pos="1760"/>
            </w:tabs>
            <w:rPr>
              <w:rFonts w:eastAsiaTheme="minorEastAsia"/>
              <w:noProof/>
              <w:sz w:val="22"/>
              <w:szCs w:val="22"/>
              <w:lang w:val="en-AU" w:eastAsia="en-AU"/>
            </w:rPr>
          </w:pPr>
          <w:hyperlink w:anchor="_Toc66438738" w:history="1">
            <w:r w:rsidRPr="004F4F7F">
              <w:rPr>
                <w:rStyle w:val="Hyperlink"/>
                <w:noProof/>
              </w:rPr>
              <w:t>Attachment 3:</w:t>
            </w:r>
            <w:r>
              <w:rPr>
                <w:rFonts w:eastAsiaTheme="minorEastAsia"/>
                <w:noProof/>
                <w:sz w:val="22"/>
                <w:szCs w:val="22"/>
                <w:lang w:val="en-AU" w:eastAsia="en-AU"/>
              </w:rPr>
              <w:tab/>
            </w:r>
            <w:r w:rsidRPr="004F4F7F">
              <w:rPr>
                <w:rStyle w:val="Hyperlink"/>
                <w:noProof/>
              </w:rPr>
              <w:t>National Quality Management Committee Checklist</w:t>
            </w:r>
            <w:r>
              <w:rPr>
                <w:noProof/>
                <w:webHidden/>
              </w:rPr>
              <w:tab/>
            </w:r>
            <w:r>
              <w:rPr>
                <w:noProof/>
                <w:webHidden/>
              </w:rPr>
              <w:fldChar w:fldCharType="begin"/>
            </w:r>
            <w:r>
              <w:rPr>
                <w:noProof/>
                <w:webHidden/>
              </w:rPr>
              <w:instrText xml:space="preserve"> PAGEREF _Toc66438738 \h </w:instrText>
            </w:r>
            <w:r>
              <w:rPr>
                <w:noProof/>
                <w:webHidden/>
              </w:rPr>
            </w:r>
            <w:r>
              <w:rPr>
                <w:noProof/>
                <w:webHidden/>
              </w:rPr>
              <w:fldChar w:fldCharType="separate"/>
            </w:r>
            <w:r w:rsidR="005B63DF">
              <w:rPr>
                <w:noProof/>
                <w:webHidden/>
              </w:rPr>
              <w:t>79</w:t>
            </w:r>
            <w:r>
              <w:rPr>
                <w:noProof/>
                <w:webHidden/>
              </w:rPr>
              <w:fldChar w:fldCharType="end"/>
            </w:r>
          </w:hyperlink>
        </w:p>
        <w:p w14:paraId="19094227" w14:textId="340CE6FE" w:rsidR="00411E0E" w:rsidRDefault="00411E0E">
          <w:pPr>
            <w:pStyle w:val="TOC1"/>
            <w:tabs>
              <w:tab w:val="left" w:pos="1760"/>
            </w:tabs>
            <w:rPr>
              <w:rFonts w:eastAsiaTheme="minorEastAsia"/>
              <w:noProof/>
              <w:sz w:val="22"/>
              <w:szCs w:val="22"/>
              <w:lang w:val="en-AU" w:eastAsia="en-AU"/>
            </w:rPr>
          </w:pPr>
          <w:hyperlink w:anchor="_Toc66438739" w:history="1">
            <w:r w:rsidRPr="004F4F7F">
              <w:rPr>
                <w:rStyle w:val="Hyperlink"/>
                <w:noProof/>
              </w:rPr>
              <w:t>Attachment 4:</w:t>
            </w:r>
            <w:r>
              <w:rPr>
                <w:rFonts w:eastAsiaTheme="minorEastAsia"/>
                <w:noProof/>
                <w:sz w:val="22"/>
                <w:szCs w:val="22"/>
                <w:lang w:val="en-AU" w:eastAsia="en-AU"/>
              </w:rPr>
              <w:tab/>
            </w:r>
            <w:r w:rsidRPr="004F4F7F">
              <w:rPr>
                <w:rStyle w:val="Hyperlink"/>
                <w:noProof/>
              </w:rPr>
              <w:t>Payment and Travel Requirements for Surveyors and Data Assessors</w:t>
            </w:r>
            <w:r>
              <w:rPr>
                <w:noProof/>
                <w:webHidden/>
              </w:rPr>
              <w:tab/>
            </w:r>
            <w:r>
              <w:rPr>
                <w:noProof/>
                <w:webHidden/>
              </w:rPr>
              <w:fldChar w:fldCharType="begin"/>
            </w:r>
            <w:r>
              <w:rPr>
                <w:noProof/>
                <w:webHidden/>
              </w:rPr>
              <w:instrText xml:space="preserve"> PAGEREF _Toc66438739 \h </w:instrText>
            </w:r>
            <w:r>
              <w:rPr>
                <w:noProof/>
                <w:webHidden/>
              </w:rPr>
            </w:r>
            <w:r>
              <w:rPr>
                <w:noProof/>
                <w:webHidden/>
              </w:rPr>
              <w:fldChar w:fldCharType="separate"/>
            </w:r>
            <w:r w:rsidR="005B63DF">
              <w:rPr>
                <w:noProof/>
                <w:webHidden/>
              </w:rPr>
              <w:t>80</w:t>
            </w:r>
            <w:r>
              <w:rPr>
                <w:noProof/>
                <w:webHidden/>
              </w:rPr>
              <w:fldChar w:fldCharType="end"/>
            </w:r>
          </w:hyperlink>
        </w:p>
        <w:p w14:paraId="50F54E92" w14:textId="054F8F58" w:rsidR="00411E0E" w:rsidRDefault="00411E0E">
          <w:pPr>
            <w:pStyle w:val="TOC1"/>
            <w:tabs>
              <w:tab w:val="left" w:pos="1760"/>
            </w:tabs>
            <w:rPr>
              <w:rFonts w:eastAsiaTheme="minorEastAsia"/>
              <w:noProof/>
              <w:sz w:val="22"/>
              <w:szCs w:val="22"/>
              <w:lang w:val="en-AU" w:eastAsia="en-AU"/>
            </w:rPr>
          </w:pPr>
          <w:hyperlink w:anchor="_Toc66438749" w:history="1">
            <w:r w:rsidRPr="004F4F7F">
              <w:rPr>
                <w:rStyle w:val="Hyperlink"/>
                <w:noProof/>
              </w:rPr>
              <w:t>Attachment 5:</w:t>
            </w:r>
            <w:r>
              <w:rPr>
                <w:rFonts w:eastAsiaTheme="minorEastAsia"/>
                <w:noProof/>
                <w:sz w:val="22"/>
                <w:szCs w:val="22"/>
                <w:lang w:val="en-AU" w:eastAsia="en-AU"/>
              </w:rPr>
              <w:tab/>
            </w:r>
            <w:r w:rsidRPr="004F4F7F">
              <w:rPr>
                <w:rStyle w:val="Hyperlink"/>
                <w:noProof/>
              </w:rPr>
              <w:t>The Use of Confidence Intervals in NQMC Decision-Making</w:t>
            </w:r>
            <w:r>
              <w:rPr>
                <w:noProof/>
                <w:webHidden/>
              </w:rPr>
              <w:tab/>
            </w:r>
            <w:r>
              <w:rPr>
                <w:noProof/>
                <w:webHidden/>
              </w:rPr>
              <w:fldChar w:fldCharType="begin"/>
            </w:r>
            <w:r>
              <w:rPr>
                <w:noProof/>
                <w:webHidden/>
              </w:rPr>
              <w:instrText xml:space="preserve"> PAGEREF _Toc66438749 \h </w:instrText>
            </w:r>
            <w:r>
              <w:rPr>
                <w:noProof/>
                <w:webHidden/>
              </w:rPr>
            </w:r>
            <w:r>
              <w:rPr>
                <w:noProof/>
                <w:webHidden/>
              </w:rPr>
              <w:fldChar w:fldCharType="separate"/>
            </w:r>
            <w:r w:rsidR="005B63DF">
              <w:rPr>
                <w:noProof/>
                <w:webHidden/>
              </w:rPr>
              <w:t>83</w:t>
            </w:r>
            <w:r>
              <w:rPr>
                <w:noProof/>
                <w:webHidden/>
              </w:rPr>
              <w:fldChar w:fldCharType="end"/>
            </w:r>
          </w:hyperlink>
        </w:p>
        <w:p w14:paraId="7C5BDE00" w14:textId="6704C545" w:rsidR="00411E0E" w:rsidRDefault="00411E0E">
          <w:pPr>
            <w:pStyle w:val="TOC1"/>
            <w:tabs>
              <w:tab w:val="left" w:pos="1760"/>
            </w:tabs>
            <w:rPr>
              <w:rFonts w:eastAsiaTheme="minorEastAsia"/>
              <w:noProof/>
              <w:sz w:val="22"/>
              <w:szCs w:val="22"/>
              <w:lang w:val="en-AU" w:eastAsia="en-AU"/>
            </w:rPr>
          </w:pPr>
          <w:hyperlink w:anchor="_Toc66438753" w:history="1">
            <w:r w:rsidRPr="004F4F7F">
              <w:rPr>
                <w:rStyle w:val="Hyperlink"/>
                <w:noProof/>
              </w:rPr>
              <w:t>Attachment 6:</w:t>
            </w:r>
            <w:r>
              <w:rPr>
                <w:rFonts w:eastAsiaTheme="minorEastAsia"/>
                <w:noProof/>
                <w:sz w:val="22"/>
                <w:szCs w:val="22"/>
                <w:lang w:val="en-AU" w:eastAsia="en-AU"/>
              </w:rPr>
              <w:tab/>
            </w:r>
            <w:r w:rsidRPr="004F4F7F">
              <w:rPr>
                <w:rStyle w:val="Hyperlink"/>
                <w:noProof/>
              </w:rPr>
              <w:t>NQMC Membership Rotation Policy</w:t>
            </w:r>
            <w:r>
              <w:rPr>
                <w:noProof/>
                <w:webHidden/>
              </w:rPr>
              <w:tab/>
            </w:r>
            <w:r>
              <w:rPr>
                <w:noProof/>
                <w:webHidden/>
              </w:rPr>
              <w:fldChar w:fldCharType="begin"/>
            </w:r>
            <w:r>
              <w:rPr>
                <w:noProof/>
                <w:webHidden/>
              </w:rPr>
              <w:instrText xml:space="preserve"> PAGEREF _Toc66438753 \h </w:instrText>
            </w:r>
            <w:r>
              <w:rPr>
                <w:noProof/>
                <w:webHidden/>
              </w:rPr>
            </w:r>
            <w:r>
              <w:rPr>
                <w:noProof/>
                <w:webHidden/>
              </w:rPr>
              <w:fldChar w:fldCharType="separate"/>
            </w:r>
            <w:r w:rsidR="005B63DF">
              <w:rPr>
                <w:noProof/>
                <w:webHidden/>
              </w:rPr>
              <w:t>87</w:t>
            </w:r>
            <w:r>
              <w:rPr>
                <w:noProof/>
                <w:webHidden/>
              </w:rPr>
              <w:fldChar w:fldCharType="end"/>
            </w:r>
          </w:hyperlink>
        </w:p>
        <w:p w14:paraId="64CC462D" w14:textId="4A278DB5" w:rsidR="00411E0E" w:rsidRDefault="00411E0E">
          <w:pPr>
            <w:pStyle w:val="TOC1"/>
            <w:tabs>
              <w:tab w:val="left" w:pos="1760"/>
            </w:tabs>
            <w:rPr>
              <w:rFonts w:eastAsiaTheme="minorEastAsia"/>
              <w:noProof/>
              <w:sz w:val="22"/>
              <w:szCs w:val="22"/>
              <w:lang w:val="en-AU" w:eastAsia="en-AU"/>
            </w:rPr>
          </w:pPr>
          <w:hyperlink w:anchor="_Toc66438757" w:history="1">
            <w:r w:rsidRPr="004F4F7F">
              <w:rPr>
                <w:rStyle w:val="Hyperlink"/>
                <w:noProof/>
              </w:rPr>
              <w:t>Attachment 7:</w:t>
            </w:r>
            <w:r>
              <w:rPr>
                <w:rFonts w:eastAsiaTheme="minorEastAsia"/>
                <w:noProof/>
                <w:sz w:val="22"/>
                <w:szCs w:val="22"/>
                <w:lang w:val="en-AU" w:eastAsia="en-AU"/>
              </w:rPr>
              <w:tab/>
            </w:r>
            <w:r w:rsidRPr="004F4F7F">
              <w:rPr>
                <w:rStyle w:val="Hyperlink"/>
                <w:noProof/>
              </w:rPr>
              <w:t>Revised Approach to Accreditation Decision Making</w:t>
            </w:r>
            <w:r>
              <w:rPr>
                <w:noProof/>
                <w:webHidden/>
              </w:rPr>
              <w:tab/>
            </w:r>
            <w:r>
              <w:rPr>
                <w:noProof/>
                <w:webHidden/>
              </w:rPr>
              <w:fldChar w:fldCharType="begin"/>
            </w:r>
            <w:r>
              <w:rPr>
                <w:noProof/>
                <w:webHidden/>
              </w:rPr>
              <w:instrText xml:space="preserve"> PAGEREF _Toc66438757 \h </w:instrText>
            </w:r>
            <w:r>
              <w:rPr>
                <w:noProof/>
                <w:webHidden/>
              </w:rPr>
            </w:r>
            <w:r>
              <w:rPr>
                <w:noProof/>
                <w:webHidden/>
              </w:rPr>
              <w:fldChar w:fldCharType="separate"/>
            </w:r>
            <w:r w:rsidR="005B63DF">
              <w:rPr>
                <w:noProof/>
                <w:webHidden/>
              </w:rPr>
              <w:t>90</w:t>
            </w:r>
            <w:r>
              <w:rPr>
                <w:noProof/>
                <w:webHidden/>
              </w:rPr>
              <w:fldChar w:fldCharType="end"/>
            </w:r>
          </w:hyperlink>
        </w:p>
        <w:p w14:paraId="069D074B" w14:textId="0BAD091D" w:rsidR="00E77D36" w:rsidRPr="007A5CF9" w:rsidRDefault="00264513" w:rsidP="00B90F7F">
          <w:pPr>
            <w:pStyle w:val="TOC1"/>
            <w:rPr>
              <w:rFonts w:eastAsiaTheme="minorEastAsia"/>
              <w:noProof/>
              <w:sz w:val="22"/>
              <w:szCs w:val="22"/>
              <w:lang w:val="en-AU" w:eastAsia="en-AU"/>
            </w:rPr>
          </w:pPr>
          <w:r>
            <w:fldChar w:fldCharType="end"/>
          </w:r>
        </w:p>
      </w:sdtContent>
    </w:sdt>
    <w:p w14:paraId="5A9F667B" w14:textId="77777777" w:rsidR="0061320D" w:rsidRPr="00265C02" w:rsidRDefault="0061320D" w:rsidP="005D1657">
      <w:pPr>
        <w:pStyle w:val="Heading1"/>
        <w:numPr>
          <w:ilvl w:val="0"/>
          <w:numId w:val="0"/>
        </w:numPr>
        <w:ind w:left="142"/>
      </w:pPr>
      <w:bookmarkStart w:id="1" w:name="_Toc66438605"/>
      <w:r w:rsidRPr="00265C02">
        <w:lastRenderedPageBreak/>
        <w:t>GLOSSARY OF TERMS</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Glossary of terms"/>
      </w:tblPr>
      <w:tblGrid>
        <w:gridCol w:w="2549"/>
        <w:gridCol w:w="6359"/>
      </w:tblGrid>
      <w:tr w:rsidR="005455AC" w14:paraId="67FC8F3D" w14:textId="77777777" w:rsidTr="00C46142">
        <w:trPr>
          <w:cantSplit/>
        </w:trPr>
        <w:tc>
          <w:tcPr>
            <w:tcW w:w="2571" w:type="dxa"/>
          </w:tcPr>
          <w:p w14:paraId="08EB2CA2" w14:textId="77777777" w:rsidR="005455AC" w:rsidRPr="00AF5417" w:rsidRDefault="005455AC" w:rsidP="00AB1C35">
            <w:r>
              <w:t>Accreditation Survey</w:t>
            </w:r>
          </w:p>
        </w:tc>
        <w:tc>
          <w:tcPr>
            <w:tcW w:w="6501" w:type="dxa"/>
          </w:tcPr>
          <w:p w14:paraId="411BF115" w14:textId="77777777" w:rsidR="005455AC" w:rsidRDefault="005455AC" w:rsidP="00AB1C35">
            <w:r w:rsidRPr="00AF5417">
              <w:t>An external rev</w:t>
            </w:r>
            <w:r>
              <w:t xml:space="preserve">iew of a Service and/or SCU performance against the national Program standards, based on the </w:t>
            </w:r>
            <w:r w:rsidRPr="00AF5417">
              <w:t>NAS</w:t>
            </w:r>
            <w:r>
              <w:t xml:space="preserve"> Measures</w:t>
            </w:r>
            <w:r w:rsidRPr="00AF5417">
              <w:t>, and undertaken by a team of professional peers</w:t>
            </w:r>
            <w:r>
              <w:t xml:space="preserve"> and the National Surveyor</w:t>
            </w:r>
            <w:r w:rsidRPr="00AF5417">
              <w:t>.</w:t>
            </w:r>
          </w:p>
        </w:tc>
      </w:tr>
      <w:tr w:rsidR="005455AC" w14:paraId="0CC95173" w14:textId="77777777" w:rsidTr="00C46142">
        <w:trPr>
          <w:cantSplit/>
        </w:trPr>
        <w:tc>
          <w:tcPr>
            <w:tcW w:w="2571" w:type="dxa"/>
          </w:tcPr>
          <w:p w14:paraId="5F10047B" w14:textId="77777777" w:rsidR="005455AC" w:rsidRPr="00C06B77" w:rsidRDefault="005455AC" w:rsidP="00AB1C35">
            <w:r>
              <w:t>BreastScreen Australia</w:t>
            </w:r>
          </w:p>
        </w:tc>
        <w:tc>
          <w:tcPr>
            <w:tcW w:w="6501" w:type="dxa"/>
          </w:tcPr>
          <w:p w14:paraId="0488BD0D" w14:textId="6B15BE20" w:rsidR="005455AC" w:rsidRPr="00DF6EA8" w:rsidRDefault="005455AC" w:rsidP="00AB1C35">
            <w:r w:rsidRPr="00DF6EA8">
              <w:t xml:space="preserve">BreastScreen Australia is the national </w:t>
            </w:r>
            <w:r w:rsidR="00411E0E" w:rsidRPr="00DF6EA8">
              <w:t>population-based</w:t>
            </w:r>
            <w:r w:rsidRPr="00DF6EA8">
              <w:t xml:space="preserve"> screening program for breast cancer. BreastScreen Australia services are delivered by </w:t>
            </w:r>
            <w:r>
              <w:t xml:space="preserve">state and territory governments, through </w:t>
            </w:r>
            <w:r w:rsidRPr="00DF6EA8">
              <w:t xml:space="preserve">dedicated, accredited Screening and Assessment Services, which provide breast screening in over 600 locations nationwide. </w:t>
            </w:r>
          </w:p>
        </w:tc>
      </w:tr>
      <w:tr w:rsidR="005455AC" w14:paraId="2B0B2760" w14:textId="77777777" w:rsidTr="00C46142">
        <w:trPr>
          <w:cantSplit/>
        </w:trPr>
        <w:tc>
          <w:tcPr>
            <w:tcW w:w="2571" w:type="dxa"/>
          </w:tcPr>
          <w:p w14:paraId="72CD1962" w14:textId="183144DE" w:rsidR="005455AC" w:rsidRPr="00C06B77" w:rsidRDefault="00C5699F" w:rsidP="00C46142">
            <w:r>
              <w:t>BreastScreen Australia Data Dictionary</w:t>
            </w:r>
          </w:p>
        </w:tc>
        <w:tc>
          <w:tcPr>
            <w:tcW w:w="6501" w:type="dxa"/>
          </w:tcPr>
          <w:p w14:paraId="327AC603" w14:textId="515A5C4F" w:rsidR="005455AC" w:rsidRPr="00C06B77" w:rsidRDefault="00C5699F" w:rsidP="008423FF">
            <w:pPr>
              <w:rPr>
                <w:rFonts w:cstheme="minorHAnsi"/>
              </w:rPr>
            </w:pPr>
            <w:r w:rsidRPr="0060369F">
              <w:t xml:space="preserve">The authoritative source of data definitions used by BreastScreen Australia to meet the need for national consistency in the data collected for program monitoring and evaluation. </w:t>
            </w:r>
          </w:p>
        </w:tc>
      </w:tr>
      <w:tr w:rsidR="000C4C19" w14:paraId="609D431C" w14:textId="77777777" w:rsidTr="00C46142">
        <w:trPr>
          <w:cantSplit/>
        </w:trPr>
        <w:tc>
          <w:tcPr>
            <w:tcW w:w="2571" w:type="dxa"/>
          </w:tcPr>
          <w:p w14:paraId="38496CF8" w14:textId="0C2479A5" w:rsidR="000C4C19" w:rsidRDefault="000C4C19" w:rsidP="00AB1C35">
            <w:r>
              <w:t>Client Management System</w:t>
            </w:r>
          </w:p>
        </w:tc>
        <w:tc>
          <w:tcPr>
            <w:tcW w:w="6501" w:type="dxa"/>
          </w:tcPr>
          <w:p w14:paraId="73E62EC5" w14:textId="7CC6D768" w:rsidR="000C4C19" w:rsidRPr="00D35735" w:rsidRDefault="000C4C19" w:rsidP="00AB1C35">
            <w:pPr>
              <w:rPr>
                <w:snapToGrid w:val="0"/>
              </w:rPr>
            </w:pPr>
            <w:r>
              <w:rPr>
                <w:snapToGrid w:val="0"/>
              </w:rPr>
              <w:t xml:space="preserve">The database which stores a client’s personal, demographic and clinical outcome data. In Multi-Service Jurisdictions, each Service may have its own Client Management System, or there may be a statewide database. In some cases, this may also be referred to as the ‘registry’. </w:t>
            </w:r>
          </w:p>
        </w:tc>
      </w:tr>
      <w:tr w:rsidR="008C45E1" w14:paraId="488728F1" w14:textId="77777777" w:rsidTr="00C46142">
        <w:trPr>
          <w:cantSplit/>
        </w:trPr>
        <w:tc>
          <w:tcPr>
            <w:tcW w:w="2571" w:type="dxa"/>
          </w:tcPr>
          <w:p w14:paraId="6512D1BD" w14:textId="163CC7D1" w:rsidR="008C45E1" w:rsidRDefault="008C45E1" w:rsidP="00C46142">
            <w:r>
              <w:t>Conditional accreditation</w:t>
            </w:r>
          </w:p>
        </w:tc>
        <w:tc>
          <w:tcPr>
            <w:tcW w:w="6501" w:type="dxa"/>
          </w:tcPr>
          <w:p w14:paraId="1E053321" w14:textId="34CA6695" w:rsidR="008C45E1" w:rsidRPr="0060369F" w:rsidRDefault="008C45E1" w:rsidP="00AB1C35">
            <w:r w:rsidRPr="00D35735">
              <w:rPr>
                <w:snapToGrid w:val="0"/>
              </w:rPr>
              <w:t xml:space="preserve">Conditional accreditation </w:t>
            </w:r>
            <w:r>
              <w:rPr>
                <w:snapToGrid w:val="0"/>
              </w:rPr>
              <w:t>is awarded to (i)</w:t>
            </w:r>
            <w:r w:rsidRPr="00D35735">
              <w:rPr>
                <w:snapToGrid w:val="0"/>
              </w:rPr>
              <w:t xml:space="preserve"> </w:t>
            </w:r>
            <w:r>
              <w:rPr>
                <w:snapToGrid w:val="0"/>
              </w:rPr>
              <w:t xml:space="preserve">new Services to </w:t>
            </w:r>
            <w:r w:rsidRPr="00D35735">
              <w:rPr>
                <w:snapToGrid w:val="0"/>
              </w:rPr>
              <w:t xml:space="preserve">allow </w:t>
            </w:r>
            <w:r>
              <w:rPr>
                <w:snapToGrid w:val="0"/>
              </w:rPr>
              <w:t>them</w:t>
            </w:r>
            <w:r w:rsidRPr="00D35735">
              <w:rPr>
                <w:snapToGrid w:val="0"/>
              </w:rPr>
              <w:t xml:space="preserve"> to become operational</w:t>
            </w:r>
            <w:r>
              <w:rPr>
                <w:snapToGrid w:val="0"/>
              </w:rPr>
              <w:t xml:space="preserve"> and (ii) </w:t>
            </w:r>
            <w:r w:rsidRPr="00D35735">
              <w:rPr>
                <w:snapToGrid w:val="0"/>
              </w:rPr>
              <w:t xml:space="preserve">Services and/or SCUs that need to address a number of quality improvement issues identified by the NQMC in order to </w:t>
            </w:r>
            <w:r>
              <w:rPr>
                <w:snapToGrid w:val="0"/>
              </w:rPr>
              <w:t xml:space="preserve">be or </w:t>
            </w:r>
            <w:r w:rsidRPr="00D35735">
              <w:rPr>
                <w:snapToGrid w:val="0"/>
              </w:rPr>
              <w:t>remain accredited as a BreastScreen Australia provider</w:t>
            </w:r>
            <w:r>
              <w:rPr>
                <w:snapToGrid w:val="0"/>
              </w:rPr>
              <w:t>.</w:t>
            </w:r>
          </w:p>
        </w:tc>
      </w:tr>
      <w:tr w:rsidR="008C45E1" w14:paraId="121A44BE" w14:textId="77777777" w:rsidTr="00C46142">
        <w:trPr>
          <w:cantSplit/>
        </w:trPr>
        <w:tc>
          <w:tcPr>
            <w:tcW w:w="2571" w:type="dxa"/>
          </w:tcPr>
          <w:p w14:paraId="40F38057" w14:textId="7E33FC27" w:rsidR="008C45E1" w:rsidRDefault="008C45E1" w:rsidP="00C46142">
            <w:r>
              <w:t>Data Assessors</w:t>
            </w:r>
          </w:p>
        </w:tc>
        <w:tc>
          <w:tcPr>
            <w:tcW w:w="6501" w:type="dxa"/>
          </w:tcPr>
          <w:p w14:paraId="588F7221" w14:textId="1EBD68F3" w:rsidR="008C45E1" w:rsidRPr="00D35735" w:rsidRDefault="008C45E1" w:rsidP="00AB1C35">
            <w:pPr>
              <w:rPr>
                <w:rFonts w:cstheme="minorHAnsi"/>
                <w:snapToGrid w:val="0"/>
              </w:rPr>
            </w:pPr>
            <w:r>
              <w:t xml:space="preserve">Data Assessors form part of the Accreditation Survey team and are responsible for </w:t>
            </w:r>
            <w:r w:rsidRPr="00A27D44">
              <w:t>undertak</w:t>
            </w:r>
            <w:r>
              <w:t>ing</w:t>
            </w:r>
            <w:r w:rsidRPr="00A27D44">
              <w:t xml:space="preserve"> a Data Governance and Management Assessment of the SCU</w:t>
            </w:r>
            <w:r>
              <w:t>/Service being accredited</w:t>
            </w:r>
            <w:r w:rsidRPr="00A27D44">
              <w:t>.</w:t>
            </w:r>
          </w:p>
        </w:tc>
      </w:tr>
      <w:tr w:rsidR="008C45E1" w14:paraId="70B6918B" w14:textId="77777777" w:rsidTr="00C46142">
        <w:trPr>
          <w:cantSplit/>
        </w:trPr>
        <w:tc>
          <w:tcPr>
            <w:tcW w:w="2571" w:type="dxa"/>
          </w:tcPr>
          <w:p w14:paraId="096F78AD" w14:textId="012B01A7" w:rsidR="008C45E1" w:rsidRDefault="008C45E1" w:rsidP="00C46142">
            <w:r w:rsidRPr="00C06B77">
              <w:t>Data Governance and Management Assessment</w:t>
            </w:r>
            <w:r w:rsidRPr="00525A48">
              <w:t xml:space="preserve"> </w:t>
            </w:r>
          </w:p>
        </w:tc>
        <w:tc>
          <w:tcPr>
            <w:tcW w:w="6501" w:type="dxa"/>
          </w:tcPr>
          <w:p w14:paraId="14753D1F" w14:textId="113B947F" w:rsidR="008C45E1" w:rsidRDefault="008C45E1" w:rsidP="00AB1C35">
            <w:r w:rsidRPr="00800E2A">
              <w:t>An independent assessment of a Service and/or SCUs policies and processes that are in place to ensure effective governance and management of BreastScreen data. These policies and processes must meet those requirements as outlined in the National Accreditation Standards (NAS).</w:t>
            </w:r>
            <w:r w:rsidRPr="00C06B77">
              <w:rPr>
                <w:rFonts w:cstheme="minorHAnsi"/>
              </w:rPr>
              <w:t xml:space="preserve"> </w:t>
            </w:r>
          </w:p>
        </w:tc>
      </w:tr>
      <w:tr w:rsidR="008C45E1" w14:paraId="1127A1D5" w14:textId="77777777" w:rsidTr="00C46142">
        <w:trPr>
          <w:cantSplit/>
        </w:trPr>
        <w:tc>
          <w:tcPr>
            <w:tcW w:w="2571" w:type="dxa"/>
          </w:tcPr>
          <w:p w14:paraId="15F41933" w14:textId="1F0E05FC" w:rsidR="008C45E1" w:rsidRPr="00C06B77" w:rsidRDefault="008C45E1" w:rsidP="00C46142">
            <w:r>
              <w:lastRenderedPageBreak/>
              <w:t>D</w:t>
            </w:r>
            <w:r w:rsidRPr="00525A48">
              <w:t>ecision Tool</w:t>
            </w:r>
            <w:r>
              <w:tab/>
            </w:r>
          </w:p>
        </w:tc>
        <w:tc>
          <w:tcPr>
            <w:tcW w:w="6501" w:type="dxa"/>
          </w:tcPr>
          <w:p w14:paraId="5077709A" w14:textId="7718A09B" w:rsidR="008C45E1" w:rsidRPr="00C06B77" w:rsidRDefault="008C45E1" w:rsidP="00AB1C35">
            <w:pPr>
              <w:rPr>
                <w:rFonts w:cstheme="minorHAnsi"/>
              </w:rPr>
            </w:pPr>
            <w:r w:rsidRPr="0039290C">
              <w:t>The Decision Tool</w:t>
            </w:r>
            <w:r>
              <w:t>,</w:t>
            </w:r>
            <w:r w:rsidRPr="0039290C">
              <w:t xml:space="preserve"> developed to assist the NQMC in making accreditation decisions</w:t>
            </w:r>
            <w:r>
              <w:t>,</w:t>
            </w:r>
            <w:r>
              <w:rPr>
                <w:b/>
              </w:rPr>
              <w:t xml:space="preserve"> </w:t>
            </w:r>
            <w:r>
              <w:t>a</w:t>
            </w:r>
            <w:r w:rsidRPr="006E11DD">
              <w:t>llocat</w:t>
            </w:r>
            <w:r>
              <w:t>es</w:t>
            </w:r>
            <w:r w:rsidRPr="006E11DD">
              <w:t xml:space="preserve"> </w:t>
            </w:r>
            <w:r>
              <w:t>Measures</w:t>
            </w:r>
            <w:r w:rsidRPr="006E11DD">
              <w:t xml:space="preserve"> to one of three risk levels</w:t>
            </w:r>
            <w:r>
              <w:t>; d</w:t>
            </w:r>
            <w:r w:rsidRPr="006E11DD">
              <w:t>escribe</w:t>
            </w:r>
            <w:r>
              <w:t xml:space="preserve">s a tiered accreditation system; and </w:t>
            </w:r>
            <w:r w:rsidRPr="006E11DD">
              <w:t>links accreditation decisions to perfo</w:t>
            </w:r>
            <w:r>
              <w:t>rmance against NAS Measures.</w:t>
            </w:r>
          </w:p>
        </w:tc>
      </w:tr>
      <w:tr w:rsidR="008C45E1" w14:paraId="6203C36A" w14:textId="77777777" w:rsidTr="00C46142">
        <w:trPr>
          <w:cantSplit/>
        </w:trPr>
        <w:tc>
          <w:tcPr>
            <w:tcW w:w="2571" w:type="dxa"/>
          </w:tcPr>
          <w:p w14:paraId="03E1BD26" w14:textId="1AA07265" w:rsidR="008C45E1" w:rsidRDefault="008C45E1" w:rsidP="00C46142">
            <w:r>
              <w:t>Establishing Authority of the NQMC</w:t>
            </w:r>
          </w:p>
        </w:tc>
        <w:tc>
          <w:tcPr>
            <w:tcW w:w="6501" w:type="dxa"/>
          </w:tcPr>
          <w:p w14:paraId="06220418" w14:textId="2FD2EDA5" w:rsidR="008C45E1" w:rsidRDefault="008C45E1" w:rsidP="00AB1C35">
            <w:pPr>
              <w:rPr>
                <w:rFonts w:cstheme="minorHAnsi"/>
              </w:rPr>
            </w:pPr>
            <w:r w:rsidRPr="0060369F">
              <w:t>Responsible for endorsing and appointing the Chair, members and proxies of the NQMC. This responsibility lies with the First Assistant Secretary, Population Health Division, Australian Government Department of Health.</w:t>
            </w:r>
          </w:p>
        </w:tc>
      </w:tr>
      <w:tr w:rsidR="008C45E1" w14:paraId="331A65B1" w14:textId="77777777" w:rsidTr="00C46142">
        <w:trPr>
          <w:cantSplit/>
        </w:trPr>
        <w:tc>
          <w:tcPr>
            <w:tcW w:w="2571" w:type="dxa"/>
          </w:tcPr>
          <w:p w14:paraId="651DAB9B" w14:textId="1CFFE2BA" w:rsidR="008C45E1" w:rsidRDefault="008C45E1" w:rsidP="00AB1C35">
            <w:r>
              <w:t>Fixed site</w:t>
            </w:r>
          </w:p>
        </w:tc>
        <w:tc>
          <w:tcPr>
            <w:tcW w:w="6501" w:type="dxa"/>
          </w:tcPr>
          <w:p w14:paraId="3E4D35EC" w14:textId="0F43B5F5" w:rsidR="008C45E1" w:rsidRDefault="008C45E1" w:rsidP="00AB1C35">
            <w:r>
              <w:t>A screening and/or assessment clinic that is permanent and does not relocate to alternate locations.</w:t>
            </w:r>
          </w:p>
        </w:tc>
      </w:tr>
      <w:tr w:rsidR="008C45E1" w14:paraId="106F7E55" w14:textId="77777777" w:rsidTr="00C46142">
        <w:trPr>
          <w:cantSplit/>
        </w:trPr>
        <w:tc>
          <w:tcPr>
            <w:tcW w:w="2571" w:type="dxa"/>
          </w:tcPr>
          <w:p w14:paraId="14B617AD" w14:textId="077A9A1C" w:rsidR="008C45E1" w:rsidRDefault="008C45E1" w:rsidP="00C46142">
            <w:r>
              <w:t>Full A</w:t>
            </w:r>
            <w:r w:rsidRPr="00AF5417">
              <w:t>ccreditation</w:t>
            </w:r>
            <w:r>
              <w:t xml:space="preserve"> </w:t>
            </w:r>
          </w:p>
        </w:tc>
        <w:tc>
          <w:tcPr>
            <w:tcW w:w="6501" w:type="dxa"/>
          </w:tcPr>
          <w:p w14:paraId="28B7060A" w14:textId="4C35D819" w:rsidR="008C45E1" w:rsidRDefault="008C45E1" w:rsidP="00AB1C35">
            <w:pPr>
              <w:rPr>
                <w:rFonts w:cs="Calibri"/>
              </w:rPr>
            </w:pPr>
            <w:r w:rsidRPr="00C06B77">
              <w:t xml:space="preserve">A level of accreditation </w:t>
            </w:r>
            <w:r>
              <w:t>that</w:t>
            </w:r>
            <w:r w:rsidRPr="00C06B77">
              <w:t xml:space="preserve"> </w:t>
            </w:r>
            <w:r>
              <w:t>does not include a requirement to meet</w:t>
            </w:r>
            <w:r w:rsidRPr="00C06B77">
              <w:t xml:space="preserve"> specific conditions in order for the Service and/or SCU to remain accredited.</w:t>
            </w:r>
          </w:p>
        </w:tc>
      </w:tr>
      <w:tr w:rsidR="008C45E1" w14:paraId="24626359" w14:textId="77777777" w:rsidTr="00C46142">
        <w:trPr>
          <w:cantSplit/>
        </w:trPr>
        <w:tc>
          <w:tcPr>
            <w:tcW w:w="2571" w:type="dxa"/>
          </w:tcPr>
          <w:p w14:paraId="69FE009E" w14:textId="4BB42A85" w:rsidR="008C45E1" w:rsidRDefault="008C45E1" w:rsidP="00C46142">
            <w:r>
              <w:t>Interim Survey</w:t>
            </w:r>
          </w:p>
        </w:tc>
        <w:tc>
          <w:tcPr>
            <w:tcW w:w="6501" w:type="dxa"/>
          </w:tcPr>
          <w:p w14:paraId="506A9852" w14:textId="44CAD870" w:rsidR="008C45E1" w:rsidRPr="00C06B77" w:rsidRDefault="008C45E1" w:rsidP="00AB1C35">
            <w:r w:rsidRPr="00C06B77">
              <w:t xml:space="preserve">A scaled-down version of a </w:t>
            </w:r>
            <w:r>
              <w:t>survey may be requested by NQMC to address significant quality issues and/or risks</w:t>
            </w:r>
            <w:r w:rsidRPr="00C06B77">
              <w:t>.</w:t>
            </w:r>
          </w:p>
        </w:tc>
      </w:tr>
      <w:tr w:rsidR="008C45E1" w14:paraId="514CAA33" w14:textId="77777777" w:rsidTr="00C46142">
        <w:trPr>
          <w:cantSplit/>
        </w:trPr>
        <w:tc>
          <w:tcPr>
            <w:tcW w:w="2571" w:type="dxa"/>
          </w:tcPr>
          <w:p w14:paraId="3DBB47A8" w14:textId="04B7FFB1" w:rsidR="008C45E1" w:rsidRDefault="008C45E1" w:rsidP="00C46142">
            <w:r>
              <w:t>Mobile U</w:t>
            </w:r>
            <w:r w:rsidRPr="00AF5417">
              <w:t>nit</w:t>
            </w:r>
          </w:p>
        </w:tc>
        <w:tc>
          <w:tcPr>
            <w:tcW w:w="6501" w:type="dxa"/>
          </w:tcPr>
          <w:p w14:paraId="54B8D192" w14:textId="576731DD" w:rsidR="008C45E1" w:rsidRPr="00C06B77" w:rsidRDefault="008C45E1" w:rsidP="00AB1C35">
            <w:r w:rsidRPr="00AE7F7C">
              <w:t xml:space="preserve">A mobile </w:t>
            </w:r>
            <w:r>
              <w:t>unit</w:t>
            </w:r>
            <w:r w:rsidRPr="00AE7F7C">
              <w:t xml:space="preserve"> provides screening, or scr</w:t>
            </w:r>
            <w:r>
              <w:t xml:space="preserve">eening and assessment, as part </w:t>
            </w:r>
            <w:r w:rsidRPr="00AE7F7C">
              <w:t xml:space="preserve">of a particular </w:t>
            </w:r>
            <w:r>
              <w:t>S</w:t>
            </w:r>
            <w:r w:rsidRPr="00AE7F7C">
              <w:t xml:space="preserve">creening and </w:t>
            </w:r>
            <w:r>
              <w:t>A</w:t>
            </w:r>
            <w:r w:rsidRPr="00AE7F7C">
              <w:t xml:space="preserve">ssessment Service in a variety of locations. </w:t>
            </w:r>
            <w:r>
              <w:t xml:space="preserve"> A mobile unit could take the</w:t>
            </w:r>
            <w:r w:rsidRPr="00AE7F7C">
              <w:t xml:space="preserve"> form of a truck,</w:t>
            </w:r>
            <w:r>
              <w:t xml:space="preserve"> bus or van, and is fully self-</w:t>
            </w:r>
            <w:r w:rsidRPr="00AE7F7C">
              <w:t>contained in th</w:t>
            </w:r>
            <w:r>
              <w:t xml:space="preserve">at all screening occurs on the </w:t>
            </w:r>
            <w:r w:rsidRPr="00AE7F7C">
              <w:t>vehicle.</w:t>
            </w:r>
          </w:p>
        </w:tc>
      </w:tr>
      <w:tr w:rsidR="008C45E1" w14:paraId="6616AAFE" w14:textId="77777777" w:rsidTr="00C46142">
        <w:trPr>
          <w:cantSplit/>
        </w:trPr>
        <w:tc>
          <w:tcPr>
            <w:tcW w:w="2571" w:type="dxa"/>
          </w:tcPr>
          <w:p w14:paraId="5DAABC1F" w14:textId="2EF60645" w:rsidR="008C45E1" w:rsidRDefault="008C45E1" w:rsidP="00C46142">
            <w:r>
              <w:t>NAS Accountability Framework</w:t>
            </w:r>
          </w:p>
        </w:tc>
        <w:tc>
          <w:tcPr>
            <w:tcW w:w="6501" w:type="dxa"/>
          </w:tcPr>
          <w:p w14:paraId="79FFD18B" w14:textId="6A73C5E1" w:rsidR="008C45E1" w:rsidRPr="00AE7F7C" w:rsidRDefault="008C45E1" w:rsidP="007457DB">
            <w:pPr>
              <w:rPr>
                <w:rFonts w:cstheme="minorHAnsi"/>
              </w:rPr>
            </w:pPr>
            <w:r w:rsidRPr="00F93CEC">
              <w:t xml:space="preserve">In </w:t>
            </w:r>
            <w:r>
              <w:t xml:space="preserve">multi-service </w:t>
            </w:r>
            <w:r w:rsidRPr="00F93CEC">
              <w:t>jurisdictions</w:t>
            </w:r>
            <w:r>
              <w:t>,</w:t>
            </w:r>
            <w:r w:rsidRPr="00F93CEC">
              <w:t xml:space="preserve"> a ‘</w:t>
            </w:r>
            <w:r>
              <w:t>NAS Accountability Framework (NAF)</w:t>
            </w:r>
            <w:r w:rsidRPr="00F93CEC">
              <w:t xml:space="preserve">’ is required to </w:t>
            </w:r>
            <w:r w:rsidR="007457DB">
              <w:t>allow the NQMC to understand the accountability at a Service and SCU level. When making accreditation decisions, the NQMC considers the NAF in conjunction with the overall performance of the Service and/or SCU against all NAS Measures.</w:t>
            </w:r>
          </w:p>
        </w:tc>
      </w:tr>
      <w:tr w:rsidR="008C45E1" w14:paraId="43A10844" w14:textId="77777777" w:rsidTr="00C46142">
        <w:trPr>
          <w:cantSplit/>
        </w:trPr>
        <w:tc>
          <w:tcPr>
            <w:tcW w:w="2571" w:type="dxa"/>
          </w:tcPr>
          <w:p w14:paraId="768DD056" w14:textId="41606CF1" w:rsidR="008C45E1" w:rsidDel="008C45E1" w:rsidRDefault="008C45E1" w:rsidP="00AB1C35">
            <w:r>
              <w:t>NAS Annual Data R</w:t>
            </w:r>
            <w:r w:rsidRPr="00AF5417">
              <w:t>eport</w:t>
            </w:r>
            <w:r>
              <w:t xml:space="preserve"> </w:t>
            </w:r>
          </w:p>
        </w:tc>
        <w:tc>
          <w:tcPr>
            <w:tcW w:w="6501" w:type="dxa"/>
          </w:tcPr>
          <w:p w14:paraId="397E76D1" w14:textId="1449A03D" w:rsidR="008C45E1" w:rsidRPr="00C06B77" w:rsidDel="008C45E1" w:rsidRDefault="008C45E1" w:rsidP="00AB1C35">
            <w:r>
              <w:t>A report provided annually to the</w:t>
            </w:r>
            <w:r w:rsidRPr="00AF5417">
              <w:t xml:space="preserve"> NQMC by Services</w:t>
            </w:r>
            <w:r>
              <w:t xml:space="preserve"> and/or SCUs</w:t>
            </w:r>
            <w:r w:rsidRPr="00AF5417">
              <w:t xml:space="preserve">, outlining performance against </w:t>
            </w:r>
            <w:r>
              <w:t xml:space="preserve">the quantitative </w:t>
            </w:r>
            <w:r w:rsidRPr="00AF5417">
              <w:t>NAS</w:t>
            </w:r>
            <w:r>
              <w:t xml:space="preserve"> Measures</w:t>
            </w:r>
            <w:r w:rsidRPr="00AF5417">
              <w:t>.</w:t>
            </w:r>
          </w:p>
        </w:tc>
      </w:tr>
      <w:tr w:rsidR="008C45E1" w14:paraId="09F4B725" w14:textId="77777777" w:rsidTr="00C46142">
        <w:trPr>
          <w:cantSplit/>
        </w:trPr>
        <w:tc>
          <w:tcPr>
            <w:tcW w:w="2571" w:type="dxa"/>
          </w:tcPr>
          <w:p w14:paraId="21848FAB" w14:textId="7D4811E1" w:rsidR="008C45E1" w:rsidRDefault="008C45E1" w:rsidP="00C46142">
            <w:r>
              <w:t xml:space="preserve">NAS </w:t>
            </w:r>
            <w:r w:rsidRPr="00AF5417">
              <w:t xml:space="preserve">Data </w:t>
            </w:r>
            <w:r>
              <w:t xml:space="preserve">Measures </w:t>
            </w:r>
          </w:p>
        </w:tc>
        <w:tc>
          <w:tcPr>
            <w:tcW w:w="6501" w:type="dxa"/>
          </w:tcPr>
          <w:p w14:paraId="75885368" w14:textId="09E1F714" w:rsidR="008C45E1" w:rsidRDefault="008C45E1" w:rsidP="00AB1C35">
            <w:r w:rsidRPr="0060369F">
              <w:t xml:space="preserve">The quantitative NAS Measures defined by a </w:t>
            </w:r>
            <w:r>
              <w:t>required minimum or maximum performance level,</w:t>
            </w:r>
            <w:r w:rsidRPr="0060369F">
              <w:t xml:space="preserve"> as listed</w:t>
            </w:r>
            <w:r>
              <w:t xml:space="preserve"> in the NAS data report form.</w:t>
            </w:r>
          </w:p>
        </w:tc>
      </w:tr>
      <w:tr w:rsidR="008C45E1" w14:paraId="5042F639" w14:textId="77777777" w:rsidTr="00C46142">
        <w:trPr>
          <w:cantSplit/>
        </w:trPr>
        <w:tc>
          <w:tcPr>
            <w:tcW w:w="2571" w:type="dxa"/>
          </w:tcPr>
          <w:p w14:paraId="1E2C3853" w14:textId="5EAA69FE" w:rsidR="008C45E1" w:rsidRDefault="008C45E1" w:rsidP="00AB1C35">
            <w:r>
              <w:lastRenderedPageBreak/>
              <w:t>National Quality Improvement Framework</w:t>
            </w:r>
          </w:p>
        </w:tc>
        <w:tc>
          <w:tcPr>
            <w:tcW w:w="6501" w:type="dxa"/>
          </w:tcPr>
          <w:p w14:paraId="21799482" w14:textId="4DC709F4" w:rsidR="008C45E1" w:rsidRPr="0060369F" w:rsidRDefault="008C45E1" w:rsidP="00AB1C35">
            <w:pPr>
              <w:rPr>
                <w:rFonts w:cstheme="minorHAnsi"/>
              </w:rPr>
            </w:pPr>
            <w:r w:rsidRPr="0060369F">
              <w:t>A framework which outlines the process through which quality issues identified within BreastScreen Australia are managed to drive continuous quality improvement at a national, state and service level.</w:t>
            </w:r>
          </w:p>
        </w:tc>
      </w:tr>
      <w:tr w:rsidR="0061320D" w14:paraId="50CB8D53" w14:textId="77777777" w:rsidTr="00C46142">
        <w:trPr>
          <w:cantSplit/>
        </w:trPr>
        <w:tc>
          <w:tcPr>
            <w:tcW w:w="2571" w:type="dxa"/>
          </w:tcPr>
          <w:p w14:paraId="65F24FE3" w14:textId="77777777" w:rsidR="0061320D" w:rsidRPr="00AB666D" w:rsidRDefault="0061320D" w:rsidP="00AB1C35">
            <w:r w:rsidRPr="00AB666D">
              <w:t>National Surveyor</w:t>
            </w:r>
          </w:p>
        </w:tc>
        <w:tc>
          <w:tcPr>
            <w:tcW w:w="6501" w:type="dxa"/>
          </w:tcPr>
          <w:p w14:paraId="1BEF9248" w14:textId="77777777" w:rsidR="0061320D" w:rsidRPr="008C2557" w:rsidRDefault="0061320D" w:rsidP="00AB1C35">
            <w:pPr>
              <w:rPr>
                <w:rFonts w:cstheme="minorHAnsi"/>
              </w:rPr>
            </w:pPr>
            <w:r w:rsidRPr="008C2557">
              <w:rPr>
                <w:rFonts w:cstheme="minorHAnsi"/>
              </w:rPr>
              <w:t xml:space="preserve">The person (or persons) employed nationally to </w:t>
            </w:r>
            <w:r w:rsidRPr="008C2557">
              <w:t xml:space="preserve">coordinate, lead and attend all BreastScreen Australia accreditation </w:t>
            </w:r>
            <w:r w:rsidR="008C034A">
              <w:t>survey</w:t>
            </w:r>
            <w:r w:rsidRPr="008C2557">
              <w:t xml:space="preserve">s, to ensure consistency across </w:t>
            </w:r>
            <w:r w:rsidR="008C034A">
              <w:t>survey</w:t>
            </w:r>
            <w:r w:rsidRPr="008C2557">
              <w:t xml:space="preserve"> teams nationally.</w:t>
            </w:r>
          </w:p>
        </w:tc>
      </w:tr>
      <w:tr w:rsidR="0061320D" w14:paraId="494B412D" w14:textId="77777777" w:rsidTr="00C46142">
        <w:trPr>
          <w:cantSplit/>
        </w:trPr>
        <w:tc>
          <w:tcPr>
            <w:tcW w:w="2571" w:type="dxa"/>
          </w:tcPr>
          <w:p w14:paraId="2BF999B2" w14:textId="77777777" w:rsidR="0061320D" w:rsidRPr="00AF5417" w:rsidRDefault="0061320D" w:rsidP="00AB1C35">
            <w:r w:rsidRPr="00AF5417">
              <w:t>Pre-</w:t>
            </w:r>
            <w:r w:rsidR="007B6C18">
              <w:t xml:space="preserve"> Commencement</w:t>
            </w:r>
            <w:r w:rsidR="000A48AB">
              <w:t xml:space="preserve"> </w:t>
            </w:r>
            <w:r w:rsidR="00B43B7C">
              <w:t>survey</w:t>
            </w:r>
          </w:p>
        </w:tc>
        <w:tc>
          <w:tcPr>
            <w:tcW w:w="6501" w:type="dxa"/>
          </w:tcPr>
          <w:p w14:paraId="218A14C3" w14:textId="77777777" w:rsidR="0061320D" w:rsidRPr="00AB666D" w:rsidRDefault="0061320D" w:rsidP="00AB1C35">
            <w:r w:rsidRPr="00AB666D">
              <w:t xml:space="preserve">A type of </w:t>
            </w:r>
            <w:r w:rsidR="008C034A">
              <w:t>survey</w:t>
            </w:r>
            <w:r w:rsidRPr="00AB666D">
              <w:t xml:space="preserve"> undertaken before a new </w:t>
            </w:r>
            <w:r w:rsidR="002263EC">
              <w:t>S</w:t>
            </w:r>
            <w:r w:rsidR="000A48AB">
              <w:t xml:space="preserve">ervice is </w:t>
            </w:r>
            <w:r w:rsidRPr="00AB666D">
              <w:t>established</w:t>
            </w:r>
            <w:r w:rsidR="002263EC">
              <w:t xml:space="preserve"> or a new unit opened</w:t>
            </w:r>
            <w:r w:rsidRPr="00AB666D">
              <w:t>.</w:t>
            </w:r>
          </w:p>
        </w:tc>
      </w:tr>
      <w:tr w:rsidR="0061320D" w14:paraId="0739F2CF" w14:textId="77777777" w:rsidTr="00C46142">
        <w:trPr>
          <w:cantSplit/>
        </w:trPr>
        <w:tc>
          <w:tcPr>
            <w:tcW w:w="2571" w:type="dxa"/>
          </w:tcPr>
          <w:p w14:paraId="671027FF" w14:textId="734AE6FA" w:rsidR="0061320D" w:rsidRPr="00AF5417" w:rsidRDefault="0061320D" w:rsidP="00C46142">
            <w:r w:rsidRPr="00AF5417">
              <w:t>Program,</w:t>
            </w:r>
            <w:r>
              <w:t xml:space="preserve"> or </w:t>
            </w:r>
            <w:r w:rsidRPr="00AF5417">
              <w:t>the Program</w:t>
            </w:r>
          </w:p>
        </w:tc>
        <w:tc>
          <w:tcPr>
            <w:tcW w:w="6501" w:type="dxa"/>
          </w:tcPr>
          <w:p w14:paraId="71DB5ADE" w14:textId="76B63400" w:rsidR="0061320D" w:rsidRPr="00AF5417" w:rsidRDefault="0061320D" w:rsidP="00AB1C35">
            <w:r>
              <w:t>The</w:t>
            </w:r>
            <w:r w:rsidR="00ED1C1D">
              <w:t xml:space="preserve"> BreastScreen Australia Program, </w:t>
            </w:r>
            <w:r w:rsidR="007B6C18">
              <w:t>the</w:t>
            </w:r>
            <w:r w:rsidRPr="00AF5417">
              <w:t xml:space="preserve"> national, orga</w:t>
            </w:r>
            <w:r>
              <w:t xml:space="preserve">nised </w:t>
            </w:r>
            <w:r w:rsidR="00411E0E">
              <w:t>population-based</w:t>
            </w:r>
            <w:r w:rsidR="007B6C18">
              <w:t xml:space="preserve"> </w:t>
            </w:r>
            <w:r>
              <w:t>screening program for the</w:t>
            </w:r>
            <w:r w:rsidRPr="00AF5417">
              <w:t xml:space="preserve"> early detection of breast cancer</w:t>
            </w:r>
            <w:r w:rsidR="007B6C18">
              <w:t xml:space="preserve"> that</w:t>
            </w:r>
            <w:r w:rsidR="00F67D6E">
              <w:t xml:space="preserve"> commenced in 1991</w:t>
            </w:r>
            <w:r w:rsidR="007B6C18">
              <w:t>.</w:t>
            </w:r>
          </w:p>
        </w:tc>
      </w:tr>
      <w:tr w:rsidR="0061320D" w14:paraId="2D04DCCD" w14:textId="77777777" w:rsidTr="00C46142">
        <w:trPr>
          <w:cantSplit/>
        </w:trPr>
        <w:tc>
          <w:tcPr>
            <w:tcW w:w="2571" w:type="dxa"/>
          </w:tcPr>
          <w:p w14:paraId="5524A1ED" w14:textId="77777777" w:rsidR="0061320D" w:rsidRPr="00AF5417" w:rsidRDefault="0061320D" w:rsidP="00AB1C35">
            <w:r w:rsidRPr="00AF5417">
              <w:t xml:space="preserve">Program </w:t>
            </w:r>
            <w:r w:rsidR="002263EC">
              <w:t>M</w:t>
            </w:r>
            <w:r w:rsidRPr="00AF5417">
              <w:t>anager</w:t>
            </w:r>
          </w:p>
        </w:tc>
        <w:tc>
          <w:tcPr>
            <w:tcW w:w="6501" w:type="dxa"/>
          </w:tcPr>
          <w:p w14:paraId="7964D9CF" w14:textId="39AA7DD6" w:rsidR="0061320D" w:rsidRDefault="0061320D" w:rsidP="00AB1C35">
            <w:r>
              <w:t>The person in each</w:t>
            </w:r>
            <w:r w:rsidRPr="00AF5417">
              <w:t xml:space="preserve"> jurisdiction who is responsible for </w:t>
            </w:r>
            <w:r w:rsidR="00CD7397">
              <w:t xml:space="preserve">representing their jurisdiction at national forums, contributing to the leadership of the national Program, </w:t>
            </w:r>
            <w:r>
              <w:t>implementing</w:t>
            </w:r>
            <w:r w:rsidR="000A48AB">
              <w:t>, coordinating</w:t>
            </w:r>
            <w:r>
              <w:t xml:space="preserve"> and managing </w:t>
            </w:r>
            <w:r w:rsidR="00BB5F6D">
              <w:t xml:space="preserve">the delivery of breast screening services </w:t>
            </w:r>
            <w:r w:rsidRPr="00AF5417">
              <w:t>within that State or Territory.</w:t>
            </w:r>
            <w:r w:rsidR="00083544">
              <w:t xml:space="preserve"> In multi-service jurisdictions the Program Manager is also responsible for managing the relationship between the State Coordination Unit and the individual Services.  In jurisdictions where </w:t>
            </w:r>
            <w:r w:rsidR="00362D6C">
              <w:t xml:space="preserve">the provision of screening is overseen by a board of management, the Program Manager is also responsible for reporting </w:t>
            </w:r>
            <w:r w:rsidR="00BB5F6D">
              <w:t xml:space="preserve">performance </w:t>
            </w:r>
            <w:r w:rsidR="00362D6C">
              <w:t xml:space="preserve">to the Board. </w:t>
            </w:r>
          </w:p>
        </w:tc>
      </w:tr>
      <w:tr w:rsidR="0061320D" w14:paraId="4DA71632" w14:textId="77777777" w:rsidTr="00C46142">
        <w:trPr>
          <w:cantSplit/>
        </w:trPr>
        <w:tc>
          <w:tcPr>
            <w:tcW w:w="2571" w:type="dxa"/>
          </w:tcPr>
          <w:p w14:paraId="52238BD0" w14:textId="49CC433B" w:rsidR="0061320D" w:rsidRPr="00AF5417" w:rsidRDefault="00F8255A" w:rsidP="00C46142">
            <w:r>
              <w:t>Protocol</w:t>
            </w:r>
          </w:p>
        </w:tc>
        <w:tc>
          <w:tcPr>
            <w:tcW w:w="6501" w:type="dxa"/>
          </w:tcPr>
          <w:p w14:paraId="6FC04BC7" w14:textId="77777777" w:rsidR="0061320D" w:rsidRDefault="007C17A0" w:rsidP="00AB1C35">
            <w:r w:rsidRPr="006F7A81">
              <w:t>Protocols determine the policies, procedures and principles that need to be implemented by BreastScreen Services and/or SCUs to underpin high quality service delivery and support the achievement of the BreastScreen NAS.</w:t>
            </w:r>
          </w:p>
          <w:p w14:paraId="12687D99" w14:textId="24D358DC" w:rsidR="000824A7" w:rsidRPr="002754B7" w:rsidRDefault="000824A7" w:rsidP="00A353D6">
            <w:r w:rsidRPr="00A353D6">
              <w:t xml:space="preserve">Compliance with the Protocols is not </w:t>
            </w:r>
            <w:r w:rsidR="00A353D6">
              <w:t>measured or</w:t>
            </w:r>
            <w:r w:rsidRPr="00A353D6">
              <w:t xml:space="preserve"> assessed by the NQMC in </w:t>
            </w:r>
            <w:r w:rsidR="00A353D6">
              <w:t>determining</w:t>
            </w:r>
            <w:r w:rsidRPr="00A353D6">
              <w:t xml:space="preserve"> accreditation status.  The exception is the Standard 5 Protocols, which are </w:t>
            </w:r>
            <w:r w:rsidR="00A353D6">
              <w:t>assessed</w:t>
            </w:r>
            <w:r w:rsidRPr="00A353D6">
              <w:t xml:space="preserve"> for compliance under the Data Governance &amp; Management Assessment.</w:t>
            </w:r>
          </w:p>
        </w:tc>
      </w:tr>
      <w:tr w:rsidR="008C45E1" w14:paraId="0AF4A03D" w14:textId="77777777" w:rsidTr="00C46142">
        <w:trPr>
          <w:cantSplit/>
        </w:trPr>
        <w:tc>
          <w:tcPr>
            <w:tcW w:w="2571" w:type="dxa"/>
          </w:tcPr>
          <w:p w14:paraId="11F60938" w14:textId="004E4ECB" w:rsidR="008C45E1" w:rsidRDefault="008C45E1" w:rsidP="00C46142">
            <w:r>
              <w:t>Screening Unit</w:t>
            </w:r>
            <w:r w:rsidRPr="00C06B77">
              <w:t xml:space="preserve"> </w:t>
            </w:r>
          </w:p>
        </w:tc>
        <w:tc>
          <w:tcPr>
            <w:tcW w:w="6501" w:type="dxa"/>
          </w:tcPr>
          <w:p w14:paraId="26CC6969" w14:textId="142E7F2F" w:rsidR="008C45E1" w:rsidRPr="006F7A81" w:rsidRDefault="008C45E1" w:rsidP="00AB1C35">
            <w:r w:rsidRPr="006F7A81">
              <w:t>A component of a Screening and Assessment Service that can be a mobile or ﬁxed site that only provides screening.</w:t>
            </w:r>
          </w:p>
        </w:tc>
      </w:tr>
      <w:tr w:rsidR="008C45E1" w14:paraId="58F605FA" w14:textId="77777777" w:rsidTr="00C46142">
        <w:trPr>
          <w:cantSplit/>
        </w:trPr>
        <w:tc>
          <w:tcPr>
            <w:tcW w:w="2571" w:type="dxa"/>
          </w:tcPr>
          <w:p w14:paraId="1E8B16C6" w14:textId="428EC99D" w:rsidR="008C45E1" w:rsidRDefault="008C45E1" w:rsidP="00C46142">
            <w:r w:rsidRPr="00C06B77">
              <w:lastRenderedPageBreak/>
              <w:t>Service</w:t>
            </w:r>
          </w:p>
        </w:tc>
        <w:tc>
          <w:tcPr>
            <w:tcW w:w="6501" w:type="dxa"/>
          </w:tcPr>
          <w:p w14:paraId="58F56379" w14:textId="6A240361" w:rsidR="008C45E1" w:rsidRPr="00AF5417" w:rsidRDefault="008C45E1" w:rsidP="00AB1C35">
            <w:r w:rsidRPr="00C06B77">
              <w:t>In sin</w:t>
            </w:r>
            <w:r>
              <w:t>gle-service jurisdictions of ACT, NT, SA, TAS and WA</w:t>
            </w:r>
            <w:r w:rsidRPr="00C06B77">
              <w:t>, the Service and the SCU have shared</w:t>
            </w:r>
            <w:r>
              <w:t xml:space="preserve"> management,</w:t>
            </w:r>
            <w:r w:rsidRPr="00C06B77">
              <w:t xml:space="preserve"> governance and service delivery responsibilities. However m</w:t>
            </w:r>
            <w:r>
              <w:t>ulti-service jurisdictions (such as NSW, QLD and VIC)</w:t>
            </w:r>
            <w:r w:rsidRPr="00C06B77">
              <w:t>, the Service and the S</w:t>
            </w:r>
            <w:r w:rsidR="00E84A3F">
              <w:t xml:space="preserve">tate </w:t>
            </w:r>
            <w:r w:rsidRPr="00C06B77">
              <w:t>C</w:t>
            </w:r>
            <w:r w:rsidR="00E84A3F">
              <w:t xml:space="preserve">oordination </w:t>
            </w:r>
            <w:r w:rsidRPr="00C06B77">
              <w:t>U</w:t>
            </w:r>
            <w:r w:rsidR="00E84A3F">
              <w:t>nit (SCU)</w:t>
            </w:r>
            <w:r w:rsidRPr="00C06B77">
              <w:t xml:space="preserve"> have separate and clearly defined areas of responsibility relating to </w:t>
            </w:r>
            <w:r>
              <w:t xml:space="preserve">management, </w:t>
            </w:r>
            <w:r w:rsidRPr="00C06B77">
              <w:t>corporate and clinical governance and service delivery.  This document refers to ‘Service and/or SCU’ when accreditation processes need to occur which could be either the responsibility of the Service or the SCU.</w:t>
            </w:r>
          </w:p>
        </w:tc>
      </w:tr>
      <w:tr w:rsidR="008C45E1" w14:paraId="65D73F04" w14:textId="77777777" w:rsidTr="00C46142">
        <w:trPr>
          <w:cantSplit/>
        </w:trPr>
        <w:tc>
          <w:tcPr>
            <w:tcW w:w="2571" w:type="dxa"/>
          </w:tcPr>
          <w:p w14:paraId="74B67EE6" w14:textId="138CEB06" w:rsidR="008C45E1" w:rsidRPr="00C06B77" w:rsidRDefault="00064E7A" w:rsidP="00AB1C35">
            <w:r>
              <w:t>Service Director</w:t>
            </w:r>
          </w:p>
        </w:tc>
        <w:tc>
          <w:tcPr>
            <w:tcW w:w="6501" w:type="dxa"/>
          </w:tcPr>
          <w:p w14:paraId="182F337F" w14:textId="301C1FCD" w:rsidR="008C45E1" w:rsidRPr="00C06B77" w:rsidRDefault="008C45E1" w:rsidP="00AB1C35">
            <w:r>
              <w:t xml:space="preserve">The person responsible for the </w:t>
            </w:r>
            <w:r w:rsidR="00411E0E" w:rsidRPr="00AF5417">
              <w:t>day-to-day</w:t>
            </w:r>
            <w:r w:rsidRPr="00AF5417">
              <w:t xml:space="preserve"> management of a particular</w:t>
            </w:r>
            <w:r>
              <w:t xml:space="preserve"> </w:t>
            </w:r>
            <w:r w:rsidRPr="00AF5417">
              <w:t>Service within a jurisdiction</w:t>
            </w:r>
            <w:r>
              <w:t>.</w:t>
            </w:r>
          </w:p>
        </w:tc>
      </w:tr>
      <w:tr w:rsidR="00DD6587" w14:paraId="6EF3E6BD" w14:textId="77777777" w:rsidTr="00C46142">
        <w:trPr>
          <w:cantSplit/>
        </w:trPr>
        <w:tc>
          <w:tcPr>
            <w:tcW w:w="2571" w:type="dxa"/>
          </w:tcPr>
          <w:p w14:paraId="1E0B5E2C" w14:textId="631B2931" w:rsidR="008C45E1" w:rsidRPr="00C06B77" w:rsidRDefault="007B6C18" w:rsidP="00AB1C35">
            <w:r>
              <w:t>Single Service J</w:t>
            </w:r>
            <w:r w:rsidR="00DD6587" w:rsidRPr="00C06B77">
              <w:t>urisdiction</w:t>
            </w:r>
          </w:p>
        </w:tc>
        <w:tc>
          <w:tcPr>
            <w:tcW w:w="6501" w:type="dxa"/>
          </w:tcPr>
          <w:p w14:paraId="352887F1" w14:textId="0F533CF9" w:rsidR="008C45E1" w:rsidRPr="00AF5417" w:rsidRDefault="007B6C18" w:rsidP="00AB1C35">
            <w:r>
              <w:t>A state or territory that</w:t>
            </w:r>
            <w:r w:rsidR="00DD6587" w:rsidRPr="00C06B77">
              <w:t xml:space="preserve"> has only </w:t>
            </w:r>
            <w:r>
              <w:t xml:space="preserve">one Service operating to cover </w:t>
            </w:r>
            <w:r w:rsidR="00ED1C1D">
              <w:t xml:space="preserve">the </w:t>
            </w:r>
            <w:r>
              <w:t xml:space="preserve">whole </w:t>
            </w:r>
            <w:r w:rsidR="00DD6587" w:rsidRPr="00C06B77">
              <w:t>jurisdiction, and where the Service and the SCU have shared</w:t>
            </w:r>
            <w:r>
              <w:t xml:space="preserve"> management,</w:t>
            </w:r>
            <w:r w:rsidR="00DD6587" w:rsidRPr="00C06B77">
              <w:t xml:space="preserve"> governance and service delivery responsibilities. These jurisdictions currently include the ACT, NT, TAS, SA and WA</w:t>
            </w:r>
            <w:r w:rsidR="000037F5" w:rsidRPr="00C06B77">
              <w:t>.</w:t>
            </w:r>
          </w:p>
        </w:tc>
      </w:tr>
      <w:tr w:rsidR="008C45E1" w14:paraId="1AB5D8A8" w14:textId="77777777" w:rsidTr="00C46142">
        <w:trPr>
          <w:cantSplit/>
        </w:trPr>
        <w:tc>
          <w:tcPr>
            <w:tcW w:w="2571" w:type="dxa"/>
          </w:tcPr>
          <w:p w14:paraId="0C2A57CB" w14:textId="3B516307" w:rsidR="008C45E1" w:rsidRDefault="008C45E1" w:rsidP="00AB1C35">
            <w:r>
              <w:t>Multi-Service J</w:t>
            </w:r>
            <w:r w:rsidRPr="00C06B77">
              <w:t>urisdiction</w:t>
            </w:r>
          </w:p>
        </w:tc>
        <w:tc>
          <w:tcPr>
            <w:tcW w:w="6501" w:type="dxa"/>
          </w:tcPr>
          <w:p w14:paraId="4F76C6CF" w14:textId="42B52E47" w:rsidR="008C45E1" w:rsidRDefault="008C45E1" w:rsidP="00AB1C35">
            <w:r w:rsidRPr="00C06B77">
              <w:t xml:space="preserve">A state or territory which has more than </w:t>
            </w:r>
            <w:r>
              <w:t>one Service operating in</w:t>
            </w:r>
            <w:r w:rsidRPr="00C06B77">
              <w:t xml:space="preserve"> the jurisdiction, and where the Services and the SCU have differing</w:t>
            </w:r>
            <w:r>
              <w:t xml:space="preserve"> management,</w:t>
            </w:r>
            <w:r w:rsidRPr="00C06B77">
              <w:t xml:space="preserve"> governance and service delivery responsibilities. These jurisdictions currently include NSW, QLD and VIC.</w:t>
            </w:r>
          </w:p>
        </w:tc>
      </w:tr>
      <w:tr w:rsidR="008C45E1" w14:paraId="1734AB95" w14:textId="77777777" w:rsidTr="00C46142">
        <w:trPr>
          <w:cantSplit/>
        </w:trPr>
        <w:tc>
          <w:tcPr>
            <w:tcW w:w="2571" w:type="dxa"/>
          </w:tcPr>
          <w:p w14:paraId="2CA07820" w14:textId="7338B1CE" w:rsidR="008C45E1" w:rsidRDefault="008C45E1" w:rsidP="00AB1C35">
            <w:pPr>
              <w:rPr>
                <w:rFonts w:cstheme="minorHAnsi"/>
              </w:rPr>
            </w:pPr>
            <w:r w:rsidRPr="00525A48">
              <w:t>State Coordination Unit</w:t>
            </w:r>
          </w:p>
        </w:tc>
        <w:tc>
          <w:tcPr>
            <w:tcW w:w="6501" w:type="dxa"/>
          </w:tcPr>
          <w:p w14:paraId="232D2D6E" w14:textId="3322BAA5" w:rsidR="008C45E1" w:rsidRPr="00C06B77" w:rsidRDefault="008C45E1" w:rsidP="00AB1C35">
            <w:pPr>
              <w:rPr>
                <w:rFonts w:cstheme="minorHAnsi"/>
              </w:rPr>
            </w:pPr>
            <w:r>
              <w:t>The State Coordination Unit (SCU) provides state level stewardship of the Program and undertakes a range of functions that provide the infrastructure to manage and support</w:t>
            </w:r>
            <w:r w:rsidRPr="000A733C">
              <w:t xml:space="preserve"> high quality delivery</w:t>
            </w:r>
            <w:r>
              <w:t xml:space="preserve"> of the BreastScreen Australia P</w:t>
            </w:r>
            <w:r w:rsidRPr="000A733C">
              <w:t>rogram within a jurisdiction</w:t>
            </w:r>
            <w:r>
              <w:t>, in accordance with national policies, to ensure the achievement of the Program aims and objectives.</w:t>
            </w:r>
          </w:p>
        </w:tc>
      </w:tr>
      <w:tr w:rsidR="008C45E1" w14:paraId="3CA917D0" w14:textId="77777777" w:rsidTr="00C46142">
        <w:trPr>
          <w:cantSplit/>
        </w:trPr>
        <w:tc>
          <w:tcPr>
            <w:tcW w:w="2571" w:type="dxa"/>
          </w:tcPr>
          <w:p w14:paraId="13EA54E3" w14:textId="4777C3E4" w:rsidR="008C45E1" w:rsidRDefault="008C45E1" w:rsidP="00AB1C35">
            <w:pPr>
              <w:rPr>
                <w:rFonts w:cstheme="minorHAnsi"/>
              </w:rPr>
            </w:pPr>
            <w:r w:rsidRPr="00525A48">
              <w:lastRenderedPageBreak/>
              <w:t>State Quality Committee</w:t>
            </w:r>
          </w:p>
        </w:tc>
        <w:tc>
          <w:tcPr>
            <w:tcW w:w="6501" w:type="dxa"/>
          </w:tcPr>
          <w:p w14:paraId="1FC75232" w14:textId="0F937795" w:rsidR="008C45E1" w:rsidRPr="00C06B77" w:rsidRDefault="008C45E1" w:rsidP="00AB1C35">
            <w:pPr>
              <w:rPr>
                <w:rFonts w:cstheme="minorHAnsi"/>
              </w:rPr>
            </w:pPr>
            <w:r w:rsidRPr="00F2329C">
              <w:t>The role of the S</w:t>
            </w:r>
            <w:r>
              <w:t xml:space="preserve">tate </w:t>
            </w:r>
            <w:r w:rsidRPr="00F2329C">
              <w:t>Q</w:t>
            </w:r>
            <w:r>
              <w:t xml:space="preserve">uality </w:t>
            </w:r>
            <w:r w:rsidRPr="00F2329C">
              <w:t>C</w:t>
            </w:r>
            <w:r>
              <w:t>ommittee</w:t>
            </w:r>
            <w:r w:rsidRPr="00F2329C">
              <w:t xml:space="preserve"> </w:t>
            </w:r>
            <w:r>
              <w:t xml:space="preserve">(SQC) </w:t>
            </w:r>
            <w:r w:rsidRPr="00F2329C">
              <w:t xml:space="preserve">is to drive quality improvement at a jurisdictional level by monitoring the performance of its BreastScreen Services, advising on best practice principles, learning from adverse incidents, systematically addressing areas of risk across the jurisdiction and recommending strategies that will achieve continuous enhancement of breast screening services provided to women within that jurisdiction. </w:t>
            </w:r>
            <w:r>
              <w:t xml:space="preserve"> </w:t>
            </w:r>
          </w:p>
        </w:tc>
      </w:tr>
      <w:tr w:rsidR="00C72C9C" w14:paraId="4F446263" w14:textId="77777777" w:rsidTr="00C46142">
        <w:trPr>
          <w:cantSplit/>
        </w:trPr>
        <w:tc>
          <w:tcPr>
            <w:tcW w:w="2571" w:type="dxa"/>
          </w:tcPr>
          <w:p w14:paraId="21707912" w14:textId="77777777" w:rsidR="00C72C9C" w:rsidRPr="00AF5417" w:rsidRDefault="00C72C9C" w:rsidP="00AB1C35">
            <w:r>
              <w:t>Surveyors</w:t>
            </w:r>
          </w:p>
        </w:tc>
        <w:tc>
          <w:tcPr>
            <w:tcW w:w="6501" w:type="dxa"/>
          </w:tcPr>
          <w:p w14:paraId="72E17B4E" w14:textId="77777777" w:rsidR="00C72C9C" w:rsidRDefault="00C72C9C" w:rsidP="00AB1C35">
            <w:r w:rsidRPr="00C72C9C">
              <w:t xml:space="preserve">Accreditation surveyors form part of a multidisciplinary team to conduct an independent review of the Service and/or SCU against the NAS </w:t>
            </w:r>
          </w:p>
        </w:tc>
      </w:tr>
      <w:tr w:rsidR="00C72C9C" w:rsidRPr="00AF5417" w14:paraId="1F530551" w14:textId="77777777" w:rsidTr="00C46142">
        <w:trPr>
          <w:cantSplit/>
        </w:trPr>
        <w:tc>
          <w:tcPr>
            <w:tcW w:w="2571" w:type="dxa"/>
          </w:tcPr>
          <w:p w14:paraId="6F7F3AE3" w14:textId="4F7805FD" w:rsidR="00C72C9C" w:rsidRPr="00AB666D" w:rsidRDefault="0072260C" w:rsidP="00C46142">
            <w:r>
              <w:t>U</w:t>
            </w:r>
            <w:r w:rsidRPr="00AF5417">
              <w:t>nit</w:t>
            </w:r>
            <w:r w:rsidRPr="00AB666D">
              <w:t xml:space="preserve"> </w:t>
            </w:r>
          </w:p>
        </w:tc>
        <w:tc>
          <w:tcPr>
            <w:tcW w:w="6501" w:type="dxa"/>
          </w:tcPr>
          <w:p w14:paraId="356C85BA" w14:textId="01B977E3" w:rsidR="00C72C9C" w:rsidRPr="00AF5417" w:rsidRDefault="0072260C" w:rsidP="00AB1C35">
            <w:r w:rsidRPr="00AF5417">
              <w:t>A ﬁxed venue that p</w:t>
            </w:r>
            <w:r>
              <w:t xml:space="preserve">rovides screening and possibly </w:t>
            </w:r>
            <w:r w:rsidRPr="00AF5417">
              <w:t xml:space="preserve">assessment </w:t>
            </w:r>
            <w:r>
              <w:t xml:space="preserve">services as part </w:t>
            </w:r>
            <w:r w:rsidRPr="00AF5417">
              <w:t>of a particular jurisdiction’s BSA Program.  It can be in either the public or private sector</w:t>
            </w:r>
            <w:r>
              <w:t>.</w:t>
            </w:r>
          </w:p>
        </w:tc>
      </w:tr>
      <w:tr w:rsidR="008C45E1" w:rsidRPr="00AF5417" w14:paraId="0BAE6DC6" w14:textId="77777777" w:rsidTr="00C46142">
        <w:trPr>
          <w:cantSplit/>
        </w:trPr>
        <w:tc>
          <w:tcPr>
            <w:tcW w:w="2571" w:type="dxa"/>
          </w:tcPr>
          <w:p w14:paraId="24D70124" w14:textId="0DE1F949" w:rsidR="008C45E1" w:rsidRDefault="008C45E1" w:rsidP="00AB1C35">
            <w:pPr>
              <w:rPr>
                <w:rFonts w:eastAsia="Times New Roman"/>
                <w:bCs/>
              </w:rPr>
            </w:pPr>
            <w:r w:rsidRPr="00AB666D">
              <w:t>Website</w:t>
            </w:r>
          </w:p>
        </w:tc>
        <w:tc>
          <w:tcPr>
            <w:tcW w:w="6501" w:type="dxa"/>
          </w:tcPr>
          <w:p w14:paraId="67538F54" w14:textId="68FF2613" w:rsidR="008C45E1" w:rsidRPr="00AF5417" w:rsidRDefault="008C45E1" w:rsidP="00AB1C35">
            <w:r>
              <w:t xml:space="preserve">The </w:t>
            </w:r>
            <w:r w:rsidRPr="00E77D36">
              <w:t>Australian Government Department of Health</w:t>
            </w:r>
            <w:r>
              <w:t>’s</w:t>
            </w:r>
            <w:r w:rsidRPr="00E77D36">
              <w:t xml:space="preserve"> </w:t>
            </w:r>
            <w:hyperlink r:id="rId11" w:history="1">
              <w:r w:rsidRPr="00A82491">
                <w:rPr>
                  <w:rStyle w:val="Hyperlink"/>
                  <w:rFonts w:cstheme="minorHAnsi"/>
                </w:rPr>
                <w:t>cancer screening website</w:t>
              </w:r>
            </w:hyperlink>
            <w:r>
              <w:t>.</w:t>
            </w:r>
            <w:r w:rsidR="00D10676">
              <w:t xml:space="preserve"> </w:t>
            </w:r>
            <w:r w:rsidR="00A82491">
              <w:t xml:space="preserve">Websites for state and territory BreastScreen programmes can be found under the </w:t>
            </w:r>
            <w:hyperlink r:id="rId12" w:history="1">
              <w:r w:rsidR="00A82491" w:rsidRPr="00A82491">
                <w:rPr>
                  <w:rStyle w:val="Hyperlink"/>
                  <w:rFonts w:cstheme="minorHAnsi"/>
                </w:rPr>
                <w:t>Useful Links</w:t>
              </w:r>
            </w:hyperlink>
            <w:r w:rsidR="00A82491">
              <w:t xml:space="preserve"> page on this website.</w:t>
            </w:r>
          </w:p>
        </w:tc>
      </w:tr>
    </w:tbl>
    <w:p w14:paraId="4EFFB89C" w14:textId="58010BD4" w:rsidR="00265C02" w:rsidRDefault="00265C02" w:rsidP="00AB1C35"/>
    <w:p w14:paraId="435A1DC0" w14:textId="77777777" w:rsidR="00265C02" w:rsidRPr="00AF5417" w:rsidRDefault="00265C02" w:rsidP="005D1657">
      <w:pPr>
        <w:pStyle w:val="Heading1"/>
        <w:numPr>
          <w:ilvl w:val="0"/>
          <w:numId w:val="0"/>
        </w:numPr>
      </w:pPr>
      <w:bookmarkStart w:id="2" w:name="_Hlk66272293"/>
      <w:bookmarkStart w:id="3" w:name="_Toc66438606"/>
      <w:r w:rsidRPr="00AF5417">
        <w:lastRenderedPageBreak/>
        <w:t>LIST</w:t>
      </w:r>
      <w:r w:rsidRPr="00AF5417">
        <w:rPr>
          <w:spacing w:val="19"/>
        </w:rPr>
        <w:t xml:space="preserve"> </w:t>
      </w:r>
      <w:r w:rsidRPr="00AF5417">
        <w:t>OF ACRONYMS</w:t>
      </w:r>
      <w:bookmarkEnd w:id="2"/>
      <w:bookmarkEnd w:id="3"/>
    </w:p>
    <w:p w14:paraId="733429DC" w14:textId="77777777" w:rsidR="00265C02" w:rsidRPr="00AF5417" w:rsidRDefault="00265C02" w:rsidP="00AB1C35"/>
    <w:p w14:paraId="3336D854" w14:textId="77777777" w:rsidR="00265C02" w:rsidRPr="00AF5417" w:rsidRDefault="00265C02" w:rsidP="00AB1C35">
      <w:pPr>
        <w:rPr>
          <w:rFonts w:eastAsia="Times New Roman"/>
          <w:bCs/>
        </w:rPr>
      </w:pPr>
      <w:r w:rsidRPr="00AF5417">
        <w:rPr>
          <w:rFonts w:eastAsia="Times New Roman"/>
          <w:b/>
          <w:bCs/>
        </w:rPr>
        <w:t>AHMAC</w:t>
      </w:r>
      <w:r w:rsidRPr="00AF5417">
        <w:rPr>
          <w:rFonts w:eastAsia="Times New Roman"/>
          <w:b/>
          <w:bCs/>
        </w:rPr>
        <w:tab/>
      </w:r>
      <w:r>
        <w:t>Australian Health Ministers’</w:t>
      </w:r>
      <w:r w:rsidRPr="00AF5417">
        <w:t xml:space="preserve"> Advisory Council</w:t>
      </w:r>
    </w:p>
    <w:p w14:paraId="0F92EA24" w14:textId="77777777" w:rsidR="00265C02" w:rsidRDefault="00265C02" w:rsidP="00AB1C35">
      <w:r w:rsidRPr="00AF5417">
        <w:rPr>
          <w:rFonts w:eastAsia="Times New Roman"/>
          <w:b/>
          <w:bCs/>
        </w:rPr>
        <w:t>A</w:t>
      </w:r>
      <w:r>
        <w:rPr>
          <w:rFonts w:eastAsia="Times New Roman"/>
          <w:b/>
          <w:bCs/>
        </w:rPr>
        <w:t>R</w:t>
      </w:r>
      <w:r w:rsidRPr="00AF5417">
        <w:rPr>
          <w:rFonts w:eastAsia="Times New Roman"/>
          <w:b/>
          <w:bCs/>
        </w:rPr>
        <w:t>C</w:t>
      </w:r>
      <w:r>
        <w:rPr>
          <w:rFonts w:eastAsia="Times New Roman"/>
          <w:b/>
          <w:bCs/>
        </w:rPr>
        <w:tab/>
      </w:r>
      <w:r>
        <w:rPr>
          <w:rFonts w:eastAsia="Times New Roman"/>
          <w:b/>
          <w:bCs/>
        </w:rPr>
        <w:tab/>
      </w:r>
      <w:r w:rsidRPr="00B02159">
        <w:t>BreastScreen Australia Accreditation Review Committee</w:t>
      </w:r>
    </w:p>
    <w:p w14:paraId="24AED965" w14:textId="77777777" w:rsidR="00265C02" w:rsidRPr="00AF5417" w:rsidRDefault="00265C02" w:rsidP="00AB1C35">
      <w:pPr>
        <w:rPr>
          <w:rFonts w:eastAsia="Times New Roman"/>
          <w:bCs/>
        </w:rPr>
      </w:pPr>
      <w:r w:rsidRPr="00AF5417">
        <w:rPr>
          <w:rFonts w:eastAsia="Times New Roman"/>
          <w:b/>
          <w:bCs/>
        </w:rPr>
        <w:t>BSA</w:t>
      </w:r>
      <w:r w:rsidRPr="00AF5417">
        <w:rPr>
          <w:rFonts w:eastAsia="Times New Roman"/>
          <w:bCs/>
        </w:rPr>
        <w:tab/>
      </w:r>
      <w:r>
        <w:rPr>
          <w:rFonts w:eastAsia="Times New Roman"/>
          <w:bCs/>
        </w:rPr>
        <w:tab/>
      </w:r>
      <w:r w:rsidRPr="00AF5417">
        <w:t>BreastScreen Australia</w:t>
      </w:r>
    </w:p>
    <w:p w14:paraId="5CFD14AC" w14:textId="77777777" w:rsidR="00265C02" w:rsidRPr="002263EC" w:rsidRDefault="00265C02" w:rsidP="00AB1C35">
      <w:pPr>
        <w:rPr>
          <w:rFonts w:eastAsia="Times New Roman" w:cstheme="minorHAnsi"/>
          <w:bCs/>
        </w:rPr>
      </w:pPr>
      <w:r>
        <w:rPr>
          <w:b/>
        </w:rPr>
        <w:t>NAF</w:t>
      </w:r>
      <w:r>
        <w:rPr>
          <w:rFonts w:cstheme="minorHAnsi"/>
          <w:b/>
        </w:rPr>
        <w:tab/>
      </w:r>
      <w:r>
        <w:rPr>
          <w:rFonts w:cstheme="minorHAnsi"/>
          <w:b/>
        </w:rPr>
        <w:tab/>
      </w:r>
      <w:r w:rsidRPr="002263EC">
        <w:t>NAS Accountability Framework</w:t>
      </w:r>
    </w:p>
    <w:p w14:paraId="1058283B" w14:textId="77777777" w:rsidR="00265C02" w:rsidRPr="00AF5417" w:rsidRDefault="00265C02" w:rsidP="00AB1C35">
      <w:pPr>
        <w:rPr>
          <w:rFonts w:eastAsia="Times New Roman"/>
          <w:bCs/>
        </w:rPr>
      </w:pPr>
      <w:r w:rsidRPr="00AF5417">
        <w:rPr>
          <w:rFonts w:eastAsia="Times New Roman"/>
          <w:b/>
          <w:bCs/>
        </w:rPr>
        <w:t>NAS</w:t>
      </w:r>
      <w:r w:rsidRPr="00AF5417">
        <w:rPr>
          <w:rFonts w:eastAsia="Times New Roman"/>
          <w:bCs/>
        </w:rPr>
        <w:tab/>
      </w:r>
      <w:r>
        <w:rPr>
          <w:rFonts w:eastAsia="Times New Roman"/>
          <w:bCs/>
        </w:rPr>
        <w:tab/>
      </w:r>
      <w:r w:rsidRPr="00AF5417">
        <w:t>National Accreditation Standards</w:t>
      </w:r>
    </w:p>
    <w:p w14:paraId="44F97B0B" w14:textId="77777777" w:rsidR="00265C02" w:rsidRPr="00AF5417" w:rsidRDefault="00265C02" w:rsidP="00AB1C35">
      <w:pPr>
        <w:rPr>
          <w:rFonts w:eastAsia="Times New Roman"/>
          <w:bCs/>
        </w:rPr>
      </w:pPr>
      <w:r w:rsidRPr="00AF5417">
        <w:rPr>
          <w:rFonts w:eastAsia="Times New Roman"/>
          <w:b/>
          <w:bCs/>
        </w:rPr>
        <w:t>NQMC</w:t>
      </w:r>
      <w:r w:rsidRPr="00AF5417">
        <w:rPr>
          <w:rFonts w:eastAsia="Times New Roman"/>
          <w:bCs/>
        </w:rPr>
        <w:tab/>
      </w:r>
      <w:r>
        <w:rPr>
          <w:rFonts w:eastAsia="Times New Roman"/>
          <w:bCs/>
        </w:rPr>
        <w:tab/>
      </w:r>
      <w:r w:rsidRPr="00AF5417">
        <w:t>National Quality Management Committee</w:t>
      </w:r>
    </w:p>
    <w:p w14:paraId="2C40F4F3" w14:textId="77777777" w:rsidR="00265C02" w:rsidRPr="00AF5417" w:rsidRDefault="00265C02" w:rsidP="00AB1C35">
      <w:r>
        <w:rPr>
          <w:b/>
        </w:rPr>
        <w:t>SAS</w:t>
      </w:r>
      <w:r w:rsidRPr="00AF5417">
        <w:rPr>
          <w:b/>
        </w:rPr>
        <w:tab/>
      </w:r>
      <w:r>
        <w:rPr>
          <w:b/>
        </w:rPr>
        <w:tab/>
      </w:r>
      <w:r w:rsidRPr="00AF5417">
        <w:t>S</w:t>
      </w:r>
      <w:r>
        <w:t>creening and Assessment Service</w:t>
      </w:r>
    </w:p>
    <w:p w14:paraId="5CC4419B" w14:textId="77777777" w:rsidR="00265C02" w:rsidRPr="00AF5417" w:rsidRDefault="00265C02" w:rsidP="00AB1C35">
      <w:pPr>
        <w:rPr>
          <w:rFonts w:eastAsia="Times New Roman"/>
          <w:bCs/>
        </w:rPr>
      </w:pPr>
      <w:r w:rsidRPr="00AF5417">
        <w:rPr>
          <w:rFonts w:eastAsia="Times New Roman"/>
          <w:b/>
          <w:bCs/>
        </w:rPr>
        <w:t>SCoS</w:t>
      </w:r>
      <w:r w:rsidRPr="00AF5417">
        <w:rPr>
          <w:rFonts w:eastAsia="Times New Roman"/>
          <w:b/>
          <w:bCs/>
        </w:rPr>
        <w:tab/>
      </w:r>
      <w:r>
        <w:rPr>
          <w:rFonts w:eastAsia="Times New Roman"/>
          <w:b/>
          <w:bCs/>
        </w:rPr>
        <w:tab/>
      </w:r>
      <w:r w:rsidRPr="00AF5417">
        <w:t>Standing Committee on Screening</w:t>
      </w:r>
    </w:p>
    <w:p w14:paraId="0A4A78B1" w14:textId="77777777" w:rsidR="00265C02" w:rsidRPr="00AF5417" w:rsidRDefault="00265C02" w:rsidP="00AB1C35">
      <w:r w:rsidRPr="00AF5417">
        <w:rPr>
          <w:rFonts w:eastAsia="Times New Roman"/>
          <w:b/>
          <w:bCs/>
        </w:rPr>
        <w:t>SCU</w:t>
      </w:r>
      <w:r w:rsidRPr="00AF5417">
        <w:rPr>
          <w:rFonts w:eastAsia="Times New Roman"/>
          <w:bCs/>
        </w:rPr>
        <w:tab/>
      </w:r>
      <w:r>
        <w:rPr>
          <w:rFonts w:eastAsia="Times New Roman"/>
          <w:bCs/>
        </w:rPr>
        <w:tab/>
      </w:r>
      <w:r w:rsidRPr="00AF5417">
        <w:t>State Coordination Unit</w:t>
      </w:r>
    </w:p>
    <w:p w14:paraId="70EE2294" w14:textId="66A7DCA9" w:rsidR="00265C02" w:rsidRPr="00AF5417" w:rsidRDefault="00265C02" w:rsidP="00AB1C35">
      <w:r w:rsidRPr="002263EC">
        <w:rPr>
          <w:rFonts w:eastAsia="Times New Roman"/>
          <w:b/>
          <w:bCs/>
        </w:rPr>
        <w:t>SQC</w:t>
      </w:r>
      <w:r>
        <w:rPr>
          <w:rFonts w:eastAsia="Times New Roman"/>
          <w:bCs/>
        </w:rPr>
        <w:tab/>
      </w:r>
      <w:r>
        <w:rPr>
          <w:rFonts w:eastAsia="Times New Roman"/>
          <w:bCs/>
        </w:rPr>
        <w:tab/>
      </w:r>
      <w:r w:rsidRPr="00AF5417">
        <w:t>State</w:t>
      </w:r>
      <w:r w:rsidRPr="00AE7F7C">
        <w:t xml:space="preserve"> </w:t>
      </w:r>
      <w:r w:rsidRPr="00AF5417">
        <w:t>Quality</w:t>
      </w:r>
      <w:r w:rsidRPr="00AE7F7C">
        <w:t xml:space="preserve"> </w:t>
      </w:r>
      <w:r w:rsidRPr="00AF5417">
        <w:t>Committee</w:t>
      </w:r>
    </w:p>
    <w:p w14:paraId="04FF8632" w14:textId="77777777" w:rsidR="0061320D" w:rsidRDefault="0061320D" w:rsidP="005D1657">
      <w:pPr>
        <w:pStyle w:val="Heading1"/>
        <w:numPr>
          <w:ilvl w:val="0"/>
          <w:numId w:val="0"/>
        </w:numPr>
      </w:pPr>
      <w:bookmarkStart w:id="4" w:name="_Toc66438607"/>
      <w:r w:rsidRPr="00265C02">
        <w:lastRenderedPageBreak/>
        <w:t xml:space="preserve">LIST OF </w:t>
      </w:r>
      <w:r w:rsidRPr="00C46142">
        <w:t>TABLES</w:t>
      </w:r>
      <w:bookmarkEnd w:id="4"/>
    </w:p>
    <w:p w14:paraId="3FE38DBD" w14:textId="77777777" w:rsidR="00AE354C" w:rsidRPr="00AE354C" w:rsidRDefault="00AE354C" w:rsidP="00AE354C"/>
    <w:p w14:paraId="763C86D5" w14:textId="0F9B75B4" w:rsidR="00C46142" w:rsidRDefault="00AE354C">
      <w:pPr>
        <w:pStyle w:val="TableofFigures"/>
        <w:tabs>
          <w:tab w:val="left" w:pos="1100"/>
          <w:tab w:val="right" w:leader="dot" w:pos="9016"/>
        </w:tabs>
        <w:rPr>
          <w:rFonts w:eastAsiaTheme="minorEastAsia"/>
          <w:noProof/>
          <w:sz w:val="22"/>
          <w:szCs w:val="22"/>
          <w:lang w:val="en-AU" w:eastAsia="en-AU"/>
        </w:rPr>
      </w:pPr>
      <w:r>
        <w:fldChar w:fldCharType="begin"/>
      </w:r>
      <w:r>
        <w:instrText xml:space="preserve"> TOC \h \z \c "Table" </w:instrText>
      </w:r>
      <w:r>
        <w:fldChar w:fldCharType="separate"/>
      </w:r>
      <w:hyperlink w:anchor="_Toc464755773" w:history="1">
        <w:r w:rsidR="00C46142" w:rsidRPr="00C46142">
          <w:rPr>
            <w:rStyle w:val="Hyperlink"/>
            <w:b/>
            <w:noProof/>
          </w:rPr>
          <w:t>Table 1:</w:t>
        </w:r>
        <w:r w:rsidR="00C46142">
          <w:rPr>
            <w:rFonts w:eastAsiaTheme="minorEastAsia"/>
            <w:noProof/>
            <w:sz w:val="22"/>
            <w:szCs w:val="22"/>
            <w:lang w:val="en-AU" w:eastAsia="en-AU"/>
          </w:rPr>
          <w:tab/>
        </w:r>
        <w:r w:rsidR="00C46142" w:rsidRPr="00AD4B67">
          <w:rPr>
            <w:rStyle w:val="Hyperlink"/>
            <w:noProof/>
          </w:rPr>
          <w:t>Decision Tool performance targets for each accreditation tier*</w:t>
        </w:r>
        <w:r w:rsidR="00C46142">
          <w:rPr>
            <w:noProof/>
            <w:webHidden/>
          </w:rPr>
          <w:tab/>
        </w:r>
        <w:r w:rsidR="00C46142">
          <w:rPr>
            <w:noProof/>
            <w:webHidden/>
          </w:rPr>
          <w:fldChar w:fldCharType="begin"/>
        </w:r>
        <w:r w:rsidR="00C46142">
          <w:rPr>
            <w:noProof/>
            <w:webHidden/>
          </w:rPr>
          <w:instrText xml:space="preserve"> PAGEREF _Toc464755773 \h </w:instrText>
        </w:r>
        <w:r w:rsidR="00C46142">
          <w:rPr>
            <w:noProof/>
            <w:webHidden/>
          </w:rPr>
        </w:r>
        <w:r w:rsidR="00C46142">
          <w:rPr>
            <w:noProof/>
            <w:webHidden/>
          </w:rPr>
          <w:fldChar w:fldCharType="separate"/>
        </w:r>
        <w:r w:rsidR="00B36BEE">
          <w:rPr>
            <w:noProof/>
            <w:webHidden/>
          </w:rPr>
          <w:t>42</w:t>
        </w:r>
        <w:r w:rsidR="00C46142">
          <w:rPr>
            <w:noProof/>
            <w:webHidden/>
          </w:rPr>
          <w:fldChar w:fldCharType="end"/>
        </w:r>
      </w:hyperlink>
    </w:p>
    <w:p w14:paraId="0B0D9996" w14:textId="2FB196C0" w:rsidR="00C46142" w:rsidRDefault="005D1657">
      <w:pPr>
        <w:pStyle w:val="TableofFigures"/>
        <w:tabs>
          <w:tab w:val="left" w:pos="1100"/>
          <w:tab w:val="right" w:leader="dot" w:pos="9016"/>
        </w:tabs>
        <w:rPr>
          <w:rFonts w:eastAsiaTheme="minorEastAsia"/>
          <w:noProof/>
          <w:sz w:val="22"/>
          <w:szCs w:val="22"/>
          <w:lang w:val="en-AU" w:eastAsia="en-AU"/>
        </w:rPr>
      </w:pPr>
      <w:hyperlink w:anchor="_Toc464755774" w:history="1">
        <w:r w:rsidR="00C46142" w:rsidRPr="00C46142">
          <w:rPr>
            <w:rStyle w:val="Hyperlink"/>
            <w:b/>
            <w:noProof/>
          </w:rPr>
          <w:t>Table 2</w:t>
        </w:r>
        <w:r w:rsidR="00C46142" w:rsidRPr="00AD4B67">
          <w:rPr>
            <w:rStyle w:val="Hyperlink"/>
            <w:noProof/>
          </w:rPr>
          <w:t>:</w:t>
        </w:r>
        <w:r w:rsidR="00C46142">
          <w:rPr>
            <w:rFonts w:eastAsiaTheme="minorEastAsia"/>
            <w:noProof/>
            <w:sz w:val="22"/>
            <w:szCs w:val="22"/>
            <w:lang w:val="en-AU" w:eastAsia="en-AU"/>
          </w:rPr>
          <w:tab/>
        </w:r>
        <w:r w:rsidR="00C46142" w:rsidRPr="00AD4B67">
          <w:rPr>
            <w:rStyle w:val="Hyperlink"/>
            <w:noProof/>
          </w:rPr>
          <w:t>Summary of the number of Measures per risk level per Standard</w:t>
        </w:r>
        <w:r w:rsidR="00C46142">
          <w:rPr>
            <w:noProof/>
            <w:webHidden/>
          </w:rPr>
          <w:tab/>
        </w:r>
        <w:r w:rsidR="00C46142">
          <w:rPr>
            <w:noProof/>
            <w:webHidden/>
          </w:rPr>
          <w:fldChar w:fldCharType="begin"/>
        </w:r>
        <w:r w:rsidR="00C46142">
          <w:rPr>
            <w:noProof/>
            <w:webHidden/>
          </w:rPr>
          <w:instrText xml:space="preserve"> PAGEREF _Toc464755774 \h </w:instrText>
        </w:r>
        <w:r w:rsidR="00C46142">
          <w:rPr>
            <w:noProof/>
            <w:webHidden/>
          </w:rPr>
        </w:r>
        <w:r w:rsidR="00C46142">
          <w:rPr>
            <w:noProof/>
            <w:webHidden/>
          </w:rPr>
          <w:fldChar w:fldCharType="separate"/>
        </w:r>
        <w:r w:rsidR="00B36BEE">
          <w:rPr>
            <w:noProof/>
            <w:webHidden/>
          </w:rPr>
          <w:t>43</w:t>
        </w:r>
        <w:r w:rsidR="00C46142">
          <w:rPr>
            <w:noProof/>
            <w:webHidden/>
          </w:rPr>
          <w:fldChar w:fldCharType="end"/>
        </w:r>
      </w:hyperlink>
    </w:p>
    <w:p w14:paraId="23C9BAE1" w14:textId="1C9C1777" w:rsidR="00C46142" w:rsidRDefault="005D1657">
      <w:pPr>
        <w:pStyle w:val="TableofFigures"/>
        <w:tabs>
          <w:tab w:val="left" w:pos="1100"/>
          <w:tab w:val="right" w:leader="dot" w:pos="9016"/>
        </w:tabs>
        <w:rPr>
          <w:rFonts w:eastAsiaTheme="minorEastAsia"/>
          <w:noProof/>
          <w:sz w:val="22"/>
          <w:szCs w:val="22"/>
          <w:lang w:val="en-AU" w:eastAsia="en-AU"/>
        </w:rPr>
      </w:pPr>
      <w:hyperlink w:anchor="_Toc464755775" w:history="1">
        <w:r w:rsidR="00C46142" w:rsidRPr="00C46142">
          <w:rPr>
            <w:rStyle w:val="Hyperlink"/>
            <w:b/>
            <w:noProof/>
          </w:rPr>
          <w:t>Table 3:</w:t>
        </w:r>
        <w:r w:rsidR="00C46142">
          <w:rPr>
            <w:rFonts w:eastAsiaTheme="minorEastAsia"/>
            <w:noProof/>
            <w:sz w:val="22"/>
            <w:szCs w:val="22"/>
            <w:lang w:val="en-AU" w:eastAsia="en-AU"/>
          </w:rPr>
          <w:tab/>
        </w:r>
        <w:r w:rsidR="00C46142" w:rsidRPr="00AD4B67">
          <w:rPr>
            <w:rStyle w:val="Hyperlink"/>
            <w:noProof/>
            <w:snapToGrid w:val="0"/>
          </w:rPr>
          <w:t>Classifying adverse events</w:t>
        </w:r>
        <w:r w:rsidR="00C46142">
          <w:rPr>
            <w:noProof/>
            <w:webHidden/>
          </w:rPr>
          <w:tab/>
        </w:r>
        <w:r w:rsidR="00C46142">
          <w:rPr>
            <w:noProof/>
            <w:webHidden/>
          </w:rPr>
          <w:fldChar w:fldCharType="begin"/>
        </w:r>
        <w:r w:rsidR="00C46142">
          <w:rPr>
            <w:noProof/>
            <w:webHidden/>
          </w:rPr>
          <w:instrText xml:space="preserve"> PAGEREF _Toc464755775 \h </w:instrText>
        </w:r>
        <w:r w:rsidR="00C46142">
          <w:rPr>
            <w:noProof/>
            <w:webHidden/>
          </w:rPr>
        </w:r>
        <w:r w:rsidR="00C46142">
          <w:rPr>
            <w:noProof/>
            <w:webHidden/>
          </w:rPr>
          <w:fldChar w:fldCharType="separate"/>
        </w:r>
        <w:r w:rsidR="00B36BEE">
          <w:rPr>
            <w:noProof/>
            <w:webHidden/>
          </w:rPr>
          <w:t>87</w:t>
        </w:r>
        <w:r w:rsidR="00C46142">
          <w:rPr>
            <w:noProof/>
            <w:webHidden/>
          </w:rPr>
          <w:fldChar w:fldCharType="end"/>
        </w:r>
      </w:hyperlink>
    </w:p>
    <w:p w14:paraId="0D1303BC" w14:textId="5B121BC0" w:rsidR="00C46142" w:rsidRDefault="005D1657">
      <w:pPr>
        <w:pStyle w:val="TableofFigures"/>
        <w:tabs>
          <w:tab w:val="left" w:pos="1100"/>
          <w:tab w:val="right" w:leader="dot" w:pos="9016"/>
        </w:tabs>
        <w:rPr>
          <w:rFonts w:eastAsiaTheme="minorEastAsia"/>
          <w:noProof/>
          <w:sz w:val="22"/>
          <w:szCs w:val="22"/>
          <w:lang w:val="en-AU" w:eastAsia="en-AU"/>
        </w:rPr>
      </w:pPr>
      <w:hyperlink w:anchor="_Toc464755776" w:history="1">
        <w:r w:rsidR="00C46142" w:rsidRPr="00C46142">
          <w:rPr>
            <w:rStyle w:val="Hyperlink"/>
            <w:b/>
            <w:noProof/>
          </w:rPr>
          <w:t>Table 4</w:t>
        </w:r>
        <w:r w:rsidR="00C46142" w:rsidRPr="00AD4B67">
          <w:rPr>
            <w:rStyle w:val="Hyperlink"/>
            <w:noProof/>
          </w:rPr>
          <w:t>:</w:t>
        </w:r>
        <w:r w:rsidR="00C46142">
          <w:rPr>
            <w:rFonts w:eastAsiaTheme="minorEastAsia"/>
            <w:noProof/>
            <w:sz w:val="22"/>
            <w:szCs w:val="22"/>
            <w:lang w:val="en-AU" w:eastAsia="en-AU"/>
          </w:rPr>
          <w:tab/>
        </w:r>
        <w:r w:rsidR="00C46142" w:rsidRPr="00AD4B67">
          <w:rPr>
            <w:rStyle w:val="Hyperlink"/>
            <w:noProof/>
            <w:snapToGrid w:val="0"/>
          </w:rPr>
          <w:t>Reporting requirements for adverse events</w:t>
        </w:r>
        <w:r w:rsidR="00C46142">
          <w:rPr>
            <w:noProof/>
            <w:webHidden/>
          </w:rPr>
          <w:tab/>
        </w:r>
        <w:r w:rsidR="00C46142">
          <w:rPr>
            <w:noProof/>
            <w:webHidden/>
          </w:rPr>
          <w:fldChar w:fldCharType="begin"/>
        </w:r>
        <w:r w:rsidR="00C46142">
          <w:rPr>
            <w:noProof/>
            <w:webHidden/>
          </w:rPr>
          <w:instrText xml:space="preserve"> PAGEREF _Toc464755776 \h </w:instrText>
        </w:r>
        <w:r w:rsidR="00C46142">
          <w:rPr>
            <w:noProof/>
            <w:webHidden/>
          </w:rPr>
        </w:r>
        <w:r w:rsidR="00C46142">
          <w:rPr>
            <w:noProof/>
            <w:webHidden/>
          </w:rPr>
          <w:fldChar w:fldCharType="separate"/>
        </w:r>
        <w:r w:rsidR="00B36BEE">
          <w:rPr>
            <w:noProof/>
            <w:webHidden/>
          </w:rPr>
          <w:t>89</w:t>
        </w:r>
        <w:r w:rsidR="00C46142">
          <w:rPr>
            <w:noProof/>
            <w:webHidden/>
          </w:rPr>
          <w:fldChar w:fldCharType="end"/>
        </w:r>
      </w:hyperlink>
    </w:p>
    <w:p w14:paraId="7DD9620A" w14:textId="77777777" w:rsidR="0061320D" w:rsidRPr="00AF5417" w:rsidRDefault="00AE354C" w:rsidP="00AB1C35">
      <w:r>
        <w:fldChar w:fldCharType="end"/>
      </w:r>
    </w:p>
    <w:p w14:paraId="4ABD6B69" w14:textId="77777777" w:rsidR="00360D08" w:rsidRPr="00447BD6" w:rsidRDefault="00360D08" w:rsidP="005D1657">
      <w:pPr>
        <w:pStyle w:val="Heading1"/>
        <w:numPr>
          <w:ilvl w:val="0"/>
          <w:numId w:val="0"/>
        </w:numPr>
      </w:pPr>
      <w:bookmarkStart w:id="5" w:name="_Toc66438608"/>
      <w:r w:rsidRPr="00C46142">
        <w:lastRenderedPageBreak/>
        <w:t>FOREWORD</w:t>
      </w:r>
      <w:bookmarkEnd w:id="5"/>
    </w:p>
    <w:p w14:paraId="15D70BD8" w14:textId="26587E77" w:rsidR="00376EAF" w:rsidRDefault="00360D08" w:rsidP="00AB1C35">
      <w:r w:rsidRPr="00E455DA">
        <w:t xml:space="preserve">The BreastScreen Australia accreditation system underpins the quality of services delivered by the </w:t>
      </w:r>
      <w:r w:rsidR="00825A69">
        <w:t>P</w:t>
      </w:r>
      <w:r w:rsidRPr="00E455DA">
        <w:t xml:space="preserve">rogram and drives continuous quality improvement to ensure women receive safe, effective and </w:t>
      </w:r>
      <w:r w:rsidR="00067B4D" w:rsidRPr="00E455DA">
        <w:t>high-quality</w:t>
      </w:r>
      <w:r w:rsidRPr="00E455DA">
        <w:t xml:space="preserve"> care.  The National Quality Management Committee (NQMC), as the national body with responsibility for accreditation and quality improvement, is committed to sustaining and strengthening the quality of breast screening services.</w:t>
      </w:r>
    </w:p>
    <w:p w14:paraId="0E0D195D" w14:textId="77777777" w:rsidR="00376EAF" w:rsidRDefault="00360D08" w:rsidP="00AB1C35">
      <w:r w:rsidRPr="00E455DA">
        <w:t xml:space="preserve">I would like to acknowledge the outcomes of the 2011-2014 review of </w:t>
      </w:r>
      <w:r w:rsidR="00594856">
        <w:t>B</w:t>
      </w:r>
      <w:r w:rsidRPr="00E455DA">
        <w:t>reastScreen Australia’s accreditation system, overseen by Dr Heather Buchan as Chair of the Accreditation Review Committee.  The review has resulted in a streamlined set of accreditation standards and a strengthened, more transparent and accountable process for assessing and awarding accreditation to BreastScreen Services and State Coordination Units (SCUs).</w:t>
      </w:r>
    </w:p>
    <w:p w14:paraId="25BF1FCF" w14:textId="77777777" w:rsidR="00376EAF" w:rsidRDefault="00360D08" w:rsidP="00AB1C35">
      <w:r w:rsidRPr="00E455DA">
        <w:t>The NQMC has been afforded the authority by the Standing Committee on Screening (SCoS), to undertake future reviews of the accreditation system and provide revisions to the SCoS for endorsement. The new accreditation system has provided a strong foundation upon which the NQMC can continue to monitor the accreditation standards and governance</w:t>
      </w:r>
      <w:r w:rsidR="00452466">
        <w:t xml:space="preserve"> arrangements</w:t>
      </w:r>
      <w:r w:rsidRPr="00E455DA">
        <w:t>, to ensure the system continues to be efficient, effective and drive quality improvement for the national program.</w:t>
      </w:r>
    </w:p>
    <w:p w14:paraId="76958977" w14:textId="77777777" w:rsidR="00405284" w:rsidRPr="00405284" w:rsidRDefault="00405284" w:rsidP="00AB1C35">
      <w:pPr>
        <w:rPr>
          <w:b/>
          <w:bCs/>
          <w:color w:val="17365D" w:themeColor="text2" w:themeShade="BF"/>
        </w:rPr>
      </w:pPr>
      <w:r w:rsidRPr="00405284">
        <w:rPr>
          <w:b/>
          <w:bCs/>
          <w:color w:val="17365D" w:themeColor="text2" w:themeShade="BF"/>
        </w:rPr>
        <w:t>Transition to new accreditation system and review of implementation</w:t>
      </w:r>
    </w:p>
    <w:p w14:paraId="2129C79B" w14:textId="302AD762" w:rsidR="00376EAF" w:rsidRDefault="00360D08" w:rsidP="00AB1C35">
      <w:r w:rsidRPr="00E455DA">
        <w:t>The NQMC is well positioned to support the transition to the new accreditation system and monitor its impact on BreastScreen Services, SCUs and stakeholders involved in accreditation.  It is proposed that two years after roll-out, the NQMC will undertake a review of implementation, including identifying areas for improvement and lessons learned.</w:t>
      </w:r>
    </w:p>
    <w:p w14:paraId="7D6EC59B" w14:textId="77777777" w:rsidR="00376EAF" w:rsidRDefault="00360D08" w:rsidP="00AB1C35">
      <w:r w:rsidRPr="00E455DA">
        <w:t>Throughout the transition, the NQMC would welcome feedback from stakeholders about any components of the new system which may require clarification or refinement. The NQMC Secretariat will provide a central point of contact for these issues, which will also help to inform the review of the implementation process.</w:t>
      </w:r>
    </w:p>
    <w:p w14:paraId="58724989" w14:textId="7A0AB9B6" w:rsidR="00360D08" w:rsidRPr="00E455DA" w:rsidRDefault="00360D08" w:rsidP="00AB1C35">
      <w:r w:rsidRPr="00E455DA">
        <w:t xml:space="preserve">I look forward to working with you as we implement the new accreditation system and ensure the continued provision of safe, effective and </w:t>
      </w:r>
      <w:r w:rsidR="00405284" w:rsidRPr="00E455DA">
        <w:t>high-quality</w:t>
      </w:r>
      <w:r w:rsidRPr="00E455DA">
        <w:t xml:space="preserve"> screening and assessment services.  </w:t>
      </w:r>
    </w:p>
    <w:p w14:paraId="4A175E3D" w14:textId="3948675F" w:rsidR="00AB1C35" w:rsidRDefault="004204F2" w:rsidP="00AB1C35">
      <w:r>
        <w:rPr>
          <w:noProof/>
          <w:lang w:val="en-AU" w:eastAsia="en-AU"/>
        </w:rPr>
        <w:drawing>
          <wp:inline distT="0" distB="0" distL="0" distR="0" wp14:anchorId="65550EE1" wp14:editId="7D4ACA86">
            <wp:extent cx="2266950" cy="900952"/>
            <wp:effectExtent l="0" t="0" r="0" b="0"/>
            <wp:docPr id="5" name="Picture 5" descr="Dr Julie Thompson's signature block" title="NQMC Chai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illa\AppData\Local\Microsoft\Windows\Temporary Internet Files\Content.Outlook\QRMY2I07\Julie Thompson 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054" cy="904570"/>
                    </a:xfrm>
                    <a:prstGeom prst="rect">
                      <a:avLst/>
                    </a:prstGeom>
                    <a:noFill/>
                    <a:ln>
                      <a:noFill/>
                    </a:ln>
                  </pic:spPr>
                </pic:pic>
              </a:graphicData>
            </a:graphic>
          </wp:inline>
        </w:drawing>
      </w:r>
      <w:r w:rsidR="00AB1C35">
        <w:br/>
      </w:r>
      <w:r>
        <w:t xml:space="preserve">Dr </w:t>
      </w:r>
      <w:r w:rsidR="00360D08">
        <w:t xml:space="preserve">Julie Thompson </w:t>
      </w:r>
      <w:r w:rsidR="00AB1C35">
        <w:br/>
      </w:r>
      <w:r w:rsidR="00360D08">
        <w:t>NQMC Chair</w:t>
      </w:r>
    </w:p>
    <w:p w14:paraId="7D873408" w14:textId="77777777" w:rsidR="00AB1C35" w:rsidRDefault="00AB1C35" w:rsidP="00AB1C35">
      <w:pPr>
        <w:sectPr w:rsidR="00AB1C35" w:rsidSect="00411E0E">
          <w:headerReference w:type="even" r:id="rId14"/>
          <w:headerReference w:type="default" r:id="rId15"/>
          <w:footerReference w:type="even" r:id="rId16"/>
          <w:footerReference w:type="default" r:id="rId17"/>
          <w:headerReference w:type="first" r:id="rId18"/>
          <w:pgSz w:w="11906" w:h="16838" w:code="9"/>
          <w:pgMar w:top="1440" w:right="1440" w:bottom="1440" w:left="1440" w:header="709" w:footer="567" w:gutter="0"/>
          <w:pgNumType w:fmt="lowerRoman" w:start="1"/>
          <w:cols w:space="708"/>
          <w:docGrid w:linePitch="360"/>
        </w:sectPr>
      </w:pPr>
    </w:p>
    <w:p w14:paraId="21BCB4DE" w14:textId="45AEDF80" w:rsidR="00B25D58" w:rsidRPr="00B54D8D" w:rsidRDefault="00B25D58" w:rsidP="0008617F">
      <w:pPr>
        <w:pStyle w:val="Heading1"/>
      </w:pPr>
      <w:bookmarkStart w:id="6" w:name="_Toc517944579"/>
      <w:bookmarkStart w:id="7" w:name="_Toc66438609"/>
      <w:r w:rsidRPr="00B54D8D">
        <w:lastRenderedPageBreak/>
        <w:t>INTRODUCTION</w:t>
      </w:r>
      <w:bookmarkEnd w:id="6"/>
      <w:bookmarkEnd w:id="7"/>
    </w:p>
    <w:p w14:paraId="14683534" w14:textId="77777777" w:rsidR="00E653F5" w:rsidRPr="00AB1C35" w:rsidRDefault="00E653F5" w:rsidP="00500310">
      <w:pPr>
        <w:pStyle w:val="Heading2"/>
      </w:pPr>
      <w:bookmarkStart w:id="8" w:name="_Ref465869121"/>
      <w:bookmarkStart w:id="9" w:name="_Ref465869125"/>
      <w:bookmarkStart w:id="10" w:name="_Toc481676382"/>
      <w:bookmarkStart w:id="11" w:name="_Toc517944580"/>
      <w:bookmarkStart w:id="12" w:name="_Toc66438610"/>
      <w:r w:rsidRPr="006646E2">
        <w:t>PURPOSE</w:t>
      </w:r>
      <w:r w:rsidRPr="00AB1C35">
        <w:t xml:space="preserve"> OF THIS HANDBOOK</w:t>
      </w:r>
      <w:bookmarkEnd w:id="8"/>
      <w:bookmarkEnd w:id="9"/>
      <w:bookmarkEnd w:id="10"/>
      <w:bookmarkEnd w:id="11"/>
      <w:bookmarkEnd w:id="12"/>
    </w:p>
    <w:p w14:paraId="7E277FD1" w14:textId="77777777" w:rsidR="00E653F5" w:rsidRPr="00AB1C35" w:rsidRDefault="00E653F5" w:rsidP="00AB1C35">
      <w:r w:rsidRPr="00AB1C35">
        <w:t xml:space="preserve">The Accreditation Handbook is intended as a guide to achieving accreditation for BreastScreen Australia Services and State Coordination Units (SCUs). It aims to inform all those involved in accreditation about the requirements of the BreastScreen accreditation process; and the governance arrangements that underpin the BreastScreen Australia accreditation system. </w:t>
      </w:r>
    </w:p>
    <w:p w14:paraId="0345D9F3" w14:textId="77777777" w:rsidR="00E653F5" w:rsidRPr="00D40684" w:rsidRDefault="00E653F5" w:rsidP="00AB1C35">
      <w:r w:rsidRPr="00D40684">
        <w:t>The key accreditation documents for BreastScreen Australia include the:</w:t>
      </w:r>
    </w:p>
    <w:p w14:paraId="29C6EA96" w14:textId="77777777" w:rsidR="00E653F5" w:rsidRPr="00AB1C35" w:rsidRDefault="00E653F5" w:rsidP="004712E5">
      <w:pPr>
        <w:pStyle w:val="ListBullet"/>
      </w:pPr>
      <w:r w:rsidRPr="00AB1C35">
        <w:t>Accreditation Handbook;</w:t>
      </w:r>
    </w:p>
    <w:p w14:paraId="4F2255E2" w14:textId="77777777" w:rsidR="00E653F5" w:rsidRPr="00AB1C35" w:rsidRDefault="00E653F5" w:rsidP="004712E5">
      <w:pPr>
        <w:pStyle w:val="ListBullet"/>
      </w:pPr>
      <w:r w:rsidRPr="00AB1C35">
        <w:t>National Accreditation Standards (NAS); and</w:t>
      </w:r>
    </w:p>
    <w:p w14:paraId="7345A454" w14:textId="77777777" w:rsidR="00E653F5" w:rsidRPr="00AB1C35" w:rsidRDefault="00E653F5" w:rsidP="004712E5">
      <w:pPr>
        <w:pStyle w:val="ListBullet"/>
      </w:pPr>
      <w:r w:rsidRPr="00AB1C35">
        <w:t>suite of accreditation forms.</w:t>
      </w:r>
    </w:p>
    <w:p w14:paraId="04016EA2" w14:textId="77777777" w:rsidR="00E653F5" w:rsidRPr="00D40684" w:rsidRDefault="00E653F5" w:rsidP="00AB1C35">
      <w:r w:rsidRPr="00D40684">
        <w:t xml:space="preserve">The Standing Committee on Screening (SCoS) has overseen the development of this Handbook in close consultation with stakeholders.  Copies of materials related to BreastScreen accreditation are available from the Australian Government Department of Health’s </w:t>
      </w:r>
      <w:hyperlink r:id="rId19" w:history="1">
        <w:r w:rsidRPr="00D40684">
          <w:rPr>
            <w:rStyle w:val="Hyperlink"/>
          </w:rPr>
          <w:t>cancer screening website</w:t>
        </w:r>
      </w:hyperlink>
      <w:r w:rsidRPr="00D40684">
        <w:t>.</w:t>
      </w:r>
    </w:p>
    <w:p w14:paraId="375BD652" w14:textId="77777777" w:rsidR="00E653F5" w:rsidRPr="00354480" w:rsidRDefault="00E653F5" w:rsidP="00500310">
      <w:pPr>
        <w:pStyle w:val="Heading2"/>
      </w:pPr>
      <w:bookmarkStart w:id="13" w:name="_Toc517944581"/>
      <w:bookmarkStart w:id="14" w:name="_Toc66438611"/>
      <w:r w:rsidRPr="00354480">
        <w:t>OVERVIEW OF THE BREASTSCREEN AUSTRALIA PROGRAM</w:t>
      </w:r>
      <w:bookmarkEnd w:id="13"/>
      <w:bookmarkEnd w:id="14"/>
    </w:p>
    <w:p w14:paraId="576BDDDC" w14:textId="77777777" w:rsidR="00376EAF" w:rsidRDefault="00E653F5" w:rsidP="00AB1C35">
      <w:r w:rsidRPr="00BE1AAB">
        <w:t>The BreastScreen Australia Program aims to reduce morbidity and mortality from breast cancer through an organised systematic approach to the early detection of breast cancer using screening mammography.</w:t>
      </w:r>
    </w:p>
    <w:p w14:paraId="42266407" w14:textId="77777777" w:rsidR="00376EAF" w:rsidRDefault="00E653F5" w:rsidP="00AB1C35">
      <w:r w:rsidRPr="00BE1AAB">
        <w:t>Screening mammography detects unsuspected cancer at an early stage so that early treatment can reduce illness and death from breast cancer.</w:t>
      </w:r>
    </w:p>
    <w:p w14:paraId="41AD4D29" w14:textId="3E86DF63" w:rsidR="00E653F5" w:rsidRPr="00BE1AAB" w:rsidRDefault="00E653F5" w:rsidP="00AB1C35">
      <w:r w:rsidRPr="00BE1AAB">
        <w:t xml:space="preserve">This population based approach encourages asymptomatic women in the target population to have regular </w:t>
      </w:r>
      <w:r w:rsidR="00530F68" w:rsidRPr="00BE1AAB">
        <w:t xml:space="preserve">screening </w:t>
      </w:r>
      <w:r w:rsidRPr="00BE1AAB">
        <w:t>mammograms.  It is distinctly different from the use of mammography to investigate symptoms in an individual woman, which is a diagnostic procedure.  A central tenet of the success of BreastScreen Australia is to maximise the benefits of early breast cancer detection while minimising potential harm to women.</w:t>
      </w:r>
    </w:p>
    <w:p w14:paraId="36F02D04" w14:textId="77777777" w:rsidR="00E653F5" w:rsidRPr="00BE1AAB" w:rsidRDefault="00E653F5" w:rsidP="00AB1C35">
      <w:r w:rsidRPr="00BE1AAB">
        <w:t>Women with symptoms of breast cancer or at high risk of breast cancer may need individualised care and services that are different from those provided through the screening program.</w:t>
      </w:r>
    </w:p>
    <w:p w14:paraId="72C562D7" w14:textId="77777777" w:rsidR="00E653F5" w:rsidRPr="00BE1AAB" w:rsidRDefault="00E653F5" w:rsidP="00AB1C35">
      <w:r w:rsidRPr="00BE1AAB">
        <w:t xml:space="preserve">BreastScreen Australia’s accreditation system intends to drive continuous quality improvement in the delivery of breast screening services to ensure women receive safe, </w:t>
      </w:r>
      <w:r w:rsidRPr="00BE1AAB">
        <w:lastRenderedPageBreak/>
        <w:t>effective and high quality care.</w:t>
      </w:r>
    </w:p>
    <w:p w14:paraId="245DDB8E" w14:textId="2994EF93" w:rsidR="00E653F5" w:rsidRPr="00AB1C35" w:rsidRDefault="00E653F5" w:rsidP="006D2034">
      <w:pPr>
        <w:pStyle w:val="Heading3"/>
      </w:pPr>
      <w:bookmarkStart w:id="15" w:name="_Toc517944582"/>
      <w:bookmarkStart w:id="16" w:name="_Toc66438612"/>
      <w:r w:rsidRPr="00AB1C35">
        <w:t>Objectives of the BreastScreen Australia Program</w:t>
      </w:r>
      <w:bookmarkEnd w:id="15"/>
      <w:bookmarkEnd w:id="16"/>
    </w:p>
    <w:p w14:paraId="4292D0BF" w14:textId="77777777" w:rsidR="00E653F5" w:rsidRPr="00354480" w:rsidRDefault="00E653F5" w:rsidP="00AB1C35">
      <w:r w:rsidRPr="00354480">
        <w:t>The objectives of the BreastScreen Australia program are to:</w:t>
      </w:r>
    </w:p>
    <w:p w14:paraId="155F0F00" w14:textId="77777777" w:rsidR="00E653F5" w:rsidRPr="00F43645" w:rsidRDefault="00E653F5" w:rsidP="004712E5">
      <w:pPr>
        <w:pStyle w:val="ListBullet"/>
      </w:pPr>
      <w:r w:rsidRPr="00F43645">
        <w:t>Reduce the mortality and morbidity attributable to breast cancer.</w:t>
      </w:r>
    </w:p>
    <w:p w14:paraId="7ACF1DC8" w14:textId="77777777" w:rsidR="00E653F5" w:rsidRPr="00F43645" w:rsidRDefault="00E653F5" w:rsidP="004712E5">
      <w:pPr>
        <w:pStyle w:val="ListBullet"/>
      </w:pPr>
      <w:r w:rsidRPr="00F43645">
        <w:t>Maximise early detection of breast cancer in the target population.</w:t>
      </w:r>
    </w:p>
    <w:p w14:paraId="76B676FE" w14:textId="77777777" w:rsidR="00E653F5" w:rsidRPr="00F43645" w:rsidRDefault="00E653F5" w:rsidP="004712E5">
      <w:pPr>
        <w:pStyle w:val="ListBullet"/>
      </w:pPr>
      <w:r w:rsidRPr="00F43645">
        <w:t>Maximise the proportion of women in the target population who are screened every two years.</w:t>
      </w:r>
    </w:p>
    <w:p w14:paraId="50FFD97F" w14:textId="77777777" w:rsidR="00E653F5" w:rsidRPr="00F43645" w:rsidRDefault="00E653F5" w:rsidP="004712E5">
      <w:pPr>
        <w:pStyle w:val="ListBullet"/>
      </w:pPr>
      <w:r w:rsidRPr="00F43645">
        <w:t>Provide high quality services that are equitable, acceptable and appropriate to the needs of the population and equally accessible to all women in the target age group.</w:t>
      </w:r>
    </w:p>
    <w:p w14:paraId="0247B448" w14:textId="77777777" w:rsidR="00E653F5" w:rsidRPr="00F43645" w:rsidRDefault="00E653F5" w:rsidP="004712E5">
      <w:pPr>
        <w:pStyle w:val="ListBullet"/>
      </w:pPr>
      <w:r w:rsidRPr="00F43645">
        <w:t>Provide screening and assessment services in accredited Screening and Assessment Services as part of the BreastScreen Australia program.</w:t>
      </w:r>
    </w:p>
    <w:p w14:paraId="13DBEB27" w14:textId="77777777" w:rsidR="00E653F5" w:rsidRPr="00F43645" w:rsidRDefault="00E653F5" w:rsidP="004712E5">
      <w:pPr>
        <w:pStyle w:val="ListBullet"/>
      </w:pPr>
      <w:r w:rsidRPr="00F43645">
        <w:t>Provide high standards of program management, service delivery, monitoring, evaluation and accountability.</w:t>
      </w:r>
    </w:p>
    <w:p w14:paraId="79D9EE2F" w14:textId="5AA2DA9C" w:rsidR="00E653F5" w:rsidRPr="00354480" w:rsidRDefault="00E653F5" w:rsidP="006D2034">
      <w:pPr>
        <w:pStyle w:val="Heading3"/>
      </w:pPr>
      <w:bookmarkStart w:id="17" w:name="_Toc517944583"/>
      <w:bookmarkStart w:id="18" w:name="_Toc66438613"/>
      <w:r w:rsidRPr="00354480">
        <w:t>National Program Features</w:t>
      </w:r>
      <w:bookmarkEnd w:id="17"/>
      <w:bookmarkEnd w:id="18"/>
    </w:p>
    <w:p w14:paraId="0C1E6633" w14:textId="0644441C" w:rsidR="00E653F5" w:rsidRPr="00354480" w:rsidRDefault="00E653F5" w:rsidP="00E840D6">
      <w:r w:rsidRPr="00354480">
        <w:t>BreastScreen Australia services</w:t>
      </w:r>
      <w:r w:rsidR="00530F68">
        <w:t xml:space="preserve"> will</w:t>
      </w:r>
      <w:r w:rsidRPr="00354480">
        <w:t xml:space="preserve"> be delivered in accordance with the following national program features. </w:t>
      </w:r>
    </w:p>
    <w:p w14:paraId="088A0510" w14:textId="77777777" w:rsidR="00E653F5" w:rsidRPr="00354480" w:rsidRDefault="00E653F5" w:rsidP="007742E2">
      <w:pPr>
        <w:pStyle w:val="Heading4"/>
      </w:pPr>
      <w:r w:rsidRPr="00354480">
        <w:t xml:space="preserve">Access </w:t>
      </w:r>
      <w:r w:rsidRPr="00803796">
        <w:t>and</w:t>
      </w:r>
      <w:r w:rsidRPr="00354480">
        <w:t xml:space="preserve"> participation </w:t>
      </w:r>
    </w:p>
    <w:p w14:paraId="31F0DAC7" w14:textId="77777777" w:rsidR="00E653F5" w:rsidRPr="00354480" w:rsidRDefault="00E653F5" w:rsidP="00E840D6">
      <w:r w:rsidRPr="00354480">
        <w:t>Appropriate levels of access and participation in the target and eligible populations:</w:t>
      </w:r>
    </w:p>
    <w:p w14:paraId="0005E554" w14:textId="77777777" w:rsidR="00E653F5" w:rsidRPr="00354480" w:rsidRDefault="00E653F5" w:rsidP="004712E5">
      <w:pPr>
        <w:pStyle w:val="ListBullet"/>
      </w:pPr>
      <w:r w:rsidRPr="00354480">
        <w:t>women are eligible and invited for screening on the basis of age alone.  That is, women aged 40 years and above are eligible to participate and recruitment strategies are targeted at women aged 50−74 years;</w:t>
      </w:r>
    </w:p>
    <w:p w14:paraId="7D3B839B" w14:textId="77777777" w:rsidR="00E653F5" w:rsidRPr="00354480" w:rsidRDefault="00E653F5" w:rsidP="004712E5">
      <w:pPr>
        <w:pStyle w:val="ListBullet"/>
      </w:pPr>
      <w:r w:rsidRPr="00354480">
        <w:t>the screening interval is every two years;</w:t>
      </w:r>
    </w:p>
    <w:p w14:paraId="6F34C512" w14:textId="77777777" w:rsidR="00E653F5" w:rsidRPr="00354480" w:rsidRDefault="00E653F5" w:rsidP="004712E5">
      <w:pPr>
        <w:pStyle w:val="ListBullet"/>
      </w:pPr>
      <w:r w:rsidRPr="00354480">
        <w:t>screening is provided at minimal or no cost to the women, and free of charge to eligible women who would not attend if there were a charge; and</w:t>
      </w:r>
    </w:p>
    <w:p w14:paraId="56794397" w14:textId="77777777" w:rsidR="00E653F5" w:rsidRPr="00354480" w:rsidRDefault="00E653F5" w:rsidP="004712E5">
      <w:pPr>
        <w:pStyle w:val="ListBullet"/>
      </w:pPr>
      <w:r w:rsidRPr="00354480">
        <w:t>patterns of participation should be representative of the socioeconomic, ethnic and cultural profiles of the target population.</w:t>
      </w:r>
    </w:p>
    <w:p w14:paraId="26460F25" w14:textId="77777777" w:rsidR="00E653F5" w:rsidRPr="00354480" w:rsidRDefault="00E653F5" w:rsidP="007742E2">
      <w:pPr>
        <w:pStyle w:val="Heading4"/>
      </w:pPr>
      <w:r w:rsidRPr="00354480">
        <w:t>Cancer detection</w:t>
      </w:r>
    </w:p>
    <w:p w14:paraId="68BFC7CB" w14:textId="03F5A7D0" w:rsidR="00E653F5" w:rsidRPr="00354480" w:rsidRDefault="00E653F5" w:rsidP="00803796">
      <w:r w:rsidRPr="00354480">
        <w:t>Breast cancer detection is maximised and harm is minimised:</w:t>
      </w:r>
    </w:p>
    <w:p w14:paraId="2060B048" w14:textId="77777777" w:rsidR="00E653F5" w:rsidRPr="00354480" w:rsidRDefault="00E653F5" w:rsidP="004712E5">
      <w:pPr>
        <w:pStyle w:val="ListBullet"/>
      </w:pPr>
      <w:r w:rsidRPr="00354480">
        <w:t>screening employs mammography as the primary screening method;</w:t>
      </w:r>
    </w:p>
    <w:p w14:paraId="38578576" w14:textId="77777777" w:rsidR="00E653F5" w:rsidRPr="00354480" w:rsidRDefault="00E653F5" w:rsidP="004712E5">
      <w:pPr>
        <w:pStyle w:val="ListBullet"/>
      </w:pPr>
      <w:r w:rsidRPr="00354480">
        <w:t>all women are screened with two view mammography.  Reasons for any variation from this policy are documented;</w:t>
      </w:r>
    </w:p>
    <w:p w14:paraId="10A7C867" w14:textId="224B4876" w:rsidR="00E653F5" w:rsidRDefault="00E653F5" w:rsidP="004712E5">
      <w:pPr>
        <w:pStyle w:val="ListBullet"/>
      </w:pPr>
      <w:r w:rsidRPr="00354480">
        <w:lastRenderedPageBreak/>
        <w:t xml:space="preserve">all mammograms are taken by a </w:t>
      </w:r>
      <w:r w:rsidR="003B6FC0">
        <w:t xml:space="preserve">mammography practitioner </w:t>
      </w:r>
      <w:r w:rsidR="001A393C">
        <w:t xml:space="preserve">or </w:t>
      </w:r>
      <w:r w:rsidRPr="00354480">
        <w:t>radiographer appropriately trained in screening mammography;</w:t>
      </w:r>
    </w:p>
    <w:p w14:paraId="0FBFC44E" w14:textId="77777777" w:rsidR="00E653F5" w:rsidRPr="00354480" w:rsidRDefault="00E653F5" w:rsidP="004712E5">
      <w:pPr>
        <w:pStyle w:val="ListBullet"/>
      </w:pPr>
      <w:r w:rsidRPr="00354480">
        <w:t xml:space="preserve">all mammographic images are read and reported independently, in a blind relationship, by two or more readers, at least one of whom shall be a radiologist; and  </w:t>
      </w:r>
    </w:p>
    <w:p w14:paraId="3DDC854C" w14:textId="5BCD45D9" w:rsidR="00E653F5" w:rsidRDefault="00E653F5" w:rsidP="004712E5">
      <w:pPr>
        <w:pStyle w:val="ListBullet"/>
      </w:pPr>
      <w:r w:rsidRPr="00376EAF">
        <w:t>all mammography results are combined into a single recommendation, which indicates whether or not further assessment for the presence of breast cancer is required.</w:t>
      </w:r>
      <w:r w:rsidR="00376EAF">
        <w:t xml:space="preserve"> </w:t>
      </w:r>
    </w:p>
    <w:p w14:paraId="4FF2883B" w14:textId="77777777" w:rsidR="00E653F5" w:rsidRPr="00354480" w:rsidRDefault="00E653F5" w:rsidP="007742E2">
      <w:pPr>
        <w:pStyle w:val="Heading4"/>
      </w:pPr>
      <w:r w:rsidRPr="00354480">
        <w:t>Assessment</w:t>
      </w:r>
    </w:p>
    <w:p w14:paraId="26610E2F" w14:textId="77777777" w:rsidR="00E653F5" w:rsidRPr="00354480" w:rsidRDefault="00E653F5" w:rsidP="00803796">
      <w:r w:rsidRPr="00354480">
        <w:t xml:space="preserve">Assessment and diagnosis of breast cancer is appropriate, safe and effective: </w:t>
      </w:r>
    </w:p>
    <w:p w14:paraId="7469F73D" w14:textId="77777777" w:rsidR="00E653F5" w:rsidRPr="00354480" w:rsidRDefault="00E653F5" w:rsidP="004712E5">
      <w:pPr>
        <w:pStyle w:val="ListBullet"/>
      </w:pPr>
      <w:r w:rsidRPr="00354480">
        <w:t>a comprehensive approach is employed in the assessment of breast abnormalities;</w:t>
      </w:r>
    </w:p>
    <w:p w14:paraId="203EDB05" w14:textId="77777777" w:rsidR="00E653F5" w:rsidRPr="00354480" w:rsidRDefault="00E653F5" w:rsidP="004712E5">
      <w:pPr>
        <w:pStyle w:val="ListBullet"/>
      </w:pPr>
      <w:r w:rsidRPr="00354480">
        <w:t xml:space="preserve">a multidisciplinary team is involved in the assessment of women recalled from screening; </w:t>
      </w:r>
    </w:p>
    <w:p w14:paraId="26650C09" w14:textId="77777777" w:rsidR="00E653F5" w:rsidRPr="00354480" w:rsidRDefault="00E653F5" w:rsidP="004712E5">
      <w:pPr>
        <w:pStyle w:val="ListBullet"/>
      </w:pPr>
      <w:r w:rsidRPr="00354480">
        <w:t>the pre-operative diagnosis of breast cancer is maximised, and recommendations for surgery for benign lesions are minimised;</w:t>
      </w:r>
    </w:p>
    <w:p w14:paraId="0D8B781C" w14:textId="77777777" w:rsidR="00E653F5" w:rsidRPr="00354480" w:rsidRDefault="00E653F5" w:rsidP="004712E5">
      <w:pPr>
        <w:pStyle w:val="ListBullet"/>
      </w:pPr>
      <w:r w:rsidRPr="00354480">
        <w:t>the outcomes for all women recommended for surgery are collected, reviewed and utilised in continuing professional education for members of the multidisciplinary team; and</w:t>
      </w:r>
    </w:p>
    <w:p w14:paraId="3A8B7E8C" w14:textId="77777777" w:rsidR="00E653F5" w:rsidRPr="00354480" w:rsidRDefault="00E653F5" w:rsidP="004712E5">
      <w:pPr>
        <w:pStyle w:val="ListBullet"/>
      </w:pPr>
      <w:r w:rsidRPr="00354480">
        <w:t xml:space="preserve">women’s general practitioners are kept informed of the results of screening and assessment, unless a woman requests otherwise. </w:t>
      </w:r>
    </w:p>
    <w:p w14:paraId="7144B8E5" w14:textId="77777777" w:rsidR="00E653F5" w:rsidRPr="00354480" w:rsidRDefault="00E653F5" w:rsidP="007742E2">
      <w:pPr>
        <w:pStyle w:val="Heading4"/>
      </w:pPr>
      <w:r w:rsidRPr="00354480">
        <w:t>Timeliness</w:t>
      </w:r>
    </w:p>
    <w:p w14:paraId="74762246" w14:textId="77777777" w:rsidR="00E653F5" w:rsidRPr="00354480" w:rsidRDefault="00E653F5" w:rsidP="00803796">
      <w:r w:rsidRPr="00354480">
        <w:t xml:space="preserve">Screening and assessment services are provided to women in a timely and efficient manner: </w:t>
      </w:r>
    </w:p>
    <w:p w14:paraId="730DC5A5" w14:textId="77777777" w:rsidR="00E653F5" w:rsidRPr="00354480" w:rsidRDefault="00E653F5" w:rsidP="004712E5">
      <w:pPr>
        <w:pStyle w:val="ListBullet"/>
      </w:pPr>
      <w:r w:rsidRPr="00354480">
        <w:t>women have timely access to screening;</w:t>
      </w:r>
    </w:p>
    <w:p w14:paraId="726452A2" w14:textId="77777777" w:rsidR="00E653F5" w:rsidRPr="00354480" w:rsidRDefault="00E653F5" w:rsidP="004712E5">
      <w:pPr>
        <w:pStyle w:val="ListBullet"/>
      </w:pPr>
      <w:r w:rsidRPr="00354480">
        <w:t>the time from screening to assessment is minimised; and</w:t>
      </w:r>
    </w:p>
    <w:p w14:paraId="0DC30F42" w14:textId="77777777" w:rsidR="00E653F5" w:rsidRPr="00354480" w:rsidRDefault="00E653F5" w:rsidP="004712E5">
      <w:pPr>
        <w:pStyle w:val="ListBullet"/>
      </w:pPr>
      <w:r w:rsidRPr="00354480">
        <w:t xml:space="preserve">the results of screening and assessment are provided promptly and directly to the woman concerned in ways which are sensitive to her possible anxiety. </w:t>
      </w:r>
    </w:p>
    <w:p w14:paraId="506F395C" w14:textId="77777777" w:rsidR="00E653F5" w:rsidRPr="00354480" w:rsidRDefault="00E653F5" w:rsidP="007742E2">
      <w:pPr>
        <w:pStyle w:val="Heading4"/>
      </w:pPr>
      <w:r w:rsidRPr="00354480">
        <w:t xml:space="preserve">Data management and information systems </w:t>
      </w:r>
    </w:p>
    <w:p w14:paraId="55F865E6" w14:textId="77777777" w:rsidR="00E653F5" w:rsidRPr="00354480" w:rsidRDefault="00E653F5" w:rsidP="00803796">
      <w:r w:rsidRPr="00354480">
        <w:t>Effective data and information</w:t>
      </w:r>
      <w:r w:rsidRPr="00803796">
        <w:t xml:space="preserve"> </w:t>
      </w:r>
      <w:r w:rsidRPr="00354480">
        <w:t xml:space="preserve">management systems: </w:t>
      </w:r>
    </w:p>
    <w:p w14:paraId="3569FC7A" w14:textId="77777777" w:rsidR="00E653F5" w:rsidRPr="00354480" w:rsidRDefault="00E653F5" w:rsidP="004712E5">
      <w:pPr>
        <w:pStyle w:val="ListBullet"/>
      </w:pPr>
      <w:r w:rsidRPr="00354480">
        <w:t>data are collected, stored and managed using secure, quality, contemporary data management and communication systems that comply with relevant state and national standards, and that enable valid, reliable system and service performance analysis and evaluation;</w:t>
      </w:r>
    </w:p>
    <w:p w14:paraId="3E079895" w14:textId="77777777" w:rsidR="00E653F5" w:rsidRPr="00354480" w:rsidRDefault="00E653F5" w:rsidP="004712E5">
      <w:pPr>
        <w:pStyle w:val="ListBullet"/>
      </w:pPr>
      <w:r w:rsidRPr="00354480">
        <w:t>data are used for strategic purposes, quality improvement of services and for clinical and service management;</w:t>
      </w:r>
    </w:p>
    <w:p w14:paraId="447551D0" w14:textId="77777777" w:rsidR="00E653F5" w:rsidRPr="00354480" w:rsidRDefault="00E653F5" w:rsidP="004712E5">
      <w:pPr>
        <w:pStyle w:val="ListBullet"/>
      </w:pPr>
      <w:r w:rsidRPr="00354480">
        <w:t xml:space="preserve">data are collected in line with the requirements of the BreastScreen Australia Data </w:t>
      </w:r>
      <w:r w:rsidRPr="00354480">
        <w:lastRenderedPageBreak/>
        <w:t>Dictionary; and</w:t>
      </w:r>
    </w:p>
    <w:p w14:paraId="63D06F8D" w14:textId="53C3135D" w:rsidR="00E653F5" w:rsidRPr="00354480" w:rsidRDefault="00E653F5" w:rsidP="004712E5">
      <w:pPr>
        <w:pStyle w:val="ListBullet"/>
      </w:pPr>
      <w:r w:rsidRPr="00354480">
        <w:t xml:space="preserve">data are to be submitted annually </w:t>
      </w:r>
      <w:r w:rsidR="00FA0C1A">
        <w:t xml:space="preserve">to the Australian Institute of Health and Welfare, </w:t>
      </w:r>
      <w:r w:rsidRPr="00354480">
        <w:t xml:space="preserve">for use in a national program monitoring report, and </w:t>
      </w:r>
      <w:r w:rsidR="00FA0C1A">
        <w:t xml:space="preserve">annual performance </w:t>
      </w:r>
      <w:r w:rsidRPr="00354480">
        <w:t>data reports for review by the National Quality Management Committee.</w:t>
      </w:r>
    </w:p>
    <w:p w14:paraId="1859B2E7" w14:textId="77777777" w:rsidR="00E653F5" w:rsidRPr="00354480" w:rsidRDefault="00E653F5" w:rsidP="007742E2">
      <w:pPr>
        <w:pStyle w:val="Heading4"/>
      </w:pPr>
      <w:r w:rsidRPr="00354480">
        <w:t>Client focus</w:t>
      </w:r>
    </w:p>
    <w:p w14:paraId="443107E8" w14:textId="77777777" w:rsidR="00E653F5" w:rsidRPr="00354480" w:rsidRDefault="00E653F5" w:rsidP="00803796">
      <w:r w:rsidRPr="00354480">
        <w:t>Services are of high quality and client focused:</w:t>
      </w:r>
    </w:p>
    <w:p w14:paraId="28092DC5" w14:textId="77777777" w:rsidR="00E653F5" w:rsidRPr="00354480" w:rsidRDefault="00E653F5" w:rsidP="004712E5">
      <w:pPr>
        <w:pStyle w:val="ListBullet"/>
      </w:pPr>
      <w:r w:rsidRPr="00354480">
        <w:t>high quality information is provided to inform women, and women feel appropriately engaged and supported;</w:t>
      </w:r>
    </w:p>
    <w:p w14:paraId="032D93EB" w14:textId="77777777" w:rsidR="00E653F5" w:rsidRPr="00354480" w:rsidRDefault="00E653F5" w:rsidP="004712E5">
      <w:pPr>
        <w:pStyle w:val="ListBullet"/>
      </w:pPr>
      <w:r w:rsidRPr="00354480">
        <w:t>screening services are provided in a manner which is acceptable to women in accessible, non-threatening and comfortable environments;</w:t>
      </w:r>
    </w:p>
    <w:p w14:paraId="06905E70" w14:textId="77777777" w:rsidR="00E653F5" w:rsidRPr="00354480" w:rsidRDefault="00E653F5" w:rsidP="004712E5">
      <w:pPr>
        <w:pStyle w:val="ListBullet"/>
      </w:pPr>
      <w:r w:rsidRPr="00354480">
        <w:t>women and health care providers are given comprehensive and easily understood information about the Program, from screening up to and including diagnosis of breast cancer;</w:t>
      </w:r>
    </w:p>
    <w:p w14:paraId="6B83ADC7" w14:textId="77777777" w:rsidR="00E653F5" w:rsidRPr="00354480" w:rsidRDefault="00E653F5" w:rsidP="004712E5">
      <w:pPr>
        <w:pStyle w:val="ListBullet"/>
      </w:pPr>
      <w:r w:rsidRPr="00354480">
        <w:t>counselling and information are an integral part of the Program;</w:t>
      </w:r>
    </w:p>
    <w:p w14:paraId="35AE99E1" w14:textId="77777777" w:rsidR="00E653F5" w:rsidRPr="00354480" w:rsidRDefault="00E653F5" w:rsidP="004712E5">
      <w:pPr>
        <w:pStyle w:val="ListBullet"/>
      </w:pPr>
      <w:r w:rsidRPr="00354480">
        <w:t xml:space="preserve">women are advised of the benefits and risks of mammography; and </w:t>
      </w:r>
    </w:p>
    <w:p w14:paraId="06521B58" w14:textId="77777777" w:rsidR="00E653F5" w:rsidRPr="00354480" w:rsidRDefault="00E653F5" w:rsidP="004712E5">
      <w:pPr>
        <w:pStyle w:val="ListBullet"/>
      </w:pPr>
      <w:r w:rsidRPr="00354480">
        <w:t xml:space="preserve">women are provided with written information and actively involved in decisions about their management, particularly in relation to further assessment and treatment. </w:t>
      </w:r>
    </w:p>
    <w:p w14:paraId="01FA0F7B" w14:textId="77777777" w:rsidR="00E653F5" w:rsidRPr="00354480" w:rsidRDefault="00E653F5" w:rsidP="007742E2">
      <w:pPr>
        <w:pStyle w:val="Heading4"/>
      </w:pPr>
      <w:r w:rsidRPr="00354480">
        <w:t>Governance and management</w:t>
      </w:r>
    </w:p>
    <w:p w14:paraId="71309E13" w14:textId="77777777" w:rsidR="00E653F5" w:rsidRPr="00354480" w:rsidRDefault="00E653F5" w:rsidP="00803796">
      <w:r w:rsidRPr="00354480">
        <w:t>Effective structures and processes are in place to ensure high quality governance and management:</w:t>
      </w:r>
    </w:p>
    <w:p w14:paraId="712D282D" w14:textId="77777777" w:rsidR="00E653F5" w:rsidRPr="00354480" w:rsidRDefault="00E653F5" w:rsidP="004712E5">
      <w:pPr>
        <w:pStyle w:val="ListBullet"/>
      </w:pPr>
      <w:r w:rsidRPr="00354480">
        <w:t>screening and assessment are carried out at BreastScreen Australia accredited services; and</w:t>
      </w:r>
    </w:p>
    <w:p w14:paraId="6C6B3F0E" w14:textId="77777777" w:rsidR="00E653F5" w:rsidRPr="00354480" w:rsidRDefault="00E653F5" w:rsidP="004712E5">
      <w:pPr>
        <w:pStyle w:val="ListBullet"/>
      </w:pPr>
      <w:r w:rsidRPr="00354480">
        <w:t xml:space="preserve">key stakeholders and stakeholder groups participate in the monitoring and management of the Program. </w:t>
      </w:r>
    </w:p>
    <w:p w14:paraId="79D98D75" w14:textId="77777777" w:rsidR="00E653F5" w:rsidRPr="00354480" w:rsidRDefault="00E653F5" w:rsidP="00500310">
      <w:pPr>
        <w:pStyle w:val="Heading2"/>
      </w:pPr>
      <w:bookmarkStart w:id="19" w:name="_Toc517944584"/>
      <w:bookmarkStart w:id="20" w:name="_Toc66438614"/>
      <w:r w:rsidRPr="007742E2">
        <w:t>BACKGROUND</w:t>
      </w:r>
      <w:r w:rsidRPr="00354480">
        <w:t xml:space="preserve"> TO ACCREDITATION</w:t>
      </w:r>
      <w:bookmarkEnd w:id="19"/>
      <w:bookmarkEnd w:id="20"/>
    </w:p>
    <w:p w14:paraId="2A14B9D7" w14:textId="6443962C" w:rsidR="00E653F5" w:rsidRPr="00354480" w:rsidRDefault="00E653F5" w:rsidP="006D2034">
      <w:pPr>
        <w:pStyle w:val="Heading3"/>
      </w:pPr>
      <w:bookmarkStart w:id="21" w:name="_Toc517944585"/>
      <w:bookmarkStart w:id="22" w:name="_Toc66438615"/>
      <w:r w:rsidRPr="00354480">
        <w:t>Purpose</w:t>
      </w:r>
      <w:bookmarkEnd w:id="21"/>
      <w:bookmarkEnd w:id="22"/>
    </w:p>
    <w:p w14:paraId="782A3C27" w14:textId="77777777" w:rsidR="00E653F5" w:rsidRPr="00354480" w:rsidRDefault="00E653F5" w:rsidP="00AB1C35">
      <w:r w:rsidRPr="00354480">
        <w:t>The accreditation process aims to strengthen and sustain the quality of service provision to ensure women receive breast screening services that keep pace with best practice standards and are safe, effective and of a high quality.</w:t>
      </w:r>
    </w:p>
    <w:p w14:paraId="07529636" w14:textId="0FE4EFAD" w:rsidR="00E653F5" w:rsidRPr="00354480" w:rsidRDefault="00E653F5" w:rsidP="006D2034">
      <w:pPr>
        <w:pStyle w:val="Heading3"/>
      </w:pPr>
      <w:bookmarkStart w:id="23" w:name="_Toc517944586"/>
      <w:bookmarkStart w:id="24" w:name="_Toc66438616"/>
      <w:r w:rsidRPr="00354480">
        <w:t>History</w:t>
      </w:r>
      <w:bookmarkEnd w:id="23"/>
      <w:bookmarkEnd w:id="24"/>
    </w:p>
    <w:p w14:paraId="52A70AA6" w14:textId="77777777" w:rsidR="00376EAF" w:rsidRDefault="00E653F5" w:rsidP="00AB1C35">
      <w:r w:rsidRPr="00354480">
        <w:t xml:space="preserve">The Australian Health Ministers’ Advisory Council (AHMAC) agreed in 1990 to establish a national mammographic screening program. The AHMAC stipulated that, to ensure quality, </w:t>
      </w:r>
      <w:r w:rsidRPr="00354480">
        <w:lastRenderedPageBreak/>
        <w:t>mammography screening and assessment of women with screen detected breast abnormalities should only be performed by Services that are accredited.</w:t>
      </w:r>
    </w:p>
    <w:p w14:paraId="66B746E9" w14:textId="024F334A" w:rsidR="00E653F5" w:rsidRDefault="00E653F5" w:rsidP="00AB1C35">
      <w:r w:rsidRPr="00354480">
        <w:t xml:space="preserve">In 1991 the Commonwealth Minister for Health established the then National Accreditation Committee (now </w:t>
      </w:r>
      <w:r w:rsidR="00132B5F">
        <w:t>NQMC</w:t>
      </w:r>
      <w:r w:rsidRPr="00354480">
        <w:t xml:space="preserve">) to the National Program for the Early Detection of Breast Cancer (now BreastScreen Australia).  </w:t>
      </w:r>
    </w:p>
    <w:p w14:paraId="202858ED" w14:textId="55C6F010" w:rsidR="002852CC" w:rsidRPr="00354480" w:rsidRDefault="002852CC" w:rsidP="006D2034">
      <w:pPr>
        <w:pStyle w:val="Heading3"/>
      </w:pPr>
      <w:bookmarkStart w:id="25" w:name="_Toc517944587"/>
      <w:bookmarkStart w:id="26" w:name="_Toc66438617"/>
      <w:r>
        <w:t>Key Components of the Accreditation Process</w:t>
      </w:r>
      <w:bookmarkEnd w:id="25"/>
      <w:bookmarkEnd w:id="26"/>
    </w:p>
    <w:p w14:paraId="693BBFCC" w14:textId="335E5C4E" w:rsidR="00376EAF" w:rsidRDefault="002852CC" w:rsidP="00AB1C35">
      <w:r>
        <w:t>To achieve accreditation, a Service/SCU needs to demonstrate to the NQMC</w:t>
      </w:r>
      <w:r w:rsidR="00481769">
        <w:t>, as the accreditation decision-</w:t>
      </w:r>
      <w:r>
        <w:t>making body, that it meets the N</w:t>
      </w:r>
      <w:r w:rsidR="00F96C7F">
        <w:t xml:space="preserve">ational Accreditation </w:t>
      </w:r>
      <w:r>
        <w:t>S</w:t>
      </w:r>
      <w:r w:rsidR="00F96C7F">
        <w:t>tandards</w:t>
      </w:r>
      <w:r>
        <w:t xml:space="preserve"> to an acceptable level.</w:t>
      </w:r>
    </w:p>
    <w:p w14:paraId="6687D00A" w14:textId="77777777" w:rsidR="002852CC" w:rsidRDefault="002852CC" w:rsidP="00AB1C35">
      <w:r>
        <w:t>Key components of the accreditation process include:</w:t>
      </w:r>
    </w:p>
    <w:p w14:paraId="08D9D4CF" w14:textId="0023767F" w:rsidR="002852CC" w:rsidRPr="00F43645" w:rsidRDefault="00F96C7F" w:rsidP="004712E5">
      <w:pPr>
        <w:pStyle w:val="ListBullet"/>
      </w:pPr>
      <w:r w:rsidRPr="00F43645">
        <w:t>d</w:t>
      </w:r>
      <w:r w:rsidR="002852CC" w:rsidRPr="00F43645">
        <w:t>eveloping, monitoring and implementing a quality improvement (QI) plan that is reviewed regularly</w:t>
      </w:r>
      <w:r w:rsidRPr="00F43645">
        <w:t>;</w:t>
      </w:r>
    </w:p>
    <w:p w14:paraId="27C5C598" w14:textId="27A680F9" w:rsidR="002852CC" w:rsidRPr="00F43645" w:rsidRDefault="00F96C7F" w:rsidP="004712E5">
      <w:pPr>
        <w:pStyle w:val="ListBullet"/>
      </w:pPr>
      <w:r w:rsidRPr="00F43645">
        <w:t>undertaking a s</w:t>
      </w:r>
      <w:r w:rsidR="002852CC" w:rsidRPr="00F43645">
        <w:t>elf</w:t>
      </w:r>
      <w:r w:rsidR="00A36223">
        <w:t>-</w:t>
      </w:r>
      <w:r w:rsidR="002852CC" w:rsidRPr="00F43645">
        <w:t>assessment against all NAS Measures</w:t>
      </w:r>
      <w:r w:rsidRPr="00F43645">
        <w:t xml:space="preserve"> at least once every 12 months;</w:t>
      </w:r>
    </w:p>
    <w:p w14:paraId="693A321F" w14:textId="6DEA440F" w:rsidR="002852CC" w:rsidRPr="00F43645" w:rsidRDefault="00F96C7F" w:rsidP="004712E5">
      <w:pPr>
        <w:pStyle w:val="ListBullet"/>
      </w:pPr>
      <w:r w:rsidRPr="00F43645">
        <w:t>providing a</w:t>
      </w:r>
      <w:r w:rsidR="003B2350" w:rsidRPr="00F43645">
        <w:t xml:space="preserve">n </w:t>
      </w:r>
      <w:r w:rsidR="00DD5266" w:rsidRPr="00F43645">
        <w:t>A</w:t>
      </w:r>
      <w:r w:rsidR="002852CC" w:rsidRPr="00F43645">
        <w:t>nnual Data Report every 12 months</w:t>
      </w:r>
      <w:r w:rsidRPr="00F43645">
        <w:t xml:space="preserve"> to the NQMC;</w:t>
      </w:r>
      <w:r w:rsidR="002852CC" w:rsidRPr="00F43645">
        <w:t xml:space="preserve"> </w:t>
      </w:r>
    </w:p>
    <w:p w14:paraId="78A1BF04" w14:textId="0D0B569A" w:rsidR="002852CC" w:rsidRPr="00F43645" w:rsidRDefault="00F96C7F" w:rsidP="004712E5">
      <w:pPr>
        <w:pStyle w:val="ListBullet"/>
      </w:pPr>
      <w:r w:rsidRPr="00F43645">
        <w:t>participating in a</w:t>
      </w:r>
      <w:r w:rsidR="002852CC" w:rsidRPr="00F43645">
        <w:t xml:space="preserve">n accreditation survey every four years (and possible interim, unscheduled or internal surveys </w:t>
      </w:r>
      <w:r w:rsidR="00FA0C1A">
        <w:t>as requested by the NQMC and/or state bodies</w:t>
      </w:r>
      <w:r w:rsidR="002852CC" w:rsidRPr="00F43645">
        <w:t>)</w:t>
      </w:r>
      <w:r w:rsidRPr="00F43645">
        <w:t>; and</w:t>
      </w:r>
    </w:p>
    <w:p w14:paraId="7029E640" w14:textId="77777777" w:rsidR="002852CC" w:rsidRPr="00F43645" w:rsidRDefault="00F96C7F" w:rsidP="004712E5">
      <w:pPr>
        <w:pStyle w:val="ListBullet"/>
      </w:pPr>
      <w:r w:rsidRPr="00F43645">
        <w:t xml:space="preserve">participating in a </w:t>
      </w:r>
      <w:r w:rsidR="002852CC" w:rsidRPr="00F43645">
        <w:t>Data Governance and Management Assessment every four years.</w:t>
      </w:r>
    </w:p>
    <w:p w14:paraId="636E478B" w14:textId="77777777" w:rsidR="00E653F5" w:rsidRPr="00354480" w:rsidRDefault="00E653F5" w:rsidP="00500310">
      <w:pPr>
        <w:pStyle w:val="Heading2"/>
      </w:pPr>
      <w:bookmarkStart w:id="27" w:name="_Toc517944588"/>
      <w:bookmarkStart w:id="28" w:name="_Toc66438618"/>
      <w:r w:rsidRPr="00B54D8D">
        <w:t>ACCREDITATION</w:t>
      </w:r>
      <w:r w:rsidRPr="00354480">
        <w:t xml:space="preserve"> REVIEWS</w:t>
      </w:r>
      <w:bookmarkEnd w:id="27"/>
      <w:bookmarkEnd w:id="28"/>
      <w:r w:rsidRPr="00354480">
        <w:t xml:space="preserve"> </w:t>
      </w:r>
    </w:p>
    <w:p w14:paraId="70AE0A6A" w14:textId="77777777" w:rsidR="00E653F5" w:rsidRPr="00354480" w:rsidRDefault="00E653F5" w:rsidP="006D2034">
      <w:pPr>
        <w:pStyle w:val="Heading3"/>
      </w:pPr>
      <w:bookmarkStart w:id="29" w:name="_Toc517944589"/>
      <w:bookmarkStart w:id="30" w:name="_Toc66438619"/>
      <w:r w:rsidRPr="00354480">
        <w:t>1991-1994</w:t>
      </w:r>
      <w:bookmarkEnd w:id="29"/>
      <w:bookmarkEnd w:id="30"/>
    </w:p>
    <w:p w14:paraId="5FD267B6" w14:textId="0706032D" w:rsidR="00E653F5" w:rsidRPr="00354480" w:rsidRDefault="00E653F5" w:rsidP="00AB1C35">
      <w:r w:rsidRPr="00354480">
        <w:rPr>
          <w:snapToGrid w:val="0"/>
        </w:rPr>
        <w:t>The ﬁrst National Accreditation Requirements were developed and implemented when BreastScreen Australia commenced in 1991.  These requirements were reviewed and revised in 1994.</w:t>
      </w:r>
    </w:p>
    <w:p w14:paraId="25E19DD7" w14:textId="77777777" w:rsidR="00E653F5" w:rsidRPr="00354480" w:rsidRDefault="00E653F5" w:rsidP="006D2034">
      <w:pPr>
        <w:pStyle w:val="Heading3"/>
      </w:pPr>
      <w:bookmarkStart w:id="31" w:name="_Toc517944590"/>
      <w:bookmarkStart w:id="32" w:name="_Toc66438620"/>
      <w:r w:rsidRPr="00354480">
        <w:t>1999-2002</w:t>
      </w:r>
      <w:bookmarkEnd w:id="31"/>
      <w:bookmarkEnd w:id="32"/>
    </w:p>
    <w:p w14:paraId="1A9CC4B0" w14:textId="31C2BBC9" w:rsidR="007807E9" w:rsidRDefault="00E653F5" w:rsidP="00AB1C35">
      <w:r w:rsidRPr="00354480">
        <w:t>The NQMC initiated a second review of the National Accreditation Requirements in 1999.  The review involved consultation with the State and Territory BreastScreen Programs, Services, consumers and representatives of the disciplines, professions and occupational groups involved in the Program.  The resulting National Accreditation Standards (NAS) were endorsed, with amendments, in July 2001 by the National Advisory Committee (NAC)</w:t>
      </w:r>
      <w:r w:rsidRPr="00354480">
        <w:rPr>
          <w:rStyle w:val="FootnoteReference"/>
        </w:rPr>
        <w:footnoteReference w:id="2"/>
      </w:r>
      <w:r w:rsidRPr="00354480">
        <w:t>, and beca</w:t>
      </w:r>
      <w:r w:rsidR="00535A43">
        <w:t xml:space="preserve">me operational on 1 July 2002. </w:t>
      </w:r>
    </w:p>
    <w:p w14:paraId="23D354B5" w14:textId="0B06591D" w:rsidR="00E653F5" w:rsidRDefault="00E653F5" w:rsidP="00AB1C35">
      <w:r w:rsidRPr="00354480">
        <w:lastRenderedPageBreak/>
        <w:t>In February 2003 the NAC endorsed a Decision Tool to support accreditation decision</w:t>
      </w:r>
      <w:r w:rsidRPr="00354480">
        <w:noBreakHyphen/>
        <w:t>making using the N</w:t>
      </w:r>
      <w:r w:rsidR="00535A43">
        <w:t xml:space="preserve">AS. </w:t>
      </w:r>
    </w:p>
    <w:p w14:paraId="7D65623E" w14:textId="77777777" w:rsidR="00E653F5" w:rsidRPr="00354480" w:rsidRDefault="00E653F5" w:rsidP="006D2034">
      <w:pPr>
        <w:pStyle w:val="Heading3"/>
      </w:pPr>
      <w:bookmarkStart w:id="33" w:name="_Toc517944591"/>
      <w:bookmarkStart w:id="34" w:name="_Toc66438621"/>
      <w:r w:rsidRPr="00354480">
        <w:t>2011-2014</w:t>
      </w:r>
      <w:bookmarkEnd w:id="33"/>
      <w:bookmarkEnd w:id="34"/>
    </w:p>
    <w:p w14:paraId="3576D118" w14:textId="77777777" w:rsidR="00E653F5" w:rsidRDefault="00E653F5" w:rsidP="00AB1C35">
      <w:r w:rsidRPr="00354480">
        <w:t>In April 2011, the BreastScreen Australia Accreditation Review Committee (ARC) was established to oversee a comprehensive review of the accreditation system, including the NAS, governance arrangements and accreditation process.  Three subcommittees of the ARC were established to undertake specific streams of work under the review, including the:</w:t>
      </w:r>
    </w:p>
    <w:p w14:paraId="2A406734" w14:textId="77777777" w:rsidR="00E653F5" w:rsidRPr="00354480" w:rsidRDefault="00E653F5" w:rsidP="004712E5">
      <w:pPr>
        <w:pStyle w:val="ListBullet"/>
      </w:pPr>
      <w:r w:rsidRPr="00354480">
        <w:t>NAS and Data Subcommittee;</w:t>
      </w:r>
    </w:p>
    <w:p w14:paraId="03C3F56F" w14:textId="77777777" w:rsidR="00E653F5" w:rsidRPr="00354480" w:rsidRDefault="00E653F5" w:rsidP="004712E5">
      <w:pPr>
        <w:pStyle w:val="ListBullet"/>
      </w:pPr>
      <w:r w:rsidRPr="00354480">
        <w:t xml:space="preserve">Performance Improvement and Governance Subcommittee; and </w:t>
      </w:r>
    </w:p>
    <w:p w14:paraId="0FAB5801" w14:textId="77777777" w:rsidR="00E653F5" w:rsidRPr="00354480" w:rsidRDefault="00E653F5" w:rsidP="004712E5">
      <w:pPr>
        <w:pStyle w:val="ListBullet"/>
      </w:pPr>
      <w:r w:rsidRPr="00354480">
        <w:t xml:space="preserve">Pilot and Implementation Subcommittee. </w:t>
      </w:r>
    </w:p>
    <w:p w14:paraId="5C1218D9" w14:textId="035C3AAE" w:rsidR="00E653F5" w:rsidRDefault="00E653F5" w:rsidP="00803796">
      <w:r w:rsidRPr="00354480">
        <w:t>The review was undertaken in a collaborative and consultative manner, with stakeholder engagement of BreastScreen Australia Program representatives, clinicians, professional colleges and members of the community through a series of workshops</w:t>
      </w:r>
      <w:r w:rsidR="000E0338">
        <w:t xml:space="preserve"> followed by an online survey.</w:t>
      </w:r>
    </w:p>
    <w:p w14:paraId="17FAC626" w14:textId="6A216944" w:rsidR="00C959FA" w:rsidRDefault="00E653F5" w:rsidP="00AB1C35">
      <w:r w:rsidRPr="00354480">
        <w:t>The review has resulted in a revised accreditation system that builds on the success of the previous system, but which is streamlined, strengthene</w:t>
      </w:r>
      <w:r w:rsidR="000E0338">
        <w:t xml:space="preserve">d and improved for the future. </w:t>
      </w:r>
    </w:p>
    <w:p w14:paraId="0FE214BD" w14:textId="77777777" w:rsidR="00E653F5" w:rsidRPr="00354480" w:rsidRDefault="00E653F5" w:rsidP="007742E2">
      <w:pPr>
        <w:pStyle w:val="Heading4"/>
      </w:pPr>
      <w:r w:rsidRPr="00354480">
        <w:t xml:space="preserve">2014 Review Outcomes </w:t>
      </w:r>
      <w:r w:rsidR="00354480" w:rsidRPr="00354480">
        <w:t>–</w:t>
      </w:r>
      <w:r w:rsidRPr="00354480">
        <w:t xml:space="preserve"> NAS</w:t>
      </w:r>
    </w:p>
    <w:p w14:paraId="6F425DFD" w14:textId="77777777" w:rsidR="00E653F5" w:rsidRPr="00354480" w:rsidRDefault="00E653F5" w:rsidP="004712E5">
      <w:pPr>
        <w:pStyle w:val="ListBullet"/>
      </w:pPr>
      <w:r w:rsidRPr="00354480">
        <w:t xml:space="preserve">The NAS were reviewed and reduced from 173 individual quantitative and qualitative NAS to 42 NAS Data Measures.  </w:t>
      </w:r>
    </w:p>
    <w:p w14:paraId="601CB01D" w14:textId="77777777" w:rsidR="00E653F5" w:rsidRPr="00803796" w:rsidRDefault="00E653F5" w:rsidP="004712E5">
      <w:pPr>
        <w:pStyle w:val="ListBullet2"/>
      </w:pPr>
      <w:r w:rsidRPr="00354480">
        <w:t xml:space="preserve">The </w:t>
      </w:r>
      <w:r w:rsidRPr="00803796">
        <w:t>NAS Data Measures are supported by a set of qualitative Protocols, which outline the policies, procedures and principles that underpin high quality service delivery and will facilitate the achievement of the NAS. The protocols are intended to facilitate Services and/or SCUs to improve service delivery and drive quality improvement in the event of declining performance or difficulty achieving the respective NAS Measures.</w:t>
      </w:r>
    </w:p>
    <w:p w14:paraId="479D3674" w14:textId="77777777" w:rsidR="00E653F5" w:rsidRPr="00354480" w:rsidRDefault="00E653F5" w:rsidP="004712E5">
      <w:pPr>
        <w:pStyle w:val="ListBullet"/>
      </w:pPr>
      <w:r w:rsidRPr="00354480">
        <w:t xml:space="preserve">NAS that were previously reported to the Australian Institute of Health and Welfare were not altered to maintain longitudinal data integrity and continuous Program monitoring.  </w:t>
      </w:r>
    </w:p>
    <w:p w14:paraId="753EEBE2" w14:textId="77777777" w:rsidR="00E653F5" w:rsidRPr="00354480" w:rsidRDefault="00E653F5" w:rsidP="004712E5">
      <w:pPr>
        <w:pStyle w:val="ListBullet"/>
      </w:pPr>
      <w:r w:rsidRPr="00354480">
        <w:t xml:space="preserve">Measures covered by jurisdictional and/or Commonwealth legislation were removed to avoid duplication.  </w:t>
      </w:r>
    </w:p>
    <w:p w14:paraId="09EC44F3" w14:textId="77777777" w:rsidR="00E653F5" w:rsidRPr="00354480" w:rsidRDefault="00E653F5" w:rsidP="004712E5">
      <w:pPr>
        <w:pStyle w:val="ListBullet"/>
      </w:pPr>
      <w:r w:rsidRPr="00354480">
        <w:t>A number of new Measures were inserted to ‘future proof’ the accreditation system; and collect data to inform development of future policy.</w:t>
      </w:r>
    </w:p>
    <w:p w14:paraId="3CD655D6" w14:textId="77777777" w:rsidR="00E653F5" w:rsidRPr="00354480" w:rsidRDefault="00E653F5" w:rsidP="007742E2">
      <w:pPr>
        <w:pStyle w:val="Heading4"/>
      </w:pPr>
      <w:r w:rsidRPr="00354480">
        <w:t>2014 Review Outcomes – Governance</w:t>
      </w:r>
    </w:p>
    <w:p w14:paraId="05A7BCB3" w14:textId="77777777" w:rsidR="00E653F5" w:rsidRPr="00354480" w:rsidRDefault="00E653F5" w:rsidP="004712E5">
      <w:pPr>
        <w:pStyle w:val="ListBullet"/>
      </w:pPr>
      <w:r w:rsidRPr="00354480">
        <w:t xml:space="preserve">The governance structure for accreditation was updated and streamlined to provide an </w:t>
      </w:r>
      <w:r w:rsidRPr="00354480">
        <w:lastRenderedPageBreak/>
        <w:t>increased focus on quality improvement at the jurisdictional and national level; improve consistency of the roles and responsibilities of jurisdictional governance bodies; and increase accountability and transparency of accreditation decisions.</w:t>
      </w:r>
    </w:p>
    <w:p w14:paraId="0EFEDD39" w14:textId="77777777" w:rsidR="00E653F5" w:rsidRPr="00354480" w:rsidRDefault="00E653F5" w:rsidP="004712E5">
      <w:pPr>
        <w:pStyle w:val="ListBullet"/>
      </w:pPr>
      <w:r w:rsidRPr="00354480">
        <w:t xml:space="preserve">The NQMC has a strengthened capacity to strategically identify national trends and respond to emerging issues at a national level that relate to safety, quality and continuous program improvement.  </w:t>
      </w:r>
    </w:p>
    <w:p w14:paraId="62797E0A" w14:textId="30A9A5BD" w:rsidR="00E653F5" w:rsidRPr="00354480" w:rsidRDefault="00E653F5" w:rsidP="004712E5">
      <w:pPr>
        <w:pStyle w:val="ListBullet2"/>
      </w:pPr>
      <w:r w:rsidRPr="00354480">
        <w:t xml:space="preserve">The National Quality Improvement Framework (see </w:t>
      </w:r>
      <w:hyperlink w:anchor="_Attachment_1:_BreastScreen" w:history="1">
        <w:r w:rsidRPr="00901776">
          <w:rPr>
            <w:rStyle w:val="Hyperlink"/>
          </w:rPr>
          <w:t>Attachment 1</w:t>
        </w:r>
      </w:hyperlink>
      <w:r w:rsidRPr="00354480">
        <w:t xml:space="preserve">) outlines how the NQMC will use information it receives (e.g. through accreditation applications and annual data reports), to identify issues and optimise performance of the national program. It is expected that the National Quality Improvement Framework will inform the development of jurisdictional Quality Improvement Frameworks by State Quality Committees (SQCs), to ensure a consistent approach to quality improvement throughout the </w:t>
      </w:r>
      <w:r w:rsidR="00825A69">
        <w:t>P</w:t>
      </w:r>
      <w:r w:rsidRPr="00354480">
        <w:t xml:space="preserve">rogram. </w:t>
      </w:r>
    </w:p>
    <w:p w14:paraId="69E53786" w14:textId="77777777" w:rsidR="00E653F5" w:rsidRPr="00354480" w:rsidRDefault="00E653F5" w:rsidP="00AE354C">
      <w:pPr>
        <w:pStyle w:val="ListParagraph"/>
        <w:numPr>
          <w:ilvl w:val="0"/>
          <w:numId w:val="3"/>
        </w:numPr>
      </w:pPr>
      <w:r w:rsidRPr="00354480">
        <w:t>Jurisdictional governance bodies no longer assess applications for accreditation or recommend an accreditation rating to the NQMC. It is now the role of the SCU to check applications for accreditation are complete, prior to forwarding to the NQMC.</w:t>
      </w:r>
    </w:p>
    <w:p w14:paraId="198FED1E" w14:textId="77777777" w:rsidR="00E653F5" w:rsidRPr="00354480" w:rsidRDefault="00E653F5" w:rsidP="00AE354C">
      <w:pPr>
        <w:pStyle w:val="ListParagraph"/>
        <w:numPr>
          <w:ilvl w:val="0"/>
          <w:numId w:val="3"/>
        </w:numPr>
      </w:pPr>
      <w:r w:rsidRPr="00354480">
        <w:t>Jurisdictions no longer require a State Accreditation Committee.  Instead, it is expected that each jurisdiction has:</w:t>
      </w:r>
    </w:p>
    <w:p w14:paraId="41885EC8" w14:textId="77777777" w:rsidR="00E653F5" w:rsidRPr="00354480" w:rsidRDefault="00E653F5" w:rsidP="004712E5">
      <w:pPr>
        <w:pStyle w:val="ListBullet2"/>
      </w:pPr>
      <w:r w:rsidRPr="00354480">
        <w:t xml:space="preserve">a SQC, responsible for driving quality improvement, providing strategic direction and policy oversight for BreastScreen Services within the jurisdiction; and </w:t>
      </w:r>
    </w:p>
    <w:p w14:paraId="27A8F20E" w14:textId="06E321F4" w:rsidR="00E653F5" w:rsidRPr="00354480" w:rsidRDefault="00E653F5" w:rsidP="004712E5">
      <w:pPr>
        <w:pStyle w:val="ListBullet2"/>
      </w:pPr>
      <w:r w:rsidRPr="00354480">
        <w:t>an SCU, responsible for ensuring the delivery of consistent, high quality BreastScreen Services within the jurisdiction</w:t>
      </w:r>
      <w:r w:rsidR="00FA0C1A">
        <w:t xml:space="preserve">; and to establish and support the functions of </w:t>
      </w:r>
      <w:r w:rsidRPr="00354480">
        <w:t xml:space="preserve">the SQC. </w:t>
      </w:r>
    </w:p>
    <w:p w14:paraId="0F0ED8FF" w14:textId="77777777" w:rsidR="00E653F5" w:rsidRPr="00354480" w:rsidRDefault="00E653F5" w:rsidP="007742E2">
      <w:pPr>
        <w:pStyle w:val="Heading4"/>
      </w:pPr>
      <w:r w:rsidRPr="00354480">
        <w:t xml:space="preserve">2014 Review </w:t>
      </w:r>
      <w:r w:rsidRPr="007742E2">
        <w:t>Outcomes</w:t>
      </w:r>
      <w:r w:rsidRPr="00354480">
        <w:t xml:space="preserve"> – Accreditation Process</w:t>
      </w:r>
    </w:p>
    <w:p w14:paraId="47A75CA4" w14:textId="77777777" w:rsidR="00E653F5" w:rsidRPr="00354480" w:rsidRDefault="00E653F5" w:rsidP="004712E5">
      <w:pPr>
        <w:pStyle w:val="ListBullet"/>
      </w:pPr>
      <w:r w:rsidRPr="00354480">
        <w:t>In addition to BreastScreen Services, SCUs are also required to undergo accreditation.</w:t>
      </w:r>
    </w:p>
    <w:p w14:paraId="7A99EDA5" w14:textId="6F0C1554" w:rsidR="00E653F5" w:rsidRPr="00354480" w:rsidRDefault="00E653F5" w:rsidP="004712E5">
      <w:pPr>
        <w:pStyle w:val="ListBullet"/>
      </w:pPr>
      <w:r w:rsidRPr="00354480">
        <w:t xml:space="preserve">To improve accountability, Services and SCUs are to be assessed against, and held accountable for their performance against NAS Data Measures for which they have responsibility. Delineation of responsibility between the Service and SCU is to be recorded on the NAS Accountability Framework, </w:t>
      </w:r>
      <w:r w:rsidR="00E07C5B">
        <w:t xml:space="preserve">where appropriate, </w:t>
      </w:r>
      <w:r w:rsidRPr="00354480">
        <w:t>discussed further under Section 2.6.</w:t>
      </w:r>
    </w:p>
    <w:p w14:paraId="7E3ECC9F" w14:textId="5AC9E84A" w:rsidR="00E653F5" w:rsidRPr="00354480" w:rsidRDefault="00E653F5" w:rsidP="004712E5">
      <w:pPr>
        <w:pStyle w:val="ListBullet"/>
      </w:pPr>
      <w:r w:rsidRPr="00354480">
        <w:t xml:space="preserve">Accreditation surveys (previously </w:t>
      </w:r>
      <w:r w:rsidR="00DE6D7E">
        <w:t xml:space="preserve">termed </w:t>
      </w:r>
      <w:r w:rsidRPr="00354480">
        <w:t xml:space="preserve">site visits) are to be undertaken once every four years, regardless of the accreditation rating obtained by the Service and/or SCU. However, the requirement for Annual Data Reports has been retained. </w:t>
      </w:r>
    </w:p>
    <w:p w14:paraId="4A3CEF5D" w14:textId="56214354" w:rsidR="00E653F5" w:rsidRPr="00354480" w:rsidRDefault="00E653F5" w:rsidP="004712E5">
      <w:pPr>
        <w:pStyle w:val="ListBullet"/>
      </w:pPr>
      <w:r w:rsidRPr="00354480">
        <w:t xml:space="preserve">Data Governance and Management Assessments (previously Data Audits) are to be undertaken at the same time as the Accreditation Survey, with findings to be recorded on the survey report. For jurisdictions that have </w:t>
      </w:r>
      <w:r w:rsidRPr="00354480">
        <w:rPr>
          <w:rFonts w:cs="Calibri"/>
        </w:rPr>
        <w:t>a central Picture Archiving and Communication System (PACS)/</w:t>
      </w:r>
      <w:r w:rsidR="00D64552">
        <w:rPr>
          <w:rFonts w:cs="Calibri"/>
        </w:rPr>
        <w:t>Client Management System</w:t>
      </w:r>
      <w:r w:rsidRPr="00354480">
        <w:rPr>
          <w:rFonts w:cs="Calibri"/>
        </w:rPr>
        <w:t xml:space="preserve">, individual </w:t>
      </w:r>
      <w:r w:rsidRPr="00354480">
        <w:t>Service</w:t>
      </w:r>
      <w:r w:rsidRPr="00354480">
        <w:rPr>
          <w:rFonts w:cs="Calibri"/>
        </w:rPr>
        <w:t xml:space="preserve">s </w:t>
      </w:r>
      <w:r w:rsidR="00167706">
        <w:rPr>
          <w:rFonts w:cs="Calibri"/>
        </w:rPr>
        <w:t>may</w:t>
      </w:r>
      <w:r w:rsidR="00167706" w:rsidRPr="00354480">
        <w:rPr>
          <w:rFonts w:cs="Calibri"/>
        </w:rPr>
        <w:t xml:space="preserve"> </w:t>
      </w:r>
      <w:r w:rsidRPr="00354480">
        <w:rPr>
          <w:rFonts w:cs="Calibri"/>
        </w:rPr>
        <w:t xml:space="preserve">not </w:t>
      </w:r>
      <w:r w:rsidRPr="00354480">
        <w:rPr>
          <w:rFonts w:cs="Calibri"/>
        </w:rPr>
        <w:lastRenderedPageBreak/>
        <w:t>need to undergo a Data Governance and Management Assessment, as this will be undertaken during the SCU Accreditation Survey.</w:t>
      </w:r>
      <w:r w:rsidR="00167706">
        <w:rPr>
          <w:rFonts w:cs="Calibri"/>
        </w:rPr>
        <w:t xml:space="preserve"> This will be contingent upon the NAF and may be requested by the SCU and/or NQMC. </w:t>
      </w:r>
    </w:p>
    <w:p w14:paraId="3A427E35" w14:textId="06E73543" w:rsidR="00B25D58" w:rsidRPr="00265C02" w:rsidRDefault="0064050B" w:rsidP="0008617F">
      <w:pPr>
        <w:pStyle w:val="Heading1"/>
      </w:pPr>
      <w:bookmarkStart w:id="35" w:name="_Toc517944592"/>
      <w:bookmarkStart w:id="36" w:name="_Toc66438622"/>
      <w:r w:rsidRPr="00803796">
        <w:lastRenderedPageBreak/>
        <w:t>GOVERNANCE</w:t>
      </w:r>
      <w:r w:rsidRPr="00265C02">
        <w:t xml:space="preserve"> STRUCTURE</w:t>
      </w:r>
      <w:r w:rsidR="007742E2">
        <w:t xml:space="preserve"> </w:t>
      </w:r>
      <w:r w:rsidR="00B25D58" w:rsidRPr="00265C02">
        <w:t>ROLES AND RESPONSIBILITIES</w:t>
      </w:r>
      <w:bookmarkEnd w:id="35"/>
      <w:bookmarkEnd w:id="36"/>
    </w:p>
    <w:p w14:paraId="0FF73673" w14:textId="1BCD1452" w:rsidR="007F1587" w:rsidRPr="00265C02" w:rsidRDefault="007F1587" w:rsidP="00500310">
      <w:pPr>
        <w:pStyle w:val="Heading2"/>
      </w:pPr>
      <w:bookmarkStart w:id="37" w:name="_Toc517944593"/>
      <w:bookmarkStart w:id="38" w:name="_Toc66438623"/>
      <w:r w:rsidRPr="00265C02">
        <w:t>GOVERNANCE STRUCTURE</w:t>
      </w:r>
      <w:bookmarkEnd w:id="37"/>
      <w:bookmarkEnd w:id="38"/>
    </w:p>
    <w:p w14:paraId="3E44F2D1" w14:textId="77777777" w:rsidR="005455FC" w:rsidRDefault="007F1587" w:rsidP="00AB1C35">
      <w:r>
        <w:t>The governance structure that has been developed for the quality management of the BreastScreen Australia Program</w:t>
      </w:r>
      <w:r w:rsidRPr="000A733C">
        <w:t xml:space="preserve"> has four key </w:t>
      </w:r>
      <w:r>
        <w:t xml:space="preserve">areas of responsibility, which are </w:t>
      </w:r>
      <w:r w:rsidRPr="000A733C">
        <w:t>based on Tricker’s model of governance</w:t>
      </w:r>
      <w:r w:rsidRPr="000A733C">
        <w:rPr>
          <w:rStyle w:val="FootnoteReference"/>
          <w:rFonts w:cs="Calibri"/>
        </w:rPr>
        <w:footnoteReference w:id="3"/>
      </w:r>
      <w:r w:rsidRPr="000A733C">
        <w:t xml:space="preserve">.  These are: </w:t>
      </w:r>
    </w:p>
    <w:p w14:paraId="76241BC2" w14:textId="77777777" w:rsidR="005455FC" w:rsidRDefault="00987693" w:rsidP="004712E5">
      <w:pPr>
        <w:pStyle w:val="ListBullet"/>
      </w:pPr>
      <w:r>
        <w:t>s</w:t>
      </w:r>
      <w:r w:rsidR="007F1587" w:rsidRPr="005455FC">
        <w:t>trategic planning and quality improvement</w:t>
      </w:r>
      <w:r>
        <w:t>;</w:t>
      </w:r>
      <w:r w:rsidR="007F1587" w:rsidRPr="005455FC">
        <w:t xml:space="preserve"> </w:t>
      </w:r>
    </w:p>
    <w:p w14:paraId="6249C787" w14:textId="77777777" w:rsidR="005455FC" w:rsidRDefault="00987693" w:rsidP="004712E5">
      <w:pPr>
        <w:pStyle w:val="ListBullet"/>
      </w:pPr>
      <w:r>
        <w:t>m</w:t>
      </w:r>
      <w:r w:rsidR="007F1587" w:rsidRPr="005455FC">
        <w:t>onitoring compliance</w:t>
      </w:r>
      <w:r>
        <w:t>;</w:t>
      </w:r>
    </w:p>
    <w:p w14:paraId="43786F2B" w14:textId="77777777" w:rsidR="005455FC" w:rsidRDefault="00987693" w:rsidP="004712E5">
      <w:pPr>
        <w:pStyle w:val="ListBullet"/>
      </w:pPr>
      <w:r>
        <w:t>r</w:t>
      </w:r>
      <w:r w:rsidR="007F1587" w:rsidRPr="005455FC">
        <w:t>eporting</w:t>
      </w:r>
      <w:r>
        <w:t>; and</w:t>
      </w:r>
      <w:r w:rsidR="007F1587" w:rsidRPr="005455FC">
        <w:t xml:space="preserve"> </w:t>
      </w:r>
    </w:p>
    <w:p w14:paraId="01DC1105" w14:textId="7FEB0AB2" w:rsidR="005455FC" w:rsidRDefault="00987693" w:rsidP="004712E5">
      <w:pPr>
        <w:pStyle w:val="ListBullet"/>
      </w:pPr>
      <w:r>
        <w:t>p</w:t>
      </w:r>
      <w:r w:rsidR="007F1587" w:rsidRPr="005455FC">
        <w:t>olicy oversight.</w:t>
      </w:r>
    </w:p>
    <w:p w14:paraId="72859473" w14:textId="77777777" w:rsidR="007F1587" w:rsidRDefault="007F1587" w:rsidP="007742E2">
      <w:r w:rsidRPr="005455FC">
        <w:t>This model of governance has been adopted for each level of the Program’s quality management structure; the National Quality Management Committee</w:t>
      </w:r>
      <w:r w:rsidR="00BE2C4C">
        <w:t xml:space="preserve"> (NQMC)</w:t>
      </w:r>
      <w:r w:rsidRPr="005455FC">
        <w:t>; the State Quality Committees</w:t>
      </w:r>
      <w:r w:rsidR="00BE2C4C">
        <w:t xml:space="preserve"> (SQCs)</w:t>
      </w:r>
      <w:r w:rsidRPr="005455FC">
        <w:t>; the State Coordination Units</w:t>
      </w:r>
      <w:r w:rsidR="00BE2C4C">
        <w:t xml:space="preserve"> (SCUs)</w:t>
      </w:r>
      <w:r w:rsidRPr="005455FC">
        <w:t>; and the Screening and Assessment Services</w:t>
      </w:r>
      <w:r w:rsidR="00BE2C4C">
        <w:t xml:space="preserve"> (Services)</w:t>
      </w:r>
      <w:r w:rsidRPr="005455FC">
        <w:t xml:space="preserve">. Each level has a defined role in these four key areas of responsibility </w:t>
      </w:r>
      <w:r w:rsidR="00B26C16">
        <w:t xml:space="preserve">for accreditation and quality improvement </w:t>
      </w:r>
      <w:r w:rsidRPr="005455FC">
        <w:t>to ensure a consistent approach across the BreastScreen Australia Program.</w:t>
      </w:r>
      <w:r w:rsidR="00B54446">
        <w:t xml:space="preserve"> </w:t>
      </w:r>
    </w:p>
    <w:p w14:paraId="6796831D" w14:textId="09105F6A" w:rsidR="00C30E62" w:rsidRPr="00C30E62" w:rsidRDefault="00B54446" w:rsidP="00AB1C35">
      <w:r>
        <w:t xml:space="preserve">While the governance arrangements may differ from state to state, it is expected that </w:t>
      </w:r>
      <w:r w:rsidR="00BE2C4C">
        <w:t xml:space="preserve">in addition to the SCU and Service, each jurisdiction will have </w:t>
      </w:r>
      <w:r>
        <w:t>a S</w:t>
      </w:r>
      <w:r w:rsidR="002A1860">
        <w:t>QC</w:t>
      </w:r>
      <w:r w:rsidR="00BE2C4C">
        <w:t xml:space="preserve"> at a minimum. </w:t>
      </w:r>
    </w:p>
    <w:p w14:paraId="2F3CD2F4" w14:textId="2F9F412C" w:rsidR="007F1587" w:rsidRPr="000A733C" w:rsidRDefault="007F1587" w:rsidP="00500310">
      <w:pPr>
        <w:pStyle w:val="Heading2"/>
      </w:pPr>
      <w:bookmarkStart w:id="39" w:name="_Toc517944594"/>
      <w:bookmarkStart w:id="40" w:name="_Toc66438624"/>
      <w:r w:rsidRPr="000A733C">
        <w:t>THE NATIONAL QUALITY MANAGEMENT COMMITTEE (NQMC)</w:t>
      </w:r>
      <w:bookmarkEnd w:id="39"/>
      <w:bookmarkEnd w:id="40"/>
    </w:p>
    <w:p w14:paraId="4B75A1AC" w14:textId="0B93FD72" w:rsidR="007F1587" w:rsidRPr="00501377" w:rsidRDefault="007402BF" w:rsidP="006D2034">
      <w:pPr>
        <w:pStyle w:val="Heading3"/>
      </w:pPr>
      <w:bookmarkStart w:id="41" w:name="_Toc517944595"/>
      <w:bookmarkStart w:id="42" w:name="_Toc66438625"/>
      <w:r w:rsidRPr="00501377">
        <w:t xml:space="preserve">NQMC </w:t>
      </w:r>
      <w:r w:rsidR="007F1587" w:rsidRPr="00501377">
        <w:t>Role and Responsibilities</w:t>
      </w:r>
      <w:bookmarkEnd w:id="41"/>
      <w:bookmarkEnd w:id="42"/>
    </w:p>
    <w:p w14:paraId="7AC824D0" w14:textId="54292439" w:rsidR="007F1587" w:rsidRDefault="007F1587" w:rsidP="00AB1C35">
      <w:r w:rsidRPr="000A733C">
        <w:t xml:space="preserve">The </w:t>
      </w:r>
      <w:r>
        <w:t xml:space="preserve">role of the </w:t>
      </w:r>
      <w:r w:rsidRPr="000A733C">
        <w:t>BreastScreen Australia NQ</w:t>
      </w:r>
      <w:r>
        <w:t xml:space="preserve">MC is to make </w:t>
      </w:r>
      <w:r w:rsidRPr="000A733C">
        <w:t>decision</w:t>
      </w:r>
      <w:r>
        <w:t xml:space="preserve">s </w:t>
      </w:r>
      <w:r w:rsidR="00920AAD">
        <w:t xml:space="preserve">regarding </w:t>
      </w:r>
      <w:r>
        <w:t xml:space="preserve">the </w:t>
      </w:r>
      <w:r w:rsidRPr="000A733C">
        <w:t>accreditation of BreastScr</w:t>
      </w:r>
      <w:r>
        <w:t>een Australia Services and the Program’s</w:t>
      </w:r>
      <w:r w:rsidRPr="000A733C">
        <w:t xml:space="preserve"> S</w:t>
      </w:r>
      <w:r w:rsidR="002A1860">
        <w:t>CU</w:t>
      </w:r>
      <w:r w:rsidRPr="000A733C">
        <w:t xml:space="preserve">.  </w:t>
      </w:r>
      <w:r>
        <w:t xml:space="preserve">These decisions are based on a comprehensive process of review and assessment of performance against the </w:t>
      </w:r>
      <w:r w:rsidR="00213A6E">
        <w:t>N</w:t>
      </w:r>
      <w:r>
        <w:t xml:space="preserve">ational </w:t>
      </w:r>
      <w:r w:rsidR="00213A6E">
        <w:t>A</w:t>
      </w:r>
      <w:r>
        <w:t xml:space="preserve">ccreditation </w:t>
      </w:r>
      <w:r w:rsidR="00213A6E">
        <w:t>S</w:t>
      </w:r>
      <w:r>
        <w:t>tandards</w:t>
      </w:r>
      <w:r w:rsidR="0092222E">
        <w:t xml:space="preserve"> (NAS)</w:t>
      </w:r>
      <w:r>
        <w:t xml:space="preserve">, using standard data </w:t>
      </w:r>
      <w:r w:rsidR="002A1860">
        <w:t>Measure</w:t>
      </w:r>
      <w:r w:rsidR="0092222E">
        <w:t xml:space="preserve">s </w:t>
      </w:r>
      <w:r>
        <w:t xml:space="preserve">and </w:t>
      </w:r>
      <w:r w:rsidR="00EB71BE">
        <w:t xml:space="preserve">the </w:t>
      </w:r>
      <w:r>
        <w:t>independent observation by a multi</w:t>
      </w:r>
      <w:r w:rsidR="00A97AC0">
        <w:t>-</w:t>
      </w:r>
      <w:r>
        <w:t xml:space="preserve">disciplinary team of </w:t>
      </w:r>
      <w:r w:rsidR="008C034A">
        <w:t>survey</w:t>
      </w:r>
      <w:r>
        <w:t>ors</w:t>
      </w:r>
      <w:r w:rsidR="00EB71BE">
        <w:t xml:space="preserve"> contained in the survey report.</w:t>
      </w:r>
    </w:p>
    <w:p w14:paraId="0E083743" w14:textId="6A6FAD16" w:rsidR="007F1587" w:rsidRDefault="007F1587" w:rsidP="00AB1C35">
      <w:r>
        <w:lastRenderedPageBreak/>
        <w:t>The NQMC</w:t>
      </w:r>
      <w:r w:rsidR="0092222E">
        <w:t>,</w:t>
      </w:r>
      <w:r>
        <w:t xml:space="preserve"> through the accreditation process</w:t>
      </w:r>
      <w:r w:rsidR="0092222E">
        <w:t>,</w:t>
      </w:r>
      <w:r>
        <w:t xml:space="preserve"> is </w:t>
      </w:r>
      <w:r w:rsidR="001E2EA5">
        <w:t xml:space="preserve">also </w:t>
      </w:r>
      <w:r>
        <w:t xml:space="preserve">able to </w:t>
      </w:r>
      <w:r w:rsidRPr="000A733C">
        <w:t>strategically identify national trends and respond to emerging issues at a national level relating to safety, quality and continuous program improvement.</w:t>
      </w:r>
      <w:r>
        <w:t xml:space="preserve"> Therefore</w:t>
      </w:r>
      <w:r w:rsidR="00215377">
        <w:t>,</w:t>
      </w:r>
      <w:r>
        <w:t xml:space="preserve"> the broader role of the NQMC is to provide a national level of Program governance that ensures that the BreastScreen Australia Program achieves its aims and objectives through the provision of effective and efficient, high quality breast cancer screening services. The four key areas of governance responsibility for the NQMC </w:t>
      </w:r>
      <w:r w:rsidR="00143CDE">
        <w:t>detailed below.</w:t>
      </w:r>
    </w:p>
    <w:p w14:paraId="70C47902" w14:textId="77777777" w:rsidR="00314743" w:rsidRPr="00A67769" w:rsidRDefault="00314743" w:rsidP="007742E2">
      <w:pPr>
        <w:pStyle w:val="Heading4"/>
      </w:pPr>
      <w:r w:rsidRPr="00314743">
        <w:t>Strategic planning and quality improvement</w:t>
      </w:r>
    </w:p>
    <w:p w14:paraId="3C633BEF" w14:textId="6ED14255" w:rsidR="007F1587" w:rsidRDefault="007F1587" w:rsidP="004712E5">
      <w:pPr>
        <w:pStyle w:val="ListBullet"/>
      </w:pPr>
      <w:r>
        <w:t xml:space="preserve">Develop a </w:t>
      </w:r>
      <w:r w:rsidR="00DD7143">
        <w:t xml:space="preserve">national quality improvement </w:t>
      </w:r>
      <w:r w:rsidR="002F3EE4">
        <w:t xml:space="preserve">(QI) </w:t>
      </w:r>
      <w:r w:rsidR="00DD7143">
        <w:t xml:space="preserve">plan for </w:t>
      </w:r>
      <w:r>
        <w:t>the BreastScreen Australia Program</w:t>
      </w:r>
      <w:r w:rsidR="00064582">
        <w:t xml:space="preserve"> to assist with strategic planning and quality improvement</w:t>
      </w:r>
      <w:r w:rsidR="00DD7143">
        <w:t>, which aligns with the National Quality Improvement Framework</w:t>
      </w:r>
      <w:r>
        <w:t>.</w:t>
      </w:r>
    </w:p>
    <w:p w14:paraId="45FF238E" w14:textId="6CEA96EF" w:rsidR="008929E6" w:rsidRDefault="007F1587" w:rsidP="004712E5">
      <w:pPr>
        <w:pStyle w:val="ListBullet"/>
      </w:pPr>
      <w:r w:rsidRPr="008929E6">
        <w:t xml:space="preserve">Provide strategic leadership </w:t>
      </w:r>
      <w:r w:rsidR="008929E6">
        <w:t>and monitor the</w:t>
      </w:r>
      <w:r w:rsidRPr="008929E6">
        <w:t xml:space="preserve"> </w:t>
      </w:r>
      <w:r w:rsidR="008929E6" w:rsidRPr="008929E6">
        <w:t>quality of services delivered by BreastScreen Australia</w:t>
      </w:r>
      <w:r w:rsidR="00412CD0">
        <w:t xml:space="preserve"> </w:t>
      </w:r>
      <w:r w:rsidR="00EB71BE">
        <w:t xml:space="preserve">Services </w:t>
      </w:r>
      <w:r w:rsidR="00412CD0">
        <w:t xml:space="preserve">to </w:t>
      </w:r>
      <w:r w:rsidR="00B2400A">
        <w:t>lead</w:t>
      </w:r>
      <w:r w:rsidR="00412CD0">
        <w:t xml:space="preserve"> continuous quality improvement</w:t>
      </w:r>
      <w:r w:rsidR="008929E6">
        <w:t>.</w:t>
      </w:r>
    </w:p>
    <w:p w14:paraId="7536CEEA" w14:textId="44B251EC" w:rsidR="007F1587" w:rsidRPr="00EB71BE" w:rsidRDefault="007F1587" w:rsidP="004712E5">
      <w:pPr>
        <w:pStyle w:val="ListBullet"/>
      </w:pPr>
      <w:r w:rsidRPr="00EB71BE">
        <w:t xml:space="preserve">Collect national accreditation data for the defined set of </w:t>
      </w:r>
      <w:r w:rsidR="00EB71BE" w:rsidRPr="00EB71BE">
        <w:t>NAS Measures to</w:t>
      </w:r>
      <w:r w:rsidR="00EB71BE">
        <w:t xml:space="preserve"> m</w:t>
      </w:r>
      <w:r w:rsidRPr="00EB71BE">
        <w:t xml:space="preserve">onitor, analyse and report trends </w:t>
      </w:r>
      <w:r w:rsidR="0048401C" w:rsidRPr="00EB71BE">
        <w:t xml:space="preserve">to </w:t>
      </w:r>
      <w:r w:rsidR="00EB71BE">
        <w:t xml:space="preserve">the Program Management Group, </w:t>
      </w:r>
      <w:r w:rsidR="0048401C" w:rsidRPr="00EB71BE">
        <w:t>SCoS and to SCUs/Services</w:t>
      </w:r>
      <w:r w:rsidRPr="00EB71BE">
        <w:t>.</w:t>
      </w:r>
    </w:p>
    <w:p w14:paraId="52ACE6AF" w14:textId="77777777" w:rsidR="007F1587" w:rsidRDefault="007F1587" w:rsidP="004712E5">
      <w:pPr>
        <w:pStyle w:val="ListBullet"/>
      </w:pPr>
      <w:r w:rsidRPr="00B25D58">
        <w:t>R</w:t>
      </w:r>
      <w:r>
        <w:t xml:space="preserve">eceive, review and analyse </w:t>
      </w:r>
      <w:r w:rsidR="00064582">
        <w:t xml:space="preserve">reports from SCUs on </w:t>
      </w:r>
      <w:r>
        <w:t>any major systems, Service or SCU performance failures that occur within the P</w:t>
      </w:r>
      <w:r w:rsidRPr="00B25D58">
        <w:t xml:space="preserve">rogram. </w:t>
      </w:r>
    </w:p>
    <w:p w14:paraId="71A60F09" w14:textId="4459EB63" w:rsidR="007F1587" w:rsidRPr="00064582" w:rsidRDefault="007F1587" w:rsidP="004712E5">
      <w:pPr>
        <w:pStyle w:val="ListBullet"/>
      </w:pPr>
      <w:r>
        <w:t xml:space="preserve">Report the occurrence of </w:t>
      </w:r>
      <w:r w:rsidR="005E25AA">
        <w:t xml:space="preserve">major </w:t>
      </w:r>
      <w:r w:rsidR="00A97AC0">
        <w:t xml:space="preserve">adverse events </w:t>
      </w:r>
      <w:r w:rsidRPr="00B25D58">
        <w:t>to the</w:t>
      </w:r>
      <w:r>
        <w:t xml:space="preserve"> </w:t>
      </w:r>
      <w:r w:rsidRPr="00B25D58">
        <w:t>Standing Commit</w:t>
      </w:r>
      <w:r>
        <w:t>tee on Screening</w:t>
      </w:r>
      <w:r w:rsidR="00734C4F">
        <w:t xml:space="preserve"> (SCoS)</w:t>
      </w:r>
      <w:r>
        <w:t xml:space="preserve"> as appropriate</w:t>
      </w:r>
      <w:r w:rsidR="00064582">
        <w:t xml:space="preserve"> and d</w:t>
      </w:r>
      <w:r w:rsidRPr="00064582">
        <w:t xml:space="preserve">evelop and implement national QI strategies to minimise the occurrence or recurrence of any major system, Service or SCU performance failures. </w:t>
      </w:r>
    </w:p>
    <w:p w14:paraId="0A9BBE3D" w14:textId="695219D9" w:rsidR="007F1587" w:rsidRPr="00B2400A" w:rsidRDefault="007F1587" w:rsidP="004712E5">
      <w:pPr>
        <w:pStyle w:val="ListBullet"/>
        <w:rPr>
          <w:rFonts w:cs="Calibri"/>
          <w:b/>
        </w:rPr>
      </w:pPr>
      <w:r w:rsidRPr="00064582">
        <w:t>Monitor the feedback process between the BreastScreen Services and the S</w:t>
      </w:r>
      <w:r w:rsidR="002A1860" w:rsidRPr="00064582">
        <w:t>CU</w:t>
      </w:r>
      <w:r w:rsidRPr="00064582">
        <w:t xml:space="preserve">s to ensure </w:t>
      </w:r>
      <w:r w:rsidR="00064582">
        <w:t xml:space="preserve">service/jurisdictional level </w:t>
      </w:r>
      <w:r w:rsidRPr="00064582">
        <w:t>QI plans are developed</w:t>
      </w:r>
      <w:r w:rsidR="00064582">
        <w:t xml:space="preserve"> in line with the national QI plan</w:t>
      </w:r>
      <w:r w:rsidR="009564BF">
        <w:t>. These should be</w:t>
      </w:r>
      <w:r w:rsidRPr="00064582">
        <w:t xml:space="preserve"> im</w:t>
      </w:r>
      <w:r w:rsidRPr="00B25D58">
        <w:t xml:space="preserve">plemented and monitored on a regular basis, to address issues requiring </w:t>
      </w:r>
      <w:r>
        <w:t>quality improvement within the S</w:t>
      </w:r>
      <w:r w:rsidRPr="00B25D58">
        <w:t>ervice.</w:t>
      </w:r>
    </w:p>
    <w:p w14:paraId="13DDE847" w14:textId="77777777" w:rsidR="00B2400A" w:rsidRPr="00623A9E" w:rsidRDefault="00B2400A" w:rsidP="004712E5">
      <w:pPr>
        <w:pStyle w:val="ListBullet"/>
        <w:rPr>
          <w:rFonts w:cs="Calibri"/>
          <w:b/>
        </w:rPr>
      </w:pPr>
      <w:r>
        <w:t>Identify service delivery excellence and examples of best practice and use these to model improvement and initiatives across the Program.</w:t>
      </w:r>
    </w:p>
    <w:p w14:paraId="7254A553" w14:textId="77777777" w:rsidR="007F1587" w:rsidRPr="00A67769" w:rsidRDefault="007F1587" w:rsidP="007742E2">
      <w:pPr>
        <w:pStyle w:val="Heading4"/>
      </w:pPr>
      <w:r w:rsidRPr="00A67769">
        <w:t>Monitoring compliance with the standards</w:t>
      </w:r>
    </w:p>
    <w:p w14:paraId="34576494" w14:textId="11137655" w:rsidR="007F1587" w:rsidRPr="00B25D58" w:rsidRDefault="007F1587" w:rsidP="004712E5">
      <w:pPr>
        <w:pStyle w:val="ListBullet"/>
      </w:pPr>
      <w:r>
        <w:t xml:space="preserve">Review and assess submissions for accreditation </w:t>
      </w:r>
      <w:r w:rsidR="00DC6272">
        <w:t xml:space="preserve">and Annual Data Reports </w:t>
      </w:r>
      <w:r>
        <w:t>from BreastScreen Services and S</w:t>
      </w:r>
      <w:r w:rsidR="002A1860">
        <w:t>CU</w:t>
      </w:r>
      <w:r>
        <w:t xml:space="preserve">s and award </w:t>
      </w:r>
      <w:r w:rsidRPr="00B25D58">
        <w:t>an accreditation status</w:t>
      </w:r>
      <w:r>
        <w:t xml:space="preserve"> commensurate with their performance</w:t>
      </w:r>
      <w:r w:rsidRPr="00B25D58">
        <w:t>.</w:t>
      </w:r>
    </w:p>
    <w:p w14:paraId="17BA4C52" w14:textId="23854C59" w:rsidR="007F1587" w:rsidRPr="00B25D58" w:rsidRDefault="007F1587" w:rsidP="004712E5">
      <w:pPr>
        <w:pStyle w:val="ListBullet"/>
      </w:pPr>
      <w:r>
        <w:t>Make recommendations and provide formal written feedback to the BreastScreen Services</w:t>
      </w:r>
      <w:r w:rsidRPr="00B25D58">
        <w:t xml:space="preserve"> and S</w:t>
      </w:r>
      <w:r w:rsidR="002A1860">
        <w:t>CU</w:t>
      </w:r>
      <w:r>
        <w:t>s</w:t>
      </w:r>
      <w:r w:rsidR="00D34690">
        <w:t>, and the relevant state or territory Department</w:t>
      </w:r>
      <w:r w:rsidR="00DC6272">
        <w:t>s</w:t>
      </w:r>
      <w:r w:rsidR="00D34690">
        <w:t xml:space="preserve"> of Health</w:t>
      </w:r>
      <w:r>
        <w:t xml:space="preserve"> that</w:t>
      </w:r>
      <w:r w:rsidRPr="00B25D58">
        <w:t xml:space="preserve"> </w:t>
      </w:r>
      <w:r w:rsidR="00B2400A">
        <w:t>identify</w:t>
      </w:r>
      <w:r w:rsidRPr="00B25D58">
        <w:t xml:space="preserve"> areas </w:t>
      </w:r>
      <w:r>
        <w:t>that require quality</w:t>
      </w:r>
      <w:r w:rsidRPr="00B25D58">
        <w:t xml:space="preserve"> improvement.</w:t>
      </w:r>
    </w:p>
    <w:p w14:paraId="610EB55C" w14:textId="4BCEC367" w:rsidR="007F1587" w:rsidRPr="00B25D58" w:rsidRDefault="007F1587" w:rsidP="004712E5">
      <w:pPr>
        <w:pStyle w:val="ListBullet"/>
      </w:pPr>
      <w:r w:rsidRPr="00B25D58">
        <w:t xml:space="preserve">Govern the BreastScreen Australia </w:t>
      </w:r>
      <w:r w:rsidR="008C034A">
        <w:t>survey</w:t>
      </w:r>
      <w:r w:rsidRPr="00B25D58">
        <w:t>or program.</w:t>
      </w:r>
    </w:p>
    <w:p w14:paraId="08533444" w14:textId="77777777" w:rsidR="007F1587" w:rsidRDefault="007F11A2" w:rsidP="007742E2">
      <w:pPr>
        <w:pStyle w:val="Heading4"/>
      </w:pPr>
      <w:r>
        <w:lastRenderedPageBreak/>
        <w:t>R</w:t>
      </w:r>
      <w:r w:rsidR="007F1587" w:rsidRPr="000A733C">
        <w:t>eporting</w:t>
      </w:r>
    </w:p>
    <w:p w14:paraId="7B08D5F6" w14:textId="5294F236" w:rsidR="007F1587" w:rsidRDefault="007F1587" w:rsidP="004712E5">
      <w:pPr>
        <w:pStyle w:val="ListBullet"/>
      </w:pPr>
      <w:r>
        <w:t>Document</w:t>
      </w:r>
      <w:r w:rsidRPr="00B25D58">
        <w:t xml:space="preserve"> a</w:t>
      </w:r>
      <w:r>
        <w:t xml:space="preserve">nd publicly report on the </w:t>
      </w:r>
      <w:r w:rsidRPr="00B25D58">
        <w:t>accred</w:t>
      </w:r>
      <w:r>
        <w:t>itation status achieved</w:t>
      </w:r>
      <w:r w:rsidRPr="00B25D58">
        <w:t xml:space="preserve"> by</w:t>
      </w:r>
      <w:r>
        <w:t xml:space="preserve"> each BreastScreen </w:t>
      </w:r>
      <w:r w:rsidRPr="00B25D58">
        <w:t>S</w:t>
      </w:r>
      <w:r>
        <w:t>ervice</w:t>
      </w:r>
      <w:r w:rsidRPr="00B25D58">
        <w:t xml:space="preserve"> and S</w:t>
      </w:r>
      <w:r w:rsidR="002A1860">
        <w:t>CU</w:t>
      </w:r>
      <w:r w:rsidR="00D8299A">
        <w:t>.</w:t>
      </w:r>
      <w:r w:rsidR="0044281E">
        <w:t xml:space="preserve"> </w:t>
      </w:r>
    </w:p>
    <w:p w14:paraId="1D054697" w14:textId="36C158E2" w:rsidR="007F1587" w:rsidRPr="00F827BD" w:rsidRDefault="007F1587" w:rsidP="004712E5">
      <w:pPr>
        <w:pStyle w:val="ListBullet"/>
      </w:pPr>
      <w:r>
        <w:t xml:space="preserve">Provide reports on accreditation status </w:t>
      </w:r>
      <w:r w:rsidR="008131A2" w:rsidRPr="00F827BD">
        <w:t xml:space="preserve">against </w:t>
      </w:r>
      <w:r w:rsidR="008131A2">
        <w:t xml:space="preserve">the NAS Measures </w:t>
      </w:r>
      <w:r>
        <w:t>to national</w:t>
      </w:r>
      <w:r w:rsidR="00064582">
        <w:t>,</w:t>
      </w:r>
      <w:r>
        <w:t xml:space="preserve"> state </w:t>
      </w:r>
      <w:r w:rsidR="00064582">
        <w:t xml:space="preserve">and territory </w:t>
      </w:r>
      <w:r>
        <w:t xml:space="preserve">governments </w:t>
      </w:r>
      <w:r w:rsidR="00064582">
        <w:t>through the S</w:t>
      </w:r>
      <w:r w:rsidR="00327C28">
        <w:t>t</w:t>
      </w:r>
      <w:r w:rsidR="00064582">
        <w:t>anding Committee on Screening (SCoS)</w:t>
      </w:r>
      <w:r>
        <w:t xml:space="preserve"> as appropriate.</w:t>
      </w:r>
    </w:p>
    <w:p w14:paraId="1E86798D" w14:textId="03C9C378" w:rsidR="00404BB8" w:rsidRDefault="007F1587" w:rsidP="004712E5">
      <w:pPr>
        <w:pStyle w:val="ListBullet"/>
      </w:pPr>
      <w:r w:rsidRPr="00F827BD">
        <w:t xml:space="preserve">Document and report on the national </w:t>
      </w:r>
      <w:r w:rsidR="001D13E3">
        <w:t xml:space="preserve">performance </w:t>
      </w:r>
      <w:r w:rsidRPr="00F827BD">
        <w:t>of BreastScreen Australia</w:t>
      </w:r>
      <w:r w:rsidR="00D8299A">
        <w:t xml:space="preserve"> Services and SCUs</w:t>
      </w:r>
      <w:r>
        <w:t xml:space="preserve"> against the</w:t>
      </w:r>
      <w:r w:rsidR="002A1860">
        <w:t xml:space="preserve"> NAS Measures</w:t>
      </w:r>
      <w:r w:rsidRPr="00F827BD">
        <w:t xml:space="preserve"> </w:t>
      </w:r>
      <w:r w:rsidR="00D8299A">
        <w:t>to facilitate benchmarking across jurisdictions and drive quality improvement</w:t>
      </w:r>
      <w:r w:rsidR="00D8299A" w:rsidRPr="00B25D58">
        <w:t>.</w:t>
      </w:r>
      <w:r w:rsidR="00510C39">
        <w:t xml:space="preserve"> </w:t>
      </w:r>
    </w:p>
    <w:p w14:paraId="04E18687" w14:textId="77777777" w:rsidR="007F1587" w:rsidRDefault="007F1587" w:rsidP="007742E2">
      <w:pPr>
        <w:pStyle w:val="Heading4"/>
      </w:pPr>
      <w:r w:rsidRPr="00F827BD">
        <w:t xml:space="preserve">Oversight of </w:t>
      </w:r>
      <w:r w:rsidRPr="00E637EF">
        <w:t xml:space="preserve">policy and standards setting </w:t>
      </w:r>
      <w:r>
        <w:t>for the P</w:t>
      </w:r>
      <w:r w:rsidRPr="00E637EF">
        <w:t>rogram</w:t>
      </w:r>
    </w:p>
    <w:p w14:paraId="5AF293AD" w14:textId="1FEC1B64" w:rsidR="007F1587" w:rsidRPr="00E637EF" w:rsidRDefault="007F1587" w:rsidP="004712E5">
      <w:pPr>
        <w:pStyle w:val="ListBullet"/>
      </w:pPr>
      <w:r w:rsidRPr="00B25D58">
        <w:t>Provide advice and recommendations to the</w:t>
      </w:r>
      <w:r>
        <w:t xml:space="preserve"> </w:t>
      </w:r>
      <w:r w:rsidRPr="00E637EF">
        <w:t>S</w:t>
      </w:r>
      <w:r w:rsidR="00734C4F">
        <w:t>CoS</w:t>
      </w:r>
      <w:r w:rsidR="003A026D">
        <w:t>,</w:t>
      </w:r>
      <w:r>
        <w:t xml:space="preserve"> </w:t>
      </w:r>
      <w:r w:rsidR="003A026D" w:rsidRPr="00E637EF">
        <w:t>infor</w:t>
      </w:r>
      <w:r w:rsidR="003A026D">
        <w:t>med by analyses of performance</w:t>
      </w:r>
      <w:r w:rsidR="003A026D" w:rsidRPr="00E637EF">
        <w:t xml:space="preserve"> trend data</w:t>
      </w:r>
      <w:r w:rsidR="003A026D">
        <w:t xml:space="preserve"> </w:t>
      </w:r>
      <w:r>
        <w:t xml:space="preserve">on emerging issues or </w:t>
      </w:r>
      <w:r w:rsidRPr="00E637EF">
        <w:t xml:space="preserve">trends and policy gaps. </w:t>
      </w:r>
    </w:p>
    <w:p w14:paraId="67A5D333" w14:textId="0B18F5A6" w:rsidR="007F1587" w:rsidRDefault="007F1587" w:rsidP="004712E5">
      <w:pPr>
        <w:pStyle w:val="ListBullet"/>
      </w:pPr>
      <w:r w:rsidRPr="00B25D58">
        <w:t xml:space="preserve">Review and recommend </w:t>
      </w:r>
      <w:r w:rsidR="001317A2">
        <w:t xml:space="preserve">new or amended </w:t>
      </w:r>
      <w:r w:rsidRPr="00B25D58">
        <w:t>accreditation standards, for approval by the</w:t>
      </w:r>
      <w:r>
        <w:t xml:space="preserve"> </w:t>
      </w:r>
      <w:r w:rsidRPr="00B25D58">
        <w:t>S</w:t>
      </w:r>
      <w:r w:rsidR="00734C4F">
        <w:t>CoS</w:t>
      </w:r>
      <w:r>
        <w:t>.</w:t>
      </w:r>
    </w:p>
    <w:p w14:paraId="5FA43A45" w14:textId="789E3F86" w:rsidR="007F1587" w:rsidRPr="00B25D58" w:rsidRDefault="007F1587" w:rsidP="004712E5">
      <w:pPr>
        <w:pStyle w:val="ListBullet"/>
      </w:pPr>
      <w:r>
        <w:t xml:space="preserve">Provide </w:t>
      </w:r>
      <w:r w:rsidR="00064582">
        <w:t xml:space="preserve">policy </w:t>
      </w:r>
      <w:r>
        <w:t>advice to the A</w:t>
      </w:r>
      <w:r w:rsidR="002A1860">
        <w:t xml:space="preserve">ustralian </w:t>
      </w:r>
      <w:r>
        <w:t>H</w:t>
      </w:r>
      <w:r w:rsidR="002A1860">
        <w:t xml:space="preserve">ealth </w:t>
      </w:r>
      <w:r>
        <w:t>M</w:t>
      </w:r>
      <w:r w:rsidR="002A1860">
        <w:t xml:space="preserve">inister’s </w:t>
      </w:r>
      <w:r>
        <w:t>A</w:t>
      </w:r>
      <w:r w:rsidR="002A1860">
        <w:t xml:space="preserve">dvisory </w:t>
      </w:r>
      <w:r>
        <w:t>C</w:t>
      </w:r>
      <w:r w:rsidR="002A1860">
        <w:t>o</w:t>
      </w:r>
      <w:r w:rsidR="00734C4F">
        <w:t>uncil</w:t>
      </w:r>
      <w:r w:rsidR="00064582">
        <w:t xml:space="preserve"> and</w:t>
      </w:r>
      <w:r>
        <w:t xml:space="preserve"> S</w:t>
      </w:r>
      <w:r w:rsidR="00734C4F">
        <w:t>CoS</w:t>
      </w:r>
      <w:r>
        <w:t xml:space="preserve"> on </w:t>
      </w:r>
      <w:r w:rsidR="00064582">
        <w:t>how to</w:t>
      </w:r>
      <w:r>
        <w:t xml:space="preserve"> </w:t>
      </w:r>
      <w:r w:rsidRPr="00B25D58">
        <w:t xml:space="preserve">enhance </w:t>
      </w:r>
      <w:r>
        <w:t xml:space="preserve">clarity and </w:t>
      </w:r>
      <w:r w:rsidRPr="00B25D58">
        <w:t xml:space="preserve">consistency </w:t>
      </w:r>
      <w:r w:rsidR="00BD03BE">
        <w:t>of</w:t>
      </w:r>
      <w:r w:rsidR="00BD03BE" w:rsidRPr="00B25D58">
        <w:t xml:space="preserve"> </w:t>
      </w:r>
      <w:r w:rsidRPr="00B25D58">
        <w:t>the nation</w:t>
      </w:r>
      <w:r>
        <w:t>al P</w:t>
      </w:r>
      <w:r w:rsidRPr="00B25D58">
        <w:t>rogram.</w:t>
      </w:r>
    </w:p>
    <w:p w14:paraId="032BB12D" w14:textId="1F457343" w:rsidR="007F1587" w:rsidRPr="000A733C" w:rsidRDefault="007402BF" w:rsidP="006D2034">
      <w:pPr>
        <w:pStyle w:val="Heading3"/>
      </w:pPr>
      <w:bookmarkStart w:id="43" w:name="_Toc517944596"/>
      <w:bookmarkStart w:id="44" w:name="_Toc66438626"/>
      <w:r>
        <w:t>NQMC</w:t>
      </w:r>
      <w:r w:rsidR="007F1587" w:rsidRPr="000A733C">
        <w:t xml:space="preserve"> Chair</w:t>
      </w:r>
      <w:bookmarkEnd w:id="43"/>
      <w:bookmarkEnd w:id="44"/>
    </w:p>
    <w:p w14:paraId="3E38CF02" w14:textId="77777777" w:rsidR="007F1587" w:rsidRDefault="007F1587" w:rsidP="00AB1C35">
      <w:r w:rsidRPr="000A733C">
        <w:rPr>
          <w:lang w:eastAsia="en-AU"/>
        </w:rPr>
        <w:t xml:space="preserve">The Chair </w:t>
      </w:r>
      <w:r>
        <w:rPr>
          <w:lang w:eastAsia="en-AU"/>
        </w:rPr>
        <w:t xml:space="preserve">of the NQMC </w:t>
      </w:r>
      <w:r w:rsidRPr="000A733C">
        <w:rPr>
          <w:lang w:eastAsia="en-AU"/>
        </w:rPr>
        <w:t>will</w:t>
      </w:r>
      <w:r w:rsidRPr="000A733C">
        <w:rPr>
          <w:i/>
          <w:lang w:eastAsia="en-AU"/>
        </w:rPr>
        <w:t xml:space="preserve"> </w:t>
      </w:r>
      <w:r w:rsidRPr="000A733C">
        <w:rPr>
          <w:lang w:eastAsia="en-AU"/>
        </w:rPr>
        <w:t>be</w:t>
      </w:r>
      <w:r w:rsidRPr="000A733C">
        <w:rPr>
          <w:i/>
          <w:lang w:eastAsia="en-AU"/>
        </w:rPr>
        <w:t xml:space="preserve"> </w:t>
      </w:r>
      <w:r w:rsidRPr="000A733C">
        <w:t>external to BreastScreen Australia.  The Chair will have</w:t>
      </w:r>
      <w:r>
        <w:t xml:space="preserve"> the following attributes</w:t>
      </w:r>
      <w:r w:rsidRPr="000A733C">
        <w:t>:</w:t>
      </w:r>
    </w:p>
    <w:p w14:paraId="246A5A65" w14:textId="77777777" w:rsidR="00064582" w:rsidRPr="000929F7" w:rsidRDefault="00064582" w:rsidP="004712E5">
      <w:pPr>
        <w:pStyle w:val="ListBullet"/>
      </w:pPr>
      <w:r>
        <w:t>s</w:t>
      </w:r>
      <w:r w:rsidRPr="000929F7">
        <w:t xml:space="preserve">kills </w:t>
      </w:r>
      <w:r>
        <w:t>in chairing high level meetings;</w:t>
      </w:r>
    </w:p>
    <w:p w14:paraId="1F1A96EE" w14:textId="77777777" w:rsidR="00064582" w:rsidRDefault="00064582" w:rsidP="004712E5">
      <w:pPr>
        <w:pStyle w:val="ListBullet"/>
      </w:pPr>
      <w:r>
        <w:t>skills and experience relating to</w:t>
      </w:r>
      <w:r w:rsidRPr="00F45BD4">
        <w:t xml:space="preserve"> </w:t>
      </w:r>
      <w:r>
        <w:t>accreditation;</w:t>
      </w:r>
    </w:p>
    <w:p w14:paraId="5A1CF1D1" w14:textId="77777777" w:rsidR="00F45BD4" w:rsidRPr="00734C4F" w:rsidRDefault="00920AAD" w:rsidP="004712E5">
      <w:pPr>
        <w:pStyle w:val="ListBullet"/>
      </w:pPr>
      <w:r w:rsidRPr="00734C4F">
        <w:t>k</w:t>
      </w:r>
      <w:r w:rsidR="00F45BD4" w:rsidRPr="00734C4F">
        <w:t>nowledge of population based cancer screening programs;</w:t>
      </w:r>
    </w:p>
    <w:p w14:paraId="6E6C827E" w14:textId="77777777" w:rsidR="007F1587" w:rsidRPr="000929F7" w:rsidRDefault="00920AAD" w:rsidP="004712E5">
      <w:pPr>
        <w:pStyle w:val="ListBullet"/>
      </w:pPr>
      <w:r>
        <w:t>c</w:t>
      </w:r>
      <w:r w:rsidR="007F1587" w:rsidRPr="000929F7">
        <w:t>redibility within their field of health expertise and public standing</w:t>
      </w:r>
      <w:r w:rsidR="00D84AF3">
        <w:t>.</w:t>
      </w:r>
    </w:p>
    <w:p w14:paraId="53D71562" w14:textId="77777777" w:rsidR="00D84AF3" w:rsidRDefault="00920AAD" w:rsidP="004712E5">
      <w:pPr>
        <w:pStyle w:val="ListBullet"/>
      </w:pPr>
      <w:r>
        <w:t>s</w:t>
      </w:r>
      <w:r w:rsidR="007F1587" w:rsidRPr="000929F7">
        <w:t>ufficient time to attend all NQMC meetings and undertake out-of-session work as required.</w:t>
      </w:r>
    </w:p>
    <w:p w14:paraId="52B58FA8" w14:textId="77777777" w:rsidR="003C0442" w:rsidRPr="003C0442" w:rsidRDefault="003C0442" w:rsidP="00AB1C35">
      <w:r>
        <w:t xml:space="preserve">The Establishing Authority of the NQMC is responsible for </w:t>
      </w:r>
      <w:r w:rsidR="00553DAE">
        <w:t xml:space="preserve">endorsing and </w:t>
      </w:r>
      <w:r>
        <w:t>appointing the Chair of the NQMC. This responsibility lies with the First Assistant Secretary, Population Health Division, Australian Government Department of Health. As the NQMC reports to the SCoS, nominations for the NQMC Chair may be undertaken in collaboration with the SCoS.</w:t>
      </w:r>
    </w:p>
    <w:p w14:paraId="477BC346" w14:textId="68D643AC" w:rsidR="007F1587" w:rsidRDefault="007402BF" w:rsidP="006D2034">
      <w:pPr>
        <w:pStyle w:val="Heading3"/>
      </w:pPr>
      <w:bookmarkStart w:id="45" w:name="_Toc517944597"/>
      <w:bookmarkStart w:id="46" w:name="_Toc66438627"/>
      <w:r>
        <w:t>NQMC</w:t>
      </w:r>
      <w:r w:rsidR="007F1587" w:rsidRPr="000A733C">
        <w:t xml:space="preserve"> Acting Chair</w:t>
      </w:r>
      <w:bookmarkEnd w:id="45"/>
      <w:bookmarkEnd w:id="46"/>
    </w:p>
    <w:p w14:paraId="71FF1ED5" w14:textId="77777777" w:rsidR="007F1587" w:rsidRPr="009147ED" w:rsidRDefault="007F1587" w:rsidP="00AB1C35">
      <w:r w:rsidRPr="009147ED">
        <w:t>If the appointed chair is not able to attend a meeting due to unforeseen circumstances a member of the committee can take on the role as chair. This member must be the nominated proxy for the chair</w:t>
      </w:r>
      <w:r w:rsidR="00016A03" w:rsidRPr="009147ED">
        <w:t>,</w:t>
      </w:r>
      <w:r w:rsidRPr="009147ED">
        <w:t xml:space="preserve"> endorsed by the </w:t>
      </w:r>
      <w:r w:rsidR="008C5E9A" w:rsidRPr="009147ED">
        <w:t xml:space="preserve">Establishing Authority for the NQMC, and as </w:t>
      </w:r>
      <w:r w:rsidR="008C5E9A" w:rsidRPr="009147ED">
        <w:lastRenderedPageBreak/>
        <w:t>outlined in the NQMC Member Guidelines.</w:t>
      </w:r>
    </w:p>
    <w:p w14:paraId="5E2A9C92" w14:textId="7EEF0D6C" w:rsidR="00BC1060" w:rsidRDefault="00BC1060" w:rsidP="006D2034">
      <w:pPr>
        <w:pStyle w:val="Heading3"/>
      </w:pPr>
      <w:bookmarkStart w:id="47" w:name="_Toc517944598"/>
      <w:bookmarkStart w:id="48" w:name="_Toc66438628"/>
      <w:r>
        <w:t xml:space="preserve">NQMC </w:t>
      </w:r>
      <w:r w:rsidRPr="000A733C">
        <w:t>Membership</w:t>
      </w:r>
      <w:bookmarkEnd w:id="47"/>
      <w:bookmarkEnd w:id="48"/>
    </w:p>
    <w:p w14:paraId="23C5812E" w14:textId="0C6BC3B2" w:rsidR="00F45BD4" w:rsidRPr="009147ED" w:rsidRDefault="00F45BD4" w:rsidP="00AB1C35">
      <w:r w:rsidRPr="009147ED">
        <w:t xml:space="preserve">The membership of the NQMC is </w:t>
      </w:r>
      <w:r w:rsidR="00064582" w:rsidRPr="009147ED">
        <w:t xml:space="preserve">predominately </w:t>
      </w:r>
      <w:r w:rsidRPr="009147ED">
        <w:t xml:space="preserve">skills based and </w:t>
      </w:r>
      <w:r w:rsidR="00D546A5" w:rsidRPr="009147ED">
        <w:t xml:space="preserve">are </w:t>
      </w:r>
      <w:r w:rsidRPr="009147ED">
        <w:t xml:space="preserve">not </w:t>
      </w:r>
      <w:r w:rsidR="00D546A5" w:rsidRPr="009147ED">
        <w:t xml:space="preserve">necessarily </w:t>
      </w:r>
      <w:r w:rsidRPr="009147ED">
        <w:t xml:space="preserve">representatives of clinical colleges </w:t>
      </w:r>
      <w:r w:rsidR="001317A2" w:rsidRPr="009147ED">
        <w:t xml:space="preserve">or jurisdictions </w:t>
      </w:r>
      <w:r w:rsidRPr="009147ED">
        <w:t>involved in BreastScreen Australia.  All members must have relevant knowledge and skills related to BreastScreen Services.  This includes:</w:t>
      </w:r>
    </w:p>
    <w:p w14:paraId="6AF98A04" w14:textId="77777777" w:rsidR="00F45BD4" w:rsidRPr="001A179A" w:rsidRDefault="00F45BD4" w:rsidP="004712E5">
      <w:pPr>
        <w:pStyle w:val="ListBullet"/>
      </w:pPr>
      <w:r w:rsidRPr="001A179A">
        <w:t>knowledge of and expertise related to population based cancer screening programs</w:t>
      </w:r>
    </w:p>
    <w:p w14:paraId="0230A029" w14:textId="595014DC" w:rsidR="00F45BD4" w:rsidRPr="001A179A" w:rsidRDefault="00F45BD4" w:rsidP="004712E5">
      <w:pPr>
        <w:pStyle w:val="ListBullet"/>
      </w:pPr>
      <w:r w:rsidRPr="001A179A">
        <w:t>skills and experience relating to accreditation;</w:t>
      </w:r>
    </w:p>
    <w:p w14:paraId="1E7CFD2B" w14:textId="77777777" w:rsidR="00F45BD4" w:rsidRPr="001A179A" w:rsidRDefault="00F45BD4" w:rsidP="004712E5">
      <w:pPr>
        <w:pStyle w:val="ListBullet"/>
      </w:pPr>
      <w:r w:rsidRPr="001A179A">
        <w:t>credibility within their field of health expertise and public standing; and</w:t>
      </w:r>
    </w:p>
    <w:p w14:paraId="3C091DE9" w14:textId="77777777" w:rsidR="00F45BD4" w:rsidRPr="001A179A" w:rsidRDefault="00F45BD4" w:rsidP="004712E5">
      <w:pPr>
        <w:pStyle w:val="ListBullet"/>
      </w:pPr>
      <w:r w:rsidRPr="001A179A">
        <w:t>sufficient time to attend most NQMC meetings and undertake out-of-session work as required.</w:t>
      </w:r>
    </w:p>
    <w:p w14:paraId="7D28873D" w14:textId="26C2971A" w:rsidR="00EE079B" w:rsidRDefault="00EE079B" w:rsidP="00AB1C35">
      <w:r>
        <w:t xml:space="preserve">The process for seeking nominations for </w:t>
      </w:r>
      <w:r w:rsidR="002108FE">
        <w:t xml:space="preserve">member and proxy </w:t>
      </w:r>
      <w:r>
        <w:t>appointment</w:t>
      </w:r>
      <w:r w:rsidR="002108FE">
        <w:t>s</w:t>
      </w:r>
      <w:r>
        <w:t xml:space="preserve"> to the NQMC is as follows: </w:t>
      </w:r>
    </w:p>
    <w:p w14:paraId="0ED86EF1" w14:textId="7B3BCD5B" w:rsidR="00EE079B" w:rsidRDefault="00EE079B" w:rsidP="004712E5">
      <w:pPr>
        <w:pStyle w:val="ListBullet"/>
      </w:pPr>
      <w:r>
        <w:t xml:space="preserve">The NQMC Secretariat will seek nominations from jurisdictions, including Service </w:t>
      </w:r>
      <w:r w:rsidR="007F57E9">
        <w:t>Directors</w:t>
      </w:r>
      <w:r>
        <w:t>, Program Managers and state/</w:t>
      </w:r>
      <w:r w:rsidR="000E351D">
        <w:t>territory Departments of Health;</w:t>
      </w:r>
    </w:p>
    <w:p w14:paraId="4A65FFA3" w14:textId="77777777" w:rsidR="000E351D" w:rsidRDefault="000E351D" w:rsidP="004712E5">
      <w:pPr>
        <w:pStyle w:val="ListBullet"/>
      </w:pPr>
      <w:r>
        <w:t>Nominees will be requested to submit a CV and covering letter identifying their appropriate skills and expertise for the nominated position;</w:t>
      </w:r>
    </w:p>
    <w:p w14:paraId="1464D2CA" w14:textId="77777777" w:rsidR="00623CCF" w:rsidRDefault="000E351D" w:rsidP="004712E5">
      <w:pPr>
        <w:pStyle w:val="ListBullet"/>
      </w:pPr>
      <w:r>
        <w:t>If more than one nomination is received for a position, Program Managers will be asked to confidentially recommend their preferred candidate;</w:t>
      </w:r>
    </w:p>
    <w:p w14:paraId="1D3F48AD" w14:textId="0B099D3F" w:rsidR="000E351D" w:rsidRPr="00623CCF" w:rsidRDefault="000E380F" w:rsidP="004712E5">
      <w:pPr>
        <w:pStyle w:val="ListBullet"/>
        <w:rPr>
          <w:rFonts w:cs="Calibri"/>
          <w:bCs/>
        </w:rPr>
      </w:pPr>
      <w:r>
        <w:rPr>
          <w:rFonts w:cs="Calibri"/>
          <w:bCs/>
        </w:rPr>
        <w:t>Where appropriate, t</w:t>
      </w:r>
      <w:r w:rsidR="00623CCF">
        <w:rPr>
          <w:rFonts w:cs="Calibri"/>
          <w:bCs/>
        </w:rPr>
        <w:t xml:space="preserve">he NQMC Secretariat </w:t>
      </w:r>
      <w:r>
        <w:rPr>
          <w:rFonts w:cs="Calibri"/>
          <w:bCs/>
        </w:rPr>
        <w:t>may</w:t>
      </w:r>
      <w:r w:rsidR="00623CCF">
        <w:rPr>
          <w:rFonts w:cs="Calibri"/>
          <w:bCs/>
        </w:rPr>
        <w:t xml:space="preserve"> seek </w:t>
      </w:r>
      <w:r w:rsidR="00623CCF">
        <w:t xml:space="preserve">the </w:t>
      </w:r>
      <w:r w:rsidR="00623CCF" w:rsidRPr="00623CCF">
        <w:t xml:space="preserve">support or endorsement </w:t>
      </w:r>
      <w:r w:rsidR="00623CCF">
        <w:t>by the relevant college</w:t>
      </w:r>
      <w:r w:rsidR="00623CCF" w:rsidRPr="00623CCF">
        <w:t xml:space="preserve"> of </w:t>
      </w:r>
      <w:r>
        <w:t xml:space="preserve">the </w:t>
      </w:r>
      <w:r w:rsidR="00623CCF" w:rsidRPr="00623CCF">
        <w:t>nominated NQMC member</w:t>
      </w:r>
      <w:r w:rsidR="00623CCF">
        <w:t>;</w:t>
      </w:r>
    </w:p>
    <w:p w14:paraId="716DF411" w14:textId="24C5C221" w:rsidR="000E351D" w:rsidRDefault="000E351D" w:rsidP="004712E5">
      <w:pPr>
        <w:pStyle w:val="ListBullet"/>
        <w:rPr>
          <w:rFonts w:cs="Calibri"/>
          <w:bCs/>
        </w:rPr>
      </w:pPr>
      <w:r>
        <w:rPr>
          <w:rFonts w:cs="Calibri"/>
          <w:bCs/>
        </w:rPr>
        <w:t>The NQMC Secretariat will advise t</w:t>
      </w:r>
      <w:r w:rsidRPr="00CF5B8E">
        <w:rPr>
          <w:lang w:eastAsia="en-AU"/>
        </w:rPr>
        <w:t xml:space="preserve">he First Assistant Secretary, Population Health Division of the Australian Government </w:t>
      </w:r>
      <w:r>
        <w:rPr>
          <w:lang w:eastAsia="en-AU"/>
        </w:rPr>
        <w:t xml:space="preserve">Department of Health, </w:t>
      </w:r>
      <w:r w:rsidRPr="00CF5B8E">
        <w:rPr>
          <w:lang w:eastAsia="en-AU"/>
        </w:rPr>
        <w:t>the Establishing Authority of the NQMC</w:t>
      </w:r>
      <w:r>
        <w:rPr>
          <w:lang w:eastAsia="en-AU"/>
        </w:rPr>
        <w:t>,</w:t>
      </w:r>
      <w:r w:rsidR="00BC09FE">
        <w:rPr>
          <w:lang w:eastAsia="en-AU"/>
        </w:rPr>
        <w:t xml:space="preserve"> who</w:t>
      </w:r>
      <w:r>
        <w:rPr>
          <w:lang w:eastAsia="en-AU"/>
        </w:rPr>
        <w:t xml:space="preserve"> will endorse and appoint</w:t>
      </w:r>
      <w:r w:rsidRPr="00B4488F">
        <w:rPr>
          <w:lang w:eastAsia="en-AU"/>
        </w:rPr>
        <w:t xml:space="preserve"> </w:t>
      </w:r>
      <w:r>
        <w:rPr>
          <w:lang w:eastAsia="en-AU"/>
        </w:rPr>
        <w:t>t</w:t>
      </w:r>
      <w:r w:rsidRPr="00CF5B8E">
        <w:rPr>
          <w:lang w:eastAsia="en-AU"/>
        </w:rPr>
        <w:t>he members of the NQMC</w:t>
      </w:r>
      <w:r w:rsidR="00F91C9C">
        <w:rPr>
          <w:lang w:eastAsia="en-AU"/>
        </w:rPr>
        <w:t xml:space="preserve">; </w:t>
      </w:r>
    </w:p>
    <w:p w14:paraId="3F86DF82" w14:textId="77777777" w:rsidR="000E351D" w:rsidRPr="000E351D" w:rsidRDefault="000E351D" w:rsidP="004712E5">
      <w:pPr>
        <w:pStyle w:val="ListBullet"/>
        <w:rPr>
          <w:lang w:eastAsia="en-AU"/>
        </w:rPr>
      </w:pPr>
      <w:r w:rsidRPr="000E351D">
        <w:rPr>
          <w:lang w:eastAsia="en-AU"/>
        </w:rPr>
        <w:t>N</w:t>
      </w:r>
      <w:r w:rsidRPr="000E351D">
        <w:t>ominations for NQMC members may be undertaken in collaboration with the SCoS.</w:t>
      </w:r>
    </w:p>
    <w:p w14:paraId="117BD2BC" w14:textId="16D929E5" w:rsidR="00BC1060" w:rsidRDefault="00BC1060" w:rsidP="00AB1C35">
      <w:r w:rsidRPr="00FD44CC">
        <w:t>The membership of the NQMC</w:t>
      </w:r>
      <w:r>
        <w:t xml:space="preserve"> is as follows:</w:t>
      </w:r>
    </w:p>
    <w:p w14:paraId="5650214E" w14:textId="77777777" w:rsidR="00BC1060" w:rsidRPr="000929F7" w:rsidRDefault="00BC1060" w:rsidP="004712E5">
      <w:pPr>
        <w:pStyle w:val="ListBullet"/>
      </w:pPr>
      <w:r w:rsidRPr="000929F7">
        <w:t>Radiologist</w:t>
      </w:r>
    </w:p>
    <w:p w14:paraId="5B1A9137" w14:textId="77777777" w:rsidR="00BC1060" w:rsidRPr="000929F7" w:rsidRDefault="00BC1060" w:rsidP="004712E5">
      <w:pPr>
        <w:pStyle w:val="ListBullet"/>
      </w:pPr>
      <w:r w:rsidRPr="000929F7">
        <w:t>Radiographer</w:t>
      </w:r>
    </w:p>
    <w:p w14:paraId="2541C9B1" w14:textId="77777777" w:rsidR="00BC1060" w:rsidRPr="000929F7" w:rsidRDefault="00BC1060" w:rsidP="004712E5">
      <w:pPr>
        <w:pStyle w:val="ListBullet"/>
      </w:pPr>
      <w:r w:rsidRPr="000929F7">
        <w:t>Commonwealth appointed member</w:t>
      </w:r>
    </w:p>
    <w:p w14:paraId="67E3558D" w14:textId="77777777" w:rsidR="00BC1060" w:rsidRPr="000929F7" w:rsidRDefault="00BC1060" w:rsidP="004712E5">
      <w:pPr>
        <w:pStyle w:val="ListBullet"/>
      </w:pPr>
      <w:r w:rsidRPr="000929F7">
        <w:t xml:space="preserve">Jurisdictional appointed member (with skills in </w:t>
      </w:r>
      <w:r w:rsidR="00120CCF">
        <w:t xml:space="preserve">BreastScreen Australia </w:t>
      </w:r>
      <w:r w:rsidRPr="000929F7">
        <w:t>Program Management)</w:t>
      </w:r>
    </w:p>
    <w:p w14:paraId="175602A7" w14:textId="77777777" w:rsidR="00BC1060" w:rsidRPr="000929F7" w:rsidRDefault="00BC1060" w:rsidP="004712E5">
      <w:pPr>
        <w:pStyle w:val="ListBullet"/>
      </w:pPr>
      <w:r w:rsidRPr="000929F7">
        <w:t>Epidemiologist</w:t>
      </w:r>
    </w:p>
    <w:p w14:paraId="59B080E1" w14:textId="77777777" w:rsidR="00BC1060" w:rsidRPr="000929F7" w:rsidRDefault="00BC1060" w:rsidP="004712E5">
      <w:pPr>
        <w:pStyle w:val="ListBullet"/>
      </w:pPr>
      <w:r w:rsidRPr="000929F7">
        <w:t>Data manager</w:t>
      </w:r>
    </w:p>
    <w:p w14:paraId="634D2B20" w14:textId="77777777" w:rsidR="00BC1060" w:rsidRPr="000929F7" w:rsidRDefault="00BC1060" w:rsidP="004712E5">
      <w:pPr>
        <w:pStyle w:val="ListBullet"/>
      </w:pPr>
      <w:r w:rsidRPr="000929F7">
        <w:lastRenderedPageBreak/>
        <w:t>Pathologist</w:t>
      </w:r>
    </w:p>
    <w:p w14:paraId="227C6057" w14:textId="77777777" w:rsidR="00BC1060" w:rsidRPr="000929F7" w:rsidRDefault="00BC1060" w:rsidP="004712E5">
      <w:pPr>
        <w:pStyle w:val="ListBullet"/>
      </w:pPr>
      <w:r w:rsidRPr="000929F7">
        <w:t>Surgeon</w:t>
      </w:r>
    </w:p>
    <w:p w14:paraId="1888AACC" w14:textId="77777777" w:rsidR="00BC1060" w:rsidRPr="000929F7" w:rsidRDefault="00BC1060" w:rsidP="004712E5">
      <w:pPr>
        <w:pStyle w:val="ListBullet"/>
      </w:pPr>
      <w:r w:rsidRPr="000929F7">
        <w:t>S</w:t>
      </w:r>
      <w:r w:rsidR="00734C4F">
        <w:t>QC</w:t>
      </w:r>
      <w:r w:rsidR="006143D0">
        <w:t xml:space="preserve"> Chair</w:t>
      </w:r>
      <w:r w:rsidRPr="000929F7">
        <w:t xml:space="preserve"> (this position to rotate on an annual basis)</w:t>
      </w:r>
    </w:p>
    <w:p w14:paraId="4E0D08A2" w14:textId="77777777" w:rsidR="00BC1060" w:rsidRPr="000929F7" w:rsidRDefault="00BC1060" w:rsidP="004712E5">
      <w:pPr>
        <w:pStyle w:val="ListBullet"/>
      </w:pPr>
      <w:r w:rsidRPr="000929F7">
        <w:t>Consumer advocate</w:t>
      </w:r>
    </w:p>
    <w:p w14:paraId="6511155A" w14:textId="77777777" w:rsidR="00BC1060" w:rsidRPr="000929F7" w:rsidRDefault="00BC1060" w:rsidP="004712E5">
      <w:pPr>
        <w:pStyle w:val="ListBullet"/>
      </w:pPr>
      <w:r w:rsidRPr="000929F7">
        <w:t>Patient safety and quality representative</w:t>
      </w:r>
    </w:p>
    <w:p w14:paraId="0129F45F" w14:textId="4FE5430A" w:rsidR="00BC1060" w:rsidRDefault="00BC1060" w:rsidP="00AB1C35">
      <w:r w:rsidRPr="000A733C">
        <w:t xml:space="preserve">The employed National Surveyor will attend all NQMC meetings </w:t>
      </w:r>
      <w:r w:rsidR="00064582">
        <w:t>as an observer</w:t>
      </w:r>
      <w:r w:rsidRPr="000A733C">
        <w:t>.</w:t>
      </w:r>
      <w:r>
        <w:t xml:space="preserve">  </w:t>
      </w:r>
      <w:r w:rsidRPr="000A733C">
        <w:t>Where additional skills are requir</w:t>
      </w:r>
      <w:r>
        <w:t xml:space="preserve">ed, the NQMC may establish time </w:t>
      </w:r>
      <w:r w:rsidRPr="000A733C">
        <w:t>limited reference groups, spec</w:t>
      </w:r>
      <w:r>
        <w:t xml:space="preserve">ific to issues requiring expert and /or </w:t>
      </w:r>
      <w:r w:rsidRPr="000A733C">
        <w:t>clinical advice.</w:t>
      </w:r>
      <w:r w:rsidR="006C11CE">
        <w:t xml:space="preserve"> The NQMC may also co-opt additional members where relevant, for fixed term projects</w:t>
      </w:r>
      <w:r w:rsidR="002D3DE6">
        <w:t>.</w:t>
      </w:r>
    </w:p>
    <w:p w14:paraId="33EC57D9" w14:textId="4A3CA7FE" w:rsidR="007F1587" w:rsidRDefault="007402BF" w:rsidP="006D2034">
      <w:pPr>
        <w:pStyle w:val="Heading3"/>
      </w:pPr>
      <w:bookmarkStart w:id="49" w:name="_Toc517944599"/>
      <w:bookmarkStart w:id="50" w:name="_Toc66438629"/>
      <w:r>
        <w:t>NQMC</w:t>
      </w:r>
      <w:r w:rsidR="007F1587" w:rsidRPr="000A733C">
        <w:t xml:space="preserve"> Terms of Appointment</w:t>
      </w:r>
      <w:bookmarkEnd w:id="49"/>
      <w:bookmarkEnd w:id="50"/>
    </w:p>
    <w:p w14:paraId="0CF2F434" w14:textId="77777777" w:rsidR="007F1587" w:rsidRDefault="007F1587" w:rsidP="00AB1C35">
      <w:r w:rsidRPr="00C274DF">
        <w:t>The terms of appointment for the NQMC are:</w:t>
      </w:r>
    </w:p>
    <w:p w14:paraId="5F8F3698" w14:textId="77777777" w:rsidR="007F1587" w:rsidRPr="000929F7" w:rsidRDefault="00143CDE" w:rsidP="004712E5">
      <w:pPr>
        <w:pStyle w:val="ListBullet"/>
      </w:pPr>
      <w:r>
        <w:t>m</w:t>
      </w:r>
      <w:r w:rsidR="007F1587">
        <w:t>embers will</w:t>
      </w:r>
      <w:r w:rsidR="007F1587" w:rsidRPr="000929F7">
        <w:t xml:space="preserve"> be appointed for a</w:t>
      </w:r>
      <w:r w:rsidR="00737B38">
        <w:t xml:space="preserve">n initial term of up to three years, with no member serving more than </w:t>
      </w:r>
      <w:r w:rsidR="00AF46A9">
        <w:t>two</w:t>
      </w:r>
      <w:r>
        <w:t xml:space="preserve"> consecutive terms;</w:t>
      </w:r>
    </w:p>
    <w:p w14:paraId="142E5EE8" w14:textId="1E2C2E67" w:rsidR="007F1587" w:rsidRPr="000929F7" w:rsidRDefault="00143CDE" w:rsidP="004712E5">
      <w:pPr>
        <w:pStyle w:val="ListBullet"/>
      </w:pPr>
      <w:r>
        <w:t>t</w:t>
      </w:r>
      <w:r w:rsidR="007F1587">
        <w:t>he NQMC membership will</w:t>
      </w:r>
      <w:r w:rsidR="007F1587" w:rsidRPr="000929F7">
        <w:t xml:space="preserve"> be</w:t>
      </w:r>
      <w:r w:rsidR="006C477B">
        <w:t xml:space="preserve"> reviewed in accordance with the </w:t>
      </w:r>
      <w:r w:rsidR="00C7226C">
        <w:t xml:space="preserve">membership rotation strategy contained in </w:t>
      </w:r>
      <w:hyperlink w:anchor="_Attachment_6:_NQMC" w:history="1">
        <w:r w:rsidR="00C7226C" w:rsidRPr="00A30349">
          <w:rPr>
            <w:rStyle w:val="Hyperlink"/>
          </w:rPr>
          <w:t>Attachment 6</w:t>
        </w:r>
      </w:hyperlink>
      <w:r w:rsidR="00C7226C">
        <w:t xml:space="preserve">.  </w:t>
      </w:r>
      <w:r w:rsidR="007F1587" w:rsidRPr="000929F7">
        <w:t xml:space="preserve">This </w:t>
      </w:r>
      <w:r w:rsidR="00793ED4">
        <w:t>will</w:t>
      </w:r>
      <w:r w:rsidR="00793ED4" w:rsidRPr="000929F7">
        <w:t xml:space="preserve"> </w:t>
      </w:r>
      <w:r w:rsidR="007F1587" w:rsidRPr="000929F7">
        <w:t xml:space="preserve">ensure continued corporate knowledge and experience, while maintaining transparency and accountability of the NQMC through </w:t>
      </w:r>
      <w:r>
        <w:t>the introduction of new members; and</w:t>
      </w:r>
    </w:p>
    <w:p w14:paraId="3AA4C2EB" w14:textId="6619A8AB" w:rsidR="00BB29E7" w:rsidRDefault="00143CDE" w:rsidP="00BB29E7">
      <w:pPr>
        <w:pStyle w:val="ListBullet"/>
      </w:pPr>
      <w:r>
        <w:t>p</w:t>
      </w:r>
      <w:r w:rsidR="007F1587" w:rsidRPr="000929F7">
        <w:t xml:space="preserve">roxies will be appointed to attend meetings when members are </w:t>
      </w:r>
      <w:r w:rsidR="0005011B">
        <w:t>unavailable</w:t>
      </w:r>
      <w:r w:rsidR="007F1587" w:rsidRPr="000929F7">
        <w:t>.</w:t>
      </w:r>
    </w:p>
    <w:p w14:paraId="39123D0F" w14:textId="342F9451" w:rsidR="009675AF" w:rsidRPr="009675AF" w:rsidRDefault="009675AF" w:rsidP="009675AF">
      <w:pPr>
        <w:pStyle w:val="ListBullet"/>
        <w:rPr>
          <w:rFonts w:ascii="Segoe UI" w:hAnsi="Segoe UI" w:cs="Segoe UI"/>
          <w:sz w:val="23"/>
          <w:szCs w:val="23"/>
        </w:rPr>
      </w:pPr>
      <w:r w:rsidRPr="009675AF">
        <w:t>The State Quality Committee Chair position role on the NQMC rotates on an annual basis.  The rotation arrangement involves the following occurring at each anniversary of the appointment of the State Quality Committee (SQC) Chair roles:</w:t>
      </w:r>
    </w:p>
    <w:p w14:paraId="0BBD2D93" w14:textId="77777777" w:rsidR="009675AF" w:rsidRPr="009675AF" w:rsidRDefault="009675AF" w:rsidP="0017165E">
      <w:pPr>
        <w:pStyle w:val="ListBullet2"/>
        <w:rPr>
          <w:rFonts w:ascii="Segoe UI" w:hAnsi="Segoe UI" w:cs="Segoe UI"/>
          <w:sz w:val="23"/>
          <w:szCs w:val="23"/>
        </w:rPr>
      </w:pPr>
      <w:r w:rsidRPr="009675AF">
        <w:t>the SQC Chair Member role will be vacated;</w:t>
      </w:r>
    </w:p>
    <w:p w14:paraId="738A1659" w14:textId="77777777" w:rsidR="009675AF" w:rsidRPr="009675AF" w:rsidRDefault="009675AF" w:rsidP="0017165E">
      <w:pPr>
        <w:pStyle w:val="ListBullet2"/>
        <w:rPr>
          <w:rFonts w:ascii="Segoe UI" w:hAnsi="Segoe UI" w:cs="Segoe UI"/>
        </w:rPr>
      </w:pPr>
      <w:r w:rsidRPr="009675AF">
        <w:t>the SQC Chair Proxy will be appointed into the vacant SQC Chair Member role;</w:t>
      </w:r>
    </w:p>
    <w:p w14:paraId="13884C25" w14:textId="77777777" w:rsidR="009675AF" w:rsidRPr="009675AF" w:rsidRDefault="009675AF" w:rsidP="0017165E">
      <w:pPr>
        <w:pStyle w:val="ListBullet2"/>
        <w:rPr>
          <w:rFonts w:ascii="Segoe UI" w:hAnsi="Segoe UI" w:cs="Segoe UI"/>
        </w:rPr>
      </w:pPr>
      <w:r w:rsidRPr="009675AF">
        <w:t>a new SQC Chair from another jurisdiction will be invited to be appointed to the SQC Chair Proxy role according to the following rotation order:</w:t>
      </w:r>
    </w:p>
    <w:p w14:paraId="6EDDEC00" w14:textId="77777777" w:rsidR="009675AF" w:rsidRPr="009675AF" w:rsidRDefault="009675AF" w:rsidP="009675AF">
      <w:pPr>
        <w:widowControl/>
        <w:numPr>
          <w:ilvl w:val="0"/>
          <w:numId w:val="42"/>
        </w:numPr>
        <w:spacing w:before="0" w:after="160" w:line="259" w:lineRule="auto"/>
        <w:ind w:left="1134"/>
        <w:contextualSpacing/>
      </w:pPr>
      <w:r w:rsidRPr="009675AF">
        <w:t>Tasmania</w:t>
      </w:r>
    </w:p>
    <w:p w14:paraId="52B39D8E" w14:textId="77777777" w:rsidR="009675AF" w:rsidRPr="009675AF" w:rsidRDefault="009675AF" w:rsidP="009675AF">
      <w:pPr>
        <w:widowControl/>
        <w:numPr>
          <w:ilvl w:val="0"/>
          <w:numId w:val="42"/>
        </w:numPr>
        <w:spacing w:before="0" w:after="160" w:line="259" w:lineRule="auto"/>
        <w:ind w:left="1134"/>
        <w:contextualSpacing/>
      </w:pPr>
      <w:r w:rsidRPr="009675AF">
        <w:t>Northern Territory</w:t>
      </w:r>
    </w:p>
    <w:p w14:paraId="4FB03D9B" w14:textId="77777777" w:rsidR="009675AF" w:rsidRPr="009675AF" w:rsidRDefault="009675AF" w:rsidP="009675AF">
      <w:pPr>
        <w:widowControl/>
        <w:numPr>
          <w:ilvl w:val="0"/>
          <w:numId w:val="42"/>
        </w:numPr>
        <w:spacing w:before="0" w:after="160" w:line="259" w:lineRule="auto"/>
        <w:ind w:left="1134"/>
        <w:contextualSpacing/>
      </w:pPr>
      <w:r w:rsidRPr="009675AF">
        <w:t>Victoria</w:t>
      </w:r>
    </w:p>
    <w:p w14:paraId="3738482A" w14:textId="77777777" w:rsidR="009675AF" w:rsidRPr="009675AF" w:rsidRDefault="009675AF" w:rsidP="009675AF">
      <w:pPr>
        <w:widowControl/>
        <w:numPr>
          <w:ilvl w:val="0"/>
          <w:numId w:val="42"/>
        </w:numPr>
        <w:spacing w:before="0" w:after="160" w:line="259" w:lineRule="auto"/>
        <w:ind w:left="1134"/>
        <w:contextualSpacing/>
      </w:pPr>
      <w:r w:rsidRPr="009675AF">
        <w:t>Queensland</w:t>
      </w:r>
    </w:p>
    <w:p w14:paraId="05353978" w14:textId="77777777" w:rsidR="009675AF" w:rsidRPr="009675AF" w:rsidRDefault="009675AF" w:rsidP="009675AF">
      <w:pPr>
        <w:widowControl/>
        <w:numPr>
          <w:ilvl w:val="0"/>
          <w:numId w:val="42"/>
        </w:numPr>
        <w:spacing w:before="0" w:after="160" w:line="259" w:lineRule="auto"/>
        <w:ind w:left="1134"/>
        <w:contextualSpacing/>
      </w:pPr>
      <w:r w:rsidRPr="009675AF">
        <w:t>New South Wales</w:t>
      </w:r>
    </w:p>
    <w:p w14:paraId="65EA6BA3" w14:textId="77777777" w:rsidR="009675AF" w:rsidRPr="009675AF" w:rsidRDefault="009675AF" w:rsidP="009675AF">
      <w:pPr>
        <w:widowControl/>
        <w:numPr>
          <w:ilvl w:val="0"/>
          <w:numId w:val="42"/>
        </w:numPr>
        <w:spacing w:before="0" w:after="160" w:line="259" w:lineRule="auto"/>
        <w:ind w:left="1134"/>
        <w:contextualSpacing/>
      </w:pPr>
      <w:r w:rsidRPr="009675AF">
        <w:t>Western Australia</w:t>
      </w:r>
    </w:p>
    <w:p w14:paraId="6D302B26" w14:textId="77777777" w:rsidR="009675AF" w:rsidRPr="009675AF" w:rsidRDefault="009675AF" w:rsidP="009675AF">
      <w:pPr>
        <w:widowControl/>
        <w:numPr>
          <w:ilvl w:val="0"/>
          <w:numId w:val="42"/>
        </w:numPr>
        <w:spacing w:before="0" w:after="160" w:line="259" w:lineRule="auto"/>
        <w:ind w:left="1134"/>
        <w:contextualSpacing/>
      </w:pPr>
      <w:r w:rsidRPr="009675AF">
        <w:t>South Australia</w:t>
      </w:r>
    </w:p>
    <w:p w14:paraId="6BF42FF6" w14:textId="77777777" w:rsidR="009675AF" w:rsidRPr="009675AF" w:rsidRDefault="009675AF" w:rsidP="009675AF">
      <w:pPr>
        <w:widowControl/>
        <w:numPr>
          <w:ilvl w:val="0"/>
          <w:numId w:val="42"/>
        </w:numPr>
        <w:spacing w:before="0" w:after="160" w:line="259" w:lineRule="auto"/>
        <w:ind w:left="1134"/>
        <w:contextualSpacing/>
      </w:pPr>
      <w:r w:rsidRPr="009675AF">
        <w:t>Australian Capital Territory</w:t>
      </w:r>
    </w:p>
    <w:p w14:paraId="11E0E496" w14:textId="77777777" w:rsidR="009675AF" w:rsidRPr="009675AF" w:rsidRDefault="009675AF" w:rsidP="0017165E">
      <w:pPr>
        <w:pStyle w:val="ListBullet2"/>
      </w:pPr>
      <w:r w:rsidRPr="009675AF">
        <w:t xml:space="preserve">If a jurisdiction chooses to decline its scheduled participation, the offer will go to the next jurisdiction in the rotation and the declining jurisdiction will be given first offer </w:t>
      </w:r>
      <w:r w:rsidRPr="009675AF">
        <w:lastRenderedPageBreak/>
        <w:t xml:space="preserve">the following year.  Further, if the SQC Chair in a jurisdiction is already an NQMC Member or Proxy, that jurisdiction will be skipped. </w:t>
      </w:r>
    </w:p>
    <w:p w14:paraId="03665513" w14:textId="04EB797A" w:rsidR="007F1587" w:rsidRDefault="007402BF" w:rsidP="006D2034">
      <w:pPr>
        <w:pStyle w:val="Heading3"/>
      </w:pPr>
      <w:bookmarkStart w:id="51" w:name="_Toc517944600"/>
      <w:bookmarkStart w:id="52" w:name="_Toc66438630"/>
      <w:r>
        <w:t xml:space="preserve">NQMC </w:t>
      </w:r>
      <w:r w:rsidR="007F1587" w:rsidRPr="000A733C">
        <w:t>Meetings</w:t>
      </w:r>
      <w:bookmarkEnd w:id="51"/>
      <w:bookmarkEnd w:id="52"/>
    </w:p>
    <w:p w14:paraId="07DA5EC5" w14:textId="77777777" w:rsidR="007F1587" w:rsidRDefault="007F1587" w:rsidP="007742E2">
      <w:r w:rsidRPr="000A733C">
        <w:t xml:space="preserve">The NQMC meets quarterly at a minimum, usually in </w:t>
      </w:r>
      <w:r w:rsidR="00AF46A9">
        <w:t>March</w:t>
      </w:r>
      <w:r w:rsidRPr="000A733C">
        <w:t>, May, August and November</w:t>
      </w:r>
      <w:r w:rsidR="004258E0">
        <w:t>.</w:t>
      </w:r>
    </w:p>
    <w:p w14:paraId="43D1625B" w14:textId="09AC5ED5" w:rsidR="00F56E00" w:rsidRDefault="00F56E00" w:rsidP="006D2034">
      <w:pPr>
        <w:pStyle w:val="Heading3"/>
      </w:pPr>
      <w:bookmarkStart w:id="53" w:name="_Toc517944601"/>
      <w:bookmarkStart w:id="54" w:name="_Toc66438631"/>
      <w:r>
        <w:t>NQMC Secretariat</w:t>
      </w:r>
      <w:bookmarkEnd w:id="53"/>
      <w:bookmarkEnd w:id="54"/>
    </w:p>
    <w:p w14:paraId="52B70EF4" w14:textId="77777777" w:rsidR="00F56E00" w:rsidRPr="00987693" w:rsidRDefault="00F56E00" w:rsidP="00AB1C35">
      <w:pPr>
        <w:rPr>
          <w:b/>
          <w:bCs/>
          <w:i/>
        </w:rPr>
      </w:pPr>
      <w:r w:rsidRPr="00987693">
        <w:t>The NQMC is supported by a Secretariat whose role includes:</w:t>
      </w:r>
    </w:p>
    <w:p w14:paraId="53C594EF" w14:textId="77777777" w:rsidR="00F56E00" w:rsidRPr="00143CDE" w:rsidRDefault="00F56E00" w:rsidP="004712E5">
      <w:pPr>
        <w:pStyle w:val="ListBullet"/>
      </w:pPr>
      <w:r w:rsidRPr="00143CDE">
        <w:t>Prepare performance information on accreditation on behalf of the NQMC for provision to the SCoS.</w:t>
      </w:r>
    </w:p>
    <w:p w14:paraId="5DEF7D0C" w14:textId="77777777" w:rsidR="00F56E00" w:rsidRPr="00143CDE" w:rsidRDefault="00F56E00" w:rsidP="004712E5">
      <w:pPr>
        <w:pStyle w:val="ListBullet"/>
      </w:pPr>
      <w:r w:rsidRPr="00143CDE">
        <w:t>Facilitate the development/maintenance of all processes and documentation associated with accreditation.</w:t>
      </w:r>
    </w:p>
    <w:p w14:paraId="479D2899" w14:textId="44570DE3" w:rsidR="00F56E00" w:rsidRPr="00143CDE" w:rsidRDefault="003A4A91" w:rsidP="004712E5">
      <w:pPr>
        <w:pStyle w:val="ListBullet"/>
      </w:pPr>
      <w:r>
        <w:t xml:space="preserve">Working with </w:t>
      </w:r>
      <w:r w:rsidR="00F56E00" w:rsidRPr="00143CDE">
        <w:t xml:space="preserve">the BreastScreen Australia National Surveyor to </w:t>
      </w:r>
      <w:r>
        <w:t xml:space="preserve">support </w:t>
      </w:r>
      <w:r w:rsidR="00F56E00" w:rsidRPr="00143CDE">
        <w:t>the accreditation survey process.</w:t>
      </w:r>
    </w:p>
    <w:p w14:paraId="732B5D5B" w14:textId="783F3C76" w:rsidR="00F56E00" w:rsidRPr="00143CDE" w:rsidRDefault="00F56E00" w:rsidP="004712E5">
      <w:pPr>
        <w:pStyle w:val="ListBullet"/>
      </w:pPr>
      <w:r w:rsidRPr="00143CDE">
        <w:t>Coordinate feedback in accordance with the accreditation survey feedback forms (</w:t>
      </w:r>
      <w:r w:rsidR="00482AA1">
        <w:t xml:space="preserve">see </w:t>
      </w:r>
      <w:r w:rsidRPr="00143CDE">
        <w:t xml:space="preserve">Section </w:t>
      </w:r>
      <w:r w:rsidR="00482AA1">
        <w:fldChar w:fldCharType="begin"/>
      </w:r>
      <w:r w:rsidR="00482AA1">
        <w:instrText xml:space="preserve"> REF _Ref465948237 \r \h </w:instrText>
      </w:r>
      <w:r w:rsidR="00482AA1">
        <w:fldChar w:fldCharType="separate"/>
      </w:r>
      <w:r w:rsidR="00B36BEE">
        <w:t>7.4</w:t>
      </w:r>
      <w:r w:rsidR="00482AA1">
        <w:fldChar w:fldCharType="end"/>
      </w:r>
      <w:r w:rsidRPr="00143CDE">
        <w:t>) and provide de-identified information to individual survey team members and the National Surveyor to drive continuous quality improvement</w:t>
      </w:r>
      <w:r w:rsidR="00095744">
        <w:t xml:space="preserve"> of the survey process</w:t>
      </w:r>
      <w:r w:rsidRPr="00143CDE">
        <w:t>.</w:t>
      </w:r>
    </w:p>
    <w:p w14:paraId="61A95BDA" w14:textId="77777777" w:rsidR="00F56E00" w:rsidRPr="00143CDE" w:rsidRDefault="00F56E00" w:rsidP="004712E5">
      <w:pPr>
        <w:pStyle w:val="ListBullet"/>
      </w:pPr>
      <w:r w:rsidRPr="00143CDE">
        <w:t>Compile a statement of reasons for each accreditation decision made by the NQMC including relevant ﬁnding of fact, the evidence on which those ﬁndings were based (including findings against the Decision Tool) and the reasons for the decision.</w:t>
      </w:r>
    </w:p>
    <w:p w14:paraId="39359456" w14:textId="58441353" w:rsidR="00F56E00" w:rsidRPr="00143CDE" w:rsidRDefault="00F56E00" w:rsidP="004712E5">
      <w:pPr>
        <w:pStyle w:val="ListBullet"/>
      </w:pPr>
      <w:r w:rsidRPr="00143CDE">
        <w:t xml:space="preserve">Process application forms </w:t>
      </w:r>
      <w:r w:rsidR="00CC6497" w:rsidRPr="00143CDE">
        <w:t xml:space="preserve">(see </w:t>
      </w:r>
      <w:hyperlink w:anchor="_Attachment_3:_National" w:history="1">
        <w:r w:rsidR="00CC6497" w:rsidRPr="00901776">
          <w:rPr>
            <w:rStyle w:val="Hyperlink"/>
          </w:rPr>
          <w:t>Attachment 3</w:t>
        </w:r>
      </w:hyperlink>
      <w:r w:rsidR="00CC6497" w:rsidRPr="00143CDE">
        <w:t xml:space="preserve"> for the NQMC checklist) </w:t>
      </w:r>
      <w:r w:rsidRPr="00143CDE">
        <w:t xml:space="preserve">and provide written advice to the Service, SCU and state/territory Department of Health of the NQMC’s decision on accreditation, including provision of a Certiﬁcate of Accreditation to the Service and/or SCU. </w:t>
      </w:r>
    </w:p>
    <w:p w14:paraId="57886E6C" w14:textId="77777777" w:rsidR="00F56E00" w:rsidRPr="00143CDE" w:rsidRDefault="00F56E00" w:rsidP="004712E5">
      <w:pPr>
        <w:pStyle w:val="ListBullet"/>
      </w:pPr>
      <w:r w:rsidRPr="00143CDE">
        <w:t>Maintain a record of all certificates issued and the accreditation status of each Service and SCU.</w:t>
      </w:r>
    </w:p>
    <w:p w14:paraId="28011481" w14:textId="77777777" w:rsidR="00F56E00" w:rsidRPr="00143CDE" w:rsidRDefault="00F56E00" w:rsidP="004712E5">
      <w:pPr>
        <w:pStyle w:val="ListBullet"/>
      </w:pPr>
      <w:r w:rsidRPr="00143CDE">
        <w:t>Send reminders to the SCU before the expiry of the accreditation of each Service/SCU.</w:t>
      </w:r>
    </w:p>
    <w:p w14:paraId="4C7C6896" w14:textId="77777777" w:rsidR="00F56E00" w:rsidRPr="00143CDE" w:rsidRDefault="00F56E00" w:rsidP="004712E5">
      <w:pPr>
        <w:pStyle w:val="ListBullet"/>
      </w:pPr>
      <w:r w:rsidRPr="00143CDE">
        <w:t>Maintain and update the BreastScreen Australia accreditation database.</w:t>
      </w:r>
    </w:p>
    <w:p w14:paraId="5BC52685" w14:textId="77777777" w:rsidR="00F56E00" w:rsidRPr="00143CDE" w:rsidRDefault="00F56E00" w:rsidP="004712E5">
      <w:pPr>
        <w:pStyle w:val="ListBullet"/>
      </w:pPr>
      <w:r w:rsidRPr="00143CDE">
        <w:t>Undertake analysis of data within the accreditation database to assist the NQMC in identifying performance trends and strategic issues for the national program.</w:t>
      </w:r>
    </w:p>
    <w:p w14:paraId="3563A8F7" w14:textId="0EAC6C88" w:rsidR="00F56E00" w:rsidRPr="00143CDE" w:rsidRDefault="00F56E00" w:rsidP="004712E5">
      <w:pPr>
        <w:pStyle w:val="ListBullet"/>
      </w:pPr>
      <w:r w:rsidRPr="00143CDE">
        <w:t xml:space="preserve">Provide secretariat support </w:t>
      </w:r>
      <w:r w:rsidR="00262AF8">
        <w:t xml:space="preserve">for </w:t>
      </w:r>
      <w:r w:rsidR="00CC6497" w:rsidRPr="00143CDE">
        <w:t>a</w:t>
      </w:r>
      <w:r w:rsidRPr="00143CDE">
        <w:t xml:space="preserve">ppeal </w:t>
      </w:r>
      <w:r w:rsidR="00CC6497" w:rsidRPr="00143CDE">
        <w:t>c</w:t>
      </w:r>
      <w:r w:rsidRPr="00143CDE">
        <w:t>ommittee</w:t>
      </w:r>
      <w:r w:rsidR="00262AF8">
        <w:t>s</w:t>
      </w:r>
      <w:r w:rsidRPr="00143CDE">
        <w:t>.</w:t>
      </w:r>
    </w:p>
    <w:p w14:paraId="4B55CDBE" w14:textId="07CC4C3D" w:rsidR="00F56E00" w:rsidRPr="00143CDE" w:rsidRDefault="00F56E00" w:rsidP="004712E5">
      <w:pPr>
        <w:pStyle w:val="ListBullet"/>
      </w:pPr>
      <w:r w:rsidRPr="00143CDE">
        <w:t>Advise the appellant in writing of appeal outcomes.</w:t>
      </w:r>
    </w:p>
    <w:p w14:paraId="0D390D47" w14:textId="7061730F" w:rsidR="007F1587" w:rsidRPr="00235304" w:rsidRDefault="007F1587" w:rsidP="00500310">
      <w:pPr>
        <w:pStyle w:val="Heading2"/>
        <w:rPr>
          <w:u w:val="single"/>
        </w:rPr>
      </w:pPr>
      <w:bookmarkStart w:id="55" w:name="_Toc517944602"/>
      <w:bookmarkStart w:id="56" w:name="_Toc66438632"/>
      <w:r w:rsidRPr="000A733C">
        <w:lastRenderedPageBreak/>
        <w:t>THE STATE QUALITY COMMITTEE (SQC)</w:t>
      </w:r>
      <w:bookmarkEnd w:id="55"/>
      <w:bookmarkEnd w:id="56"/>
    </w:p>
    <w:p w14:paraId="60BF26F8" w14:textId="6587E95A" w:rsidR="007F1587" w:rsidRPr="000A733C" w:rsidRDefault="007402BF" w:rsidP="006D2034">
      <w:pPr>
        <w:pStyle w:val="Heading3"/>
        <w:rPr>
          <w:u w:val="single"/>
        </w:rPr>
      </w:pPr>
      <w:bookmarkStart w:id="57" w:name="_Toc517944603"/>
      <w:bookmarkStart w:id="58" w:name="_Toc66438633"/>
      <w:r>
        <w:t xml:space="preserve">SQC </w:t>
      </w:r>
      <w:r w:rsidR="007F1587" w:rsidRPr="000A733C">
        <w:t>Role</w:t>
      </w:r>
      <w:r w:rsidR="007F1587">
        <w:t xml:space="preserve"> and Responsibilities</w:t>
      </w:r>
      <w:bookmarkEnd w:id="57"/>
      <w:bookmarkEnd w:id="58"/>
    </w:p>
    <w:p w14:paraId="2046F18E" w14:textId="77777777" w:rsidR="00575F2D" w:rsidRDefault="00C42470" w:rsidP="00AB1C35">
      <w:r w:rsidRPr="00F2329C">
        <w:t xml:space="preserve">The role of the SQC is to drive quality improvement at a jurisdictional level by monitoring the performance of its BreastScreen Services, advising on best practice principles, learning from adverse incidents, systematically addressing areas of risk across the jurisdiction and recommending strategies that will achieve continuous enhancement of breast screening services provided to women within that jurisdiction. </w:t>
      </w:r>
      <w:r w:rsidR="0082152D">
        <w:t xml:space="preserve"> </w:t>
      </w:r>
    </w:p>
    <w:p w14:paraId="5CAD98EB" w14:textId="77777777" w:rsidR="007F1587" w:rsidRDefault="007F1587" w:rsidP="00AB1C35">
      <w:r w:rsidRPr="000A733C">
        <w:t>The fo</w:t>
      </w:r>
      <w:r>
        <w:t xml:space="preserve">ur key areas of governance responsibility </w:t>
      </w:r>
      <w:r w:rsidR="002E2BBA">
        <w:t xml:space="preserve">for accreditation and quality improvement </w:t>
      </w:r>
      <w:r>
        <w:t xml:space="preserve">for </w:t>
      </w:r>
      <w:r w:rsidRPr="000A733C">
        <w:t xml:space="preserve">the SQC </w:t>
      </w:r>
      <w:r w:rsidR="00143CDE">
        <w:t>detailed below.</w:t>
      </w:r>
    </w:p>
    <w:p w14:paraId="775B42D5" w14:textId="77777777" w:rsidR="007F1587" w:rsidRPr="00D30B69" w:rsidRDefault="007F1587" w:rsidP="007742E2">
      <w:pPr>
        <w:pStyle w:val="Heading4"/>
      </w:pPr>
      <w:r w:rsidRPr="00D30B69">
        <w:t>Strategic planning and State level quality improvement</w:t>
      </w:r>
    </w:p>
    <w:p w14:paraId="031FE18A" w14:textId="3EE204BD" w:rsidR="007F1587" w:rsidRDefault="00617241" w:rsidP="004712E5">
      <w:pPr>
        <w:pStyle w:val="ListBullet"/>
      </w:pPr>
      <w:r>
        <w:t xml:space="preserve">Provide leadership and advice </w:t>
      </w:r>
      <w:r w:rsidR="007275D5">
        <w:t xml:space="preserve">to the SCU and/or Service </w:t>
      </w:r>
      <w:r>
        <w:t xml:space="preserve">on </w:t>
      </w:r>
      <w:r w:rsidR="007F1587">
        <w:t xml:space="preserve">the development, </w:t>
      </w:r>
      <w:r w:rsidR="007F1587" w:rsidRPr="000A733C">
        <w:t>im</w:t>
      </w:r>
      <w:r w:rsidR="007F1587">
        <w:t xml:space="preserve">plementation and </w:t>
      </w:r>
      <w:r w:rsidR="00C42470">
        <w:t xml:space="preserve">ongoing </w:t>
      </w:r>
      <w:r w:rsidR="007F1587">
        <w:t xml:space="preserve">review </w:t>
      </w:r>
      <w:r w:rsidR="006009E4">
        <w:t xml:space="preserve">of a state </w:t>
      </w:r>
      <w:r w:rsidR="002F3EE4">
        <w:t>QI</w:t>
      </w:r>
      <w:r w:rsidR="007F1587" w:rsidRPr="000A733C">
        <w:t xml:space="preserve"> plan</w:t>
      </w:r>
      <w:r w:rsidR="00F87BBB">
        <w:t>,</w:t>
      </w:r>
      <w:r w:rsidR="006143D0">
        <w:t xml:space="preserve"> which </w:t>
      </w:r>
      <w:r w:rsidR="00F87BBB">
        <w:t xml:space="preserve">should </w:t>
      </w:r>
      <w:r w:rsidR="006143D0">
        <w:t>align with the national QI plan</w:t>
      </w:r>
      <w:r w:rsidR="007F1587">
        <w:t>.</w:t>
      </w:r>
    </w:p>
    <w:p w14:paraId="791C1DDB" w14:textId="41961411" w:rsidR="007F1587" w:rsidRDefault="004B4367" w:rsidP="004712E5">
      <w:pPr>
        <w:pStyle w:val="ListBullet"/>
      </w:pPr>
      <w:r>
        <w:t>Provide strategic leadership and advi</w:t>
      </w:r>
      <w:r w:rsidR="00632C33">
        <w:t>c</w:t>
      </w:r>
      <w:r>
        <w:t>e on best practice principles to e</w:t>
      </w:r>
      <w:r w:rsidR="007F1587">
        <w:t>nsur</w:t>
      </w:r>
      <w:r>
        <w:t>e</w:t>
      </w:r>
      <w:r w:rsidR="007F1587">
        <w:t xml:space="preserve"> </w:t>
      </w:r>
      <w:r w:rsidR="00617241">
        <w:t xml:space="preserve">sound </w:t>
      </w:r>
      <w:r w:rsidR="007F1587">
        <w:t>clinical governance is maintained across the State/Territory Services</w:t>
      </w:r>
      <w:r w:rsidR="00632C33">
        <w:t xml:space="preserve"> and the SCU</w:t>
      </w:r>
      <w:r w:rsidR="007F1587">
        <w:t>.</w:t>
      </w:r>
      <w:r w:rsidR="007F1587" w:rsidRPr="000A733C">
        <w:t xml:space="preserve"> </w:t>
      </w:r>
    </w:p>
    <w:p w14:paraId="46B259A4" w14:textId="21276327" w:rsidR="004B4367" w:rsidRPr="004B4367" w:rsidRDefault="004B4367" w:rsidP="004712E5">
      <w:pPr>
        <w:pStyle w:val="ListBullet"/>
      </w:pPr>
      <w:r w:rsidRPr="004B4367">
        <w:t>C</w:t>
      </w:r>
      <w:r w:rsidR="00FD2222">
        <w:t>onsider</w:t>
      </w:r>
      <w:r w:rsidRPr="004B4367">
        <w:t xml:space="preserve"> the impact of unmet </w:t>
      </w:r>
      <w:r w:rsidR="00734C4F">
        <w:t>Measure</w:t>
      </w:r>
      <w:r w:rsidRPr="004B4367">
        <w:t xml:space="preserve">s, </w:t>
      </w:r>
      <w:r w:rsidR="00FD2222">
        <w:t>with</w:t>
      </w:r>
      <w:r w:rsidRPr="004B4367">
        <w:t xml:space="preserve"> regard to their risk categorisation and </w:t>
      </w:r>
      <w:r w:rsidR="00B2400A">
        <w:t>the over-arching</w:t>
      </w:r>
      <w:r w:rsidRPr="004B4367">
        <w:t xml:space="preserve"> Standard, to recommend strategies which should be developed and implemented by the </w:t>
      </w:r>
      <w:r w:rsidR="000D64DD">
        <w:t>Service</w:t>
      </w:r>
      <w:r w:rsidR="00FD6A2E">
        <w:t>s</w:t>
      </w:r>
      <w:r w:rsidR="000D64DD">
        <w:t xml:space="preserve"> and/or </w:t>
      </w:r>
      <w:r w:rsidRPr="004B4367">
        <w:t>SCU to improve performance.</w:t>
      </w:r>
    </w:p>
    <w:p w14:paraId="18B1EACA" w14:textId="27956317" w:rsidR="007F1587" w:rsidRPr="000A733C" w:rsidRDefault="007F1587" w:rsidP="004712E5">
      <w:pPr>
        <w:pStyle w:val="ListBullet"/>
      </w:pPr>
      <w:r>
        <w:t>Review any system, Service or SCU performance failures and make recommendations on actions to be taken</w:t>
      </w:r>
      <w:r w:rsidRPr="00215229">
        <w:t xml:space="preserve"> to ensure continuous </w:t>
      </w:r>
      <w:r w:rsidR="00E6415D">
        <w:t>QI</w:t>
      </w:r>
      <w:r>
        <w:t xml:space="preserve"> at the Service and jurisdictional level. This will include making </w:t>
      </w:r>
      <w:r w:rsidRPr="000A733C">
        <w:t>recommend</w:t>
      </w:r>
      <w:r>
        <w:t>ations</w:t>
      </w:r>
      <w:r w:rsidRPr="000A733C">
        <w:t xml:space="preserve"> to the </w:t>
      </w:r>
      <w:r w:rsidR="002159EF">
        <w:t xml:space="preserve">SCU </w:t>
      </w:r>
      <w:r>
        <w:t xml:space="preserve">about the issues </w:t>
      </w:r>
      <w:r w:rsidRPr="000A733C">
        <w:t>that should be esc</w:t>
      </w:r>
      <w:r>
        <w:t>alated and reported to the NQMC</w:t>
      </w:r>
      <w:r w:rsidRPr="000A733C">
        <w:t xml:space="preserve"> so that national </w:t>
      </w:r>
      <w:r w:rsidR="00E6415D">
        <w:t xml:space="preserve">QI </w:t>
      </w:r>
      <w:r w:rsidRPr="000A733C">
        <w:t xml:space="preserve">strategies can be developed to </w:t>
      </w:r>
      <w:r>
        <w:t xml:space="preserve">minimise further occurrence or </w:t>
      </w:r>
      <w:r w:rsidRPr="000A733C">
        <w:t>recurrence</w:t>
      </w:r>
      <w:r>
        <w:t xml:space="preserve"> across the Program</w:t>
      </w:r>
      <w:r w:rsidRPr="000A733C">
        <w:t>.</w:t>
      </w:r>
    </w:p>
    <w:p w14:paraId="7C890CB0" w14:textId="1D069467" w:rsidR="007F1587" w:rsidRPr="000A733C" w:rsidRDefault="005732CD" w:rsidP="004712E5">
      <w:pPr>
        <w:pStyle w:val="ListBullet"/>
        <w:rPr>
          <w:bCs/>
          <w:color w:val="000000"/>
        </w:rPr>
      </w:pPr>
      <w:r>
        <w:t>As appropriate, in collaboration with the SCU l</w:t>
      </w:r>
      <w:r w:rsidR="007F1587">
        <w:t>iaise</w:t>
      </w:r>
      <w:r w:rsidR="007F1587" w:rsidRPr="000A733C">
        <w:t xml:space="preserve"> with any relevant </w:t>
      </w:r>
      <w:r w:rsidR="007F1587">
        <w:t>committee, Board or College</w:t>
      </w:r>
      <w:r w:rsidR="007F1587" w:rsidRPr="000A733C">
        <w:t xml:space="preserve"> to advise the </w:t>
      </w:r>
      <w:r>
        <w:t xml:space="preserve">Services and/or relevant clinicians and/or </w:t>
      </w:r>
      <w:r w:rsidR="007F1587" w:rsidRPr="000A733C">
        <w:t>S</w:t>
      </w:r>
      <w:r w:rsidR="00AF46A9">
        <w:t>CU</w:t>
      </w:r>
      <w:r w:rsidR="007F1587">
        <w:t xml:space="preserve"> </w:t>
      </w:r>
      <w:r w:rsidR="007F1587" w:rsidRPr="000A733C">
        <w:t>on i</w:t>
      </w:r>
      <w:r w:rsidR="007F1587">
        <w:t>ssues of a clinical nature that</w:t>
      </w:r>
      <w:r w:rsidR="007F1587" w:rsidRPr="000A733C">
        <w:t xml:space="preserve"> require the implementation of </w:t>
      </w:r>
      <w:r w:rsidR="00E6415D">
        <w:t>QI</w:t>
      </w:r>
      <w:r w:rsidR="007F1587" w:rsidRPr="000A733C">
        <w:t xml:space="preserve"> strategies.</w:t>
      </w:r>
    </w:p>
    <w:p w14:paraId="3A306196" w14:textId="77777777" w:rsidR="007F1587" w:rsidRPr="00AF23DD" w:rsidRDefault="007F1587" w:rsidP="007742E2">
      <w:pPr>
        <w:pStyle w:val="Heading4"/>
      </w:pPr>
      <w:r w:rsidRPr="000A733C">
        <w:t>Monitoring and compliance</w:t>
      </w:r>
    </w:p>
    <w:p w14:paraId="6D1C9227" w14:textId="77777777" w:rsidR="00D44AB1" w:rsidRDefault="00D44AB1" w:rsidP="004712E5">
      <w:pPr>
        <w:pStyle w:val="ListBullet"/>
      </w:pPr>
      <w:r>
        <w:t>Review</w:t>
      </w:r>
      <w:r w:rsidRPr="000A733C">
        <w:t xml:space="preserve"> jurisdict</w:t>
      </w:r>
      <w:r>
        <w:t>ional level data and identify</w:t>
      </w:r>
      <w:r w:rsidRPr="000A733C">
        <w:t xml:space="preserve"> trend</w:t>
      </w:r>
      <w:r>
        <w:t>s</w:t>
      </w:r>
      <w:r w:rsidRPr="000A733C">
        <w:t xml:space="preserve"> where quality improvement strategies may be required to improve performance against the BreastScreen Australia </w:t>
      </w:r>
      <w:r>
        <w:t>NAS</w:t>
      </w:r>
      <w:r w:rsidRPr="000A733C">
        <w:t>.</w:t>
      </w:r>
    </w:p>
    <w:p w14:paraId="7C1FDA20" w14:textId="2077F6DB" w:rsidR="007F1587" w:rsidRDefault="00681BF8" w:rsidP="004712E5">
      <w:pPr>
        <w:pStyle w:val="ListBullet"/>
      </w:pPr>
      <w:r>
        <w:t xml:space="preserve">Provide advice on </w:t>
      </w:r>
      <w:r w:rsidR="0048655E">
        <w:t xml:space="preserve">addressing </w:t>
      </w:r>
      <w:r w:rsidR="007F1587">
        <w:t>any quality issues reported by stakeholders, clients or local consumer</w:t>
      </w:r>
      <w:r w:rsidR="00D767FE">
        <w:t xml:space="preserve">s </w:t>
      </w:r>
      <w:r w:rsidR="007F1587">
        <w:t xml:space="preserve">that impact on </w:t>
      </w:r>
      <w:r w:rsidR="00D767FE">
        <w:t xml:space="preserve">performance and/or </w:t>
      </w:r>
      <w:r w:rsidR="007F1587">
        <w:t>compliance with the N</w:t>
      </w:r>
      <w:r w:rsidR="00AF46A9">
        <w:t>AS</w:t>
      </w:r>
      <w:r w:rsidR="007F1587">
        <w:t>.</w:t>
      </w:r>
    </w:p>
    <w:p w14:paraId="329FCC70" w14:textId="77777777" w:rsidR="007F1587" w:rsidRPr="005A2CF1" w:rsidRDefault="007F1587" w:rsidP="007742E2">
      <w:pPr>
        <w:pStyle w:val="Heading4"/>
      </w:pPr>
      <w:r w:rsidRPr="000A733C">
        <w:t>Reporting</w:t>
      </w:r>
    </w:p>
    <w:p w14:paraId="3772B2FD" w14:textId="57E10262" w:rsidR="009C4DF6" w:rsidRDefault="007F1587" w:rsidP="004712E5">
      <w:pPr>
        <w:pStyle w:val="ListBullet"/>
      </w:pPr>
      <w:r>
        <w:t>Provide</w:t>
      </w:r>
      <w:r w:rsidRPr="000A733C">
        <w:t xml:space="preserve"> reports to the NQMC, through the </w:t>
      </w:r>
      <w:r w:rsidR="00BA6E81">
        <w:t>SCU</w:t>
      </w:r>
      <w:r w:rsidRPr="000A733C">
        <w:t xml:space="preserve">, on key issues for the jurisdiction with </w:t>
      </w:r>
      <w:r w:rsidRPr="000A733C">
        <w:lastRenderedPageBreak/>
        <w:t xml:space="preserve">respect to </w:t>
      </w:r>
      <w:r w:rsidR="00E6415D">
        <w:t>QI</w:t>
      </w:r>
      <w:r w:rsidR="009E0779">
        <w:t xml:space="preserve"> as required</w:t>
      </w:r>
      <w:r>
        <w:t>.</w:t>
      </w:r>
    </w:p>
    <w:p w14:paraId="464966A2" w14:textId="2B112441" w:rsidR="007F1587" w:rsidRPr="000A733C" w:rsidRDefault="007F1587" w:rsidP="004712E5">
      <w:pPr>
        <w:pStyle w:val="ListBullet"/>
      </w:pPr>
      <w:r>
        <w:t>Report to the NQMC</w:t>
      </w:r>
      <w:r w:rsidR="00D932EF">
        <w:t xml:space="preserve">, through the </w:t>
      </w:r>
      <w:r w:rsidR="00750997">
        <w:t>SCU</w:t>
      </w:r>
      <w:r w:rsidR="00D932EF">
        <w:t>,</w:t>
      </w:r>
      <w:r w:rsidR="00F2329C">
        <w:t xml:space="preserve"> </w:t>
      </w:r>
      <w:r w:rsidR="00750997">
        <w:t>on</w:t>
      </w:r>
      <w:r>
        <w:t xml:space="preserve"> major system or performance failures at the Service or S</w:t>
      </w:r>
      <w:r w:rsidR="00AF46A9">
        <w:t>CU</w:t>
      </w:r>
      <w:r>
        <w:t xml:space="preserve"> level, the actions taken and </w:t>
      </w:r>
      <w:r w:rsidR="00E6415D">
        <w:t>QI</w:t>
      </w:r>
      <w:r>
        <w:t xml:space="preserve"> strategies developed and implemented</w:t>
      </w:r>
      <w:r w:rsidRPr="000A733C">
        <w:t>.</w:t>
      </w:r>
    </w:p>
    <w:p w14:paraId="71A12D02" w14:textId="77777777" w:rsidR="007F1587" w:rsidRPr="005A2CF1" w:rsidRDefault="007F1587" w:rsidP="007742E2">
      <w:pPr>
        <w:pStyle w:val="Heading4"/>
      </w:pPr>
      <w:r w:rsidRPr="000A733C">
        <w:t>Policy oversight</w:t>
      </w:r>
    </w:p>
    <w:p w14:paraId="4F489D16" w14:textId="77777777" w:rsidR="00026495" w:rsidRDefault="00026495" w:rsidP="004712E5">
      <w:pPr>
        <w:pStyle w:val="ListBullet"/>
      </w:pPr>
      <w:r>
        <w:t xml:space="preserve">Provide leadership and direction to the SCU to ensure national policies and priorities are implemented in the jurisdiction. </w:t>
      </w:r>
    </w:p>
    <w:p w14:paraId="2FBF3C78" w14:textId="77777777" w:rsidR="007F1587" w:rsidRPr="000A733C" w:rsidRDefault="007F1587" w:rsidP="004712E5">
      <w:pPr>
        <w:pStyle w:val="ListBullet"/>
      </w:pPr>
      <w:r w:rsidRPr="006C5C59">
        <w:t>Provide leadership and direction to ensure consistent implementation of jurisdictional policies and protocols across and within Services.</w:t>
      </w:r>
      <w:r w:rsidR="006C5C59">
        <w:t xml:space="preserve"> This includes m</w:t>
      </w:r>
      <w:r>
        <w:t>ak</w:t>
      </w:r>
      <w:r w:rsidR="006C5C59">
        <w:t>ing</w:t>
      </w:r>
      <w:r w:rsidRPr="000A733C">
        <w:t xml:space="preserve"> recommendation</w:t>
      </w:r>
      <w:r>
        <w:t>s regarding state policies and protocols</w:t>
      </w:r>
      <w:r w:rsidR="006C5C59">
        <w:t>,</w:t>
      </w:r>
      <w:r w:rsidRPr="000A733C">
        <w:t xml:space="preserve"> to e</w:t>
      </w:r>
      <w:r>
        <w:t>nsure consistency across the Program at</w:t>
      </w:r>
      <w:r w:rsidRPr="000A733C">
        <w:t xml:space="preserve"> a jurisdictional level.</w:t>
      </w:r>
    </w:p>
    <w:p w14:paraId="787DDB36" w14:textId="4FF990F1" w:rsidR="007F1587" w:rsidRPr="00B63009" w:rsidRDefault="007402BF" w:rsidP="006D2034">
      <w:pPr>
        <w:pStyle w:val="Heading3"/>
      </w:pPr>
      <w:bookmarkStart w:id="59" w:name="_Toc517944604"/>
      <w:bookmarkStart w:id="60" w:name="_Toc66438634"/>
      <w:r>
        <w:t>SQC</w:t>
      </w:r>
      <w:r w:rsidR="007F1587" w:rsidRPr="000A733C">
        <w:t xml:space="preserve"> Membership</w:t>
      </w:r>
      <w:bookmarkEnd w:id="59"/>
      <w:bookmarkEnd w:id="60"/>
    </w:p>
    <w:p w14:paraId="0F4F92AB" w14:textId="290F6C74" w:rsidR="007F1587" w:rsidRPr="000A733C" w:rsidRDefault="007F1587" w:rsidP="00AB1C35">
      <w:pPr>
        <w:rPr>
          <w:lang w:val="en-AU"/>
        </w:rPr>
      </w:pPr>
      <w:r>
        <w:rPr>
          <w:lang w:val="en-AU"/>
        </w:rPr>
        <w:t>Consistency is required</w:t>
      </w:r>
      <w:r w:rsidRPr="000A733C">
        <w:rPr>
          <w:lang w:val="en-AU"/>
        </w:rPr>
        <w:t xml:space="preserve"> at a national </w:t>
      </w:r>
      <w:r>
        <w:rPr>
          <w:lang w:val="en-AU"/>
        </w:rPr>
        <w:t xml:space="preserve">Program </w:t>
      </w:r>
      <w:r w:rsidRPr="000A733C">
        <w:rPr>
          <w:lang w:val="en-AU"/>
        </w:rPr>
        <w:t xml:space="preserve">level regarding the </w:t>
      </w:r>
      <w:r>
        <w:rPr>
          <w:lang w:val="en-AU"/>
        </w:rPr>
        <w:t xml:space="preserve">governance </w:t>
      </w:r>
      <w:r w:rsidRPr="000A733C">
        <w:rPr>
          <w:lang w:val="en-AU"/>
        </w:rPr>
        <w:t xml:space="preserve">role of the </w:t>
      </w:r>
      <w:r w:rsidR="00F2329C">
        <w:rPr>
          <w:lang w:val="en-AU"/>
        </w:rPr>
        <w:t>SQCs</w:t>
      </w:r>
      <w:r>
        <w:rPr>
          <w:lang w:val="en-AU"/>
        </w:rPr>
        <w:t>. H</w:t>
      </w:r>
      <w:r w:rsidRPr="000A733C">
        <w:rPr>
          <w:lang w:val="en-AU"/>
        </w:rPr>
        <w:t>ow</w:t>
      </w:r>
      <w:r>
        <w:rPr>
          <w:lang w:val="en-AU"/>
        </w:rPr>
        <w:t>ever</w:t>
      </w:r>
      <w:r w:rsidR="00051405">
        <w:rPr>
          <w:lang w:val="en-AU"/>
        </w:rPr>
        <w:t>,</w:t>
      </w:r>
      <w:r>
        <w:rPr>
          <w:lang w:val="en-AU"/>
        </w:rPr>
        <w:t xml:space="preserve"> the management of </w:t>
      </w:r>
      <w:r w:rsidR="00432DB0">
        <w:rPr>
          <w:lang w:val="en-AU"/>
        </w:rPr>
        <w:t>the committee</w:t>
      </w:r>
      <w:r w:rsidR="0082152D">
        <w:rPr>
          <w:lang w:val="en-AU"/>
        </w:rPr>
        <w:t xml:space="preserve">, including the </w:t>
      </w:r>
      <w:r w:rsidR="006359ED">
        <w:rPr>
          <w:lang w:val="en-AU"/>
        </w:rPr>
        <w:t xml:space="preserve">nomination and </w:t>
      </w:r>
      <w:r w:rsidR="0082152D">
        <w:rPr>
          <w:lang w:val="en-AU"/>
        </w:rPr>
        <w:t>appointment of the SQC Chair and members</w:t>
      </w:r>
      <w:r w:rsidR="00432DB0">
        <w:rPr>
          <w:lang w:val="en-AU"/>
        </w:rPr>
        <w:t xml:space="preserve"> </w:t>
      </w:r>
      <w:r>
        <w:rPr>
          <w:lang w:val="en-AU"/>
        </w:rPr>
        <w:t>is the responsibility of each jurisdiction.  T</w:t>
      </w:r>
      <w:r w:rsidRPr="000A733C">
        <w:rPr>
          <w:lang w:val="en-AU"/>
        </w:rPr>
        <w:t>he</w:t>
      </w:r>
      <w:r>
        <w:rPr>
          <w:lang w:val="en-AU"/>
        </w:rPr>
        <w:t>refore</w:t>
      </w:r>
      <w:r w:rsidR="00D270E3">
        <w:rPr>
          <w:lang w:val="en-AU"/>
        </w:rPr>
        <w:t>,</w:t>
      </w:r>
      <w:r w:rsidRPr="000A733C">
        <w:rPr>
          <w:lang w:val="en-AU"/>
        </w:rPr>
        <w:t xml:space="preserve"> </w:t>
      </w:r>
      <w:r>
        <w:rPr>
          <w:lang w:val="en-AU"/>
        </w:rPr>
        <w:t xml:space="preserve">the </w:t>
      </w:r>
      <w:r w:rsidR="00F2329C">
        <w:rPr>
          <w:lang w:val="en-AU"/>
        </w:rPr>
        <w:t xml:space="preserve">SQC </w:t>
      </w:r>
      <w:r w:rsidRPr="000A733C">
        <w:rPr>
          <w:lang w:val="en-AU"/>
        </w:rPr>
        <w:t xml:space="preserve">membership and meeting arrangements described below are provided as </w:t>
      </w:r>
      <w:r>
        <w:rPr>
          <w:lang w:val="en-AU"/>
        </w:rPr>
        <w:t xml:space="preserve">a guide, while providing </w:t>
      </w:r>
      <w:r w:rsidRPr="000A733C">
        <w:rPr>
          <w:lang w:val="en-AU"/>
        </w:rPr>
        <w:t xml:space="preserve">flexibility for </w:t>
      </w:r>
      <w:r>
        <w:rPr>
          <w:lang w:val="en-AU"/>
        </w:rPr>
        <w:t>states and territories to establish</w:t>
      </w:r>
      <w:r w:rsidRPr="000A733C">
        <w:rPr>
          <w:lang w:val="en-AU"/>
        </w:rPr>
        <w:t xml:space="preserve"> the co</w:t>
      </w:r>
      <w:r>
        <w:rPr>
          <w:lang w:val="en-AU"/>
        </w:rPr>
        <w:t>mmittee to meet their</w:t>
      </w:r>
      <w:r w:rsidRPr="000A733C">
        <w:rPr>
          <w:lang w:val="en-AU"/>
        </w:rPr>
        <w:t xml:space="preserve"> needs.</w:t>
      </w:r>
    </w:p>
    <w:p w14:paraId="5A3E0CE9" w14:textId="3B7C7291" w:rsidR="007F1587" w:rsidRDefault="007F1587" w:rsidP="00DD5B11">
      <w:r w:rsidRPr="000A733C">
        <w:t>While it is at the discretion of each state and</w:t>
      </w:r>
      <w:r>
        <w:t xml:space="preserve"> territory to determine the </w:t>
      </w:r>
      <w:r w:rsidR="00F2329C">
        <w:t xml:space="preserve">SQC </w:t>
      </w:r>
      <w:r>
        <w:t xml:space="preserve">membership it is recommended that it is a skills based committee. </w:t>
      </w:r>
      <w:r w:rsidR="00D767FE">
        <w:rPr>
          <w:lang w:eastAsia="en-AU"/>
        </w:rPr>
        <w:t xml:space="preserve">The SCU will appoint the members and support the operations of the SQC. </w:t>
      </w:r>
      <w:r>
        <w:t>The recommended expertise and skills for committee</w:t>
      </w:r>
      <w:r w:rsidRPr="000A733C">
        <w:t xml:space="preserve"> members </w:t>
      </w:r>
      <w:r w:rsidR="00DF2368">
        <w:t>are</w:t>
      </w:r>
      <w:r>
        <w:t xml:space="preserve"> as follows: </w:t>
      </w:r>
    </w:p>
    <w:p w14:paraId="19821B17" w14:textId="4A2C6562" w:rsidR="007F1587" w:rsidRPr="000929F7" w:rsidRDefault="007F1587" w:rsidP="004712E5">
      <w:pPr>
        <w:pStyle w:val="ListBullet"/>
      </w:pPr>
      <w:r w:rsidRPr="000929F7">
        <w:t>A person with expertise in health systems or clinical governance</w:t>
      </w:r>
      <w:r w:rsidR="00DF2368">
        <w:t>/</w:t>
      </w:r>
      <w:r w:rsidR="00E6415D">
        <w:t>QI</w:t>
      </w:r>
      <w:r>
        <w:t>.</w:t>
      </w:r>
    </w:p>
    <w:p w14:paraId="2F561008" w14:textId="77777777" w:rsidR="00DF2368" w:rsidRDefault="007F1587" w:rsidP="004712E5">
      <w:pPr>
        <w:pStyle w:val="ListBullet"/>
      </w:pPr>
      <w:r w:rsidRPr="000929F7">
        <w:t>A person</w:t>
      </w:r>
      <w:r w:rsidR="00DF2368">
        <w:t>(s)</w:t>
      </w:r>
      <w:r w:rsidRPr="000929F7">
        <w:t xml:space="preserve"> with expertise in </w:t>
      </w:r>
      <w:r w:rsidR="00DF2368">
        <w:t>the delivery of breast screening services and skills in:</w:t>
      </w:r>
    </w:p>
    <w:p w14:paraId="13B1D21C" w14:textId="77777777" w:rsidR="00DF2368" w:rsidRDefault="007F1587" w:rsidP="004712E5">
      <w:pPr>
        <w:pStyle w:val="ListBullet2"/>
      </w:pPr>
      <w:r w:rsidRPr="000929F7">
        <w:t>radiation safety</w:t>
      </w:r>
      <w:r w:rsidR="00DF2368">
        <w:t>; and/or</w:t>
      </w:r>
    </w:p>
    <w:p w14:paraId="27D62F6D" w14:textId="77777777" w:rsidR="00DF2368" w:rsidRDefault="007F1587" w:rsidP="004712E5">
      <w:pPr>
        <w:pStyle w:val="ListBullet2"/>
      </w:pPr>
      <w:r w:rsidRPr="000929F7">
        <w:t>imag</w:t>
      </w:r>
      <w:r>
        <w:t>e acquisition and quality</w:t>
      </w:r>
      <w:r w:rsidR="00DF2368">
        <w:t>; and/or</w:t>
      </w:r>
    </w:p>
    <w:p w14:paraId="5EE6255D" w14:textId="77777777" w:rsidR="00DF2368" w:rsidRDefault="007F1587" w:rsidP="004712E5">
      <w:pPr>
        <w:pStyle w:val="ListBullet2"/>
      </w:pPr>
      <w:r>
        <w:t>screen</w:t>
      </w:r>
      <w:r w:rsidRPr="000929F7">
        <w:t xml:space="preserve"> reading</w:t>
      </w:r>
      <w:r w:rsidR="00DF2368">
        <w:t>; and/or</w:t>
      </w:r>
      <w:r w:rsidRPr="000929F7">
        <w:t xml:space="preserve"> </w:t>
      </w:r>
    </w:p>
    <w:p w14:paraId="3E34468A" w14:textId="77777777" w:rsidR="007F1587" w:rsidRPr="000929F7" w:rsidRDefault="007F1587" w:rsidP="004712E5">
      <w:pPr>
        <w:pStyle w:val="ListBullet2"/>
      </w:pPr>
      <w:r w:rsidRPr="000929F7">
        <w:t>the assessment process</w:t>
      </w:r>
      <w:r>
        <w:t>.</w:t>
      </w:r>
    </w:p>
    <w:p w14:paraId="7682E93B" w14:textId="77777777" w:rsidR="007F1587" w:rsidRPr="00DD5B11" w:rsidRDefault="007F1587" w:rsidP="004712E5">
      <w:pPr>
        <w:pStyle w:val="ListBullet"/>
      </w:pPr>
      <w:r>
        <w:t xml:space="preserve">A </w:t>
      </w:r>
      <w:r w:rsidRPr="00DD5B11">
        <w:t>person with expertise in analysis</w:t>
      </w:r>
      <w:r w:rsidR="00DF2368" w:rsidRPr="00DD5B11">
        <w:t xml:space="preserve"> of BreastScreen data</w:t>
      </w:r>
      <w:r w:rsidRPr="00DD5B11">
        <w:t>.</w:t>
      </w:r>
    </w:p>
    <w:p w14:paraId="173A791E" w14:textId="77777777" w:rsidR="007F1587" w:rsidRPr="00DD5B11" w:rsidRDefault="007F1587" w:rsidP="004712E5">
      <w:pPr>
        <w:pStyle w:val="ListBullet"/>
      </w:pPr>
      <w:r w:rsidRPr="00DD5B11">
        <w:t xml:space="preserve">A consumer with </w:t>
      </w:r>
      <w:r w:rsidR="00DF2368" w:rsidRPr="00DD5B11">
        <w:t>knowledge of breast screening</w:t>
      </w:r>
      <w:r w:rsidRPr="00DD5B11">
        <w:t>.</w:t>
      </w:r>
    </w:p>
    <w:p w14:paraId="394530F7" w14:textId="77777777" w:rsidR="007F1587" w:rsidRPr="00DD5B11" w:rsidRDefault="007F1587" w:rsidP="004712E5">
      <w:pPr>
        <w:pStyle w:val="ListBullet"/>
      </w:pPr>
      <w:r w:rsidRPr="00DD5B11">
        <w:t>A clinical leader, or person with operational experience at a Screening and Assessment Service</w:t>
      </w:r>
      <w:r w:rsidR="00623738" w:rsidRPr="00DD5B11">
        <w:t xml:space="preserve"> (Service)</w:t>
      </w:r>
      <w:r w:rsidRPr="00DD5B11">
        <w:t xml:space="preserve"> level.</w:t>
      </w:r>
    </w:p>
    <w:p w14:paraId="2E744EFF" w14:textId="77777777" w:rsidR="00DF2368" w:rsidRPr="00DD5B11" w:rsidRDefault="00DF2368" w:rsidP="004712E5">
      <w:pPr>
        <w:pStyle w:val="ListBullet"/>
      </w:pPr>
      <w:r w:rsidRPr="00DD5B11">
        <w:t>A representative from the SCU.</w:t>
      </w:r>
    </w:p>
    <w:p w14:paraId="3F074941" w14:textId="77777777" w:rsidR="007F1587" w:rsidRPr="000929F7" w:rsidRDefault="00DF2368" w:rsidP="004712E5">
      <w:pPr>
        <w:pStyle w:val="ListBullet"/>
      </w:pPr>
      <w:r w:rsidRPr="00DD5B11">
        <w:t>A representative from t</w:t>
      </w:r>
      <w:r w:rsidR="007F1587" w:rsidRPr="00DD5B11">
        <w:t>he state or territory Department of Health (e.g. State Manager, Cancer Services</w:t>
      </w:r>
      <w:r w:rsidR="007F1587" w:rsidRPr="000929F7">
        <w:t>)</w:t>
      </w:r>
      <w:r w:rsidR="007F1587">
        <w:t>.</w:t>
      </w:r>
    </w:p>
    <w:p w14:paraId="72D1F463" w14:textId="65077F17" w:rsidR="007F1587" w:rsidRDefault="007402BF" w:rsidP="006D2034">
      <w:pPr>
        <w:pStyle w:val="Heading3"/>
      </w:pPr>
      <w:bookmarkStart w:id="61" w:name="_Toc517944605"/>
      <w:bookmarkStart w:id="62" w:name="_Toc66438635"/>
      <w:r>
        <w:lastRenderedPageBreak/>
        <w:t>SQC</w:t>
      </w:r>
      <w:r w:rsidR="007F1587">
        <w:t xml:space="preserve"> </w:t>
      </w:r>
      <w:r w:rsidR="007F1587" w:rsidRPr="000A733C">
        <w:t>Chair</w:t>
      </w:r>
      <w:bookmarkEnd w:id="61"/>
      <w:bookmarkEnd w:id="62"/>
    </w:p>
    <w:p w14:paraId="7B997E70" w14:textId="607239C6" w:rsidR="007F1587" w:rsidRDefault="007F1587" w:rsidP="00AB1C35">
      <w:r w:rsidRPr="00F73F5D">
        <w:t>A</w:t>
      </w:r>
      <w:r w:rsidR="00B25E89">
        <w:t xml:space="preserve"> </w:t>
      </w:r>
      <w:r w:rsidR="00141023">
        <w:t>c</w:t>
      </w:r>
      <w:r w:rsidR="00B25E89">
        <w:t xml:space="preserve">hair </w:t>
      </w:r>
      <w:r w:rsidR="00E934CC">
        <w:t xml:space="preserve">should </w:t>
      </w:r>
      <w:r w:rsidR="00B25E89">
        <w:t xml:space="preserve">be appointed by the </w:t>
      </w:r>
      <w:r w:rsidR="00D767FE">
        <w:t>SCU, and have appropriate skills and expertise to provide strategic leadership and advice in the development, implementation and monitoring of quality improvement initiatives across the jurisdiction</w:t>
      </w:r>
      <w:r w:rsidRPr="00F73F5D">
        <w:t>.</w:t>
      </w:r>
    </w:p>
    <w:p w14:paraId="0B8F352F" w14:textId="6BA388F8" w:rsidR="007F1587" w:rsidRPr="000A733C" w:rsidRDefault="007402BF" w:rsidP="006D2034">
      <w:pPr>
        <w:pStyle w:val="Heading3"/>
      </w:pPr>
      <w:bookmarkStart w:id="63" w:name="_Toc517944606"/>
      <w:bookmarkStart w:id="64" w:name="_Toc66438636"/>
      <w:r>
        <w:t xml:space="preserve">SQC </w:t>
      </w:r>
      <w:r w:rsidR="007F1587" w:rsidRPr="000A733C">
        <w:t>Membership Renewal and Participation</w:t>
      </w:r>
      <w:bookmarkEnd w:id="63"/>
      <w:bookmarkEnd w:id="64"/>
    </w:p>
    <w:p w14:paraId="0FF7F656" w14:textId="0404B9B9" w:rsidR="007F1587" w:rsidRPr="00E22367" w:rsidRDefault="00931494" w:rsidP="00AB1C35">
      <w:r>
        <w:t xml:space="preserve">SQC membership will be at the discretion of the SCU and encourage succession planning and capacity building of expertise in quality assurance and quality improvement within the Services. </w:t>
      </w:r>
    </w:p>
    <w:p w14:paraId="0D37D86B" w14:textId="7BCA7658" w:rsidR="007F1587" w:rsidRDefault="007402BF" w:rsidP="006D2034">
      <w:pPr>
        <w:pStyle w:val="Heading3"/>
      </w:pPr>
      <w:bookmarkStart w:id="65" w:name="_Toc517944607"/>
      <w:bookmarkStart w:id="66" w:name="_Toc66438637"/>
      <w:r>
        <w:t xml:space="preserve">SQC </w:t>
      </w:r>
      <w:r w:rsidR="007F1587" w:rsidRPr="000A733C">
        <w:t>Meetings</w:t>
      </w:r>
      <w:bookmarkEnd w:id="65"/>
      <w:bookmarkEnd w:id="66"/>
    </w:p>
    <w:p w14:paraId="7B52F10B" w14:textId="37875385" w:rsidR="00D84AF3" w:rsidRDefault="007F1587" w:rsidP="00AB1C35">
      <w:r w:rsidRPr="000A733C">
        <w:t xml:space="preserve">The </w:t>
      </w:r>
      <w:r w:rsidR="00F2329C">
        <w:t xml:space="preserve">SQC </w:t>
      </w:r>
      <w:r w:rsidRPr="000A733C">
        <w:t xml:space="preserve">should </w:t>
      </w:r>
      <w:r w:rsidR="005B3554">
        <w:t xml:space="preserve">ideally </w:t>
      </w:r>
      <w:r w:rsidRPr="000A733C">
        <w:t>meet</w:t>
      </w:r>
      <w:r w:rsidR="005B3554">
        <w:t xml:space="preserve"> monthly to support the monitoring of quality initiatives and incident monitoring</w:t>
      </w:r>
      <w:r w:rsidRPr="000A733C">
        <w:t>.</w:t>
      </w:r>
      <w:r>
        <w:t xml:space="preserve"> Provision should be made for ad hoc </w:t>
      </w:r>
      <w:r w:rsidR="005B3554">
        <w:t xml:space="preserve">or executive </w:t>
      </w:r>
      <w:r>
        <w:t xml:space="preserve">meetings to be arranged if there are issues </w:t>
      </w:r>
      <w:r w:rsidR="005B3554">
        <w:t>requiring urgent attention.</w:t>
      </w:r>
      <w:r>
        <w:t xml:space="preserve"> </w:t>
      </w:r>
    </w:p>
    <w:p w14:paraId="37F63A05" w14:textId="212B0FAC" w:rsidR="007F1587" w:rsidRPr="002936FA" w:rsidRDefault="007F1587" w:rsidP="00500310">
      <w:pPr>
        <w:pStyle w:val="Heading2"/>
        <w:rPr>
          <w:rFonts w:cs="Calibri"/>
        </w:rPr>
      </w:pPr>
      <w:bookmarkStart w:id="67" w:name="_Toc517944608"/>
      <w:bookmarkStart w:id="68" w:name="_Toc66438638"/>
      <w:r w:rsidRPr="000A733C">
        <w:t>THE STATE COORDINATION UNIT (SCU)</w:t>
      </w:r>
      <w:bookmarkEnd w:id="67"/>
      <w:bookmarkEnd w:id="68"/>
    </w:p>
    <w:p w14:paraId="6F09CAB5" w14:textId="0C04FD26" w:rsidR="007F1587" w:rsidRPr="000A733C" w:rsidRDefault="007402BF" w:rsidP="006D2034">
      <w:pPr>
        <w:pStyle w:val="Heading3"/>
      </w:pPr>
      <w:bookmarkStart w:id="69" w:name="_Toc517944609"/>
      <w:bookmarkStart w:id="70" w:name="_Toc66438639"/>
      <w:r>
        <w:t xml:space="preserve">SCU </w:t>
      </w:r>
      <w:r w:rsidR="007F1587" w:rsidRPr="000A733C">
        <w:t>Role</w:t>
      </w:r>
      <w:r w:rsidR="007F1587">
        <w:t xml:space="preserve"> and</w:t>
      </w:r>
      <w:r w:rsidR="007F1587" w:rsidRPr="002936FA">
        <w:t xml:space="preserve"> </w:t>
      </w:r>
      <w:r w:rsidR="007F1587" w:rsidRPr="000A733C">
        <w:t>Responsibilities</w:t>
      </w:r>
      <w:bookmarkEnd w:id="69"/>
      <w:bookmarkEnd w:id="70"/>
    </w:p>
    <w:p w14:paraId="65B269FA" w14:textId="68732055" w:rsidR="007F1587" w:rsidRDefault="007F1587" w:rsidP="00AB1C35">
      <w:r w:rsidRPr="009147ED">
        <w:t>The</w:t>
      </w:r>
      <w:r w:rsidRPr="000A733C">
        <w:t xml:space="preserve"> role of the </w:t>
      </w:r>
      <w:r w:rsidR="00EA7777">
        <w:t xml:space="preserve">SCU </w:t>
      </w:r>
      <w:r w:rsidRPr="000A733C">
        <w:t>is to provide consistent, high quality delivery</w:t>
      </w:r>
      <w:r>
        <w:t xml:space="preserve"> of the BreastScreen Australia P</w:t>
      </w:r>
      <w:r w:rsidRPr="000A733C">
        <w:t>rogram within a jurisdiction</w:t>
      </w:r>
      <w:r>
        <w:t xml:space="preserve">, in accordance with national policies, to ensure the achievement of the Program aims and objectives.  </w:t>
      </w:r>
      <w:r w:rsidR="00086E1A">
        <w:t xml:space="preserve">A key role of the SCU is </w:t>
      </w:r>
      <w:r w:rsidR="00086E1A" w:rsidRPr="000A733C">
        <w:t>to operationally support t</w:t>
      </w:r>
      <w:r w:rsidR="00086E1A">
        <w:t xml:space="preserve">he </w:t>
      </w:r>
      <w:r w:rsidR="00181341">
        <w:t xml:space="preserve">Services and committees such as </w:t>
      </w:r>
      <w:r w:rsidR="00F034FA">
        <w:t>SQC</w:t>
      </w:r>
      <w:r w:rsidR="00181341">
        <w:t xml:space="preserve">, </w:t>
      </w:r>
      <w:r w:rsidR="00B2400A">
        <w:t>consumer reference groups, clinical advisory committees</w:t>
      </w:r>
      <w:r w:rsidR="00181341">
        <w:t>, recruitment and communication committees</w:t>
      </w:r>
      <w:r w:rsidR="00B2400A">
        <w:t xml:space="preserve"> and service based quality committees</w:t>
      </w:r>
      <w:r w:rsidR="00086E1A">
        <w:t xml:space="preserve">. </w:t>
      </w:r>
    </w:p>
    <w:p w14:paraId="64B914D7" w14:textId="2C2EE736" w:rsidR="008F3926" w:rsidRDefault="007F1587" w:rsidP="00AB1C35">
      <w:r>
        <w:t xml:space="preserve">The </w:t>
      </w:r>
      <w:r w:rsidR="00EA7777">
        <w:t xml:space="preserve">SCU </w:t>
      </w:r>
      <w:r>
        <w:t xml:space="preserve">provides state level </w:t>
      </w:r>
      <w:r w:rsidR="00281D71">
        <w:t xml:space="preserve">governance and </w:t>
      </w:r>
      <w:r>
        <w:t>stewardship of the Program and undertakes a range of functions that provide the infrastructure to manage and support the Program.  This include</w:t>
      </w:r>
      <w:r w:rsidR="00B25E89">
        <w:t>s;</w:t>
      </w:r>
      <w:r>
        <w:t xml:space="preserve"> strategic state level policy and Service planning; </w:t>
      </w:r>
      <w:r w:rsidR="00B25E89">
        <w:t>m</w:t>
      </w:r>
      <w:r>
        <w:t xml:space="preserve">anagement </w:t>
      </w:r>
      <w:r w:rsidRPr="00EF2777">
        <w:t xml:space="preserve">and maintenance of the integrated </w:t>
      </w:r>
      <w:r w:rsidR="002C0F2D" w:rsidRPr="00EF2777">
        <w:t>Client Management S</w:t>
      </w:r>
      <w:r w:rsidRPr="00EF2777">
        <w:t xml:space="preserve">ystem and </w:t>
      </w:r>
      <w:r w:rsidR="00F279EF" w:rsidRPr="00EF2777">
        <w:t>Picture Archiving and Communication System (</w:t>
      </w:r>
      <w:r w:rsidRPr="00EF2777">
        <w:t>PACS</w:t>
      </w:r>
      <w:r w:rsidR="00F279EF" w:rsidRPr="00EF2777">
        <w:t>)</w:t>
      </w:r>
      <w:r w:rsidRPr="00EF2777">
        <w:t>; quality monitoring and evaluation; collation</w:t>
      </w:r>
      <w:r>
        <w:t xml:space="preserve"> and analysis of state and Service performance data; data provision and reporting; workforce planning and training; and development of communication strategies and resources.  </w:t>
      </w:r>
    </w:p>
    <w:p w14:paraId="2B616621" w14:textId="44B84A0E" w:rsidR="007F1587" w:rsidRDefault="007F1587" w:rsidP="00AB1C35">
      <w:r>
        <w:t xml:space="preserve">The four areas of governance responsibility </w:t>
      </w:r>
      <w:r w:rsidR="002E2BBA">
        <w:t xml:space="preserve">for accreditation and </w:t>
      </w:r>
      <w:r w:rsidR="00E6415D">
        <w:t>QI</w:t>
      </w:r>
      <w:r w:rsidR="002E2BBA">
        <w:t xml:space="preserve"> </w:t>
      </w:r>
      <w:r>
        <w:t>for the S</w:t>
      </w:r>
      <w:r w:rsidR="00AF46A9">
        <w:t>CU</w:t>
      </w:r>
      <w:r>
        <w:t xml:space="preserve"> are </w:t>
      </w:r>
      <w:r w:rsidR="00143CDE">
        <w:t>detailed below.</w:t>
      </w:r>
      <w:r>
        <w:t xml:space="preserve"> </w:t>
      </w:r>
    </w:p>
    <w:p w14:paraId="26AC0A44" w14:textId="6CFDE0D6" w:rsidR="007F1587" w:rsidRPr="00D30B69" w:rsidRDefault="004D36DC" w:rsidP="007742E2">
      <w:pPr>
        <w:pStyle w:val="Heading4"/>
      </w:pPr>
      <w:r>
        <w:t>Governance, s</w:t>
      </w:r>
      <w:r w:rsidR="007F1587" w:rsidRPr="00D30B69">
        <w:t>trategic planning and state level quality improvement</w:t>
      </w:r>
    </w:p>
    <w:p w14:paraId="363F566C" w14:textId="4AE278A5" w:rsidR="00557538" w:rsidRDefault="00557538" w:rsidP="004712E5">
      <w:pPr>
        <w:pStyle w:val="ListBullet"/>
      </w:pPr>
      <w:r>
        <w:t>Gov</w:t>
      </w:r>
      <w:r w:rsidR="003952B0">
        <w:t>erning and managing the BreastSc</w:t>
      </w:r>
      <w:r>
        <w:t>reen Services in accordance with relevant state an</w:t>
      </w:r>
      <w:r w:rsidR="00EF2777">
        <w:t xml:space="preserve">d national policies, standards </w:t>
      </w:r>
      <w:r>
        <w:t xml:space="preserve">and guidelines. </w:t>
      </w:r>
    </w:p>
    <w:p w14:paraId="3112A520" w14:textId="77777777" w:rsidR="007F1587" w:rsidRPr="002E5C0E" w:rsidRDefault="007F1587" w:rsidP="004712E5">
      <w:pPr>
        <w:pStyle w:val="ListBullet"/>
      </w:pPr>
      <w:r w:rsidRPr="002E5C0E">
        <w:t xml:space="preserve">Ensure expertise is present within, or available to provide advice to, the SCU on issues </w:t>
      </w:r>
      <w:r w:rsidRPr="002E5C0E">
        <w:lastRenderedPageBreak/>
        <w:t>relating to corporate and clinical governance.</w:t>
      </w:r>
    </w:p>
    <w:p w14:paraId="33558EF9" w14:textId="7D5224D4" w:rsidR="007F1587" w:rsidRPr="00FC1460" w:rsidRDefault="00E07C5B" w:rsidP="004712E5">
      <w:pPr>
        <w:pStyle w:val="ListBullet"/>
      </w:pPr>
      <w:r>
        <w:t>Where appropriate, d</w:t>
      </w:r>
      <w:r w:rsidR="007F1587" w:rsidRPr="00FC1460">
        <w:t>evelop the jurisdictional NAS Accountability Framework</w:t>
      </w:r>
      <w:r w:rsidR="00F759AF">
        <w:t xml:space="preserve"> (NAF)</w:t>
      </w:r>
      <w:r w:rsidR="007F1587" w:rsidRPr="00FC1460">
        <w:t xml:space="preserve"> in consultation with Services and other relevant stakeholders (e.g</w:t>
      </w:r>
      <w:r w:rsidR="00966BD8">
        <w:t>.</w:t>
      </w:r>
      <w:r w:rsidR="007F1587" w:rsidRPr="00FC1460">
        <w:t xml:space="preserve"> Local Health Districts).</w:t>
      </w:r>
    </w:p>
    <w:p w14:paraId="745AB1D5" w14:textId="446FDF81" w:rsidR="009E0779" w:rsidRDefault="009E0779" w:rsidP="004712E5">
      <w:pPr>
        <w:pStyle w:val="ListBullet"/>
      </w:pPr>
      <w:r>
        <w:t xml:space="preserve">Identify and address jurisdiction wide quality issues through </w:t>
      </w:r>
      <w:r w:rsidR="00C460F8">
        <w:t xml:space="preserve">ongoing performance monitoring and </w:t>
      </w:r>
      <w:r>
        <w:t>the implementation of the jurisdictional Q</w:t>
      </w:r>
      <w:r w:rsidR="00E22367">
        <w:t>I</w:t>
      </w:r>
      <w:r>
        <w:t xml:space="preserve"> Plan developed by the SQC.</w:t>
      </w:r>
    </w:p>
    <w:p w14:paraId="56652E3D" w14:textId="40812A0D" w:rsidR="007F1587" w:rsidRPr="002E5C0E" w:rsidRDefault="007F1587" w:rsidP="004712E5">
      <w:pPr>
        <w:pStyle w:val="ListBullet"/>
      </w:pPr>
      <w:r w:rsidRPr="00FC1460">
        <w:t>Collect, collate and analyse Service and jurisdictional level accreditation</w:t>
      </w:r>
      <w:r w:rsidRPr="002E5C0E">
        <w:t xml:space="preserve"> data against</w:t>
      </w:r>
      <w:r>
        <w:t xml:space="preserve"> </w:t>
      </w:r>
      <w:r w:rsidR="007457DB">
        <w:t>all</w:t>
      </w:r>
      <w:r>
        <w:t xml:space="preserve"> performance measures</w:t>
      </w:r>
      <w:r w:rsidRPr="009C4DF6">
        <w:t xml:space="preserve">, </w:t>
      </w:r>
      <w:r w:rsidRPr="002E5C0E">
        <w:t>and provide a</w:t>
      </w:r>
      <w:r>
        <w:t>n accurate and comprehensive source of P</w:t>
      </w:r>
      <w:r w:rsidRPr="002E5C0E">
        <w:t>rogram data for that jurisdiction.</w:t>
      </w:r>
    </w:p>
    <w:p w14:paraId="02ABCFBA" w14:textId="77777777" w:rsidR="007F1587" w:rsidRPr="002E5C0E" w:rsidRDefault="007F1587" w:rsidP="004712E5">
      <w:pPr>
        <w:pStyle w:val="ListBullet"/>
      </w:pPr>
      <w:r w:rsidRPr="002E5C0E">
        <w:t>Provide copies of the ju</w:t>
      </w:r>
      <w:r w:rsidR="001A07AF">
        <w:t>risdictional Q</w:t>
      </w:r>
      <w:r w:rsidR="00734C4F">
        <w:t>I</w:t>
      </w:r>
      <w:r w:rsidRPr="002E5C0E">
        <w:t xml:space="preserve"> Plan </w:t>
      </w:r>
      <w:r w:rsidR="006B7FA1">
        <w:t>(developed by the S</w:t>
      </w:r>
      <w:r w:rsidR="00966BD8">
        <w:t>QC</w:t>
      </w:r>
      <w:r w:rsidR="006B7FA1">
        <w:t xml:space="preserve">) </w:t>
      </w:r>
      <w:r w:rsidRPr="002E5C0E">
        <w:t>to:</w:t>
      </w:r>
    </w:p>
    <w:p w14:paraId="144CC5D3" w14:textId="01457331" w:rsidR="007F1587" w:rsidRDefault="007F1587" w:rsidP="004712E5">
      <w:pPr>
        <w:pStyle w:val="ListBullet2"/>
      </w:pPr>
      <w:r w:rsidRPr="00F73F5D">
        <w:t>The NQMC</w:t>
      </w:r>
      <w:r w:rsidR="00B222D7">
        <w:t xml:space="preserve">, to assist in </w:t>
      </w:r>
      <w:r w:rsidRPr="00F73F5D">
        <w:t>identify</w:t>
      </w:r>
      <w:r w:rsidR="00B222D7">
        <w:t>ing</w:t>
      </w:r>
      <w:r w:rsidRPr="00F73F5D">
        <w:t xml:space="preserve"> national performance trends and </w:t>
      </w:r>
      <w:r w:rsidR="00E6415D">
        <w:t>QI</w:t>
      </w:r>
      <w:r w:rsidRPr="00F73F5D">
        <w:rPr>
          <w:lang w:val="en-AU"/>
        </w:rPr>
        <w:t xml:space="preserve"> strategies for the Program</w:t>
      </w:r>
      <w:r w:rsidR="00F7231C">
        <w:t>.</w:t>
      </w:r>
    </w:p>
    <w:p w14:paraId="604DEC6B" w14:textId="42C1ADFB" w:rsidR="007F1587" w:rsidRDefault="007F1587" w:rsidP="004712E5">
      <w:pPr>
        <w:pStyle w:val="ListBullet2"/>
      </w:pPr>
      <w:r w:rsidRPr="00F73F5D">
        <w:t xml:space="preserve">The relevant </w:t>
      </w:r>
      <w:r w:rsidR="007F57E9">
        <w:t xml:space="preserve">Director </w:t>
      </w:r>
      <w:r w:rsidRPr="00F73F5D">
        <w:t xml:space="preserve">of cancer screening services within the </w:t>
      </w:r>
      <w:r w:rsidR="00966BD8">
        <w:t>S</w:t>
      </w:r>
      <w:r w:rsidRPr="00F73F5D">
        <w:t>tate or</w:t>
      </w:r>
      <w:r w:rsidR="00F7231C">
        <w:t xml:space="preserve"> </w:t>
      </w:r>
      <w:r w:rsidR="00966BD8">
        <w:t>T</w:t>
      </w:r>
      <w:r w:rsidR="00F7231C">
        <w:t>erritory Department of Health</w:t>
      </w:r>
      <w:r w:rsidR="00275AF7">
        <w:t>, where the SCU is separate to the Department</w:t>
      </w:r>
      <w:r w:rsidR="00D84AF3">
        <w:t>.</w:t>
      </w:r>
    </w:p>
    <w:p w14:paraId="2873C1A1" w14:textId="43CAE976" w:rsidR="007F1587" w:rsidRPr="00F73F5D" w:rsidRDefault="007F1587" w:rsidP="004712E5">
      <w:pPr>
        <w:pStyle w:val="ListBullet2"/>
      </w:pPr>
      <w:r w:rsidRPr="007F57E9">
        <w:t>The Service Director</w:t>
      </w:r>
      <w:r w:rsidRPr="00F73F5D">
        <w:t xml:space="preserve"> </w:t>
      </w:r>
      <w:r w:rsidR="009B554C">
        <w:t xml:space="preserve">and Clinical Director </w:t>
      </w:r>
      <w:r w:rsidRPr="00F73F5D">
        <w:t>of each BreastScreen Australia Service within the jurisdiction.</w:t>
      </w:r>
    </w:p>
    <w:p w14:paraId="7BD80185" w14:textId="1E049659" w:rsidR="00DF39B3" w:rsidRPr="007360ED" w:rsidRDefault="00275AF7" w:rsidP="004712E5">
      <w:pPr>
        <w:pStyle w:val="ListBullet"/>
      </w:pPr>
      <w:r>
        <w:t xml:space="preserve">Provide Annual Data Reports </w:t>
      </w:r>
      <w:r w:rsidR="007F1587" w:rsidRPr="007360ED">
        <w:t>to the SQC</w:t>
      </w:r>
      <w:r>
        <w:t xml:space="preserve"> for performance monitoring of the jurisdiction as a whole and</w:t>
      </w:r>
      <w:r w:rsidR="007F1587" w:rsidRPr="007360ED">
        <w:t xml:space="preserve"> individual Services against the accreditation Standards, to enable </w:t>
      </w:r>
      <w:r w:rsidR="00A00D06">
        <w:t xml:space="preserve">analysis, interpretation and </w:t>
      </w:r>
      <w:r w:rsidR="007F1587" w:rsidRPr="007360ED">
        <w:t>identification of performance issues and trends across the jurisdiction.</w:t>
      </w:r>
    </w:p>
    <w:p w14:paraId="28BF48D3" w14:textId="77777777" w:rsidR="007F1587" w:rsidRDefault="007F1587" w:rsidP="004712E5">
      <w:pPr>
        <w:pStyle w:val="ListBullet"/>
      </w:pPr>
      <w:r>
        <w:t>Ensure that any system or Service performance failures</w:t>
      </w:r>
      <w:r w:rsidRPr="002E5C0E">
        <w:t xml:space="preserve"> that occur w</w:t>
      </w:r>
      <w:r>
        <w:t xml:space="preserve">ithin the jurisdiction </w:t>
      </w:r>
      <w:r w:rsidRPr="002E5C0E">
        <w:t>are reported to the SQC.  The report should clearly outline any investigations and follow-up a</w:t>
      </w:r>
      <w:r>
        <w:t>ctivities undertaken by the SCU and/ or the Service</w:t>
      </w:r>
      <w:r w:rsidRPr="002E5C0E">
        <w:t xml:space="preserve"> to minimise </w:t>
      </w:r>
      <w:r>
        <w:t>further occurrence or recurrence</w:t>
      </w:r>
      <w:r w:rsidRPr="002E5C0E">
        <w:t xml:space="preserve"> in the future.  </w:t>
      </w:r>
    </w:p>
    <w:p w14:paraId="7E1F051A" w14:textId="77777777" w:rsidR="007F1587" w:rsidRDefault="007F1587" w:rsidP="004712E5">
      <w:pPr>
        <w:pStyle w:val="ListBullet"/>
      </w:pPr>
      <w:r>
        <w:t xml:space="preserve">Work in partnership with Services to ensure </w:t>
      </w:r>
      <w:r w:rsidR="002F3EE4">
        <w:t>QI</w:t>
      </w:r>
      <w:r>
        <w:t xml:space="preserve"> plans are </w:t>
      </w:r>
      <w:r w:rsidRPr="002E5C0E">
        <w:t>developed, implemented and monitored on a regular basis, to address issues req</w:t>
      </w:r>
      <w:r>
        <w:t xml:space="preserve">uiring improvement within the </w:t>
      </w:r>
      <w:r w:rsidRPr="002E5C0E">
        <w:t>S</w:t>
      </w:r>
      <w:r>
        <w:t>ervice.</w:t>
      </w:r>
    </w:p>
    <w:p w14:paraId="1BB18047" w14:textId="77777777" w:rsidR="007F1587" w:rsidRPr="00575F2D" w:rsidRDefault="007F1587" w:rsidP="007742E2">
      <w:pPr>
        <w:pStyle w:val="Heading4"/>
      </w:pPr>
      <w:r w:rsidRPr="00575F2D">
        <w:t>Service compliance and coordination</w:t>
      </w:r>
    </w:p>
    <w:p w14:paraId="0392D9BF" w14:textId="31088B7B" w:rsidR="007F1587" w:rsidRDefault="00064582" w:rsidP="004712E5">
      <w:pPr>
        <w:pStyle w:val="ListBullet"/>
      </w:pPr>
      <w:r>
        <w:t>Work with the National Surveyor to p</w:t>
      </w:r>
      <w:r w:rsidR="007F1587" w:rsidRPr="002E5C0E">
        <w:t xml:space="preserve">lan and coordinate the accreditation </w:t>
      </w:r>
      <w:r w:rsidR="003A18D9">
        <w:t xml:space="preserve">surveys </w:t>
      </w:r>
      <w:r w:rsidR="007F1587" w:rsidRPr="002E5C0E">
        <w:t>of Services within the State or Ter</w:t>
      </w:r>
      <w:r w:rsidR="007F1587">
        <w:t>ritory in the agreed timeframes.</w:t>
      </w:r>
    </w:p>
    <w:p w14:paraId="33B81F79" w14:textId="77777777" w:rsidR="007F1587" w:rsidRPr="002E5C0E" w:rsidRDefault="007F1587" w:rsidP="004712E5">
      <w:pPr>
        <w:pStyle w:val="ListBullet"/>
      </w:pPr>
      <w:r>
        <w:t xml:space="preserve">Notify the NQMC if the Service is not able to </w:t>
      </w:r>
      <w:r w:rsidRPr="002E5C0E">
        <w:t>me</w:t>
      </w:r>
      <w:r>
        <w:t>e</w:t>
      </w:r>
      <w:r w:rsidRPr="002E5C0E">
        <w:t xml:space="preserve">t </w:t>
      </w:r>
      <w:r>
        <w:t xml:space="preserve">the agreed timeframe </w:t>
      </w:r>
      <w:r w:rsidRPr="002E5C0E">
        <w:t>and/or if there are signi</w:t>
      </w:r>
      <w:r>
        <w:t>ficant quality issues with a Service</w:t>
      </w:r>
      <w:r w:rsidRPr="002E5C0E">
        <w:t>.</w:t>
      </w:r>
    </w:p>
    <w:p w14:paraId="399C2971" w14:textId="77777777" w:rsidR="007F1587" w:rsidRPr="002E5C0E" w:rsidRDefault="007F1587" w:rsidP="004712E5">
      <w:pPr>
        <w:pStyle w:val="ListBullet"/>
      </w:pPr>
      <w:r>
        <w:t>Notify the Service</w:t>
      </w:r>
      <w:r w:rsidRPr="002E5C0E">
        <w:t xml:space="preserve"> eight months prior to the end of </w:t>
      </w:r>
      <w:r>
        <w:t>the four year accreditation</w:t>
      </w:r>
      <w:r w:rsidRPr="002E5C0E">
        <w:t xml:space="preserve"> cycle that an application for accreditation is required.</w:t>
      </w:r>
    </w:p>
    <w:p w14:paraId="36EEAEA4" w14:textId="77777777" w:rsidR="007F1587" w:rsidRPr="00CF7649" w:rsidRDefault="007F1587" w:rsidP="004712E5">
      <w:pPr>
        <w:pStyle w:val="ListBullet"/>
      </w:pPr>
      <w:r>
        <w:t xml:space="preserve">Provide central coordination </w:t>
      </w:r>
      <w:r w:rsidRPr="002E5C0E">
        <w:t xml:space="preserve">for all accreditation documentation and </w:t>
      </w:r>
      <w:r w:rsidR="003A18D9">
        <w:t>surveys</w:t>
      </w:r>
      <w:r w:rsidRPr="002E5C0E">
        <w:t xml:space="preserve">.  </w:t>
      </w:r>
    </w:p>
    <w:p w14:paraId="7DAE9434" w14:textId="5F7CEB21" w:rsidR="007F1587" w:rsidRPr="002E5C0E" w:rsidRDefault="007F1587" w:rsidP="004712E5">
      <w:pPr>
        <w:pStyle w:val="ListBullet"/>
      </w:pPr>
      <w:r>
        <w:t xml:space="preserve">Provide central coordination for liaison and communication </w:t>
      </w:r>
      <w:r w:rsidRPr="007F57E9">
        <w:t xml:space="preserve">from the Service </w:t>
      </w:r>
      <w:r w:rsidRPr="007F57E9">
        <w:lastRenderedPageBreak/>
        <w:t>Director</w:t>
      </w:r>
      <w:r w:rsidR="009B554C">
        <w:t xml:space="preserve">/Clinical Director </w:t>
      </w:r>
      <w:r w:rsidRPr="007F57E9">
        <w:t>to</w:t>
      </w:r>
      <w:r>
        <w:t xml:space="preserve"> </w:t>
      </w:r>
      <w:r w:rsidRPr="002E5C0E">
        <w:t>the NQMC.  The NQMC will liaise directly with the SCU, which wil</w:t>
      </w:r>
      <w:r>
        <w:t>l promptly provide information to the Service</w:t>
      </w:r>
      <w:r w:rsidRPr="002E5C0E">
        <w:t>.</w:t>
      </w:r>
    </w:p>
    <w:p w14:paraId="0497E329" w14:textId="3528AB79" w:rsidR="007F1587" w:rsidRPr="00064582" w:rsidRDefault="00064582" w:rsidP="004712E5">
      <w:pPr>
        <w:pStyle w:val="ListBullet"/>
      </w:pPr>
      <w:r w:rsidRPr="00064582">
        <w:t>Work with the NQMC Secretariat to</w:t>
      </w:r>
      <w:r w:rsidRPr="002E5C0E">
        <w:t xml:space="preserve"> </w:t>
      </w:r>
      <w:r>
        <w:t>e</w:t>
      </w:r>
      <w:r w:rsidRPr="002E5C0E">
        <w:t xml:space="preserve">nsure all accreditation documentation is submitted </w:t>
      </w:r>
      <w:r w:rsidR="00513795">
        <w:t xml:space="preserve">to align with the NQMC quarterly meeting schedule </w:t>
      </w:r>
      <w:r>
        <w:t xml:space="preserve">and that it is </w:t>
      </w:r>
      <w:r w:rsidRPr="002E5C0E">
        <w:t>comprehensive, complete</w:t>
      </w:r>
      <w:r w:rsidR="00A80CC5">
        <w:t>,</w:t>
      </w:r>
      <w:r w:rsidR="00EF2777">
        <w:t xml:space="preserve"> </w:t>
      </w:r>
      <w:r w:rsidRPr="002E5C0E">
        <w:t xml:space="preserve">timely and includes a copy of the </w:t>
      </w:r>
      <w:r w:rsidR="00D07858">
        <w:t xml:space="preserve"> </w:t>
      </w:r>
      <w:r w:rsidR="00313E5C">
        <w:t xml:space="preserve"> where relevant</w:t>
      </w:r>
      <w:r w:rsidRPr="00FC1460">
        <w:t>.</w:t>
      </w:r>
      <w:r>
        <w:t xml:space="preserve"> </w:t>
      </w:r>
    </w:p>
    <w:p w14:paraId="51F24B66" w14:textId="77777777" w:rsidR="007F1587" w:rsidRPr="002E5C0E" w:rsidRDefault="007F1587" w:rsidP="004712E5">
      <w:pPr>
        <w:pStyle w:val="ListBullet"/>
      </w:pPr>
      <w:r w:rsidRPr="00064582">
        <w:t>Monitor and analyse Service level accreditation data, and provide feedback to Services to address areas requiring improvement against accreditation standards</w:t>
      </w:r>
      <w:r>
        <w:t xml:space="preserve"> and </w:t>
      </w:r>
      <w:r w:rsidR="00AB36FF">
        <w:t>measure</w:t>
      </w:r>
      <w:r w:rsidRPr="002E5C0E">
        <w:t>s.</w:t>
      </w:r>
      <w:r>
        <w:t xml:space="preserve"> Present this information to the SQC meetings.</w:t>
      </w:r>
    </w:p>
    <w:p w14:paraId="57436809" w14:textId="77777777" w:rsidR="007F1587" w:rsidRPr="002E5C0E" w:rsidRDefault="007F1587" w:rsidP="004712E5">
      <w:pPr>
        <w:pStyle w:val="ListBullet"/>
      </w:pPr>
      <w:r>
        <w:rPr>
          <w:bCs/>
          <w:color w:val="000000"/>
        </w:rPr>
        <w:t>Monitor the completion of Service</w:t>
      </w:r>
      <w:r w:rsidRPr="002E5C0E">
        <w:rPr>
          <w:bCs/>
          <w:color w:val="000000"/>
        </w:rPr>
        <w:t xml:space="preserve"> self</w:t>
      </w:r>
      <w:r w:rsidRPr="002E5C0E">
        <w:rPr>
          <w:bCs/>
          <w:color w:val="000000"/>
        </w:rPr>
        <w:noBreakHyphen/>
        <w:t xml:space="preserve">assessment reports and </w:t>
      </w:r>
      <w:r w:rsidR="002F3EE4">
        <w:rPr>
          <w:bCs/>
          <w:color w:val="000000"/>
        </w:rPr>
        <w:t>QI</w:t>
      </w:r>
      <w:r w:rsidRPr="002E5C0E">
        <w:rPr>
          <w:bCs/>
          <w:color w:val="000000"/>
        </w:rPr>
        <w:t xml:space="preserve"> plans</w:t>
      </w:r>
      <w:r w:rsidRPr="002E5C0E">
        <w:t xml:space="preserve"> to ensure jurisdictional level policies and quality improvement strategies are being i</w:t>
      </w:r>
      <w:r>
        <w:t>mplemented consistently at a Service</w:t>
      </w:r>
      <w:r w:rsidRPr="002E5C0E">
        <w:t xml:space="preserve"> level.</w:t>
      </w:r>
    </w:p>
    <w:p w14:paraId="2929BDB4" w14:textId="03FFCEE6" w:rsidR="007F1587" w:rsidRDefault="007F1587" w:rsidP="004712E5">
      <w:pPr>
        <w:pStyle w:val="ListBullet"/>
      </w:pPr>
      <w:r w:rsidRPr="002E5C0E">
        <w:t xml:space="preserve">Undertake internal </w:t>
      </w:r>
      <w:r w:rsidR="000B1764">
        <w:t>surveys</w:t>
      </w:r>
      <w:r w:rsidRPr="002E5C0E">
        <w:t xml:space="preserve"> of</w:t>
      </w:r>
      <w:r>
        <w:t xml:space="preserve"> Services</w:t>
      </w:r>
      <w:r w:rsidRPr="002E5C0E">
        <w:t xml:space="preserve"> where falling performance or areas of concern have been i</w:t>
      </w:r>
      <w:r>
        <w:t>dentified, and work with the Service</w:t>
      </w:r>
      <w:r w:rsidRPr="002E5C0E">
        <w:t xml:space="preserve"> to implement quality improvement strategies to address the areas of concern.</w:t>
      </w:r>
      <w:r w:rsidR="00EF2777">
        <w:t xml:space="preserve"> </w:t>
      </w:r>
      <w:r w:rsidRPr="002E5C0E">
        <w:t>Ensure compliance with a</w:t>
      </w:r>
      <w:r>
        <w:t xml:space="preserve">ll relevant national standards </w:t>
      </w:r>
      <w:r w:rsidR="00CB5E1C">
        <w:t xml:space="preserve">as required, </w:t>
      </w:r>
      <w:r>
        <w:t xml:space="preserve">including; </w:t>
      </w:r>
      <w:r w:rsidRPr="002E5C0E">
        <w:t>BreastScreen Australia standards</w:t>
      </w:r>
      <w:r>
        <w:t>; t</w:t>
      </w:r>
      <w:r w:rsidRPr="002E5C0E">
        <w:t>he Australia Commission on Saf</w:t>
      </w:r>
      <w:r>
        <w:t>ety and Quality in Health Care,</w:t>
      </w:r>
      <w:r w:rsidRPr="002E5C0E">
        <w:t xml:space="preserve"> National Safe</w:t>
      </w:r>
      <w:r>
        <w:t>ty and Quality Standards;</w:t>
      </w:r>
      <w:r w:rsidRPr="002E5C0E">
        <w:t xml:space="preserve"> and </w:t>
      </w:r>
      <w:r w:rsidR="00966BD8">
        <w:t>S</w:t>
      </w:r>
      <w:r w:rsidRPr="002E5C0E">
        <w:t>tate/</w:t>
      </w:r>
      <w:r w:rsidR="00966BD8">
        <w:t>T</w:t>
      </w:r>
      <w:r w:rsidRPr="002E5C0E">
        <w:t xml:space="preserve">erritory </w:t>
      </w:r>
      <w:r w:rsidR="00313E5C">
        <w:t xml:space="preserve">policy and </w:t>
      </w:r>
      <w:r w:rsidRPr="002E5C0E">
        <w:t>legislative requirements.</w:t>
      </w:r>
    </w:p>
    <w:p w14:paraId="020EF015" w14:textId="77777777" w:rsidR="006019D0" w:rsidRPr="001F4CDD" w:rsidRDefault="006019D0" w:rsidP="007742E2">
      <w:pPr>
        <w:pStyle w:val="Heading4"/>
      </w:pPr>
      <w:r w:rsidRPr="001F4CDD">
        <w:t>State Coordination Unit compliance</w:t>
      </w:r>
    </w:p>
    <w:p w14:paraId="121D080F" w14:textId="5BDEB76D" w:rsidR="007F1587" w:rsidRPr="00FC1460" w:rsidRDefault="007F1587" w:rsidP="004712E5">
      <w:pPr>
        <w:pStyle w:val="ListBullet"/>
      </w:pPr>
      <w:r>
        <w:t xml:space="preserve">Provide high quality </w:t>
      </w:r>
      <w:r w:rsidR="008B3BB0">
        <w:t>s</w:t>
      </w:r>
      <w:r>
        <w:t>ervices in</w:t>
      </w:r>
      <w:r w:rsidRPr="000B07DA">
        <w:t xml:space="preserve"> the jurisdiction by ensuring compliance of the SCU against relevant BreastScreen Australia </w:t>
      </w:r>
      <w:r w:rsidR="00313E5C">
        <w:t>policies, NAS,</w:t>
      </w:r>
      <w:r w:rsidRPr="00FC1460">
        <w:t xml:space="preserve"> as outlined in the </w:t>
      </w:r>
      <w:r w:rsidRPr="00D30B69">
        <w:t>NA</w:t>
      </w:r>
      <w:r w:rsidR="00F759AF" w:rsidRPr="00D30B69">
        <w:t>F</w:t>
      </w:r>
      <w:r w:rsidR="00313E5C">
        <w:t>, where relevant</w:t>
      </w:r>
      <w:r w:rsidRPr="00FC1460">
        <w:t>.</w:t>
      </w:r>
    </w:p>
    <w:p w14:paraId="48A4EE9B" w14:textId="412080E6" w:rsidR="007F1587" w:rsidRPr="00D30B69" w:rsidRDefault="007F1587" w:rsidP="004712E5">
      <w:pPr>
        <w:pStyle w:val="ListBullet"/>
      </w:pPr>
      <w:r>
        <w:t>Maintain</w:t>
      </w:r>
      <w:r w:rsidRPr="000B07DA">
        <w:t xml:space="preserve"> a</w:t>
      </w:r>
      <w:r>
        <w:t xml:space="preserve"> state level integrated PACS </w:t>
      </w:r>
      <w:r w:rsidR="00192BF5">
        <w:t xml:space="preserve">and client </w:t>
      </w:r>
      <w:r w:rsidR="005B464C">
        <w:t xml:space="preserve">management </w:t>
      </w:r>
      <w:r w:rsidR="00192BF5">
        <w:t xml:space="preserve">system </w:t>
      </w:r>
      <w:r w:rsidR="005B464C">
        <w:t>(</w:t>
      </w:r>
      <w:r>
        <w:t>where possible</w:t>
      </w:r>
      <w:r w:rsidR="005B464C">
        <w:t>)</w:t>
      </w:r>
      <w:r w:rsidR="00192BF5">
        <w:t>,</w:t>
      </w:r>
      <w:r>
        <w:t xml:space="preserve"> of the screening </w:t>
      </w:r>
      <w:r w:rsidR="005B464C">
        <w:t xml:space="preserve">and assessment </w:t>
      </w:r>
      <w:r>
        <w:t>of all women.</w:t>
      </w:r>
    </w:p>
    <w:p w14:paraId="7A6296BB" w14:textId="77777777" w:rsidR="0013360B" w:rsidRPr="00D30B69" w:rsidRDefault="007F1587" w:rsidP="004712E5">
      <w:pPr>
        <w:pStyle w:val="ListBullet"/>
      </w:pPr>
      <w:r>
        <w:t xml:space="preserve">Develop and maintain </w:t>
      </w:r>
      <w:r w:rsidRPr="000B07DA">
        <w:t xml:space="preserve">data </w:t>
      </w:r>
      <w:r w:rsidR="00553ABD">
        <w:t xml:space="preserve">governance and </w:t>
      </w:r>
      <w:r w:rsidRPr="000B07DA">
        <w:t>management processes</w:t>
      </w:r>
      <w:r>
        <w:t xml:space="preserve"> that are quality assured for data </w:t>
      </w:r>
      <w:r w:rsidR="00553ABD">
        <w:t xml:space="preserve">security, </w:t>
      </w:r>
      <w:r>
        <w:t xml:space="preserve">accuracy, </w:t>
      </w:r>
      <w:r w:rsidR="00553ABD">
        <w:t xml:space="preserve">integrity and organisation, </w:t>
      </w:r>
      <w:r>
        <w:t>including</w:t>
      </w:r>
      <w:r w:rsidR="0013360B">
        <w:t>:</w:t>
      </w:r>
    </w:p>
    <w:p w14:paraId="333D8FC0" w14:textId="77777777" w:rsidR="0013360B" w:rsidRPr="0013360B" w:rsidRDefault="007F1587" w:rsidP="004712E5">
      <w:pPr>
        <w:pStyle w:val="ListBullet2"/>
      </w:pPr>
      <w:r w:rsidRPr="00D30B69">
        <w:t xml:space="preserve">system based validation processes; </w:t>
      </w:r>
    </w:p>
    <w:p w14:paraId="5BC0907D" w14:textId="237C142D" w:rsidR="0013360B" w:rsidRPr="0013360B" w:rsidRDefault="007F1587" w:rsidP="004712E5">
      <w:pPr>
        <w:pStyle w:val="ListBullet2"/>
      </w:pPr>
      <w:r w:rsidRPr="00D30B69">
        <w:t>ensur</w:t>
      </w:r>
      <w:r w:rsidR="0013360B" w:rsidRPr="00D30B69">
        <w:t>ing</w:t>
      </w:r>
      <w:r w:rsidRPr="00D30B69">
        <w:t xml:space="preserve"> the information systems </w:t>
      </w:r>
      <w:r w:rsidR="00937C90">
        <w:t xml:space="preserve">are </w:t>
      </w:r>
      <w:r w:rsidRPr="00D30B69">
        <w:t>audit</w:t>
      </w:r>
      <w:r w:rsidR="00937C90">
        <w:t>ed</w:t>
      </w:r>
      <w:r w:rsidRPr="00D30B69">
        <w:t xml:space="preserve"> and regularly generate reports; </w:t>
      </w:r>
    </w:p>
    <w:p w14:paraId="05740027" w14:textId="77777777" w:rsidR="007F1587" w:rsidRPr="00D70797" w:rsidRDefault="007F1587" w:rsidP="004712E5">
      <w:pPr>
        <w:pStyle w:val="ListBullet2"/>
      </w:pPr>
      <w:r w:rsidRPr="00D30B69">
        <w:t>develop</w:t>
      </w:r>
      <w:r w:rsidR="0013360B" w:rsidRPr="00D30B69">
        <w:t>ing</w:t>
      </w:r>
      <w:r w:rsidRPr="00D30B69">
        <w:t xml:space="preserve"> and implement</w:t>
      </w:r>
      <w:r w:rsidR="0013360B" w:rsidRPr="00D30B69">
        <w:t>ing</w:t>
      </w:r>
      <w:r w:rsidRPr="00D30B69">
        <w:t xml:space="preserve"> data quality assurance processes to ensure </w:t>
      </w:r>
      <w:r w:rsidR="0013360B" w:rsidRPr="00D30B69">
        <w:t xml:space="preserve">the integrity, </w:t>
      </w:r>
      <w:r w:rsidRPr="00D30B69">
        <w:t xml:space="preserve">quality and accuracy </w:t>
      </w:r>
      <w:r w:rsidR="0013360B" w:rsidRPr="00D30B69">
        <w:t xml:space="preserve">of data </w:t>
      </w:r>
      <w:r w:rsidRPr="00D30B69">
        <w:t>across all Services within the jurisdiction, using data definitions in accordance with the BreastScreen Australia Data Dictionary.</w:t>
      </w:r>
    </w:p>
    <w:p w14:paraId="4E368B7E" w14:textId="77777777" w:rsidR="007F1587" w:rsidRPr="00D30B69" w:rsidRDefault="007F1587" w:rsidP="004712E5">
      <w:pPr>
        <w:pStyle w:val="ListBullet"/>
      </w:pPr>
      <w:r>
        <w:t>D</w:t>
      </w:r>
      <w:r w:rsidRPr="00D70797">
        <w:t>evelop and maintain a</w:t>
      </w:r>
      <w:r>
        <w:t xml:space="preserve"> </w:t>
      </w:r>
      <w:r w:rsidRPr="00D70797">
        <w:t xml:space="preserve">risk management </w:t>
      </w:r>
      <w:r>
        <w:t xml:space="preserve">and data security </w:t>
      </w:r>
      <w:r w:rsidRPr="00D70797">
        <w:t>plan</w:t>
      </w:r>
      <w:r>
        <w:t>.</w:t>
      </w:r>
    </w:p>
    <w:p w14:paraId="104F2EA6" w14:textId="77777777" w:rsidR="007F1587" w:rsidRPr="00CA589A" w:rsidRDefault="007F1587" w:rsidP="007742E2">
      <w:pPr>
        <w:pStyle w:val="Heading4"/>
      </w:pPr>
      <w:r w:rsidRPr="00CA589A">
        <w:t>Reporting</w:t>
      </w:r>
    </w:p>
    <w:p w14:paraId="48BD3D6B" w14:textId="747C1ADD" w:rsidR="00FD00C9" w:rsidRDefault="00FD00C9" w:rsidP="004712E5">
      <w:pPr>
        <w:pStyle w:val="ListBullet"/>
      </w:pPr>
      <w:r>
        <w:t xml:space="preserve">Report to the NQMC, a summary of any major system, Service or SCU performance </w:t>
      </w:r>
      <w:r w:rsidR="004D36DC" w:rsidRPr="00927C86">
        <w:t>issues</w:t>
      </w:r>
      <w:r>
        <w:t xml:space="preserve"> and the actions taken, so that national quality improvement strategies can be developed to minimi</w:t>
      </w:r>
      <w:r w:rsidR="00267F6A">
        <w:t>s</w:t>
      </w:r>
      <w:r>
        <w:t xml:space="preserve">e </w:t>
      </w:r>
      <w:r w:rsidR="00DF7073">
        <w:t>occurrence</w:t>
      </w:r>
      <w:r>
        <w:t xml:space="preserve"> or recurrence of any such </w:t>
      </w:r>
      <w:r w:rsidR="004D36DC">
        <w:t xml:space="preserve">issues </w:t>
      </w:r>
      <w:r>
        <w:t>across Australia.</w:t>
      </w:r>
    </w:p>
    <w:p w14:paraId="1EEA04AB" w14:textId="77777777" w:rsidR="007F1587" w:rsidRPr="000B07DA" w:rsidRDefault="007F1587" w:rsidP="004712E5">
      <w:pPr>
        <w:pStyle w:val="ListBullet"/>
      </w:pPr>
      <w:r w:rsidRPr="000B07DA">
        <w:lastRenderedPageBreak/>
        <w:t xml:space="preserve">Provide data to the </w:t>
      </w:r>
      <w:r>
        <w:t>NQMC for purposes of national quality improvement</w:t>
      </w:r>
      <w:r w:rsidRPr="000B07DA">
        <w:t>.</w:t>
      </w:r>
    </w:p>
    <w:p w14:paraId="12C1E2F3" w14:textId="77777777" w:rsidR="007F1587" w:rsidRPr="001F4CDD" w:rsidRDefault="007F1587" w:rsidP="004712E5">
      <w:pPr>
        <w:pStyle w:val="ListBullet"/>
      </w:pPr>
      <w:r w:rsidRPr="000B07DA">
        <w:t>Report relevant data to the Australian Institute of Health and Welfare.</w:t>
      </w:r>
    </w:p>
    <w:p w14:paraId="332C3B0D" w14:textId="77777777" w:rsidR="007F1587" w:rsidRDefault="007F1587" w:rsidP="004712E5">
      <w:pPr>
        <w:pStyle w:val="ListBullet"/>
      </w:pPr>
      <w:r w:rsidRPr="000B07DA">
        <w:t xml:space="preserve">Provide reports to the Board and/or </w:t>
      </w:r>
      <w:r w:rsidR="00734C4F">
        <w:t>S</w:t>
      </w:r>
      <w:r w:rsidRPr="000B07DA">
        <w:t>tate/</w:t>
      </w:r>
      <w:r w:rsidR="00734C4F">
        <w:t>T</w:t>
      </w:r>
      <w:r w:rsidRPr="000B07DA">
        <w:t>erritory Department of Health as appropriate and required.</w:t>
      </w:r>
    </w:p>
    <w:p w14:paraId="42E23318" w14:textId="77777777" w:rsidR="00DF39B3" w:rsidRDefault="007F1587" w:rsidP="004712E5">
      <w:pPr>
        <w:pStyle w:val="ListBullet"/>
      </w:pPr>
      <w:r>
        <w:t>Provide reports to external national or state agencies as required.</w:t>
      </w:r>
    </w:p>
    <w:p w14:paraId="72C9E34A" w14:textId="77777777" w:rsidR="007F1587" w:rsidRPr="00FC3DC7" w:rsidRDefault="007F1587" w:rsidP="007742E2">
      <w:pPr>
        <w:pStyle w:val="Heading4"/>
      </w:pPr>
      <w:r w:rsidRPr="00FC3DC7">
        <w:t>Policy</w:t>
      </w:r>
    </w:p>
    <w:p w14:paraId="46217E80" w14:textId="77777777" w:rsidR="007F1587" w:rsidRPr="000B07DA" w:rsidRDefault="007F1587" w:rsidP="004712E5">
      <w:pPr>
        <w:pStyle w:val="ListBullet"/>
      </w:pPr>
      <w:r>
        <w:t xml:space="preserve">Develop </w:t>
      </w:r>
      <w:r w:rsidR="0030735F">
        <w:t xml:space="preserve">and monitor </w:t>
      </w:r>
      <w:r>
        <w:t>state level</w:t>
      </w:r>
      <w:r w:rsidRPr="000B07DA">
        <w:t xml:space="preserve"> policies </w:t>
      </w:r>
      <w:r>
        <w:t>and protocols for implementation by the Services</w:t>
      </w:r>
      <w:r w:rsidR="00513795">
        <w:t>/SCU</w:t>
      </w:r>
      <w:r w:rsidRPr="000B07DA">
        <w:t xml:space="preserve"> having regard to</w:t>
      </w:r>
      <w:r>
        <w:t>; best practice principles; relevant national clinical guidelines;</w:t>
      </w:r>
      <w:r w:rsidRPr="000B07DA">
        <w:t xml:space="preserve"> existing legislation</w:t>
      </w:r>
      <w:r>
        <w:t>;</w:t>
      </w:r>
      <w:r w:rsidRPr="000B07DA">
        <w:t xml:space="preserve"> and national policy and priorities, to ensure consistency in service delivery across the jurisdiction.</w:t>
      </w:r>
    </w:p>
    <w:p w14:paraId="0DFECEA4" w14:textId="77777777" w:rsidR="007F1587" w:rsidRPr="000B07DA" w:rsidRDefault="00CA6B7D" w:rsidP="004712E5">
      <w:pPr>
        <w:pStyle w:val="ListBullet"/>
      </w:pPr>
      <w:r>
        <w:t>Develop p</w:t>
      </w:r>
      <w:r w:rsidR="007F1587">
        <w:t>olicies and protocols in consultation with the Services</w:t>
      </w:r>
      <w:r w:rsidR="007F1587" w:rsidRPr="000B07DA">
        <w:t xml:space="preserve"> and other relevant stakehold</w:t>
      </w:r>
      <w:r w:rsidR="007F1587">
        <w:t>ers, such as clinical professional organisations and consumers</w:t>
      </w:r>
      <w:r w:rsidR="007F1587" w:rsidRPr="000B07DA">
        <w:t>.</w:t>
      </w:r>
    </w:p>
    <w:p w14:paraId="034A30C4" w14:textId="77777777" w:rsidR="007F1587" w:rsidRDefault="00CA6B7D" w:rsidP="004712E5">
      <w:pPr>
        <w:pStyle w:val="ListBullet"/>
      </w:pPr>
      <w:r>
        <w:t>Ensure that p</w:t>
      </w:r>
      <w:r w:rsidR="007F1587">
        <w:t>olicies</w:t>
      </w:r>
      <w:r w:rsidR="007F1587" w:rsidRPr="000B07DA">
        <w:t xml:space="preserve"> </w:t>
      </w:r>
      <w:r w:rsidR="007F1587">
        <w:t>and protocols are</w:t>
      </w:r>
      <w:r w:rsidR="007F1587" w:rsidRPr="000B07DA">
        <w:t xml:space="preserve"> informed by an analy</w:t>
      </w:r>
      <w:r w:rsidR="007F1587">
        <w:t xml:space="preserve">sis of state </w:t>
      </w:r>
      <w:r w:rsidR="00513795">
        <w:t xml:space="preserve">and national </w:t>
      </w:r>
      <w:r w:rsidR="007F1587">
        <w:t>level performance</w:t>
      </w:r>
      <w:r w:rsidR="007F1587" w:rsidRPr="000B07DA">
        <w:t xml:space="preserve"> data to </w:t>
      </w:r>
      <w:r w:rsidR="007F1587">
        <w:t>ensure quality and consistency for women screened in that jurisdiction</w:t>
      </w:r>
      <w:r w:rsidR="007F1587" w:rsidRPr="000B07DA">
        <w:t>.</w:t>
      </w:r>
      <w:r w:rsidR="007F1587" w:rsidRPr="005E36FC">
        <w:t xml:space="preserve"> </w:t>
      </w:r>
    </w:p>
    <w:p w14:paraId="503D71BF" w14:textId="77777777" w:rsidR="007F1587" w:rsidRPr="000B07DA" w:rsidRDefault="007F1587" w:rsidP="004712E5">
      <w:pPr>
        <w:pStyle w:val="ListBullet"/>
      </w:pPr>
      <w:r>
        <w:t>I</w:t>
      </w:r>
      <w:r w:rsidRPr="000B07DA">
        <w:t>dentify service delivery</w:t>
      </w:r>
      <w:r>
        <w:t xml:space="preserve"> and capacity issues that could </w:t>
      </w:r>
      <w:r w:rsidRPr="000B07DA">
        <w:t xml:space="preserve">be addressed through the development </w:t>
      </w:r>
      <w:r>
        <w:t>and implementation of state level</w:t>
      </w:r>
      <w:r w:rsidRPr="000B07DA">
        <w:t xml:space="preserve"> policies</w:t>
      </w:r>
      <w:r>
        <w:t>.</w:t>
      </w:r>
    </w:p>
    <w:p w14:paraId="60417C1C" w14:textId="77777777" w:rsidR="007F1587" w:rsidRDefault="007F1587" w:rsidP="004712E5">
      <w:pPr>
        <w:pStyle w:val="ListBullet"/>
      </w:pPr>
      <w:r w:rsidRPr="000B07DA">
        <w:t>Contribute to th</w:t>
      </w:r>
      <w:r>
        <w:t>e development of national policies</w:t>
      </w:r>
      <w:r w:rsidRPr="000B07DA">
        <w:t xml:space="preserve"> as required.</w:t>
      </w:r>
    </w:p>
    <w:p w14:paraId="6CF66378" w14:textId="278D2142" w:rsidR="007F1587" w:rsidRPr="00FC1460" w:rsidRDefault="008B2FEC" w:rsidP="00500310">
      <w:pPr>
        <w:pStyle w:val="Heading2"/>
      </w:pPr>
      <w:bookmarkStart w:id="71" w:name="_Toc517944610"/>
      <w:bookmarkStart w:id="72" w:name="_Toc66438640"/>
      <w:r w:rsidRPr="00FC1460">
        <w:t>BREASTSCREEN AUSTRALIA SERVICES</w:t>
      </w:r>
      <w:bookmarkEnd w:id="71"/>
      <w:bookmarkEnd w:id="72"/>
    </w:p>
    <w:p w14:paraId="5CC6D57C" w14:textId="5A0DD754" w:rsidR="007F1587" w:rsidRDefault="007F1587" w:rsidP="006D2034">
      <w:pPr>
        <w:pStyle w:val="Heading3"/>
      </w:pPr>
      <w:bookmarkStart w:id="73" w:name="_Toc517944611"/>
      <w:bookmarkStart w:id="74" w:name="_Toc66438641"/>
      <w:r w:rsidRPr="000A733C">
        <w:t>Role</w:t>
      </w:r>
      <w:r>
        <w:t>s and Responsibilities</w:t>
      </w:r>
      <w:bookmarkEnd w:id="73"/>
      <w:bookmarkEnd w:id="74"/>
    </w:p>
    <w:p w14:paraId="52F8CE9C" w14:textId="4A8D0479" w:rsidR="007F1587" w:rsidRDefault="007F1587" w:rsidP="00DD5B11">
      <w:r w:rsidRPr="00FC3DC7">
        <w:t xml:space="preserve">The </w:t>
      </w:r>
      <w:r>
        <w:t xml:space="preserve">role of BreastScreen Australia Services is to provide </w:t>
      </w:r>
      <w:r w:rsidR="00177069">
        <w:t xml:space="preserve">consistent, high quality breast cancer screening and assessment services </w:t>
      </w:r>
      <w:r>
        <w:t xml:space="preserve">to </w:t>
      </w:r>
      <w:r w:rsidR="004E5FE1">
        <w:t xml:space="preserve">eligible </w:t>
      </w:r>
      <w:r>
        <w:t>women in their catchment. These services are delivered in accordance with BreastScreen Australia policy and state level policies and protocols, to ensure the achievement of the Program</w:t>
      </w:r>
      <w:r w:rsidR="00177069">
        <w:t>’s</w:t>
      </w:r>
      <w:r>
        <w:t xml:space="preserve"> aims and objectives. </w:t>
      </w:r>
    </w:p>
    <w:p w14:paraId="7339B206" w14:textId="77777777" w:rsidR="00667CDB" w:rsidRDefault="007F1587" w:rsidP="00DD5B11">
      <w:r>
        <w:t xml:space="preserve">The Services are required to attain and maintain accreditation in the BreastScreen Australia Program </w:t>
      </w:r>
      <w:r w:rsidR="001216F7">
        <w:t xml:space="preserve">to </w:t>
      </w:r>
      <w:r>
        <w:t>be acknowledged as part of the Program. The accreditation of the Services provides women who participate in the Program with an assurance that the individual Service is of a high quality and meets the standards required for the delivery of a</w:t>
      </w:r>
      <w:r w:rsidR="001216F7">
        <w:t xml:space="preserve"> BreastScreen Australia </w:t>
      </w:r>
      <w:r>
        <w:t xml:space="preserve">service.  </w:t>
      </w:r>
    </w:p>
    <w:p w14:paraId="3E4C0EC0" w14:textId="076F81B3" w:rsidR="007F1587" w:rsidRPr="00FC3DC7" w:rsidRDefault="007F1587" w:rsidP="00DD5B11">
      <w:r>
        <w:t>The four areas of governance responsibility</w:t>
      </w:r>
      <w:r w:rsidR="008F3926">
        <w:t xml:space="preserve"> for accreditation and quality improvement</w:t>
      </w:r>
      <w:r>
        <w:t xml:space="preserve"> for the BreastScreen Services are </w:t>
      </w:r>
      <w:r w:rsidR="00143CDE">
        <w:t>detailed below.</w:t>
      </w:r>
    </w:p>
    <w:p w14:paraId="279602CA" w14:textId="77777777" w:rsidR="007F1587" w:rsidRDefault="007F1587" w:rsidP="007742E2">
      <w:pPr>
        <w:pStyle w:val="Heading4"/>
      </w:pPr>
      <w:r w:rsidRPr="000A733C">
        <w:t>Strategic planning and quality improvement</w:t>
      </w:r>
    </w:p>
    <w:p w14:paraId="40F5CC56" w14:textId="3900C87B" w:rsidR="007F1587" w:rsidRPr="00D30B69" w:rsidRDefault="007F1587" w:rsidP="004712E5">
      <w:pPr>
        <w:pStyle w:val="ListBullet"/>
      </w:pPr>
      <w:r w:rsidRPr="00D30B69">
        <w:t xml:space="preserve">Establish and maintain governance and management structures, in particular clinical </w:t>
      </w:r>
      <w:r w:rsidRPr="00D30B69">
        <w:lastRenderedPageBreak/>
        <w:t>governance.</w:t>
      </w:r>
    </w:p>
    <w:p w14:paraId="30ACC7A0" w14:textId="6E17E20F" w:rsidR="007F1587" w:rsidRPr="00D30B69" w:rsidRDefault="007F1587" w:rsidP="004712E5">
      <w:pPr>
        <w:pStyle w:val="ListBullet"/>
      </w:pPr>
      <w:r w:rsidRPr="00D30B69">
        <w:t xml:space="preserve">Establish and maintain clinical leadership across all disciplines </w:t>
      </w:r>
      <w:r w:rsidR="00371509">
        <w:t xml:space="preserve">working in the Program </w:t>
      </w:r>
      <w:r w:rsidRPr="00D30B69">
        <w:t>with a focus on continuous quality improvement.</w:t>
      </w:r>
    </w:p>
    <w:p w14:paraId="6F730A6E" w14:textId="62177F43" w:rsidR="007F1587" w:rsidRPr="00D30B69" w:rsidRDefault="00180806" w:rsidP="004712E5">
      <w:pPr>
        <w:pStyle w:val="ListBullet"/>
      </w:pPr>
      <w:r>
        <w:t xml:space="preserve">Establish </w:t>
      </w:r>
      <w:r w:rsidR="007F1587" w:rsidRPr="00D30B69">
        <w:t>partnership</w:t>
      </w:r>
      <w:r>
        <w:t xml:space="preserve">s between </w:t>
      </w:r>
      <w:r w:rsidR="007F1587" w:rsidRPr="00D30B69">
        <w:t xml:space="preserve">the SCU </w:t>
      </w:r>
      <w:r>
        <w:t xml:space="preserve">and Services </w:t>
      </w:r>
      <w:r w:rsidR="007F1587" w:rsidRPr="00D30B69">
        <w:t>to achieve accreditation to a high standard and implement quality improvement strategies.</w:t>
      </w:r>
    </w:p>
    <w:p w14:paraId="2B641ED7" w14:textId="3A7A06F4" w:rsidR="007F1587" w:rsidRPr="00D30B69" w:rsidRDefault="007F1587" w:rsidP="004712E5">
      <w:pPr>
        <w:pStyle w:val="ListBullet"/>
      </w:pPr>
      <w:r w:rsidRPr="00D30B69">
        <w:t>Develop an annual plan for service provision that ensures appropriate access for women in the catchment, particularly those women that may be disadvantaged socially, culturally or geographically.</w:t>
      </w:r>
    </w:p>
    <w:p w14:paraId="3AFFE1C4" w14:textId="77777777" w:rsidR="007F1587" w:rsidRPr="00D30B69" w:rsidRDefault="007F1587" w:rsidP="004712E5">
      <w:pPr>
        <w:pStyle w:val="ListBullet"/>
      </w:pPr>
      <w:r w:rsidRPr="00D30B69">
        <w:t xml:space="preserve">Develop, implement and review a Service level </w:t>
      </w:r>
      <w:r w:rsidR="002F3EE4" w:rsidRPr="00D30B69">
        <w:t>QI</w:t>
      </w:r>
      <w:r w:rsidR="00CA0904" w:rsidRPr="00D30B69">
        <w:t xml:space="preserve"> </w:t>
      </w:r>
      <w:r w:rsidRPr="00D30B69">
        <w:t>plan that includes clear lines of clinical and management responsibility</w:t>
      </w:r>
      <w:r w:rsidR="001853FC" w:rsidRPr="00D30B69">
        <w:t xml:space="preserve"> and aligns with </w:t>
      </w:r>
      <w:r w:rsidR="00374010" w:rsidRPr="00D30B69">
        <w:t>jurisdictional</w:t>
      </w:r>
      <w:r w:rsidR="001853FC" w:rsidRPr="00D30B69">
        <w:t xml:space="preserve"> and national QI plans</w:t>
      </w:r>
      <w:r w:rsidRPr="00D30B69">
        <w:t>.</w:t>
      </w:r>
    </w:p>
    <w:p w14:paraId="0584F6DF" w14:textId="77777777" w:rsidR="007F1587" w:rsidRPr="00D30B69" w:rsidRDefault="007F1587" w:rsidP="004712E5">
      <w:pPr>
        <w:pStyle w:val="ListBullet"/>
      </w:pPr>
      <w:r w:rsidRPr="00D30B69">
        <w:t>Engage with local stakeholders formally and informally, including consumers, to ensure local level input to planning processes and quality improvement strategies.</w:t>
      </w:r>
    </w:p>
    <w:p w14:paraId="58FF743F" w14:textId="7669A1C5" w:rsidR="007F1587" w:rsidRPr="00D30B69" w:rsidRDefault="007F1587" w:rsidP="004712E5">
      <w:pPr>
        <w:pStyle w:val="ListBullet"/>
      </w:pPr>
      <w:r w:rsidRPr="00D30B69">
        <w:t xml:space="preserve">Work to implement effective locally based health promotion </w:t>
      </w:r>
      <w:r w:rsidR="00C62518">
        <w:t xml:space="preserve">and recruitment </w:t>
      </w:r>
      <w:r w:rsidRPr="00D30B69">
        <w:t>strategies.</w:t>
      </w:r>
    </w:p>
    <w:p w14:paraId="4557140C" w14:textId="77777777" w:rsidR="007F1587" w:rsidRPr="00D30B69" w:rsidRDefault="007F1587" w:rsidP="007742E2">
      <w:pPr>
        <w:pStyle w:val="Heading4"/>
      </w:pPr>
      <w:r w:rsidRPr="00D30B69">
        <w:t>Monitoring and compliance</w:t>
      </w:r>
    </w:p>
    <w:p w14:paraId="38A8DBBD" w14:textId="7B95F41D" w:rsidR="007F1587" w:rsidRDefault="007F1587" w:rsidP="004712E5">
      <w:pPr>
        <w:pStyle w:val="ListBullet"/>
      </w:pPr>
      <w:r>
        <w:t>Maintain a focus on continuous quality improvement</w:t>
      </w:r>
      <w:r w:rsidR="00CA0904">
        <w:t xml:space="preserve"> </w:t>
      </w:r>
      <w:r>
        <w:t xml:space="preserve">by monitoring Service performance against the </w:t>
      </w:r>
      <w:r w:rsidR="00CA0904">
        <w:t>NAS</w:t>
      </w:r>
      <w:r w:rsidR="0013780B">
        <w:t xml:space="preserve"> </w:t>
      </w:r>
      <w:r w:rsidR="00734C4F">
        <w:t>Measure</w:t>
      </w:r>
      <w:r>
        <w:t>s.</w:t>
      </w:r>
    </w:p>
    <w:p w14:paraId="4102B129" w14:textId="42C2EA61" w:rsidR="007F1587" w:rsidRDefault="007F1587" w:rsidP="004712E5">
      <w:pPr>
        <w:pStyle w:val="ListBullet"/>
      </w:pPr>
      <w:r w:rsidRPr="00A10CFC">
        <w:t>Mon</w:t>
      </w:r>
      <w:r>
        <w:t xml:space="preserve">itor Service performance against the </w:t>
      </w:r>
      <w:r w:rsidR="002F3EE4">
        <w:t>QI</w:t>
      </w:r>
      <w:r>
        <w:t xml:space="preserve"> plan and take action as needed to address any system or Service failures.</w:t>
      </w:r>
    </w:p>
    <w:p w14:paraId="1F534105" w14:textId="4AA6702B" w:rsidR="007F1587" w:rsidRDefault="007F1587" w:rsidP="004712E5">
      <w:pPr>
        <w:pStyle w:val="ListBullet"/>
      </w:pPr>
      <w:r>
        <w:t xml:space="preserve">Notify the SCU of any system or Service failures, actions taken or planned and work with the SCU </w:t>
      </w:r>
      <w:r w:rsidR="00CA0904">
        <w:t xml:space="preserve">and SQC </w:t>
      </w:r>
      <w:r>
        <w:t>to ensure that effective quality improvement strategies are implemented.</w:t>
      </w:r>
    </w:p>
    <w:p w14:paraId="57F22F76" w14:textId="59BAE565" w:rsidR="007F1587" w:rsidRDefault="007F1587" w:rsidP="004712E5">
      <w:pPr>
        <w:pStyle w:val="ListBullet"/>
      </w:pPr>
      <w:r>
        <w:t xml:space="preserve">Monitor compliance with all quality assurance processes for the Service equipment and ensure compliance with </w:t>
      </w:r>
      <w:r w:rsidR="00734C4F">
        <w:t>S</w:t>
      </w:r>
      <w:r>
        <w:t>tate/</w:t>
      </w:r>
      <w:r w:rsidR="00734C4F">
        <w:t>T</w:t>
      </w:r>
      <w:r>
        <w:t xml:space="preserve">erritory legislative and national/state professional requirements. </w:t>
      </w:r>
    </w:p>
    <w:p w14:paraId="6A4BC946" w14:textId="77777777" w:rsidR="007F1587" w:rsidRPr="00D30B69" w:rsidRDefault="007F1587" w:rsidP="007742E2">
      <w:pPr>
        <w:pStyle w:val="Heading4"/>
      </w:pPr>
      <w:r w:rsidRPr="00D30B69">
        <w:t>Reporting</w:t>
      </w:r>
    </w:p>
    <w:p w14:paraId="7875796A" w14:textId="7D810BBB" w:rsidR="007F1587" w:rsidRPr="00421F4B" w:rsidRDefault="007F1587" w:rsidP="004712E5">
      <w:pPr>
        <w:pStyle w:val="ListBullet"/>
      </w:pPr>
      <w:r w:rsidRPr="00421F4B">
        <w:t xml:space="preserve">Provide </w:t>
      </w:r>
      <w:r>
        <w:t>reports as required to</w:t>
      </w:r>
      <w:r w:rsidR="001861FD">
        <w:t xml:space="preserve"> state and</w:t>
      </w:r>
      <w:r>
        <w:t xml:space="preserve"> local health service management and stakeholders.</w:t>
      </w:r>
    </w:p>
    <w:p w14:paraId="4DBFCDE5" w14:textId="77777777" w:rsidR="00CA0904" w:rsidRDefault="00CA0904" w:rsidP="004712E5">
      <w:pPr>
        <w:pStyle w:val="ListBullet"/>
      </w:pPr>
      <w:r>
        <w:t xml:space="preserve">Report to the SCU and, if required the SQC, on unmet NAS </w:t>
      </w:r>
      <w:r w:rsidR="00734C4F">
        <w:t>Measure</w:t>
      </w:r>
      <w:r>
        <w:t>s</w:t>
      </w:r>
      <w:r w:rsidR="005E52B3">
        <w:t xml:space="preserve">, including planned </w:t>
      </w:r>
      <w:r w:rsidR="002F3EE4">
        <w:t>QI</w:t>
      </w:r>
      <w:r w:rsidR="005E52B3">
        <w:t xml:space="preserve"> strategies to enhance performance</w:t>
      </w:r>
      <w:r>
        <w:t>.</w:t>
      </w:r>
    </w:p>
    <w:p w14:paraId="524AA3BB" w14:textId="71FF3313" w:rsidR="007F1587" w:rsidRDefault="007F1587" w:rsidP="004712E5">
      <w:pPr>
        <w:pStyle w:val="ListBullet"/>
      </w:pPr>
      <w:r>
        <w:t xml:space="preserve">Ensure that quality assurance reports for the clinical disciplines are disseminated as appropriate, documented and </w:t>
      </w:r>
      <w:r w:rsidR="00A646ED">
        <w:t>recorded</w:t>
      </w:r>
      <w:r>
        <w:t>.</w:t>
      </w:r>
    </w:p>
    <w:p w14:paraId="14781919" w14:textId="7C787408" w:rsidR="007F1587" w:rsidRPr="00421F4B" w:rsidRDefault="007F1587" w:rsidP="004712E5">
      <w:pPr>
        <w:pStyle w:val="ListBullet"/>
      </w:pPr>
      <w:r>
        <w:t xml:space="preserve">Generate system reports for operational quality assurance monitoring and quality improvement as appropriate. </w:t>
      </w:r>
    </w:p>
    <w:p w14:paraId="472F6EF2" w14:textId="77777777" w:rsidR="007F1587" w:rsidRPr="000A733C" w:rsidRDefault="007F1587" w:rsidP="007742E2">
      <w:pPr>
        <w:pStyle w:val="Heading4"/>
      </w:pPr>
      <w:r w:rsidRPr="000A733C">
        <w:lastRenderedPageBreak/>
        <w:t>Policy</w:t>
      </w:r>
    </w:p>
    <w:p w14:paraId="01C013C2" w14:textId="77777777" w:rsidR="007F1587" w:rsidRPr="000B07DA" w:rsidRDefault="007F1587" w:rsidP="004712E5">
      <w:pPr>
        <w:pStyle w:val="ListBullet"/>
      </w:pPr>
      <w:r>
        <w:t>Implement state level</w:t>
      </w:r>
      <w:r w:rsidRPr="000B07DA">
        <w:t xml:space="preserve"> policies </w:t>
      </w:r>
      <w:r>
        <w:t xml:space="preserve">and protocols </w:t>
      </w:r>
      <w:r w:rsidRPr="000B07DA">
        <w:t>to ensure consistency in service delivery across the jurisdiction.</w:t>
      </w:r>
    </w:p>
    <w:p w14:paraId="40C2A4C9" w14:textId="340852FD" w:rsidR="007F1587" w:rsidRPr="00D30B69" w:rsidRDefault="007F1587" w:rsidP="004712E5">
      <w:pPr>
        <w:pStyle w:val="ListBullet"/>
      </w:pPr>
      <w:r w:rsidRPr="00D30B69">
        <w:t xml:space="preserve">Develop local operational procedures that align with national </w:t>
      </w:r>
      <w:r w:rsidR="006B61AA">
        <w:t xml:space="preserve">and state </w:t>
      </w:r>
      <w:r w:rsidRPr="00D30B69">
        <w:t>policies and protocols.</w:t>
      </w:r>
    </w:p>
    <w:p w14:paraId="06388C6A" w14:textId="77777777" w:rsidR="007F1587" w:rsidRDefault="007F1587" w:rsidP="004712E5">
      <w:pPr>
        <w:pStyle w:val="ListBullet"/>
      </w:pPr>
      <w:r w:rsidRPr="001A70B3">
        <w:t xml:space="preserve">Work </w:t>
      </w:r>
      <w:r>
        <w:t>in partnership with the SCU to develop and revise state level policies and protocols as appropriate.</w:t>
      </w:r>
    </w:p>
    <w:p w14:paraId="426F7D5F" w14:textId="28250C5A" w:rsidR="007F1587" w:rsidRPr="001A70B3" w:rsidRDefault="007F1587" w:rsidP="004712E5">
      <w:pPr>
        <w:pStyle w:val="ListBullet"/>
      </w:pPr>
      <w:r>
        <w:t>Identify any policy gaps, issues or constraints and inform the SCU</w:t>
      </w:r>
      <w:r w:rsidR="0049444B">
        <w:t xml:space="preserve"> and/or SQC</w:t>
      </w:r>
      <w:r>
        <w:t>.</w:t>
      </w:r>
    </w:p>
    <w:p w14:paraId="374EF71D" w14:textId="7AB567E1" w:rsidR="00F93CEC" w:rsidRPr="00F93CEC" w:rsidRDefault="00F93CEC" w:rsidP="00500310">
      <w:pPr>
        <w:pStyle w:val="Heading2"/>
      </w:pPr>
      <w:bookmarkStart w:id="75" w:name="_Ref465947588"/>
      <w:bookmarkStart w:id="76" w:name="_Ref465947697"/>
      <w:bookmarkStart w:id="77" w:name="_Toc517944612"/>
      <w:bookmarkStart w:id="78" w:name="_Toc66438642"/>
      <w:r w:rsidRPr="00F93CEC">
        <w:t xml:space="preserve">BREASTSCREEN AUSTRALIA </w:t>
      </w:r>
      <w:r w:rsidR="00E15078" w:rsidRPr="00E15078">
        <w:t>NAS ACCOUNTABILITY FRAMEWORK</w:t>
      </w:r>
      <w:bookmarkEnd w:id="75"/>
      <w:bookmarkEnd w:id="76"/>
      <w:bookmarkEnd w:id="77"/>
      <w:bookmarkEnd w:id="78"/>
      <w:r w:rsidR="00E15078">
        <w:t xml:space="preserve"> </w:t>
      </w:r>
    </w:p>
    <w:p w14:paraId="012CA186" w14:textId="4CF2AD1C" w:rsidR="00FB5F31" w:rsidRDefault="00F93CEC" w:rsidP="007457DB">
      <w:r w:rsidRPr="00F93CEC">
        <w:t xml:space="preserve">In </w:t>
      </w:r>
      <w:r w:rsidR="005B361A">
        <w:t xml:space="preserve">multi-service </w:t>
      </w:r>
      <w:r w:rsidRPr="00F93CEC">
        <w:t>jurisdictions</w:t>
      </w:r>
      <w:r w:rsidR="00DF39B3">
        <w:t>,</w:t>
      </w:r>
      <w:r w:rsidRPr="00F93CEC">
        <w:t xml:space="preserve"> </w:t>
      </w:r>
      <w:r w:rsidR="00E07C5B">
        <w:t xml:space="preserve">where appropriate, </w:t>
      </w:r>
      <w:r w:rsidRPr="00F93CEC">
        <w:t>a ‘</w:t>
      </w:r>
      <w:r w:rsidR="00E15078">
        <w:t>NAS Accountability Framework</w:t>
      </w:r>
      <w:r w:rsidR="00F759AF">
        <w:t xml:space="preserve"> (NAF)</w:t>
      </w:r>
      <w:r w:rsidRPr="00F93CEC">
        <w:t xml:space="preserve">’ is required to ensure </w:t>
      </w:r>
      <w:r w:rsidR="007457DB">
        <w:t>the NQMC can consider the accountability at a Service and SCU level when assessing performance against NAS Measures.</w:t>
      </w:r>
      <w:r w:rsidRPr="00F93CEC">
        <w:t xml:space="preserve"> </w:t>
      </w:r>
      <w:r w:rsidR="001853FC">
        <w:t>In single service jurisdictions a NAF is not required as the Service</w:t>
      </w:r>
      <w:r w:rsidR="007457DB">
        <w:t xml:space="preserve"> and </w:t>
      </w:r>
      <w:r w:rsidR="001853FC">
        <w:t>SCU have shared responsibility</w:t>
      </w:r>
      <w:r w:rsidR="007457DB">
        <w:t xml:space="preserve"> for all NAS Measures</w:t>
      </w:r>
      <w:r w:rsidR="001853FC">
        <w:t>.</w:t>
      </w:r>
      <w:r w:rsidRPr="00F93CEC">
        <w:t xml:space="preserve"> </w:t>
      </w:r>
    </w:p>
    <w:p w14:paraId="5192E134" w14:textId="2781017D" w:rsidR="00F93CEC" w:rsidRPr="00F93CEC" w:rsidRDefault="00FB5F31" w:rsidP="00AB1C35">
      <w:r>
        <w:t>The NA</w:t>
      </w:r>
      <w:r w:rsidR="00F759AF">
        <w:t>F</w:t>
      </w:r>
      <w:r w:rsidR="00F93CEC" w:rsidRPr="00F93CEC">
        <w:t xml:space="preserve"> should be developed in collaboration with </w:t>
      </w:r>
      <w:r w:rsidR="0057312A">
        <w:t>Service</w:t>
      </w:r>
      <w:r w:rsidR="00F93CEC" w:rsidRPr="00F93CEC">
        <w:t xml:space="preserve">s, </w:t>
      </w:r>
      <w:r w:rsidR="00997DC9">
        <w:t xml:space="preserve">to delineate the NAS </w:t>
      </w:r>
      <w:r w:rsidR="002B766C">
        <w:t xml:space="preserve">that </w:t>
      </w:r>
      <w:r w:rsidR="00F93CEC" w:rsidRPr="00F93CEC">
        <w:t>are the responsib</w:t>
      </w:r>
      <w:r w:rsidR="00B25E89">
        <w:t>ility of the SCU and those that</w:t>
      </w:r>
      <w:r w:rsidR="00F93CEC" w:rsidRPr="00F93CEC">
        <w:t xml:space="preserve"> are the responsibility of the individual </w:t>
      </w:r>
      <w:r w:rsidR="0057312A">
        <w:t>Service</w:t>
      </w:r>
      <w:r w:rsidR="00F93CEC" w:rsidRPr="00F93CEC">
        <w:t xml:space="preserve"> within the jurisdiction.  Establishing a </w:t>
      </w:r>
      <w:r w:rsidR="00DD1C57">
        <w:t>NA</w:t>
      </w:r>
      <w:r w:rsidR="00F759AF">
        <w:t>F</w:t>
      </w:r>
      <w:r w:rsidR="00F93CEC" w:rsidRPr="00F93CEC">
        <w:t xml:space="preserve"> in each jurisdiction will take into account the differing business and service delivery models that are in place across </w:t>
      </w:r>
      <w:r w:rsidR="00B25E89">
        <w:t>Australia and ensure that each a</w:t>
      </w:r>
      <w:r w:rsidR="00F93CEC" w:rsidRPr="00F93CEC">
        <w:t>greement is tailored to meet the needs of the individual jurisdiction.</w:t>
      </w:r>
    </w:p>
    <w:p w14:paraId="5F181191" w14:textId="77777777" w:rsidR="005531F6" w:rsidRDefault="005531F6" w:rsidP="00AB1C35">
      <w:r>
        <w:t>The NA</w:t>
      </w:r>
      <w:r w:rsidR="00F759AF">
        <w:t xml:space="preserve">F </w:t>
      </w:r>
      <w:r>
        <w:t xml:space="preserve">will classify each NAS </w:t>
      </w:r>
      <w:r w:rsidR="00734C4F">
        <w:t>Measure</w:t>
      </w:r>
      <w:r>
        <w:t xml:space="preserve"> into one of three categories</w:t>
      </w:r>
      <w:r w:rsidR="00734C4F">
        <w:t>. Those</w:t>
      </w:r>
      <w:r>
        <w:t>:</w:t>
      </w:r>
    </w:p>
    <w:p w14:paraId="3966CA82" w14:textId="77777777" w:rsidR="005531F6" w:rsidRPr="00D8731D" w:rsidRDefault="005531F6" w:rsidP="007F7A49">
      <w:pPr>
        <w:pStyle w:val="ListNumber"/>
      </w:pPr>
      <w:r w:rsidRPr="00D8731D">
        <w:t>which are solely the responsibility of the Service;</w:t>
      </w:r>
    </w:p>
    <w:p w14:paraId="3773A71B" w14:textId="77777777" w:rsidR="005531F6" w:rsidRPr="00D8731D" w:rsidRDefault="005531F6" w:rsidP="007F7A49">
      <w:pPr>
        <w:pStyle w:val="ListNumber"/>
        <w:rPr>
          <w:i/>
        </w:rPr>
      </w:pPr>
      <w:r w:rsidRPr="00D8731D">
        <w:t>which are solely the responsibility of the SCU;</w:t>
      </w:r>
      <w:r w:rsidR="00143CDE">
        <w:t xml:space="preserve"> and</w:t>
      </w:r>
    </w:p>
    <w:p w14:paraId="6ADE9464" w14:textId="77777777" w:rsidR="005531F6" w:rsidRPr="00D8731D" w:rsidRDefault="005531F6" w:rsidP="007F7A49">
      <w:pPr>
        <w:pStyle w:val="ListNumber"/>
      </w:pPr>
      <w:r w:rsidRPr="00D8731D">
        <w:t xml:space="preserve">for which there is shared SCU and SAS responsibility, or where there is a level of interdependence between two </w:t>
      </w:r>
      <w:r w:rsidR="00734C4F">
        <w:t>Measure</w:t>
      </w:r>
      <w:r w:rsidRPr="00D8731D">
        <w:t>s</w:t>
      </w:r>
      <w:r w:rsidRPr="00D8731D">
        <w:rPr>
          <w:i/>
        </w:rPr>
        <w:t xml:space="preserve">. </w:t>
      </w:r>
    </w:p>
    <w:p w14:paraId="77EFBB82" w14:textId="3A615A3E" w:rsidR="005531F6" w:rsidRPr="00CA3364" w:rsidRDefault="00D8731D" w:rsidP="00AB1C35">
      <w:pPr>
        <w:rPr>
          <w:rFonts w:ascii="Calibri" w:hAnsi="Calibri"/>
        </w:rPr>
      </w:pPr>
      <w:r w:rsidRPr="00D8731D">
        <w:rPr>
          <w:rFonts w:ascii="Calibri" w:hAnsi="Calibri"/>
        </w:rPr>
        <w:t xml:space="preserve">An example of a </w:t>
      </w:r>
      <w:r w:rsidR="00734C4F">
        <w:rPr>
          <w:rFonts w:ascii="Calibri" w:hAnsi="Calibri"/>
        </w:rPr>
        <w:t>Measure</w:t>
      </w:r>
      <w:r w:rsidRPr="00D8731D">
        <w:rPr>
          <w:rFonts w:ascii="Calibri" w:hAnsi="Calibri"/>
        </w:rPr>
        <w:t xml:space="preserve"> which would fit into the </w:t>
      </w:r>
      <w:r w:rsidR="005531F6" w:rsidRPr="00D8731D">
        <w:rPr>
          <w:rFonts w:ascii="Calibri" w:hAnsi="Calibri"/>
        </w:rPr>
        <w:t>third category</w:t>
      </w:r>
      <w:r w:rsidR="00CA3364">
        <w:rPr>
          <w:rFonts w:ascii="Calibri" w:hAnsi="Calibri"/>
        </w:rPr>
        <w:t xml:space="preserve"> is as follows.  T</w:t>
      </w:r>
      <w:r w:rsidR="005531F6" w:rsidRPr="00CA3364">
        <w:t xml:space="preserve">he SCU may be responsible for sending women invitations to participate in the </w:t>
      </w:r>
      <w:r w:rsidR="00825A69" w:rsidRPr="00CA3364">
        <w:t>P</w:t>
      </w:r>
      <w:r w:rsidR="005531F6" w:rsidRPr="00CA3364">
        <w:t xml:space="preserve">rogram, but the </w:t>
      </w:r>
      <w:r w:rsidR="00A83A24" w:rsidRPr="00CA3364">
        <w:t>Service</w:t>
      </w:r>
      <w:r w:rsidR="005531F6" w:rsidRPr="00CA3364">
        <w:t xml:space="preserve"> may be responsible for allocating screening appointments. In this case, </w:t>
      </w:r>
      <w:r w:rsidR="00734C4F" w:rsidRPr="00CA3364">
        <w:t>Measure</w:t>
      </w:r>
      <w:r w:rsidR="005531F6" w:rsidRPr="00CA3364">
        <w:t xml:space="preserve"> 1.1.1</w:t>
      </w:r>
      <w:r w:rsidR="00AF320C" w:rsidRPr="00CA3364">
        <w:t>b)</w:t>
      </w:r>
      <w:r w:rsidR="005531F6" w:rsidRPr="00CA3364">
        <w:t xml:space="preserve"> “≥70% of women aged 50-69 years participate in screening in the most recent 24 month period”, would have joint responsibility by the </w:t>
      </w:r>
      <w:r w:rsidR="001D794D" w:rsidRPr="00CA3364">
        <w:t xml:space="preserve">Service </w:t>
      </w:r>
      <w:r w:rsidR="005531F6" w:rsidRPr="00CA3364">
        <w:t xml:space="preserve">and SCU. </w:t>
      </w:r>
    </w:p>
    <w:p w14:paraId="7341690E" w14:textId="77777777" w:rsidR="005531F6" w:rsidRPr="009A6A0E" w:rsidRDefault="005531F6" w:rsidP="00AB1C35">
      <w:pPr>
        <w:rPr>
          <w:bCs/>
        </w:rPr>
      </w:pPr>
      <w:r w:rsidRPr="009A6A0E">
        <w:t xml:space="preserve">In this circumstance, if the </w:t>
      </w:r>
      <w:r w:rsidR="00734C4F">
        <w:t>Measure</w:t>
      </w:r>
      <w:r w:rsidRPr="009A6A0E">
        <w:t xml:space="preserve"> </w:t>
      </w:r>
      <w:r w:rsidR="001D794D" w:rsidRPr="009A6A0E">
        <w:t xml:space="preserve">is </w:t>
      </w:r>
      <w:r w:rsidRPr="009A6A0E">
        <w:t xml:space="preserve">not met, it should be recorded as ‘unmet’ on both the </w:t>
      </w:r>
      <w:r w:rsidR="001D794D" w:rsidRPr="009A6A0E">
        <w:t>Service</w:t>
      </w:r>
      <w:r w:rsidRPr="009A6A0E">
        <w:t>’</w:t>
      </w:r>
      <w:r w:rsidR="001D794D" w:rsidRPr="009A6A0E">
        <w:t>s</w:t>
      </w:r>
      <w:r w:rsidRPr="009A6A0E">
        <w:t xml:space="preserve"> and SCU’s application for accreditation.</w:t>
      </w:r>
    </w:p>
    <w:p w14:paraId="48B5420C" w14:textId="77777777" w:rsidR="00F93CEC" w:rsidRPr="00CA3364" w:rsidRDefault="00F93CEC" w:rsidP="00AB1C35">
      <w:r w:rsidRPr="00F93CEC">
        <w:t xml:space="preserve">While it is likely that most jurisdictions will have one </w:t>
      </w:r>
      <w:r w:rsidR="00E15078">
        <w:t>NA</w:t>
      </w:r>
      <w:r w:rsidR="00F759AF">
        <w:t>F</w:t>
      </w:r>
      <w:r w:rsidRPr="00F93CEC">
        <w:t xml:space="preserve">, </w:t>
      </w:r>
      <w:r w:rsidR="00B25E89">
        <w:t>there may be jurisdictions that</w:t>
      </w:r>
      <w:r w:rsidRPr="00F93CEC">
        <w:t xml:space="preserve"> have a different </w:t>
      </w:r>
      <w:r w:rsidR="00E15078">
        <w:t>NA</w:t>
      </w:r>
      <w:r w:rsidR="00F759AF">
        <w:t>F</w:t>
      </w:r>
      <w:r w:rsidR="00E15078" w:rsidRPr="00F93CEC">
        <w:t xml:space="preserve"> </w:t>
      </w:r>
      <w:r w:rsidRPr="00F93CEC">
        <w:t xml:space="preserve">with each </w:t>
      </w:r>
      <w:r w:rsidR="0057312A">
        <w:t>Service</w:t>
      </w:r>
      <w:r w:rsidR="00CA3364">
        <w:t>.  To provide an example, o</w:t>
      </w:r>
      <w:r w:rsidRPr="00CA3364">
        <w:t xml:space="preserve">ne </w:t>
      </w:r>
      <w:r w:rsidR="0057312A" w:rsidRPr="00CA3364">
        <w:t xml:space="preserve">Service </w:t>
      </w:r>
      <w:r w:rsidRPr="00CA3364">
        <w:t xml:space="preserve">within a jurisdiction may read its own images and would therefore be responsible for cancer detection, however another </w:t>
      </w:r>
      <w:r w:rsidR="0057312A" w:rsidRPr="00CA3364">
        <w:t xml:space="preserve">Service </w:t>
      </w:r>
      <w:r w:rsidRPr="00CA3364">
        <w:t xml:space="preserve">may send its images to be read centrally within the jurisdiction (i.e. by </w:t>
      </w:r>
      <w:r w:rsidR="001E2EA5" w:rsidRPr="00CA3364">
        <w:t xml:space="preserve">a distributed reading model overseen by </w:t>
      </w:r>
      <w:r w:rsidRPr="00CA3364">
        <w:t xml:space="preserve">the SCU), and therefore, the </w:t>
      </w:r>
      <w:r w:rsidR="0057312A" w:rsidRPr="00CA3364">
        <w:t xml:space="preserve">Service </w:t>
      </w:r>
      <w:r w:rsidRPr="00CA3364">
        <w:t xml:space="preserve">and the SCU would be jointly responsible for cancer detection.  Consequently, these </w:t>
      </w:r>
      <w:r w:rsidRPr="00CA3364">
        <w:lastRenderedPageBreak/>
        <w:t xml:space="preserve">two </w:t>
      </w:r>
      <w:r w:rsidR="0057312A" w:rsidRPr="00CA3364">
        <w:t>Service</w:t>
      </w:r>
      <w:r w:rsidRPr="00CA3364">
        <w:t xml:space="preserve">s would require a different </w:t>
      </w:r>
      <w:r w:rsidR="00E15078" w:rsidRPr="00CA3364">
        <w:t>NA</w:t>
      </w:r>
      <w:r w:rsidR="00F759AF" w:rsidRPr="00CA3364">
        <w:t>F</w:t>
      </w:r>
      <w:r w:rsidRPr="00CA3364">
        <w:t>.</w:t>
      </w:r>
    </w:p>
    <w:p w14:paraId="4212B654" w14:textId="75D570B5" w:rsidR="00F93CEC" w:rsidRPr="00F93CEC" w:rsidRDefault="00F93CEC" w:rsidP="00AB1C35">
      <w:r w:rsidRPr="00F93CEC">
        <w:t xml:space="preserve">The NQMC </w:t>
      </w:r>
      <w:r w:rsidR="00254E10">
        <w:t xml:space="preserve">will use the relevant NAF to consider all applications for accreditation and </w:t>
      </w:r>
      <w:r w:rsidRPr="00F93CEC">
        <w:t xml:space="preserve">to award </w:t>
      </w:r>
      <w:r w:rsidR="0057312A">
        <w:t>Service</w:t>
      </w:r>
      <w:r w:rsidRPr="00F93CEC">
        <w:t>s and SCUs with an accreditation status.</w:t>
      </w:r>
      <w:r w:rsidR="00C011B6">
        <w:t xml:space="preserve"> It is a decision for the individual Service and SCU to agree the delineation of responsibilities as outlined in the NA</w:t>
      </w:r>
      <w:r w:rsidR="00F759AF">
        <w:t>F</w:t>
      </w:r>
      <w:r w:rsidR="00C011B6">
        <w:t>. The NQMC should accept the completed NA</w:t>
      </w:r>
      <w:r w:rsidR="00F759AF">
        <w:t>F</w:t>
      </w:r>
      <w:r w:rsidR="00C011B6">
        <w:t xml:space="preserve"> as an agreed document between the Service and SCU.</w:t>
      </w:r>
      <w:r w:rsidR="00667CDB">
        <w:t xml:space="preserve">  </w:t>
      </w:r>
    </w:p>
    <w:p w14:paraId="3596C444" w14:textId="5D3B94A7" w:rsidR="00BA3B7F" w:rsidRPr="00F43645" w:rsidDel="0051003D" w:rsidRDefault="00E15078" w:rsidP="00AB1C35">
      <w:pPr>
        <w:rPr>
          <w:rFonts w:eastAsia="Times New Roman" w:cstheme="minorHAnsi"/>
          <w:b/>
          <w:bCs/>
        </w:rPr>
      </w:pPr>
      <w:r w:rsidRPr="00DD1C57">
        <w:rPr>
          <w:rFonts w:cstheme="minorHAnsi"/>
        </w:rPr>
        <w:t xml:space="preserve">A template for a </w:t>
      </w:r>
      <w:r w:rsidRPr="00DD1C57">
        <w:t>NA</w:t>
      </w:r>
      <w:r w:rsidR="00F759AF">
        <w:t>F</w:t>
      </w:r>
      <w:r w:rsidRPr="00DD1C57">
        <w:t xml:space="preserve"> can be accessed in the suite of forms (</w:t>
      </w:r>
      <w:r w:rsidR="00A52B73" w:rsidRPr="00DD1C57">
        <w:t>see</w:t>
      </w:r>
      <w:r w:rsidRPr="00DD1C57">
        <w:t xml:space="preserve"> </w:t>
      </w:r>
      <w:r w:rsidR="00DD1C57" w:rsidRPr="00DD1C57">
        <w:t>S</w:t>
      </w:r>
      <w:r w:rsidRPr="00DD1C57">
        <w:t>ection</w:t>
      </w:r>
      <w:r w:rsidR="00901776">
        <w:t xml:space="preserve"> </w:t>
      </w:r>
      <w:r w:rsidR="00901776">
        <w:fldChar w:fldCharType="begin"/>
      </w:r>
      <w:r w:rsidR="00901776">
        <w:instrText xml:space="preserve"> REF _Ref465947278 \r \h </w:instrText>
      </w:r>
      <w:r w:rsidR="00901776">
        <w:fldChar w:fldCharType="separate"/>
      </w:r>
      <w:r w:rsidR="00B36BEE">
        <w:t>5.8</w:t>
      </w:r>
      <w:r w:rsidR="00901776">
        <w:fldChar w:fldCharType="end"/>
      </w:r>
      <w:r w:rsidRPr="00DD1C57">
        <w:t>)</w:t>
      </w:r>
      <w:r w:rsidR="00DD1C57">
        <w:t>.</w:t>
      </w:r>
    </w:p>
    <w:p w14:paraId="0F0D3EFC" w14:textId="6C830001" w:rsidR="00B16B5B" w:rsidRPr="00B16B5B" w:rsidRDefault="00895AA7" w:rsidP="0008617F">
      <w:pPr>
        <w:pStyle w:val="Heading1"/>
      </w:pPr>
      <w:bookmarkStart w:id="79" w:name="_Toc517944613"/>
      <w:bookmarkStart w:id="80" w:name="_Toc66438643"/>
      <w:r>
        <w:lastRenderedPageBreak/>
        <w:t>ACCREDITATION</w:t>
      </w:r>
      <w:r w:rsidR="00CA3364">
        <w:rPr>
          <w:rFonts w:cs="Calibri"/>
        </w:rPr>
        <w:t xml:space="preserve"> </w:t>
      </w:r>
      <w:r w:rsidR="009C249E">
        <w:t>DECISION-MAKING</w:t>
      </w:r>
      <w:r w:rsidR="00457B99">
        <w:t xml:space="preserve">, </w:t>
      </w:r>
      <w:r w:rsidR="00457B99">
        <w:rPr>
          <w:u w:color="D5D5D5"/>
        </w:rPr>
        <w:t>DECISION T</w:t>
      </w:r>
      <w:r w:rsidR="00CA3364">
        <w:rPr>
          <w:u w:color="D5D5D5"/>
        </w:rPr>
        <w:t>OOL</w:t>
      </w:r>
      <w:r w:rsidR="00457B99">
        <w:rPr>
          <w:u w:color="D5D5D5"/>
        </w:rPr>
        <w:t xml:space="preserve"> AND </w:t>
      </w:r>
      <w:r w:rsidR="00B16B5B">
        <w:t>APPEALS</w:t>
      </w:r>
      <w:bookmarkEnd w:id="79"/>
      <w:bookmarkEnd w:id="80"/>
    </w:p>
    <w:p w14:paraId="022A7E39" w14:textId="08557482" w:rsidR="006D53BD" w:rsidRPr="005E6C4B" w:rsidRDefault="00D41AF5" w:rsidP="00500310">
      <w:pPr>
        <w:pStyle w:val="Heading2"/>
      </w:pPr>
      <w:bookmarkStart w:id="81" w:name="_Toc517944614"/>
      <w:bookmarkStart w:id="82" w:name="_Toc66438644"/>
      <w:r w:rsidRPr="00AA724C">
        <w:t xml:space="preserve">NQMC </w:t>
      </w:r>
      <w:r w:rsidR="006D53BD" w:rsidRPr="00AA724C">
        <w:t>AUTHORITY AND TRANSPARENCY</w:t>
      </w:r>
      <w:bookmarkEnd w:id="81"/>
      <w:bookmarkEnd w:id="82"/>
      <w:r w:rsidR="00770959">
        <w:t xml:space="preserve"> </w:t>
      </w:r>
    </w:p>
    <w:p w14:paraId="2F1CFCD5" w14:textId="660AF42F" w:rsidR="006D53BD" w:rsidRPr="005E6C4B" w:rsidRDefault="006D53BD" w:rsidP="007F7A49">
      <w:pPr>
        <w:rPr>
          <w:snapToGrid w:val="0"/>
        </w:rPr>
      </w:pPr>
      <w:r w:rsidRPr="005E6C4B">
        <w:rPr>
          <w:snapToGrid w:val="0"/>
        </w:rPr>
        <w:t xml:space="preserve">The authority for decision-making regarding the accreditation of individual BreastScreen Australia </w:t>
      </w:r>
      <w:r w:rsidR="00D41AF5" w:rsidRPr="005E6C4B">
        <w:rPr>
          <w:snapToGrid w:val="0"/>
        </w:rPr>
        <w:t>S</w:t>
      </w:r>
      <w:r w:rsidRPr="005E6C4B">
        <w:rPr>
          <w:snapToGrid w:val="0"/>
        </w:rPr>
        <w:t>ervices</w:t>
      </w:r>
      <w:r w:rsidR="00D41AF5" w:rsidRPr="005E6C4B">
        <w:rPr>
          <w:snapToGrid w:val="0"/>
        </w:rPr>
        <w:t xml:space="preserve"> and/or S</w:t>
      </w:r>
      <w:r w:rsidR="003B4098" w:rsidRPr="005E6C4B">
        <w:rPr>
          <w:snapToGrid w:val="0"/>
        </w:rPr>
        <w:t xml:space="preserve">tate </w:t>
      </w:r>
      <w:r w:rsidR="00D41AF5" w:rsidRPr="005E6C4B">
        <w:rPr>
          <w:snapToGrid w:val="0"/>
        </w:rPr>
        <w:t>C</w:t>
      </w:r>
      <w:r w:rsidR="003B4098" w:rsidRPr="005E6C4B">
        <w:rPr>
          <w:snapToGrid w:val="0"/>
        </w:rPr>
        <w:t xml:space="preserve">oordination </w:t>
      </w:r>
      <w:r w:rsidR="00D41AF5" w:rsidRPr="005E6C4B">
        <w:rPr>
          <w:snapToGrid w:val="0"/>
        </w:rPr>
        <w:t>U</w:t>
      </w:r>
      <w:r w:rsidR="003B4098" w:rsidRPr="005E6C4B">
        <w:rPr>
          <w:snapToGrid w:val="0"/>
        </w:rPr>
        <w:t>nit’</w:t>
      </w:r>
      <w:r w:rsidR="00D41AF5" w:rsidRPr="005E6C4B">
        <w:rPr>
          <w:snapToGrid w:val="0"/>
        </w:rPr>
        <w:t>s</w:t>
      </w:r>
      <w:r w:rsidR="003B4098" w:rsidRPr="005E6C4B">
        <w:rPr>
          <w:snapToGrid w:val="0"/>
        </w:rPr>
        <w:t xml:space="preserve"> (SCUs)</w:t>
      </w:r>
      <w:r w:rsidRPr="005E6C4B">
        <w:rPr>
          <w:snapToGrid w:val="0"/>
        </w:rPr>
        <w:t xml:space="preserve"> rests with the N</w:t>
      </w:r>
      <w:r w:rsidR="005E6C4B" w:rsidRPr="005E6C4B">
        <w:rPr>
          <w:snapToGrid w:val="0"/>
        </w:rPr>
        <w:t xml:space="preserve">ational </w:t>
      </w:r>
      <w:r w:rsidRPr="005E6C4B">
        <w:rPr>
          <w:snapToGrid w:val="0"/>
        </w:rPr>
        <w:t>Q</w:t>
      </w:r>
      <w:r w:rsidR="005E6C4B" w:rsidRPr="005E6C4B">
        <w:rPr>
          <w:snapToGrid w:val="0"/>
        </w:rPr>
        <w:t xml:space="preserve">uality </w:t>
      </w:r>
      <w:r w:rsidRPr="005E6C4B">
        <w:rPr>
          <w:snapToGrid w:val="0"/>
        </w:rPr>
        <w:t>M</w:t>
      </w:r>
      <w:r w:rsidR="005E6C4B" w:rsidRPr="005E6C4B">
        <w:rPr>
          <w:snapToGrid w:val="0"/>
        </w:rPr>
        <w:t xml:space="preserve">anagement </w:t>
      </w:r>
      <w:r w:rsidRPr="005E6C4B">
        <w:rPr>
          <w:snapToGrid w:val="0"/>
        </w:rPr>
        <w:t>C</w:t>
      </w:r>
      <w:r w:rsidR="005E6C4B" w:rsidRPr="005E6C4B">
        <w:rPr>
          <w:snapToGrid w:val="0"/>
        </w:rPr>
        <w:t>ommittee (NQMC)</w:t>
      </w:r>
      <w:r w:rsidRPr="005E6C4B">
        <w:rPr>
          <w:snapToGrid w:val="0"/>
        </w:rPr>
        <w:t xml:space="preserve">.  </w:t>
      </w:r>
      <w:r w:rsidR="00FB4982" w:rsidRPr="005E6C4B">
        <w:rPr>
          <w:snapToGrid w:val="0"/>
        </w:rPr>
        <w:t xml:space="preserve">While the </w:t>
      </w:r>
      <w:r w:rsidR="00FB4982" w:rsidRPr="005E6C4B">
        <w:rPr>
          <w:rFonts w:cs="Calibri"/>
        </w:rPr>
        <w:t xml:space="preserve">requirements for levels </w:t>
      </w:r>
      <w:r w:rsidR="00482AA1">
        <w:rPr>
          <w:rFonts w:cs="Calibri"/>
        </w:rPr>
        <w:t xml:space="preserve">of performance set out in </w:t>
      </w:r>
      <w:r w:rsidR="00C756E0">
        <w:rPr>
          <w:rFonts w:cs="Calibri"/>
        </w:rPr>
        <w:fldChar w:fldCharType="begin"/>
      </w:r>
      <w:r w:rsidR="00C756E0">
        <w:rPr>
          <w:rFonts w:cs="Calibri"/>
        </w:rPr>
        <w:instrText xml:space="preserve"> REF _Ref465948616 \h </w:instrText>
      </w:r>
      <w:r w:rsidR="00C756E0">
        <w:rPr>
          <w:rFonts w:cs="Calibri"/>
        </w:rPr>
      </w:r>
      <w:r w:rsidR="00C756E0">
        <w:rPr>
          <w:rFonts w:cs="Calibri"/>
        </w:rPr>
        <w:fldChar w:fldCharType="separate"/>
      </w:r>
      <w:r w:rsidR="00B36BEE" w:rsidRPr="003C0C7B">
        <w:t xml:space="preserve">Table </w:t>
      </w:r>
      <w:r w:rsidR="00B36BEE">
        <w:rPr>
          <w:noProof/>
        </w:rPr>
        <w:t>1</w:t>
      </w:r>
      <w:r w:rsidR="00C756E0">
        <w:rPr>
          <w:rFonts w:cs="Calibri"/>
        </w:rPr>
        <w:fldChar w:fldCharType="end"/>
      </w:r>
      <w:r w:rsidR="00482AA1">
        <w:rPr>
          <w:rFonts w:cs="Calibri"/>
        </w:rPr>
        <w:t xml:space="preserve"> </w:t>
      </w:r>
      <w:r w:rsidR="00FB4982" w:rsidRPr="005E6C4B">
        <w:rPr>
          <w:rFonts w:cs="Calibri"/>
        </w:rPr>
        <w:t xml:space="preserve">guide the NQMC's decision-making, </w:t>
      </w:r>
      <w:r w:rsidR="00FB4982" w:rsidRPr="005E6C4B">
        <w:rPr>
          <w:snapToGrid w:val="0"/>
        </w:rPr>
        <w:t>the NQMC</w:t>
      </w:r>
      <w:r w:rsidR="00FB4982" w:rsidRPr="005E6C4B">
        <w:rPr>
          <w:rFonts w:cs="Calibri"/>
        </w:rPr>
        <w:t xml:space="preserve"> may vary from these requirements provided there is sufficient justification.</w:t>
      </w:r>
      <w:r w:rsidR="00FB4982">
        <w:rPr>
          <w:rFonts w:cs="Calibri"/>
        </w:rPr>
        <w:t xml:space="preserve"> </w:t>
      </w:r>
      <w:r w:rsidRPr="005E6C4B">
        <w:rPr>
          <w:rFonts w:cs="Calibri"/>
        </w:rPr>
        <w:t xml:space="preserve">In any such cases, the NQMC’s reasons will be fully documented and communicated in writing to the relevant </w:t>
      </w:r>
      <w:r w:rsidR="00DC7FF8" w:rsidRPr="005E6C4B">
        <w:rPr>
          <w:rFonts w:cs="Calibri"/>
        </w:rPr>
        <w:t xml:space="preserve">Service and/or </w:t>
      </w:r>
      <w:r w:rsidRPr="005E6C4B">
        <w:rPr>
          <w:rFonts w:cs="Calibri"/>
        </w:rPr>
        <w:t>SCU</w:t>
      </w:r>
      <w:r w:rsidR="00524250" w:rsidRPr="005E6C4B">
        <w:rPr>
          <w:rFonts w:cs="Calibri"/>
        </w:rPr>
        <w:t xml:space="preserve">, </w:t>
      </w:r>
      <w:r w:rsidR="00DC7FF8" w:rsidRPr="005E6C4B">
        <w:rPr>
          <w:rFonts w:cs="Calibri"/>
        </w:rPr>
        <w:t>the respective state or territory Department of Health</w:t>
      </w:r>
      <w:r w:rsidR="00524250" w:rsidRPr="005E6C4B">
        <w:rPr>
          <w:rFonts w:cs="Calibri"/>
        </w:rPr>
        <w:t xml:space="preserve"> and </w:t>
      </w:r>
      <w:r w:rsidR="00C902CD" w:rsidRPr="005E6C4B">
        <w:rPr>
          <w:rFonts w:cs="Calibri"/>
        </w:rPr>
        <w:t>survey</w:t>
      </w:r>
      <w:r w:rsidR="00524250" w:rsidRPr="005E6C4B">
        <w:rPr>
          <w:rFonts w:cs="Calibri"/>
        </w:rPr>
        <w:t xml:space="preserve"> team</w:t>
      </w:r>
      <w:r w:rsidRPr="005E6C4B">
        <w:rPr>
          <w:rFonts w:cs="Calibri"/>
        </w:rPr>
        <w:t>.</w:t>
      </w:r>
    </w:p>
    <w:p w14:paraId="74AB85ED" w14:textId="68815444" w:rsidR="001E2C1B" w:rsidRDefault="001E2C1B" w:rsidP="00AB1C35">
      <w:pPr>
        <w:rPr>
          <w:snapToGrid w:val="0"/>
        </w:rPr>
      </w:pPr>
      <w:r w:rsidRPr="004844A5">
        <w:rPr>
          <w:snapToGrid w:val="0"/>
        </w:rPr>
        <w:t>There is an internal review and appeals process for NQMC decisions, outlined in Section 3.5.</w:t>
      </w:r>
    </w:p>
    <w:p w14:paraId="07A6C00B" w14:textId="30D0D1B6" w:rsidR="006D53BD" w:rsidRPr="005E6C4B" w:rsidRDefault="006D53BD" w:rsidP="00AB1C35">
      <w:pPr>
        <w:rPr>
          <w:rFonts w:cs="Calibri"/>
        </w:rPr>
      </w:pPr>
      <w:r w:rsidRPr="005E6C4B">
        <w:rPr>
          <w:snapToGrid w:val="0"/>
        </w:rPr>
        <w:t xml:space="preserve">As it is a government committee bound by Commonwealth administrative law provisions, NQMC deliberations and decisions may </w:t>
      </w:r>
      <w:r w:rsidR="00BF0600">
        <w:rPr>
          <w:snapToGrid w:val="0"/>
        </w:rPr>
        <w:t xml:space="preserve">also </w:t>
      </w:r>
      <w:r w:rsidRPr="005E6C4B">
        <w:rPr>
          <w:snapToGrid w:val="0"/>
        </w:rPr>
        <w:t xml:space="preserve">be subject to external reviews, such as by the Commonwealth Administrative Appeals Tribunal, the Australian National Audit Ofﬁce, and the Commonwealth Ombudsman.  The NQMC may also be answerable to Freedom of Information requests, Administrative Decisions (Judicial Review) legislation and Parliamentary inquiry.  Therefore, care is taken to properly record the deliberations and decisions of the NQMC.  </w:t>
      </w:r>
    </w:p>
    <w:p w14:paraId="7131C65B" w14:textId="479569FF" w:rsidR="006D53BD" w:rsidRPr="005E6C4B" w:rsidRDefault="00D41AF5" w:rsidP="00500310">
      <w:pPr>
        <w:pStyle w:val="Heading2"/>
      </w:pPr>
      <w:bookmarkStart w:id="83" w:name="_Toc517944615"/>
      <w:bookmarkStart w:id="84" w:name="_Toc66438645"/>
      <w:r w:rsidRPr="005E6C4B">
        <w:t xml:space="preserve">NQMC </w:t>
      </w:r>
      <w:r w:rsidR="006D53BD" w:rsidRPr="005E6C4B">
        <w:t>DECISION-MAKING</w:t>
      </w:r>
      <w:bookmarkEnd w:id="83"/>
      <w:bookmarkEnd w:id="84"/>
    </w:p>
    <w:p w14:paraId="1F944AB2" w14:textId="05A0996C" w:rsidR="006D53BD" w:rsidRPr="00501643" w:rsidRDefault="006D53BD" w:rsidP="007F7A49">
      <w:pPr>
        <w:rPr>
          <w:snapToGrid w:val="0"/>
        </w:rPr>
      </w:pPr>
      <w:r w:rsidRPr="00501643">
        <w:rPr>
          <w:snapToGrid w:val="0"/>
        </w:rPr>
        <w:t>In making accreditation decisions, the NQMC considers the balance of the performance of Services and</w:t>
      </w:r>
      <w:r w:rsidR="00992677" w:rsidRPr="00501643">
        <w:rPr>
          <w:snapToGrid w:val="0"/>
        </w:rPr>
        <w:t>/or</w:t>
      </w:r>
      <w:r w:rsidR="00EA6ADF" w:rsidRPr="00501643">
        <w:rPr>
          <w:snapToGrid w:val="0"/>
        </w:rPr>
        <w:t xml:space="preserve"> </w:t>
      </w:r>
      <w:r w:rsidRPr="00501643">
        <w:rPr>
          <w:snapToGrid w:val="0"/>
        </w:rPr>
        <w:t>SCUs across all N</w:t>
      </w:r>
      <w:r w:rsidR="00623738" w:rsidRPr="00501643">
        <w:rPr>
          <w:snapToGrid w:val="0"/>
        </w:rPr>
        <w:t>ational Accreditation Standard (N</w:t>
      </w:r>
      <w:r w:rsidRPr="00501643">
        <w:rPr>
          <w:snapToGrid w:val="0"/>
        </w:rPr>
        <w:t>AS</w:t>
      </w:r>
      <w:r w:rsidR="00623738" w:rsidRPr="00501643">
        <w:rPr>
          <w:snapToGrid w:val="0"/>
        </w:rPr>
        <w:t>)</w:t>
      </w:r>
      <w:r w:rsidRPr="00501643">
        <w:rPr>
          <w:snapToGrid w:val="0"/>
        </w:rPr>
        <w:t xml:space="preserve"> </w:t>
      </w:r>
      <w:r w:rsidR="003B4098" w:rsidRPr="00501643">
        <w:rPr>
          <w:snapToGrid w:val="0"/>
        </w:rPr>
        <w:t>Measures</w:t>
      </w:r>
      <w:r w:rsidR="00A07FF1" w:rsidRPr="00501643">
        <w:rPr>
          <w:snapToGrid w:val="0"/>
        </w:rPr>
        <w:t xml:space="preserve">, using the performance targets in the Decision Tool </w:t>
      </w:r>
      <w:r w:rsidR="00DD13DA" w:rsidRPr="00501643">
        <w:rPr>
          <w:snapToGrid w:val="0"/>
        </w:rPr>
        <w:t xml:space="preserve">(refer to 3.3) </w:t>
      </w:r>
      <w:r w:rsidR="00A07FF1" w:rsidRPr="00501643">
        <w:rPr>
          <w:snapToGrid w:val="0"/>
        </w:rPr>
        <w:t>to determine an appropriate accreditation status</w:t>
      </w:r>
      <w:r w:rsidRPr="00501643">
        <w:rPr>
          <w:snapToGrid w:val="0"/>
        </w:rPr>
        <w:t xml:space="preserve">. While accreditation decisions are based on the Decision Tool, </w:t>
      </w:r>
      <w:r w:rsidR="001400C9" w:rsidRPr="00501643">
        <w:rPr>
          <w:snapToGrid w:val="0"/>
        </w:rPr>
        <w:t>t</w:t>
      </w:r>
      <w:r w:rsidRPr="00501643">
        <w:rPr>
          <w:snapToGrid w:val="0"/>
        </w:rPr>
        <w:t xml:space="preserve">he NQMC </w:t>
      </w:r>
      <w:r w:rsidR="00297562" w:rsidRPr="00501643">
        <w:rPr>
          <w:snapToGrid w:val="0"/>
        </w:rPr>
        <w:t xml:space="preserve">also </w:t>
      </w:r>
      <w:r w:rsidRPr="00501643">
        <w:rPr>
          <w:snapToGrid w:val="0"/>
        </w:rPr>
        <w:t xml:space="preserve">considers the overall context of performance, including all of the information and data presented </w:t>
      </w:r>
      <w:r w:rsidR="00803BE4" w:rsidRPr="00501643">
        <w:rPr>
          <w:snapToGrid w:val="0"/>
        </w:rPr>
        <w:t>as part of the application</w:t>
      </w:r>
      <w:r w:rsidR="00B71D14" w:rsidRPr="00501643">
        <w:rPr>
          <w:snapToGrid w:val="0"/>
        </w:rPr>
        <w:t>, including the survey report</w:t>
      </w:r>
      <w:r w:rsidR="00803BE4" w:rsidRPr="00501643">
        <w:rPr>
          <w:snapToGrid w:val="0"/>
        </w:rPr>
        <w:t xml:space="preserve"> </w:t>
      </w:r>
      <w:r w:rsidRPr="00501643">
        <w:rPr>
          <w:snapToGrid w:val="0"/>
        </w:rPr>
        <w:t xml:space="preserve">as well as the multidisciplinary and expert discussions held at its meetings.  This </w:t>
      </w:r>
      <w:r w:rsidR="00803BE4" w:rsidRPr="00501643">
        <w:rPr>
          <w:snapToGrid w:val="0"/>
        </w:rPr>
        <w:t>is designed to ensure a focus on</w:t>
      </w:r>
      <w:r w:rsidRPr="00501643">
        <w:rPr>
          <w:snapToGrid w:val="0"/>
        </w:rPr>
        <w:t xml:space="preserve"> quality improvement rather than </w:t>
      </w:r>
      <w:r w:rsidR="00B71D14" w:rsidRPr="00501643">
        <w:rPr>
          <w:snapToGrid w:val="0"/>
        </w:rPr>
        <w:t xml:space="preserve">solely </w:t>
      </w:r>
      <w:r w:rsidRPr="00501643">
        <w:rPr>
          <w:snapToGrid w:val="0"/>
        </w:rPr>
        <w:t>an audit process.</w:t>
      </w:r>
    </w:p>
    <w:p w14:paraId="4D87C70D" w14:textId="67BEE9F8" w:rsidR="006A0D07" w:rsidRPr="00D12B22" w:rsidRDefault="006A0D07" w:rsidP="007F7A49">
      <w:pPr>
        <w:rPr>
          <w:snapToGrid w:val="0"/>
        </w:rPr>
      </w:pPr>
      <w:r w:rsidRPr="00D12B22">
        <w:rPr>
          <w:snapToGrid w:val="0"/>
        </w:rPr>
        <w:t>Members of the NQMC who a</w:t>
      </w:r>
      <w:r>
        <w:rPr>
          <w:snapToGrid w:val="0"/>
        </w:rPr>
        <w:t>re associated with the Service or SCU</w:t>
      </w:r>
      <w:r w:rsidRPr="00D12B22">
        <w:rPr>
          <w:snapToGrid w:val="0"/>
        </w:rPr>
        <w:t xml:space="preserve"> being discussed, or who work in the SQC or SCU for that State or Territory, should be excluded from the decision</w:t>
      </w:r>
      <w:r w:rsidR="00481769">
        <w:rPr>
          <w:snapToGrid w:val="0"/>
        </w:rPr>
        <w:t>-</w:t>
      </w:r>
      <w:r w:rsidRPr="00D12B22">
        <w:rPr>
          <w:snapToGrid w:val="0"/>
        </w:rPr>
        <w:t xml:space="preserve">making and voting process.  This does not restrict such members from contributing to the discussion before the </w:t>
      </w:r>
      <w:r w:rsidR="00481769" w:rsidRPr="00D12B22">
        <w:rPr>
          <w:snapToGrid w:val="0"/>
        </w:rPr>
        <w:t>decision-making</w:t>
      </w:r>
      <w:r w:rsidRPr="00D12B22">
        <w:rPr>
          <w:snapToGrid w:val="0"/>
        </w:rPr>
        <w:t xml:space="preserve"> process.  In addition, any member of the NQMC who </w:t>
      </w:r>
      <w:r w:rsidRPr="00D12B22">
        <w:rPr>
          <w:snapToGrid w:val="0"/>
        </w:rPr>
        <w:lastRenderedPageBreak/>
        <w:t>undertook a role</w:t>
      </w:r>
      <w:r>
        <w:rPr>
          <w:snapToGrid w:val="0"/>
        </w:rPr>
        <w:t xml:space="preserve"> as surveyor or Data Assessor</w:t>
      </w:r>
      <w:r w:rsidRPr="00D12B22">
        <w:rPr>
          <w:snapToGrid w:val="0"/>
        </w:rPr>
        <w:t xml:space="preserve"> for a Service</w:t>
      </w:r>
      <w:r w:rsidR="00DA11DA">
        <w:rPr>
          <w:snapToGrid w:val="0"/>
        </w:rPr>
        <w:t xml:space="preserve"> or SCU</w:t>
      </w:r>
      <w:r w:rsidRPr="00D12B22">
        <w:rPr>
          <w:snapToGrid w:val="0"/>
        </w:rPr>
        <w:t xml:space="preserve"> being considered for accredit</w:t>
      </w:r>
      <w:r>
        <w:rPr>
          <w:snapToGrid w:val="0"/>
        </w:rPr>
        <w:t xml:space="preserve">ation will not </w:t>
      </w:r>
      <w:r w:rsidRPr="00D12B22">
        <w:rPr>
          <w:snapToGrid w:val="0"/>
        </w:rPr>
        <w:t>contribute to discussion in relation to their experience in this role</w:t>
      </w:r>
      <w:r>
        <w:rPr>
          <w:snapToGrid w:val="0"/>
        </w:rPr>
        <w:t xml:space="preserve"> b</w:t>
      </w:r>
      <w:r w:rsidR="00481769">
        <w:rPr>
          <w:snapToGrid w:val="0"/>
        </w:rPr>
        <w:t>ut are included in the decision-</w:t>
      </w:r>
      <w:r>
        <w:rPr>
          <w:snapToGrid w:val="0"/>
        </w:rPr>
        <w:t>making and voting process</w:t>
      </w:r>
      <w:r w:rsidRPr="00D12B22">
        <w:rPr>
          <w:snapToGrid w:val="0"/>
        </w:rPr>
        <w:t xml:space="preserve">.  It is the responsibility of the </w:t>
      </w:r>
      <w:r>
        <w:rPr>
          <w:snapToGrid w:val="0"/>
        </w:rPr>
        <w:t>C</w:t>
      </w:r>
      <w:r w:rsidRPr="00D12B22">
        <w:rPr>
          <w:snapToGrid w:val="0"/>
        </w:rPr>
        <w:t>hair of the NQMC to support objective decision</w:t>
      </w:r>
      <w:r>
        <w:rPr>
          <w:snapToGrid w:val="0"/>
        </w:rPr>
        <w:t>-</w:t>
      </w:r>
      <w:r w:rsidRPr="00D12B22">
        <w:rPr>
          <w:snapToGrid w:val="0"/>
        </w:rPr>
        <w:t>making by implementing these requirements.</w:t>
      </w:r>
    </w:p>
    <w:p w14:paraId="37EC2583" w14:textId="77777777" w:rsidR="006A0D07" w:rsidRPr="00501643" w:rsidRDefault="006A0D07" w:rsidP="007F7A49">
      <w:pPr>
        <w:rPr>
          <w:snapToGrid w:val="0"/>
        </w:rPr>
      </w:pPr>
      <w:r w:rsidRPr="00D12B22">
        <w:rPr>
          <w:snapToGrid w:val="0"/>
        </w:rPr>
        <w:t xml:space="preserve">For the purposes of record keeping, the NQMC </w:t>
      </w:r>
      <w:r>
        <w:rPr>
          <w:snapToGrid w:val="0"/>
        </w:rPr>
        <w:t>S</w:t>
      </w:r>
      <w:r w:rsidRPr="00D12B22">
        <w:rPr>
          <w:snapToGrid w:val="0"/>
        </w:rPr>
        <w:t>ecretariat</w:t>
      </w:r>
      <w:r>
        <w:rPr>
          <w:snapToGrid w:val="0"/>
        </w:rPr>
        <w:t xml:space="preserve"> on behalf of the NQMC,</w:t>
      </w:r>
      <w:r w:rsidRPr="00D12B22">
        <w:rPr>
          <w:snapToGrid w:val="0"/>
        </w:rPr>
        <w:t xml:space="preserve"> compiles a statement of reasons for each decision made.  This includes the relevant ﬁnding of fact, the evidence on which those ﬁndings were based and the reasons for the decision</w:t>
      </w:r>
      <w:r w:rsidRPr="00501643">
        <w:rPr>
          <w:snapToGrid w:val="0"/>
        </w:rPr>
        <w:t>.</w:t>
      </w:r>
    </w:p>
    <w:p w14:paraId="21761A30" w14:textId="21F9B2BD" w:rsidR="003B7DB3" w:rsidRPr="005E6C4B" w:rsidRDefault="003B7DB3" w:rsidP="006D2034">
      <w:pPr>
        <w:pStyle w:val="Heading3"/>
      </w:pPr>
      <w:bookmarkStart w:id="85" w:name="_Toc517944616"/>
      <w:bookmarkStart w:id="86" w:name="_Toc66438646"/>
      <w:r w:rsidRPr="005E6C4B">
        <w:t xml:space="preserve">Assessment of Service </w:t>
      </w:r>
      <w:r w:rsidR="002B0F14" w:rsidRPr="005E6C4B">
        <w:t xml:space="preserve">and SCU </w:t>
      </w:r>
      <w:r w:rsidRPr="005E6C4B">
        <w:t>Performance</w:t>
      </w:r>
      <w:bookmarkEnd w:id="85"/>
      <w:bookmarkEnd w:id="86"/>
    </w:p>
    <w:p w14:paraId="496EEBB7" w14:textId="1E92CCE8" w:rsidR="006F799C" w:rsidRPr="00501643" w:rsidRDefault="002B0F14" w:rsidP="007457DB">
      <w:pPr>
        <w:rPr>
          <w:snapToGrid w:val="0"/>
        </w:rPr>
      </w:pPr>
      <w:r w:rsidRPr="00501643">
        <w:rPr>
          <w:snapToGrid w:val="0"/>
        </w:rPr>
        <w:t xml:space="preserve">Each Service and SCU will be assessed and subsequently awarded an accreditation status by the NQMC, based on its performance against </w:t>
      </w:r>
      <w:r w:rsidR="007457DB" w:rsidRPr="007457DB">
        <w:rPr>
          <w:snapToGrid w:val="0"/>
        </w:rPr>
        <w:t>all accreditation Measures, while taking into account Service and SCU</w:t>
      </w:r>
      <w:r w:rsidR="007457DB">
        <w:rPr>
          <w:snapToGrid w:val="0"/>
        </w:rPr>
        <w:t xml:space="preserve"> </w:t>
      </w:r>
      <w:r w:rsidR="007457DB" w:rsidRPr="007457DB">
        <w:rPr>
          <w:snapToGrid w:val="0"/>
        </w:rPr>
        <w:t>responsibility against NAS Measures as outlined in the NAF</w:t>
      </w:r>
      <w:r w:rsidR="007457DB">
        <w:rPr>
          <w:snapToGrid w:val="0"/>
        </w:rPr>
        <w:t>.</w:t>
      </w:r>
      <w:r w:rsidR="004879D0" w:rsidRPr="00501643">
        <w:rPr>
          <w:snapToGrid w:val="0"/>
        </w:rPr>
        <w:t xml:space="preserve"> </w:t>
      </w:r>
    </w:p>
    <w:p w14:paraId="2F2DBB0E" w14:textId="76D9FBA2" w:rsidR="001147A3" w:rsidRPr="00501643" w:rsidRDefault="00AE4668" w:rsidP="00AE4668">
      <w:pPr>
        <w:rPr>
          <w:snapToGrid w:val="0"/>
        </w:rPr>
      </w:pPr>
      <w:r w:rsidRPr="00AE4668">
        <w:rPr>
          <w:snapToGrid w:val="0"/>
        </w:rPr>
        <w:t>A Service’s application for accreditation should include Service level</w:t>
      </w:r>
      <w:r>
        <w:rPr>
          <w:snapToGrid w:val="0"/>
        </w:rPr>
        <w:t xml:space="preserve"> </w:t>
      </w:r>
      <w:r w:rsidRPr="00AE4668">
        <w:rPr>
          <w:snapToGrid w:val="0"/>
        </w:rPr>
        <w:t>data for all NAS Measures. A SCU’s application for accreditation</w:t>
      </w:r>
      <w:r>
        <w:rPr>
          <w:snapToGrid w:val="0"/>
        </w:rPr>
        <w:t xml:space="preserve"> </w:t>
      </w:r>
      <w:r w:rsidRPr="00AE4668">
        <w:rPr>
          <w:snapToGrid w:val="0"/>
        </w:rPr>
        <w:t>should include state wide data for all NAS Measures.</w:t>
      </w:r>
    </w:p>
    <w:p w14:paraId="771A19F4" w14:textId="77777777" w:rsidR="002B0F14" w:rsidRPr="00501643" w:rsidRDefault="002B0F14" w:rsidP="007F7A49">
      <w:pPr>
        <w:rPr>
          <w:snapToGrid w:val="0"/>
        </w:rPr>
      </w:pPr>
      <w:r w:rsidRPr="00501643">
        <w:rPr>
          <w:snapToGrid w:val="0"/>
        </w:rPr>
        <w:t>For multi-service jurisdictions, the overall accreditation status</w:t>
      </w:r>
      <w:r w:rsidR="004879D0" w:rsidRPr="00501643">
        <w:rPr>
          <w:snapToGrid w:val="0"/>
        </w:rPr>
        <w:t xml:space="preserve"> that</w:t>
      </w:r>
      <w:r w:rsidRPr="00501643">
        <w:rPr>
          <w:snapToGrid w:val="0"/>
        </w:rPr>
        <w:t xml:space="preserve"> the NQMC awards an SCU will not impact on the accreditation status of individual BreastScreen Services within the jurisdiction. However, for those accreditation </w:t>
      </w:r>
      <w:r w:rsidR="005E6C4B" w:rsidRPr="00501643">
        <w:rPr>
          <w:snapToGrid w:val="0"/>
        </w:rPr>
        <w:t>Measures</w:t>
      </w:r>
      <w:r w:rsidRPr="00501643">
        <w:rPr>
          <w:snapToGrid w:val="0"/>
        </w:rPr>
        <w:t xml:space="preserve"> which have shared SCU and Service responsibility within the NA</w:t>
      </w:r>
      <w:r w:rsidR="00F759AF" w:rsidRPr="00501643">
        <w:rPr>
          <w:snapToGrid w:val="0"/>
        </w:rPr>
        <w:t>F</w:t>
      </w:r>
      <w:r w:rsidRPr="00501643">
        <w:rPr>
          <w:snapToGrid w:val="0"/>
        </w:rPr>
        <w:t xml:space="preserve">, if the </w:t>
      </w:r>
      <w:r w:rsidR="005E6C4B" w:rsidRPr="00501643">
        <w:rPr>
          <w:snapToGrid w:val="0"/>
        </w:rPr>
        <w:t>Measure</w:t>
      </w:r>
      <w:r w:rsidRPr="00501643">
        <w:rPr>
          <w:snapToGrid w:val="0"/>
        </w:rPr>
        <w:t xml:space="preserve"> is deemed to be unmet, it will be recorded as unmet on both the SCU’s and the Service’s application for accreditation. This will be taken into consideration when the SCU’s and Service’s application for accreditation is assessed against the Decision Tool.</w:t>
      </w:r>
    </w:p>
    <w:p w14:paraId="4BB6F31F" w14:textId="1851C120" w:rsidR="00B45F5F" w:rsidRDefault="00B45F5F" w:rsidP="007F7A49">
      <w:pPr>
        <w:rPr>
          <w:snapToGrid w:val="0"/>
        </w:rPr>
      </w:pPr>
      <w:r w:rsidRPr="00501643">
        <w:rPr>
          <w:snapToGrid w:val="0"/>
        </w:rPr>
        <w:t xml:space="preserve">While the protocols outlined in the NAS document </w:t>
      </w:r>
      <w:r w:rsidR="00624975" w:rsidRPr="00501643">
        <w:rPr>
          <w:snapToGrid w:val="0"/>
        </w:rPr>
        <w:t xml:space="preserve">are not measured </w:t>
      </w:r>
      <w:r w:rsidRPr="00501643">
        <w:rPr>
          <w:snapToGrid w:val="0"/>
        </w:rPr>
        <w:t xml:space="preserve">during the Accreditation Survey, they </w:t>
      </w:r>
      <w:r w:rsidR="00624975" w:rsidRPr="00501643">
        <w:rPr>
          <w:snapToGrid w:val="0"/>
        </w:rPr>
        <w:t xml:space="preserve">may form part of the validation of the self-assessment </w:t>
      </w:r>
      <w:r w:rsidRPr="00501643">
        <w:rPr>
          <w:snapToGrid w:val="0"/>
        </w:rPr>
        <w:t xml:space="preserve">for the purpose of accreditation.  </w:t>
      </w:r>
      <w:r w:rsidR="00191D2E" w:rsidRPr="00501643">
        <w:rPr>
          <w:snapToGrid w:val="0"/>
        </w:rPr>
        <w:t xml:space="preserve">The protocols are the underpinning principles that guide and ensure consistent quality of services and should be the primary reference </w:t>
      </w:r>
      <w:r w:rsidRPr="00501643">
        <w:rPr>
          <w:snapToGrid w:val="0"/>
        </w:rPr>
        <w:t xml:space="preserve">in the event of declining performance or </w:t>
      </w:r>
      <w:r w:rsidR="00191D2E" w:rsidRPr="00501643">
        <w:rPr>
          <w:snapToGrid w:val="0"/>
        </w:rPr>
        <w:t xml:space="preserve">Service’s </w:t>
      </w:r>
      <w:r w:rsidRPr="00501643">
        <w:rPr>
          <w:snapToGrid w:val="0"/>
        </w:rPr>
        <w:t>difficulty achieving the respective NAS Measures.</w:t>
      </w:r>
      <w:r w:rsidR="00191D2E" w:rsidRPr="00501643">
        <w:rPr>
          <w:snapToGrid w:val="0"/>
        </w:rPr>
        <w:t xml:space="preserve"> The protocols are also a tool for the development of quality improvement strategies.</w:t>
      </w:r>
    </w:p>
    <w:p w14:paraId="1B5F0CE5" w14:textId="2CC513AB" w:rsidR="006F799C" w:rsidRDefault="006F799C" w:rsidP="006D2034">
      <w:pPr>
        <w:pStyle w:val="Heading3"/>
      </w:pPr>
      <w:bookmarkStart w:id="87" w:name="_Toc517944617"/>
      <w:bookmarkStart w:id="88" w:name="_Toc66438647"/>
      <w:r>
        <w:t>Revisions of Accreditation Status</w:t>
      </w:r>
      <w:bookmarkEnd w:id="87"/>
      <w:bookmarkEnd w:id="88"/>
    </w:p>
    <w:p w14:paraId="1F905A98" w14:textId="0AE57282" w:rsidR="006F799C" w:rsidRDefault="006F799C" w:rsidP="006F799C">
      <w:pPr>
        <w:rPr>
          <w:snapToGrid w:val="0"/>
        </w:rPr>
      </w:pPr>
      <w:r w:rsidRPr="00501643">
        <w:rPr>
          <w:snapToGrid w:val="0"/>
        </w:rPr>
        <w:t>The NQMC may review the accreditation status of a Service and/or SCU at any time during the accreditation cycle.</w:t>
      </w:r>
      <w:r>
        <w:rPr>
          <w:snapToGrid w:val="0"/>
        </w:rPr>
        <w:t xml:space="preserve"> </w:t>
      </w:r>
      <w:r w:rsidR="00C118FB">
        <w:rPr>
          <w:snapToGrid w:val="0"/>
        </w:rPr>
        <w:t>Such a</w:t>
      </w:r>
      <w:r>
        <w:rPr>
          <w:snapToGrid w:val="0"/>
        </w:rPr>
        <w:t xml:space="preserve"> review </w:t>
      </w:r>
      <w:r w:rsidR="00C118FB">
        <w:rPr>
          <w:snapToGrid w:val="0"/>
        </w:rPr>
        <w:t xml:space="preserve">may result in the NQMC </w:t>
      </w:r>
      <w:r w:rsidR="00971739">
        <w:rPr>
          <w:snapToGrid w:val="0"/>
        </w:rPr>
        <w:t>upgrading or downgrading</w:t>
      </w:r>
      <w:r w:rsidR="00C118FB">
        <w:rPr>
          <w:snapToGrid w:val="0"/>
        </w:rPr>
        <w:t xml:space="preserve"> </w:t>
      </w:r>
      <w:r>
        <w:rPr>
          <w:snapToGrid w:val="0"/>
        </w:rPr>
        <w:t>the accreditation status of a Service or SCU.</w:t>
      </w:r>
    </w:p>
    <w:p w14:paraId="1FFB4ED6" w14:textId="50A5955D" w:rsidR="006F799C" w:rsidRDefault="006F799C" w:rsidP="006F799C">
      <w:r>
        <w:t xml:space="preserve">The following </w:t>
      </w:r>
      <w:r w:rsidR="00C118FB">
        <w:t>will</w:t>
      </w:r>
      <w:r>
        <w:t xml:space="preserve"> apply </w:t>
      </w:r>
      <w:r w:rsidR="00C118FB">
        <w:t xml:space="preserve">if a </w:t>
      </w:r>
      <w:r w:rsidR="00C118FB" w:rsidRPr="00A75E71">
        <w:t>mid-accreditation term</w:t>
      </w:r>
      <w:r w:rsidR="007B4CF4">
        <w:t xml:space="preserve"> review </w:t>
      </w:r>
      <w:r w:rsidR="007B4CF4" w:rsidRPr="00A75E71">
        <w:t>leads</w:t>
      </w:r>
      <w:r w:rsidR="00C118FB">
        <w:t xml:space="preserve"> the </w:t>
      </w:r>
      <w:r>
        <w:t xml:space="preserve">NQMC </w:t>
      </w:r>
      <w:r w:rsidR="00C118FB">
        <w:t xml:space="preserve">to consider an </w:t>
      </w:r>
      <w:r w:rsidR="00A73C5C">
        <w:t>accreditation downgrade:</w:t>
      </w:r>
    </w:p>
    <w:p w14:paraId="6E92B13F" w14:textId="633E60E2" w:rsidR="00A75E71" w:rsidRDefault="00A75E71" w:rsidP="00A75E71">
      <w:pPr>
        <w:pStyle w:val="ListBullet"/>
      </w:pPr>
      <w:r w:rsidRPr="00A75E71">
        <w:t>I</w:t>
      </w:r>
      <w:r w:rsidR="00C118FB">
        <w:t xml:space="preserve">f the review identifies performance </w:t>
      </w:r>
      <w:r w:rsidRPr="00A75E71">
        <w:t xml:space="preserve">issues which </w:t>
      </w:r>
      <w:r w:rsidR="0028655B">
        <w:t>are not considered to</w:t>
      </w:r>
      <w:r w:rsidRPr="00A75E71">
        <w:t xml:space="preserve"> involve an immediate and significant risk of a Level 1 adverse event occurring, the NQMC will, prior to making a decision to revise the accreditation status of a Service/SCU, either:</w:t>
      </w:r>
    </w:p>
    <w:p w14:paraId="4E5A5761" w14:textId="16470504" w:rsidR="00A75E71" w:rsidRDefault="00A75E71" w:rsidP="00A75E71">
      <w:pPr>
        <w:pStyle w:val="ListBullet2"/>
      </w:pPr>
      <w:r w:rsidRPr="00A75E71">
        <w:lastRenderedPageBreak/>
        <w:t>undertake a ‘show cause’ process</w:t>
      </w:r>
      <w:r w:rsidR="006C76F4">
        <w:rPr>
          <w:rStyle w:val="FootnoteReference"/>
        </w:rPr>
        <w:footnoteReference w:id="4"/>
      </w:r>
      <w:r w:rsidRPr="00A75E71">
        <w:t xml:space="preserve"> requesting further information; or </w:t>
      </w:r>
    </w:p>
    <w:p w14:paraId="1658DCA7" w14:textId="3C26770B" w:rsidR="00A75E71" w:rsidRDefault="00A75E71" w:rsidP="00A75E71">
      <w:pPr>
        <w:pStyle w:val="ListBullet2"/>
      </w:pPr>
      <w:r w:rsidRPr="00A75E71">
        <w:t>commission an Interim Survey</w:t>
      </w:r>
      <w:r>
        <w:t>.</w:t>
      </w:r>
    </w:p>
    <w:p w14:paraId="2AB1B07F" w14:textId="19BC03D3" w:rsidR="00A75E71" w:rsidRPr="006F799C" w:rsidRDefault="00A75E71" w:rsidP="00A75E71">
      <w:pPr>
        <w:pStyle w:val="ListBullet"/>
      </w:pPr>
      <w:r w:rsidRPr="00A75E71">
        <w:t xml:space="preserve">If </w:t>
      </w:r>
      <w:r w:rsidR="00C85905">
        <w:t xml:space="preserve">the NQMC </w:t>
      </w:r>
      <w:r w:rsidRPr="00A75E71">
        <w:t>consider</w:t>
      </w:r>
      <w:r w:rsidR="00C85905">
        <w:t>s</w:t>
      </w:r>
      <w:r w:rsidRPr="00A75E71">
        <w:t xml:space="preserve"> that there is an immediate and significant risk of a Level 1 adverse event occurring, the NQMC may immediate</w:t>
      </w:r>
      <w:r w:rsidR="00971739">
        <w:t>ly</w:t>
      </w:r>
      <w:r w:rsidRPr="00A75E71">
        <w:t xml:space="preserve"> down</w:t>
      </w:r>
      <w:r w:rsidR="00971739">
        <w:t xml:space="preserve">grade </w:t>
      </w:r>
      <w:r w:rsidRPr="00A75E71">
        <w:t>the accreditation status.</w:t>
      </w:r>
    </w:p>
    <w:p w14:paraId="5B48D9FE" w14:textId="626B8EA3" w:rsidR="004A2291" w:rsidRPr="007F7A49" w:rsidRDefault="004A2291" w:rsidP="006D2034">
      <w:pPr>
        <w:pStyle w:val="Heading3"/>
      </w:pPr>
      <w:bookmarkStart w:id="89" w:name="_Toc517944618"/>
      <w:bookmarkStart w:id="90" w:name="_Toc66438648"/>
      <w:r w:rsidRPr="007F7A49">
        <w:t>Use of Confidence Intervals</w:t>
      </w:r>
      <w:bookmarkEnd w:id="89"/>
      <w:bookmarkEnd w:id="90"/>
    </w:p>
    <w:p w14:paraId="6B035B8B" w14:textId="3060BB26" w:rsidR="00362350" w:rsidRDefault="006D53BD" w:rsidP="007F7A49">
      <w:pPr>
        <w:rPr>
          <w:snapToGrid w:val="0"/>
        </w:rPr>
      </w:pPr>
      <w:r w:rsidRPr="00501643">
        <w:rPr>
          <w:snapToGrid w:val="0"/>
        </w:rPr>
        <w:t xml:space="preserve">In assessing performance against quantitative indicators, the NQMC considers outcomes within 95% confidence intervals.  This is particularly critical in the case of Services </w:t>
      </w:r>
      <w:r w:rsidR="00362350" w:rsidRPr="00501643">
        <w:rPr>
          <w:snapToGrid w:val="0"/>
        </w:rPr>
        <w:t xml:space="preserve">which </w:t>
      </w:r>
      <w:r w:rsidRPr="00501643">
        <w:rPr>
          <w:snapToGrid w:val="0"/>
        </w:rPr>
        <w:t xml:space="preserve">screen or assess small numbers of women, where performance may vary from the </w:t>
      </w:r>
      <w:r w:rsidR="005E6C4B" w:rsidRPr="00501643">
        <w:rPr>
          <w:snapToGrid w:val="0"/>
        </w:rPr>
        <w:t>Measure</w:t>
      </w:r>
      <w:r w:rsidR="00362350" w:rsidRPr="00501643">
        <w:rPr>
          <w:snapToGrid w:val="0"/>
        </w:rPr>
        <w:t xml:space="preserve"> </w:t>
      </w:r>
      <w:r w:rsidR="003374C0">
        <w:rPr>
          <w:snapToGrid w:val="0"/>
        </w:rPr>
        <w:t xml:space="preserve">as a result of chance. </w:t>
      </w:r>
    </w:p>
    <w:p w14:paraId="312F06B1" w14:textId="4FC0628D" w:rsidR="00DB6C37" w:rsidRPr="00501643" w:rsidRDefault="006D53BD" w:rsidP="00DB6C37">
      <w:pPr>
        <w:rPr>
          <w:snapToGrid w:val="0"/>
        </w:rPr>
      </w:pPr>
      <w:r w:rsidRPr="00501643">
        <w:rPr>
          <w:snapToGrid w:val="0"/>
        </w:rPr>
        <w:t>Therefore</w:t>
      </w:r>
      <w:r w:rsidR="00051405">
        <w:rPr>
          <w:snapToGrid w:val="0"/>
        </w:rPr>
        <w:t>,</w:t>
      </w:r>
      <w:r w:rsidRPr="00501643">
        <w:rPr>
          <w:snapToGrid w:val="0"/>
        </w:rPr>
        <w:t xml:space="preserve"> it is important </w:t>
      </w:r>
      <w:r w:rsidR="00803BE4" w:rsidRPr="00501643">
        <w:rPr>
          <w:snapToGrid w:val="0"/>
        </w:rPr>
        <w:t>that SCUs/Services</w:t>
      </w:r>
      <w:r w:rsidRPr="00501643">
        <w:rPr>
          <w:snapToGrid w:val="0"/>
        </w:rPr>
        <w:t xml:space="preserve"> report against conﬁdence intervals wherever possible in addressing </w:t>
      </w:r>
      <w:r w:rsidR="005E6C4B" w:rsidRPr="00501643">
        <w:rPr>
          <w:snapToGrid w:val="0"/>
        </w:rPr>
        <w:t>Measures</w:t>
      </w:r>
      <w:r w:rsidRPr="00501643">
        <w:rPr>
          <w:snapToGrid w:val="0"/>
        </w:rPr>
        <w:t xml:space="preserve"> that are technically unmet and just on the borderline of being met.  SCUs and Services should also provide any information available to support consideration of the </w:t>
      </w:r>
      <w:r w:rsidR="005E6C4B" w:rsidRPr="00501643">
        <w:rPr>
          <w:snapToGrid w:val="0"/>
        </w:rPr>
        <w:t>Measure</w:t>
      </w:r>
      <w:r w:rsidRPr="00501643">
        <w:rPr>
          <w:snapToGrid w:val="0"/>
        </w:rPr>
        <w:t xml:space="preserve"> as being met, such as aggregated data that can increase interpretive power or </w:t>
      </w:r>
      <w:r w:rsidR="007776C9" w:rsidRPr="00501643">
        <w:rPr>
          <w:snapToGrid w:val="0"/>
        </w:rPr>
        <w:t xml:space="preserve">demonstrate </w:t>
      </w:r>
      <w:r w:rsidRPr="00501643">
        <w:rPr>
          <w:snapToGrid w:val="0"/>
        </w:rPr>
        <w:t>trends.</w:t>
      </w:r>
    </w:p>
    <w:p w14:paraId="0212EB0C" w14:textId="77777777" w:rsidR="00DB6C37" w:rsidRDefault="006D53BD" w:rsidP="00DB6C37">
      <w:pPr>
        <w:rPr>
          <w:snapToGrid w:val="0"/>
        </w:rPr>
      </w:pPr>
      <w:r w:rsidRPr="00501643">
        <w:rPr>
          <w:snapToGrid w:val="0"/>
        </w:rPr>
        <w:t xml:space="preserve">Where performance is outside the absolute </w:t>
      </w:r>
      <w:r w:rsidR="0083460B" w:rsidRPr="00501643">
        <w:rPr>
          <w:snapToGrid w:val="0"/>
        </w:rPr>
        <w:t xml:space="preserve">requirement </w:t>
      </w:r>
      <w:r w:rsidRPr="00501643">
        <w:rPr>
          <w:snapToGrid w:val="0"/>
        </w:rPr>
        <w:t xml:space="preserve">set for the </w:t>
      </w:r>
      <w:r w:rsidR="005E6C4B" w:rsidRPr="00501643">
        <w:rPr>
          <w:snapToGrid w:val="0"/>
        </w:rPr>
        <w:t>Measure</w:t>
      </w:r>
      <w:r w:rsidRPr="00501643">
        <w:rPr>
          <w:snapToGrid w:val="0"/>
        </w:rPr>
        <w:t>, but within the conﬁdence interval, close monitoring should be implemented</w:t>
      </w:r>
      <w:r w:rsidR="00803BE4" w:rsidRPr="00501643">
        <w:rPr>
          <w:snapToGrid w:val="0"/>
        </w:rPr>
        <w:t xml:space="preserve"> by the Service and/or SCU</w:t>
      </w:r>
      <w:r w:rsidRPr="00501643">
        <w:rPr>
          <w:snapToGrid w:val="0"/>
        </w:rPr>
        <w:t xml:space="preserve">.  It is recognised that not all </w:t>
      </w:r>
      <w:r w:rsidR="00F3331B" w:rsidRPr="00501643">
        <w:rPr>
          <w:snapToGrid w:val="0"/>
        </w:rPr>
        <w:t xml:space="preserve">Services </w:t>
      </w:r>
      <w:r w:rsidR="004E3290" w:rsidRPr="00501643">
        <w:rPr>
          <w:snapToGrid w:val="0"/>
        </w:rPr>
        <w:t>and/</w:t>
      </w:r>
      <w:r w:rsidR="00F3331B" w:rsidRPr="00501643">
        <w:rPr>
          <w:snapToGrid w:val="0"/>
        </w:rPr>
        <w:t xml:space="preserve">or </w:t>
      </w:r>
      <w:r w:rsidRPr="00501643">
        <w:rPr>
          <w:snapToGrid w:val="0"/>
        </w:rPr>
        <w:t xml:space="preserve">SCUs will meet all of the NAS </w:t>
      </w:r>
      <w:r w:rsidR="005E6C4B" w:rsidRPr="00501643">
        <w:rPr>
          <w:snapToGrid w:val="0"/>
        </w:rPr>
        <w:t>Measures</w:t>
      </w:r>
      <w:r w:rsidRPr="00501643">
        <w:rPr>
          <w:snapToGrid w:val="0"/>
        </w:rPr>
        <w:t xml:space="preserve">.  If a measure is not achieved, the reasons should be analysed and targeted strategies for improvement implemented.  </w:t>
      </w:r>
    </w:p>
    <w:p w14:paraId="2ACFE189" w14:textId="635A0C51" w:rsidR="00DB6C37" w:rsidRPr="00130973" w:rsidRDefault="00DB6C37" w:rsidP="00DB6C37">
      <w:pPr>
        <w:rPr>
          <w:snapToGrid w:val="0"/>
        </w:rPr>
      </w:pPr>
      <w:r w:rsidRPr="00130973">
        <w:rPr>
          <w:snapToGrid w:val="0"/>
        </w:rPr>
        <w:t xml:space="preserve">Where a Measure is not met and a confidence interval is supplied by a Data Report (either in an application or in an Annual Data Report), the NQMC will apply the </w:t>
      </w:r>
      <w:r w:rsidR="00481769" w:rsidRPr="00130973">
        <w:rPr>
          <w:snapToGrid w:val="0"/>
        </w:rPr>
        <w:t>following rules in its decision-</w:t>
      </w:r>
      <w:r w:rsidRPr="00130973">
        <w:rPr>
          <w:snapToGrid w:val="0"/>
        </w:rPr>
        <w:t xml:space="preserve">making: </w:t>
      </w:r>
    </w:p>
    <w:p w14:paraId="040C04C4" w14:textId="0FCCFE42" w:rsidR="00DB6C37" w:rsidRPr="00130973" w:rsidRDefault="00DB6C37" w:rsidP="00DB6C37">
      <w:pPr>
        <w:pStyle w:val="ListBullet"/>
        <w:rPr>
          <w:snapToGrid w:val="0"/>
        </w:rPr>
      </w:pPr>
      <w:r w:rsidRPr="00130973">
        <w:rPr>
          <w:snapToGrid w:val="0"/>
        </w:rPr>
        <w:t>Performance falling within the 95% confidence interval will be considered a necessary but insufficient condi</w:t>
      </w:r>
      <w:r w:rsidR="00481769" w:rsidRPr="00130973">
        <w:rPr>
          <w:snapToGrid w:val="0"/>
        </w:rPr>
        <w:t>tion for accreditation decision-</w:t>
      </w:r>
      <w:r w:rsidRPr="00130973">
        <w:rPr>
          <w:snapToGrid w:val="0"/>
        </w:rPr>
        <w:t xml:space="preserve">making purposes; and </w:t>
      </w:r>
    </w:p>
    <w:p w14:paraId="5BB2EF0E" w14:textId="1C979716" w:rsidR="00DB6C37" w:rsidRPr="00130973" w:rsidRDefault="00DB6C37" w:rsidP="00DB6C37">
      <w:pPr>
        <w:pStyle w:val="ListBullet"/>
        <w:rPr>
          <w:snapToGrid w:val="0"/>
        </w:rPr>
      </w:pPr>
      <w:r w:rsidRPr="00130973">
        <w:rPr>
          <w:snapToGrid w:val="0"/>
        </w:rPr>
        <w:t>Additional sources of evidence will be used by the NQMC to</w:t>
      </w:r>
      <w:r w:rsidR="00481769" w:rsidRPr="00130973">
        <w:rPr>
          <w:snapToGrid w:val="0"/>
        </w:rPr>
        <w:t xml:space="preserve"> support accreditation decision-</w:t>
      </w:r>
      <w:r w:rsidRPr="00130973">
        <w:rPr>
          <w:snapToGrid w:val="0"/>
        </w:rPr>
        <w:t>making.  These sources may include aggregated data, additional historical data, the small numbers index, survey reports, and the opinion and experience of other committee members.</w:t>
      </w:r>
    </w:p>
    <w:p w14:paraId="3E516150" w14:textId="285593A2" w:rsidR="00DB6C37" w:rsidRDefault="00DB6C37" w:rsidP="007F7A49">
      <w:pPr>
        <w:rPr>
          <w:snapToGrid w:val="0"/>
        </w:rPr>
      </w:pPr>
      <w:r>
        <w:rPr>
          <w:snapToGrid w:val="0"/>
        </w:rPr>
        <w:t xml:space="preserve">The rationale behind these rules is outlined in </w:t>
      </w:r>
      <w:hyperlink w:anchor="_Attachment_5:_The" w:history="1">
        <w:r w:rsidRPr="00B90F7F">
          <w:rPr>
            <w:rStyle w:val="Hyperlink"/>
            <w:snapToGrid w:val="0"/>
          </w:rPr>
          <w:t>Attachment 5</w:t>
        </w:r>
      </w:hyperlink>
      <w:r>
        <w:rPr>
          <w:snapToGrid w:val="0"/>
        </w:rPr>
        <w:t>.</w:t>
      </w:r>
    </w:p>
    <w:p w14:paraId="4C49EE03" w14:textId="62FDD140" w:rsidR="009C249E" w:rsidRPr="00501643" w:rsidRDefault="006D53BD" w:rsidP="007F7A49">
      <w:pPr>
        <w:rPr>
          <w:snapToGrid w:val="0"/>
        </w:rPr>
      </w:pPr>
      <w:r w:rsidRPr="00501643">
        <w:rPr>
          <w:snapToGrid w:val="0"/>
        </w:rPr>
        <w:t xml:space="preserve">The NQMC will consider awarding accreditation where </w:t>
      </w:r>
      <w:r w:rsidR="005E6C4B" w:rsidRPr="00501643">
        <w:rPr>
          <w:snapToGrid w:val="0"/>
        </w:rPr>
        <w:t>Measure</w:t>
      </w:r>
      <w:r w:rsidRPr="00501643">
        <w:rPr>
          <w:snapToGrid w:val="0"/>
        </w:rPr>
        <w:t>s are unmet</w:t>
      </w:r>
      <w:r w:rsidR="0083460B" w:rsidRPr="00501643">
        <w:rPr>
          <w:snapToGrid w:val="0"/>
        </w:rPr>
        <w:t>,</w:t>
      </w:r>
      <w:r w:rsidRPr="00501643">
        <w:rPr>
          <w:snapToGrid w:val="0"/>
        </w:rPr>
        <w:t xml:space="preserve"> based on the reasons provided for not meeting the </w:t>
      </w:r>
      <w:r w:rsidR="005E6C4B" w:rsidRPr="00501643">
        <w:rPr>
          <w:snapToGrid w:val="0"/>
        </w:rPr>
        <w:t>Measure</w:t>
      </w:r>
      <w:r w:rsidRPr="00501643">
        <w:rPr>
          <w:snapToGrid w:val="0"/>
        </w:rPr>
        <w:t xml:space="preserve">, demonstration of quality improvement </w:t>
      </w:r>
      <w:r w:rsidRPr="00501643">
        <w:rPr>
          <w:snapToGrid w:val="0"/>
        </w:rPr>
        <w:lastRenderedPageBreak/>
        <w:t>processes and targeted strategies for improvement, and trend data to indicate that performance is improving over time.</w:t>
      </w:r>
    </w:p>
    <w:p w14:paraId="77B8377B" w14:textId="5C50DFF5" w:rsidR="00B15B8A" w:rsidRDefault="00DD13DA" w:rsidP="00500310">
      <w:pPr>
        <w:pStyle w:val="Heading2"/>
      </w:pPr>
      <w:bookmarkStart w:id="91" w:name="_Ref465947432"/>
      <w:bookmarkStart w:id="92" w:name="_Toc517944619"/>
      <w:bookmarkStart w:id="93" w:name="_Toc66438649"/>
      <w:r>
        <w:t>DECISION TOOL</w:t>
      </w:r>
      <w:bookmarkEnd w:id="91"/>
      <w:bookmarkEnd w:id="92"/>
      <w:bookmarkEnd w:id="93"/>
    </w:p>
    <w:p w14:paraId="3BC38A95" w14:textId="380F4C6A" w:rsidR="00B90F7F" w:rsidRDefault="00B90F7F" w:rsidP="00B90F7F">
      <w:pPr>
        <w:shd w:val="clear" w:color="auto" w:fill="D2EAF1"/>
      </w:pPr>
      <w:r w:rsidRPr="00B90F7F">
        <w:t xml:space="preserve">Due to the impact on the BSA Program of the COVID pandemic, from </w:t>
      </w:r>
      <w:r>
        <w:t>5</w:t>
      </w:r>
      <w:r w:rsidRPr="00B90F7F">
        <w:t xml:space="preserve"> March 2021 until further notice, this </w:t>
      </w:r>
      <w:r w:rsidR="001B491F">
        <w:t>S</w:t>
      </w:r>
      <w:r w:rsidRPr="00B90F7F">
        <w:t xml:space="preserve">ection 3.3 will not apply and is replaced by the arrangements outlined in </w:t>
      </w:r>
      <w:hyperlink w:anchor="_Attachment_7:_Revised" w:history="1">
        <w:r w:rsidRPr="00B90F7F">
          <w:rPr>
            <w:rStyle w:val="Hyperlink"/>
          </w:rPr>
          <w:t>Attachment 7</w:t>
        </w:r>
      </w:hyperlink>
      <w:r>
        <w:t>.</w:t>
      </w:r>
    </w:p>
    <w:p w14:paraId="72C2D7D1" w14:textId="35C7598F" w:rsidR="00B15B8A" w:rsidRDefault="00B15B8A" w:rsidP="00AB1C35">
      <w:r w:rsidRPr="006E11DD">
        <w:t>The Decision Tool:</w:t>
      </w:r>
    </w:p>
    <w:p w14:paraId="37DE6064" w14:textId="1CE995BF" w:rsidR="005B1B0D" w:rsidRDefault="005B1B0D" w:rsidP="004712E5">
      <w:pPr>
        <w:pStyle w:val="ListBullet"/>
      </w:pPr>
      <w:r w:rsidRPr="006E11DD">
        <w:t>links accreditation decisions to perfo</w:t>
      </w:r>
      <w:r>
        <w:t xml:space="preserve">rmance against the National Accreditation Standard (NAS) Measures (refer to </w:t>
      </w:r>
      <w:r w:rsidR="001B491F">
        <w:t>S</w:t>
      </w:r>
      <w:r>
        <w:t>ection 3.3.1)</w:t>
      </w:r>
    </w:p>
    <w:p w14:paraId="6924B2B8" w14:textId="5B61AABC" w:rsidR="00B15B8A" w:rsidRPr="006E11DD" w:rsidRDefault="00B15B8A" w:rsidP="004712E5">
      <w:pPr>
        <w:pStyle w:val="ListBullet"/>
      </w:pPr>
      <w:r>
        <w:t>a</w:t>
      </w:r>
      <w:r w:rsidRPr="006E11DD">
        <w:t xml:space="preserve">llocates </w:t>
      </w:r>
      <w:r>
        <w:t>Measures</w:t>
      </w:r>
      <w:r w:rsidRPr="006E11DD">
        <w:t xml:space="preserve"> to one of three risk levels, categorised in relat</w:t>
      </w:r>
      <w:r>
        <w:t>ion to key performance outcomes</w:t>
      </w:r>
      <w:r w:rsidR="005B1B0D">
        <w:t xml:space="preserve"> (refer to </w:t>
      </w:r>
      <w:r w:rsidR="001B491F">
        <w:t>S</w:t>
      </w:r>
      <w:r w:rsidR="005B1B0D">
        <w:t>ection 3.3.2)</w:t>
      </w:r>
      <w:r>
        <w:t>;</w:t>
      </w:r>
      <w:r w:rsidR="005B1B0D">
        <w:t xml:space="preserve"> and</w:t>
      </w:r>
    </w:p>
    <w:p w14:paraId="3FE9273E" w14:textId="3C7649B9" w:rsidR="00B15B8A" w:rsidRPr="005B1B0D" w:rsidRDefault="00B15B8A" w:rsidP="004712E5">
      <w:pPr>
        <w:pStyle w:val="ListBullet"/>
      </w:pPr>
      <w:r>
        <w:t>d</w:t>
      </w:r>
      <w:r w:rsidRPr="006E11DD">
        <w:t>escribe</w:t>
      </w:r>
      <w:r>
        <w:t xml:space="preserve">s a </w:t>
      </w:r>
      <w:r w:rsidR="005B1B0D">
        <w:t xml:space="preserve">tiered accreditation system (refer to </w:t>
      </w:r>
      <w:r w:rsidR="001B491F">
        <w:t>S</w:t>
      </w:r>
      <w:r w:rsidR="005B1B0D">
        <w:t>ection 3.3.3)</w:t>
      </w:r>
      <w:r w:rsidRPr="005B1B0D">
        <w:t>.</w:t>
      </w:r>
    </w:p>
    <w:p w14:paraId="23F0F91D" w14:textId="01252650" w:rsidR="00803BE4" w:rsidRPr="00451083" w:rsidRDefault="00AE4668" w:rsidP="007F7A49">
      <w:r w:rsidRPr="00AE4668">
        <w:t>The Decision Tool outcome is calculated on basis of Service and/or SCU performance against all NAS Measures.</w:t>
      </w:r>
      <w:r>
        <w:t xml:space="preserve"> </w:t>
      </w:r>
      <w:r w:rsidR="00803BE4" w:rsidRPr="00451083">
        <w:t>To ensure transparency of NQMC accreditation decisions, the Decision Tool is available to all involved in the accreditation process.</w:t>
      </w:r>
    </w:p>
    <w:p w14:paraId="1AE5D570" w14:textId="20DD9AEE" w:rsidR="00B15B8A" w:rsidRPr="0069144E" w:rsidRDefault="005B1B0D" w:rsidP="006D2034">
      <w:pPr>
        <w:pStyle w:val="Heading3"/>
      </w:pPr>
      <w:bookmarkStart w:id="94" w:name="_Toc517944620"/>
      <w:bookmarkStart w:id="95" w:name="_Toc66438650"/>
      <w:r>
        <w:t xml:space="preserve">Decision Tool </w:t>
      </w:r>
      <w:r w:rsidRPr="0069144E">
        <w:t xml:space="preserve">Performance </w:t>
      </w:r>
      <w:r>
        <w:t>Targets</w:t>
      </w:r>
      <w:bookmarkEnd w:id="94"/>
      <w:bookmarkEnd w:id="95"/>
    </w:p>
    <w:p w14:paraId="10E2D806" w14:textId="5B7B9661" w:rsidR="00B15B8A" w:rsidRDefault="00C756E0" w:rsidP="007F7A49">
      <w:pPr>
        <w:rPr>
          <w:snapToGrid w:val="0"/>
        </w:rPr>
      </w:pPr>
      <w:r>
        <w:rPr>
          <w:snapToGrid w:val="0"/>
        </w:rPr>
        <w:fldChar w:fldCharType="begin"/>
      </w:r>
      <w:r>
        <w:rPr>
          <w:snapToGrid w:val="0"/>
        </w:rPr>
        <w:instrText xml:space="preserve"> REF _Ref465948616 \h </w:instrText>
      </w:r>
      <w:r>
        <w:rPr>
          <w:snapToGrid w:val="0"/>
        </w:rPr>
      </w:r>
      <w:r>
        <w:rPr>
          <w:snapToGrid w:val="0"/>
        </w:rPr>
        <w:fldChar w:fldCharType="separate"/>
      </w:r>
      <w:r w:rsidR="00B36BEE" w:rsidRPr="003C0C7B">
        <w:t xml:space="preserve">Table </w:t>
      </w:r>
      <w:r w:rsidR="00B36BEE">
        <w:rPr>
          <w:noProof/>
        </w:rPr>
        <w:t>1</w:t>
      </w:r>
      <w:r>
        <w:rPr>
          <w:snapToGrid w:val="0"/>
        </w:rPr>
        <w:fldChar w:fldCharType="end"/>
      </w:r>
      <w:r>
        <w:rPr>
          <w:snapToGrid w:val="0"/>
        </w:rPr>
        <w:t xml:space="preserve"> </w:t>
      </w:r>
      <w:r w:rsidR="00B15B8A" w:rsidRPr="00501643">
        <w:rPr>
          <w:snapToGrid w:val="0"/>
        </w:rPr>
        <w:t xml:space="preserve">outlines the performance to be achieved by Services and/or SCUs </w:t>
      </w:r>
      <w:r w:rsidR="00803BE4" w:rsidRPr="00501643">
        <w:rPr>
          <w:snapToGrid w:val="0"/>
        </w:rPr>
        <w:t xml:space="preserve">across the NAS Measures </w:t>
      </w:r>
      <w:r w:rsidR="00B15B8A" w:rsidRPr="00501643">
        <w:rPr>
          <w:snapToGrid w:val="0"/>
        </w:rPr>
        <w:t>to achieve certain levels of accreditation. These performance targets assist the NQMC in its decision</w:t>
      </w:r>
      <w:r w:rsidR="00481769">
        <w:rPr>
          <w:snapToGrid w:val="0"/>
        </w:rPr>
        <w:t>-</w:t>
      </w:r>
      <w:r w:rsidR="00B15B8A" w:rsidRPr="00501643">
        <w:rPr>
          <w:snapToGrid w:val="0"/>
        </w:rPr>
        <w:t>making process to accredit Services and/or SCUs based on their performance against the NAS Measures.</w:t>
      </w:r>
    </w:p>
    <w:p w14:paraId="29020CEC" w14:textId="6C0F862C" w:rsidR="007F7A49" w:rsidRPr="003C0C7B" w:rsidRDefault="003C0C7B" w:rsidP="00C46142">
      <w:pPr>
        <w:pStyle w:val="Caption"/>
      </w:pPr>
      <w:bookmarkStart w:id="96" w:name="_Ref465948616"/>
      <w:bookmarkStart w:id="97" w:name="_Toc464755773"/>
      <w:r w:rsidRPr="003C0C7B">
        <w:t xml:space="preserve">Table </w:t>
      </w:r>
      <w:r w:rsidR="00535209">
        <w:rPr>
          <w:noProof/>
        </w:rPr>
        <w:fldChar w:fldCharType="begin"/>
      </w:r>
      <w:r w:rsidR="00535209">
        <w:rPr>
          <w:noProof/>
        </w:rPr>
        <w:instrText xml:space="preserve"> SEQ Table \* ARABIC </w:instrText>
      </w:r>
      <w:r w:rsidR="00535209">
        <w:rPr>
          <w:noProof/>
        </w:rPr>
        <w:fldChar w:fldCharType="separate"/>
      </w:r>
      <w:r w:rsidR="00B36BEE">
        <w:rPr>
          <w:noProof/>
        </w:rPr>
        <w:t>1</w:t>
      </w:r>
      <w:r w:rsidR="00535209">
        <w:rPr>
          <w:noProof/>
        </w:rPr>
        <w:fldChar w:fldCharType="end"/>
      </w:r>
      <w:bookmarkEnd w:id="96"/>
      <w:r w:rsidRPr="003C0C7B">
        <w:t>:</w:t>
      </w:r>
      <w:r w:rsidRPr="003C0C7B">
        <w:tab/>
      </w:r>
      <w:r w:rsidR="007F7A49" w:rsidRPr="00C46142">
        <w:t>Decision</w:t>
      </w:r>
      <w:r w:rsidR="007F7A49" w:rsidRPr="003C0C7B">
        <w:t xml:space="preserve"> Tool performance targets for each accreditation tier*</w:t>
      </w:r>
      <w:bookmarkEnd w:id="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 - Decision Tool performance targets for each accreditation tier"/>
        <w:tblDescription w:val="Table 1 outlines the performance to be achieved by Services and/or SCUs across the NAS Measures to achieve certain levels of accreditation. These performance targets assist the NQMC in its decision making process to accredit Services and/or SCUs based on their performance against the NAS Measures. "/>
      </w:tblPr>
      <w:tblGrid>
        <w:gridCol w:w="3402"/>
        <w:gridCol w:w="5529"/>
      </w:tblGrid>
      <w:tr w:rsidR="00B15B8A" w:rsidRPr="006F5EAE" w14:paraId="608BB638" w14:textId="77777777" w:rsidTr="003C0C7B">
        <w:trPr>
          <w:cantSplit/>
          <w:tblHeader/>
        </w:trPr>
        <w:tc>
          <w:tcPr>
            <w:tcW w:w="3402" w:type="dxa"/>
            <w:shd w:val="clear" w:color="auto" w:fill="D2EAF1"/>
          </w:tcPr>
          <w:p w14:paraId="16650F8D" w14:textId="77777777" w:rsidR="00B15B8A" w:rsidRPr="006F5EAE" w:rsidRDefault="00B15B8A" w:rsidP="00C46142">
            <w:pPr>
              <w:pStyle w:val="TableHeading"/>
            </w:pPr>
            <w:r w:rsidRPr="000C435B">
              <w:t>Accreditation level</w:t>
            </w:r>
          </w:p>
        </w:tc>
        <w:tc>
          <w:tcPr>
            <w:tcW w:w="5529" w:type="dxa"/>
            <w:shd w:val="clear" w:color="auto" w:fill="D2EAF1"/>
          </w:tcPr>
          <w:p w14:paraId="3E125676" w14:textId="77777777" w:rsidR="00B15B8A" w:rsidRPr="006F5EAE" w:rsidRDefault="00B15B8A" w:rsidP="00C46142">
            <w:pPr>
              <w:pStyle w:val="TableHeading"/>
            </w:pPr>
            <w:r w:rsidRPr="006F5EAE">
              <w:t xml:space="preserve">Required </w:t>
            </w:r>
            <w:r w:rsidRPr="003C0C7B">
              <w:t>performance</w:t>
            </w:r>
            <w:r>
              <w:t xml:space="preserve"> target</w:t>
            </w:r>
            <w:r w:rsidRPr="006F5EAE">
              <w:t xml:space="preserve"> against NAS </w:t>
            </w:r>
            <w:r>
              <w:t>Measure</w:t>
            </w:r>
            <w:r w:rsidRPr="006F5EAE">
              <w:t>s</w:t>
            </w:r>
          </w:p>
        </w:tc>
      </w:tr>
      <w:tr w:rsidR="00B15B8A" w:rsidRPr="006F5EAE" w14:paraId="606CAE24" w14:textId="77777777" w:rsidTr="003C0C7B">
        <w:trPr>
          <w:cantSplit/>
        </w:trPr>
        <w:tc>
          <w:tcPr>
            <w:tcW w:w="3402" w:type="dxa"/>
            <w:shd w:val="clear" w:color="auto" w:fill="auto"/>
            <w:vAlign w:val="center"/>
          </w:tcPr>
          <w:p w14:paraId="6ADA7BE0" w14:textId="77777777" w:rsidR="00B15B8A" w:rsidRPr="006F5EAE" w:rsidRDefault="00B15B8A" w:rsidP="003C0C7B">
            <w:pPr>
              <w:pStyle w:val="TableText"/>
            </w:pPr>
            <w:r w:rsidRPr="006F5EAE">
              <w:t>Accredited with commendation</w:t>
            </w:r>
          </w:p>
        </w:tc>
        <w:tc>
          <w:tcPr>
            <w:tcW w:w="5529" w:type="dxa"/>
            <w:shd w:val="clear" w:color="auto" w:fill="auto"/>
          </w:tcPr>
          <w:p w14:paraId="5ACF320A" w14:textId="77777777" w:rsidR="006A11CC" w:rsidRPr="006F7A81" w:rsidRDefault="00B15B8A" w:rsidP="003C0C7B">
            <w:pPr>
              <w:pStyle w:val="TableText"/>
            </w:pPr>
            <w:r w:rsidRPr="006F7A81">
              <w:t>The Service and/or SCU must achieve</w:t>
            </w:r>
            <w:r w:rsidR="006A11CC" w:rsidRPr="006F7A81">
              <w:t>:</w:t>
            </w:r>
          </w:p>
          <w:p w14:paraId="59BF989A" w14:textId="105DC894" w:rsidR="006A11CC" w:rsidRPr="003C0C7B" w:rsidRDefault="006A11CC" w:rsidP="003C0C7B">
            <w:pPr>
              <w:pStyle w:val="Tablelistbullet"/>
            </w:pPr>
            <w:r w:rsidRPr="003C0C7B">
              <w:t>A</w:t>
            </w:r>
            <w:r w:rsidR="00B15B8A" w:rsidRPr="003C0C7B">
              <w:t xml:space="preserve">ll </w:t>
            </w:r>
            <w:r w:rsidRPr="003C0C7B">
              <w:t xml:space="preserve">level 1 </w:t>
            </w:r>
            <w:r w:rsidR="00B15B8A" w:rsidRPr="003C0C7B">
              <w:t>Measures</w:t>
            </w:r>
            <w:r w:rsidRPr="003C0C7B">
              <w:t>; and</w:t>
            </w:r>
          </w:p>
          <w:p w14:paraId="1F1AC10C" w14:textId="398A7B23" w:rsidR="00B15B8A" w:rsidRPr="006F7A81" w:rsidRDefault="00F74546" w:rsidP="003C0C7B">
            <w:pPr>
              <w:pStyle w:val="Tablelistbullet"/>
            </w:pPr>
            <w:r w:rsidRPr="006F7A81">
              <w:t>90% of level 2 and level 3 Measures combined</w:t>
            </w:r>
            <w:r w:rsidRPr="003C0C7B">
              <w:rPr>
                <w:rFonts w:ascii="Segoe UI" w:hAnsi="Segoe UI"/>
              </w:rPr>
              <w:t>.</w:t>
            </w:r>
          </w:p>
        </w:tc>
      </w:tr>
      <w:tr w:rsidR="00B15B8A" w:rsidRPr="006F5EAE" w14:paraId="570A06B7" w14:textId="77777777" w:rsidTr="003C0C7B">
        <w:trPr>
          <w:cantSplit/>
        </w:trPr>
        <w:tc>
          <w:tcPr>
            <w:tcW w:w="3402" w:type="dxa"/>
            <w:shd w:val="clear" w:color="auto" w:fill="D2EAF1"/>
            <w:vAlign w:val="center"/>
          </w:tcPr>
          <w:p w14:paraId="4461918A" w14:textId="77777777" w:rsidR="00B15B8A" w:rsidRPr="00D02100" w:rsidRDefault="00B15B8A" w:rsidP="003C0C7B">
            <w:pPr>
              <w:pStyle w:val="TableText"/>
              <w:rPr>
                <w:rStyle w:val="Strong"/>
                <w:b w:val="0"/>
              </w:rPr>
            </w:pPr>
            <w:r w:rsidRPr="00D02100">
              <w:t>Accredited</w:t>
            </w:r>
          </w:p>
        </w:tc>
        <w:tc>
          <w:tcPr>
            <w:tcW w:w="5529" w:type="dxa"/>
            <w:shd w:val="clear" w:color="auto" w:fill="D2EAF1"/>
          </w:tcPr>
          <w:p w14:paraId="6E193BA3" w14:textId="77777777" w:rsidR="00B15B8A" w:rsidRPr="006F7A81" w:rsidRDefault="00B15B8A" w:rsidP="003C0C7B">
            <w:pPr>
              <w:pStyle w:val="TableText"/>
            </w:pPr>
            <w:r w:rsidRPr="006F7A81">
              <w:t>The Service and/or SCU must achieve:</w:t>
            </w:r>
          </w:p>
          <w:p w14:paraId="5911DA9E" w14:textId="78B7B9D9" w:rsidR="00B15B8A" w:rsidRPr="006F7A81" w:rsidRDefault="00B15B8A" w:rsidP="003C0C7B">
            <w:pPr>
              <w:pStyle w:val="Tablelistbullet"/>
            </w:pPr>
            <w:r w:rsidRPr="006F7A81">
              <w:t xml:space="preserve">All </w:t>
            </w:r>
            <w:r w:rsidR="00F74546" w:rsidRPr="006F7A81">
              <w:t xml:space="preserve">but one of the </w:t>
            </w:r>
            <w:r w:rsidRPr="006F7A81">
              <w:t>level 1 Measures; and</w:t>
            </w:r>
          </w:p>
          <w:p w14:paraId="28D38E62" w14:textId="485C4462" w:rsidR="00B15B8A" w:rsidRPr="006F7A81" w:rsidRDefault="00F74546" w:rsidP="003C0C7B">
            <w:pPr>
              <w:pStyle w:val="Tablelistbullet"/>
            </w:pPr>
            <w:r w:rsidRPr="006F7A81">
              <w:t>8</w:t>
            </w:r>
            <w:r w:rsidR="00B15B8A" w:rsidRPr="006F7A81">
              <w:t>0% of level 2 and level 3 Measures combined.</w:t>
            </w:r>
          </w:p>
        </w:tc>
      </w:tr>
      <w:tr w:rsidR="00B15B8A" w:rsidRPr="006F5EAE" w14:paraId="1E513750" w14:textId="77777777" w:rsidTr="003C0C7B">
        <w:trPr>
          <w:cantSplit/>
        </w:trPr>
        <w:tc>
          <w:tcPr>
            <w:tcW w:w="3402" w:type="dxa"/>
            <w:shd w:val="clear" w:color="auto" w:fill="auto"/>
            <w:vAlign w:val="center"/>
          </w:tcPr>
          <w:p w14:paraId="36B06E67" w14:textId="561301A1" w:rsidR="00B15B8A" w:rsidRPr="00D02100" w:rsidRDefault="00B15B8A" w:rsidP="003C0C7B">
            <w:pPr>
              <w:pStyle w:val="TableText"/>
              <w:rPr>
                <w:rStyle w:val="Strong"/>
                <w:b w:val="0"/>
              </w:rPr>
            </w:pPr>
            <w:r w:rsidRPr="00D02100">
              <w:t>Conditional accreditation</w:t>
            </w:r>
          </w:p>
        </w:tc>
        <w:tc>
          <w:tcPr>
            <w:tcW w:w="5529" w:type="dxa"/>
            <w:shd w:val="clear" w:color="auto" w:fill="auto"/>
          </w:tcPr>
          <w:p w14:paraId="298829AE" w14:textId="77777777" w:rsidR="00B15B8A" w:rsidRPr="006F7A81" w:rsidRDefault="00B15B8A" w:rsidP="003C0C7B">
            <w:pPr>
              <w:pStyle w:val="TableText"/>
            </w:pPr>
            <w:r w:rsidRPr="006F7A81">
              <w:t>The Service and/or SCU service must achieve:</w:t>
            </w:r>
          </w:p>
          <w:p w14:paraId="67B3BDE4" w14:textId="7EEA4BE4" w:rsidR="00B15B8A" w:rsidRPr="006F7A81" w:rsidRDefault="00B15B8A" w:rsidP="003C0C7B">
            <w:pPr>
              <w:pStyle w:val="Tablelistbullet"/>
            </w:pPr>
            <w:r w:rsidRPr="006F7A81">
              <w:t xml:space="preserve">All but </w:t>
            </w:r>
            <w:r w:rsidR="00F74546" w:rsidRPr="006F7A81">
              <w:t>two</w:t>
            </w:r>
            <w:r w:rsidRPr="006F7A81">
              <w:t xml:space="preserve"> of the level 1 Measures; and</w:t>
            </w:r>
          </w:p>
          <w:p w14:paraId="1CCDCD7F" w14:textId="0E59D590" w:rsidR="00B15B8A" w:rsidRPr="006F7A81" w:rsidRDefault="00F74546" w:rsidP="003C0C7B">
            <w:pPr>
              <w:pStyle w:val="Tablelistbullet"/>
            </w:pPr>
            <w:r w:rsidRPr="006F7A81">
              <w:t>75</w:t>
            </w:r>
            <w:r w:rsidR="00B15B8A" w:rsidRPr="006F7A81">
              <w:t>% of level 2 and level 3 Measures combined.</w:t>
            </w:r>
          </w:p>
        </w:tc>
      </w:tr>
      <w:tr w:rsidR="00B15B8A" w:rsidRPr="006F5EAE" w14:paraId="0F0031F8" w14:textId="77777777" w:rsidTr="003C0C7B">
        <w:trPr>
          <w:cantSplit/>
        </w:trPr>
        <w:tc>
          <w:tcPr>
            <w:tcW w:w="3402" w:type="dxa"/>
            <w:shd w:val="clear" w:color="auto" w:fill="D2EAF1"/>
            <w:vAlign w:val="center"/>
          </w:tcPr>
          <w:p w14:paraId="2CC3B80E" w14:textId="77777777" w:rsidR="00B15B8A" w:rsidRPr="00D02100" w:rsidRDefault="00B15B8A" w:rsidP="003C0C7B">
            <w:pPr>
              <w:pStyle w:val="TableText"/>
              <w:rPr>
                <w:rStyle w:val="Strong"/>
                <w:b w:val="0"/>
              </w:rPr>
            </w:pPr>
            <w:r w:rsidRPr="00D02100">
              <w:t>Non-accredited</w:t>
            </w:r>
          </w:p>
        </w:tc>
        <w:tc>
          <w:tcPr>
            <w:tcW w:w="5529" w:type="dxa"/>
            <w:shd w:val="clear" w:color="auto" w:fill="D2EAF1"/>
          </w:tcPr>
          <w:p w14:paraId="6B78A934" w14:textId="32326903" w:rsidR="00B15B8A" w:rsidRPr="006F7A81" w:rsidRDefault="00B15B8A" w:rsidP="003C0C7B">
            <w:pPr>
              <w:pStyle w:val="TableText"/>
            </w:pPr>
            <w:r w:rsidRPr="006F7A81">
              <w:t xml:space="preserve">Where a Service and/or SCU does not meet at least the requirements for Conditional </w:t>
            </w:r>
            <w:r w:rsidR="000F4991" w:rsidRPr="006F7A81">
              <w:t>a</w:t>
            </w:r>
            <w:r w:rsidRPr="006F7A81">
              <w:t>ccreditation, following a six month remediation period or where accreditation has lapsed.</w:t>
            </w:r>
          </w:p>
        </w:tc>
      </w:tr>
    </w:tbl>
    <w:p w14:paraId="5F445EFC" w14:textId="77777777" w:rsidR="00B15B8A" w:rsidRDefault="006A695E" w:rsidP="003C0C7B">
      <w:r>
        <w:lastRenderedPageBreak/>
        <w:t>* A description of each accreditation tier is provided at Section</w:t>
      </w:r>
      <w:r w:rsidR="005B1B0D">
        <w:t xml:space="preserve"> 3.3.3</w:t>
      </w:r>
      <w:r>
        <w:t xml:space="preserve"> </w:t>
      </w:r>
    </w:p>
    <w:p w14:paraId="678A4284" w14:textId="773F6811" w:rsidR="00B15B8A" w:rsidRDefault="00B15B8A" w:rsidP="00DE3B8F">
      <w:pPr>
        <w:ind w:left="709" w:hanging="709"/>
      </w:pPr>
      <w:r w:rsidRPr="00905DD9">
        <w:t>Note:</w:t>
      </w:r>
      <w:r w:rsidRPr="008B5E6D">
        <w:t xml:space="preserve"> </w:t>
      </w:r>
      <w:r w:rsidR="00DE3B8F">
        <w:tab/>
      </w:r>
      <w:r w:rsidR="00803BE4">
        <w:t>T</w:t>
      </w:r>
      <w:r w:rsidRPr="008B5E6D">
        <w:t xml:space="preserve">he </w:t>
      </w:r>
      <w:r>
        <w:t xml:space="preserve">targets </w:t>
      </w:r>
      <w:r w:rsidRPr="008B5E6D">
        <w:t xml:space="preserve">outlined in </w:t>
      </w:r>
      <w:r w:rsidR="00FE1CAA">
        <w:fldChar w:fldCharType="begin"/>
      </w:r>
      <w:r w:rsidR="00FE1CAA">
        <w:instrText xml:space="preserve"> REF _Ref465948616 \h </w:instrText>
      </w:r>
      <w:r w:rsidR="00FE1CAA">
        <w:fldChar w:fldCharType="separate"/>
      </w:r>
      <w:r w:rsidR="00B36BEE" w:rsidRPr="003C0C7B">
        <w:t xml:space="preserve">Table </w:t>
      </w:r>
      <w:r w:rsidR="00B36BEE">
        <w:rPr>
          <w:noProof/>
        </w:rPr>
        <w:t>1</w:t>
      </w:r>
      <w:r w:rsidR="00FE1CAA">
        <w:fldChar w:fldCharType="end"/>
      </w:r>
      <w:r w:rsidR="00FE1CAA">
        <w:t xml:space="preserve"> </w:t>
      </w:r>
      <w:r w:rsidRPr="008B5E6D">
        <w:t>will be used to inform accreditation decisions for single</w:t>
      </w:r>
      <w:r w:rsidRPr="008B5E6D">
        <w:noBreakHyphen/>
        <w:t>service jurisdictions and most multi-service jurisdictions. However</w:t>
      </w:r>
      <w:r w:rsidR="006D2034">
        <w:t>,</w:t>
      </w:r>
      <w:r w:rsidRPr="008B5E6D">
        <w:t xml:space="preserve"> the NQMC </w:t>
      </w:r>
      <w:r w:rsidR="00803BE4">
        <w:t>can</w:t>
      </w:r>
      <w:r w:rsidRPr="008B5E6D">
        <w:t xml:space="preserve"> use its discretion to agree an appropriate accreditation rating based on the Service and/or SCU’s performance against the Measures for which it is accountable</w:t>
      </w:r>
      <w:r w:rsidR="00C969DB">
        <w:t xml:space="preserve"> under the NAS Accountability Framework</w:t>
      </w:r>
      <w:r w:rsidRPr="008B5E6D">
        <w:t>.</w:t>
      </w:r>
    </w:p>
    <w:p w14:paraId="6B69FE73" w14:textId="320949E1" w:rsidR="00B15B8A" w:rsidRPr="00B25E89" w:rsidRDefault="009949E6" w:rsidP="006D2034">
      <w:pPr>
        <w:pStyle w:val="Heading3"/>
      </w:pPr>
      <w:bookmarkStart w:id="98" w:name="_Toc517944621"/>
      <w:bookmarkStart w:id="99" w:name="_Toc66438651"/>
      <w:r>
        <w:t>Risk Levels for NAS Measures</w:t>
      </w:r>
      <w:bookmarkEnd w:id="98"/>
      <w:bookmarkEnd w:id="99"/>
    </w:p>
    <w:p w14:paraId="5C536A73" w14:textId="79D164B2" w:rsidR="00B15B8A" w:rsidRDefault="00B15B8A" w:rsidP="00AB1C35">
      <w:r w:rsidRPr="00101B37">
        <w:t xml:space="preserve">The Decision Tool employs a risk management approach to decision-making.  Risk </w:t>
      </w:r>
      <w:r>
        <w:t>management is well recognised</w:t>
      </w:r>
      <w:r w:rsidRPr="00101B37">
        <w:t xml:space="preserve"> </w:t>
      </w:r>
      <w:r>
        <w:t xml:space="preserve">as an </w:t>
      </w:r>
      <w:r w:rsidRPr="00101B37">
        <w:t xml:space="preserve">objective way to provide a structure </w:t>
      </w:r>
      <w:r>
        <w:t>for decision</w:t>
      </w:r>
      <w:r w:rsidR="00481769">
        <w:t>-</w:t>
      </w:r>
      <w:r>
        <w:t xml:space="preserve">making </w:t>
      </w:r>
      <w:r w:rsidRPr="00101B37">
        <w:t xml:space="preserve">without sacriﬁcing ﬂexibility.  It also has the advantage of enabling the use of a system of tiered accreditation.  </w:t>
      </w:r>
      <w:r w:rsidRPr="00392752">
        <w:t>As well as being a practical approach, it accords with emerging best practice.</w:t>
      </w:r>
    </w:p>
    <w:p w14:paraId="1945E827" w14:textId="77777777" w:rsidR="00B15B8A" w:rsidRPr="00C90E68" w:rsidRDefault="00B15B8A" w:rsidP="00AB1C35">
      <w:pPr>
        <w:rPr>
          <w:color w:val="000000"/>
        </w:rPr>
      </w:pPr>
      <w:r w:rsidRPr="00101B37">
        <w:rPr>
          <w:color w:val="000000"/>
        </w:rPr>
        <w:t xml:space="preserve">Each </w:t>
      </w:r>
      <w:r w:rsidRPr="00101B37">
        <w:rPr>
          <w:rFonts w:cstheme="minorHAnsi"/>
        </w:rPr>
        <w:t xml:space="preserve">NAS </w:t>
      </w:r>
      <w:r>
        <w:rPr>
          <w:rFonts w:cstheme="minorHAnsi"/>
        </w:rPr>
        <w:t>Measure</w:t>
      </w:r>
      <w:r w:rsidRPr="00101B37">
        <w:rPr>
          <w:color w:val="000000"/>
        </w:rPr>
        <w:t xml:space="preserve"> is allocated a risk rating</w:t>
      </w:r>
      <w:r>
        <w:rPr>
          <w:color w:val="000000"/>
        </w:rPr>
        <w:t>/</w:t>
      </w:r>
      <w:r w:rsidRPr="00B25E89">
        <w:rPr>
          <w:color w:val="000000"/>
        </w:rPr>
        <w:t xml:space="preserve">level </w:t>
      </w:r>
      <w:r w:rsidRPr="00101B37">
        <w:rPr>
          <w:color w:val="000000"/>
        </w:rPr>
        <w:t xml:space="preserve">as a way to consider the impact </w:t>
      </w:r>
      <w:r w:rsidRPr="00101B37">
        <w:t xml:space="preserve">on BreastScreen Australia clients if that </w:t>
      </w:r>
      <w:r>
        <w:t>Measure</w:t>
      </w:r>
      <w:r w:rsidRPr="00101B37">
        <w:t xml:space="preserve"> was not met.</w:t>
      </w:r>
      <w:r>
        <w:rPr>
          <w:color w:val="000000"/>
        </w:rPr>
        <w:t xml:space="preserve">  </w:t>
      </w:r>
      <w:r w:rsidRPr="00101B37">
        <w:rPr>
          <w:rFonts w:cstheme="minorHAnsi"/>
        </w:rPr>
        <w:t xml:space="preserve">The allocation of risk ratings does not mean that some </w:t>
      </w:r>
      <w:r>
        <w:rPr>
          <w:rFonts w:cstheme="minorHAnsi"/>
        </w:rPr>
        <w:t>Measure</w:t>
      </w:r>
      <w:r w:rsidRPr="00101B37">
        <w:rPr>
          <w:rFonts w:cstheme="minorHAnsi"/>
        </w:rPr>
        <w:t xml:space="preserve">s are more important, as all the NAS </w:t>
      </w:r>
      <w:r>
        <w:rPr>
          <w:rFonts w:cstheme="minorHAnsi"/>
        </w:rPr>
        <w:t>Measure</w:t>
      </w:r>
      <w:r w:rsidRPr="00101B37">
        <w:rPr>
          <w:rFonts w:cstheme="minorHAnsi"/>
        </w:rPr>
        <w:t xml:space="preserve">s are important for ensuring quality of service.  Risk categorisation is simply a method of assessing the impact of a </w:t>
      </w:r>
      <w:r w:rsidRPr="006356AF">
        <w:rPr>
          <w:rFonts w:cstheme="minorHAnsi"/>
        </w:rPr>
        <w:t xml:space="preserve">Service </w:t>
      </w:r>
      <w:r w:rsidR="00BA5E98">
        <w:rPr>
          <w:rFonts w:cstheme="minorHAnsi"/>
        </w:rPr>
        <w:t>and/</w:t>
      </w:r>
      <w:r w:rsidRPr="006356AF">
        <w:rPr>
          <w:rFonts w:cstheme="minorHAnsi"/>
        </w:rPr>
        <w:t xml:space="preserve">or SCU </w:t>
      </w:r>
      <w:r w:rsidRPr="00101B37">
        <w:rPr>
          <w:rFonts w:cstheme="minorHAnsi"/>
        </w:rPr>
        <w:t>performing poorly against a</w:t>
      </w:r>
      <w:r>
        <w:rPr>
          <w:rFonts w:cstheme="minorHAnsi"/>
        </w:rPr>
        <w:t xml:space="preserve"> Measure</w:t>
      </w:r>
      <w:r w:rsidRPr="00101B37">
        <w:rPr>
          <w:rFonts w:cstheme="minorHAnsi"/>
        </w:rPr>
        <w:t>.</w:t>
      </w:r>
    </w:p>
    <w:p w14:paraId="40B18FF4" w14:textId="77777777" w:rsidR="00B15B8A" w:rsidRDefault="00B15B8A" w:rsidP="00AB1C35">
      <w:r w:rsidRPr="00101B37">
        <w:t xml:space="preserve">The level of risk allocated to each </w:t>
      </w:r>
      <w:r>
        <w:t>Measure</w:t>
      </w:r>
      <w:r w:rsidRPr="00101B37">
        <w:t xml:space="preserve"> </w:t>
      </w:r>
      <w:r>
        <w:t xml:space="preserve">was informed by the </w:t>
      </w:r>
      <w:r w:rsidRPr="006A695E">
        <w:t>AS/NZS ISO 31000:2009 – risk management - principles and guidance. This risk management approach</w:t>
      </w:r>
      <w:r>
        <w:t xml:space="preserve"> </w:t>
      </w:r>
      <w:r w:rsidRPr="00101B37">
        <w:t>describes the combined effect of likelihood and consequence</w:t>
      </w:r>
      <w:r>
        <w:t>, which have been used to develop three risk categories for NAS Measures as follows:</w:t>
      </w:r>
    </w:p>
    <w:p w14:paraId="76EC651F" w14:textId="77777777" w:rsidR="00B15B8A" w:rsidRPr="006F7A81" w:rsidRDefault="00B15B8A" w:rsidP="004712E5">
      <w:pPr>
        <w:pStyle w:val="ListBullet"/>
      </w:pPr>
      <w:r w:rsidRPr="006F7A81">
        <w:t>Level 1:</w:t>
      </w:r>
      <w:r w:rsidRPr="006F7A81">
        <w:rPr>
          <w:b/>
        </w:rPr>
        <w:t xml:space="preserve"> </w:t>
      </w:r>
      <w:r w:rsidRPr="006F7A81">
        <w:t>Extreme and high risk</w:t>
      </w:r>
    </w:p>
    <w:p w14:paraId="65F03C2A" w14:textId="77777777" w:rsidR="00B15B8A" w:rsidRPr="006F7A81" w:rsidRDefault="00B15B8A" w:rsidP="004712E5">
      <w:pPr>
        <w:pStyle w:val="ListBullet"/>
      </w:pPr>
      <w:r w:rsidRPr="006F7A81">
        <w:t>Level 2: Moderate risk</w:t>
      </w:r>
    </w:p>
    <w:p w14:paraId="4C40F24C" w14:textId="77777777" w:rsidR="00B15B8A" w:rsidRDefault="00B15B8A" w:rsidP="004712E5">
      <w:pPr>
        <w:pStyle w:val="ListBullet"/>
      </w:pPr>
      <w:r w:rsidRPr="006F7A81">
        <w:t>Level 3:</w:t>
      </w:r>
      <w:r>
        <w:rPr>
          <w:b/>
        </w:rPr>
        <w:t xml:space="preserve"> </w:t>
      </w:r>
      <w:r w:rsidRPr="009D4981">
        <w:t>Low risk.</w:t>
      </w:r>
    </w:p>
    <w:p w14:paraId="69DEECC0" w14:textId="51A6285A" w:rsidR="00B15B8A" w:rsidRPr="001D16E7" w:rsidRDefault="00E02C24" w:rsidP="00AB1C35">
      <w:r>
        <w:fldChar w:fldCharType="begin"/>
      </w:r>
      <w:r>
        <w:instrText xml:space="preserve"> REF _Ref465948577 \h </w:instrText>
      </w:r>
      <w:r>
        <w:fldChar w:fldCharType="separate"/>
      </w:r>
      <w:r w:rsidR="00B36BEE" w:rsidRPr="003C0C7B">
        <w:t xml:space="preserve">Table </w:t>
      </w:r>
      <w:r w:rsidR="00B36BEE">
        <w:rPr>
          <w:noProof/>
        </w:rPr>
        <w:t>2</w:t>
      </w:r>
      <w:r>
        <w:fldChar w:fldCharType="end"/>
      </w:r>
      <w:r w:rsidR="00B15B8A" w:rsidRPr="005739A3">
        <w:t xml:space="preserve"> below summarises the number of </w:t>
      </w:r>
      <w:r w:rsidR="00B15B8A">
        <w:t>Measures</w:t>
      </w:r>
      <w:r w:rsidR="00B15B8A" w:rsidRPr="005739A3">
        <w:t xml:space="preserve"> per risk level in each Standard.</w:t>
      </w:r>
      <w:r w:rsidR="00B15B8A">
        <w:t xml:space="preserve">  </w:t>
      </w:r>
      <w:r w:rsidR="00B15B8A" w:rsidRPr="001D16E7">
        <w:t xml:space="preserve">A complete list of all </w:t>
      </w:r>
      <w:r w:rsidR="00B15B8A">
        <w:t>Measures</w:t>
      </w:r>
      <w:r w:rsidR="00B15B8A" w:rsidRPr="001D16E7">
        <w:t xml:space="preserve"> within each Standard, categorise</w:t>
      </w:r>
      <w:r w:rsidR="00B15B8A">
        <w:t>d by risk level, is set out in detail in</w:t>
      </w:r>
      <w:r w:rsidR="00B15B8A" w:rsidRPr="001D16E7">
        <w:t xml:space="preserve"> </w:t>
      </w:r>
      <w:hyperlink w:anchor="_Attachment_2:_" w:history="1">
        <w:r w:rsidR="00B15B8A" w:rsidRPr="00B90F7F">
          <w:rPr>
            <w:rStyle w:val="Hyperlink"/>
          </w:rPr>
          <w:t>Attachment 2</w:t>
        </w:r>
      </w:hyperlink>
      <w:r w:rsidR="00B15B8A" w:rsidRPr="00520458">
        <w:t>.</w:t>
      </w:r>
    </w:p>
    <w:p w14:paraId="740A88E1" w14:textId="156D0081" w:rsidR="00B15B8A" w:rsidRPr="003C0C7B" w:rsidRDefault="003C0C7B" w:rsidP="00C46142">
      <w:pPr>
        <w:pStyle w:val="Caption"/>
      </w:pPr>
      <w:bookmarkStart w:id="100" w:name="_Ref465948577"/>
      <w:bookmarkStart w:id="101" w:name="_Toc464755774"/>
      <w:bookmarkStart w:id="102" w:name="_Ref465948545"/>
      <w:r w:rsidRPr="003C0C7B">
        <w:t xml:space="preserve">Table </w:t>
      </w:r>
      <w:r w:rsidR="00535209">
        <w:rPr>
          <w:noProof/>
        </w:rPr>
        <w:fldChar w:fldCharType="begin"/>
      </w:r>
      <w:r w:rsidR="00535209">
        <w:rPr>
          <w:noProof/>
        </w:rPr>
        <w:instrText xml:space="preserve"> SEQ Table \* ARABIC </w:instrText>
      </w:r>
      <w:r w:rsidR="00535209">
        <w:rPr>
          <w:noProof/>
        </w:rPr>
        <w:fldChar w:fldCharType="separate"/>
      </w:r>
      <w:r w:rsidR="00B36BEE">
        <w:rPr>
          <w:noProof/>
        </w:rPr>
        <w:t>2</w:t>
      </w:r>
      <w:r w:rsidR="00535209">
        <w:rPr>
          <w:noProof/>
        </w:rPr>
        <w:fldChar w:fldCharType="end"/>
      </w:r>
      <w:bookmarkEnd w:id="100"/>
      <w:r w:rsidR="00AE354C">
        <w:t>:</w:t>
      </w:r>
      <w:r w:rsidR="00AE354C">
        <w:tab/>
      </w:r>
      <w:r w:rsidR="00B15B8A" w:rsidRPr="003C0C7B">
        <w:t>Summary of the number of Measures per risk level per Standard</w:t>
      </w:r>
      <w:bookmarkEnd w:id="101"/>
      <w:bookmarkEnd w:id="102"/>
      <w:r w:rsidR="00B15B8A" w:rsidRPr="003C0C7B">
        <w:t xml:space="preserve"> </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AS Measures risk levels"/>
        <w:tblDescription w:val="NAS Measures risk levels 1, 2 or 3"/>
      </w:tblPr>
      <w:tblGrid>
        <w:gridCol w:w="3289"/>
        <w:gridCol w:w="1985"/>
        <w:gridCol w:w="1985"/>
        <w:gridCol w:w="1985"/>
      </w:tblGrid>
      <w:tr w:rsidR="00B15B8A" w:rsidRPr="00E3784E" w14:paraId="437B86B6" w14:textId="77777777" w:rsidTr="003C0C7B">
        <w:trPr>
          <w:trHeight w:hRule="exact" w:val="567"/>
        </w:trPr>
        <w:tc>
          <w:tcPr>
            <w:tcW w:w="3289" w:type="dxa"/>
            <w:shd w:val="clear" w:color="auto" w:fill="auto"/>
            <w:vAlign w:val="bottom"/>
          </w:tcPr>
          <w:p w14:paraId="44A43670" w14:textId="77777777" w:rsidR="00B15B8A" w:rsidRPr="000B2111" w:rsidRDefault="00B15B8A" w:rsidP="00AB1C35">
            <w:pPr>
              <w:rPr>
                <w:highlight w:val="yellow"/>
              </w:rPr>
            </w:pPr>
          </w:p>
        </w:tc>
        <w:tc>
          <w:tcPr>
            <w:tcW w:w="5955" w:type="dxa"/>
            <w:gridSpan w:val="3"/>
            <w:shd w:val="clear" w:color="auto" w:fill="DAEEF3"/>
            <w:vAlign w:val="center"/>
          </w:tcPr>
          <w:p w14:paraId="6AC93177" w14:textId="77777777" w:rsidR="00B15B8A" w:rsidRPr="003C0C7B" w:rsidRDefault="00B15B8A" w:rsidP="00C46142">
            <w:pPr>
              <w:pStyle w:val="TableHeading"/>
              <w:rPr>
                <w:highlight w:val="yellow"/>
              </w:rPr>
            </w:pPr>
            <w:r w:rsidRPr="003C0C7B">
              <w:t>Ranking of Measures by risk level</w:t>
            </w:r>
          </w:p>
        </w:tc>
      </w:tr>
      <w:tr w:rsidR="00B15B8A" w:rsidRPr="00E3784E" w14:paraId="2B285F46" w14:textId="77777777" w:rsidTr="003C0C7B">
        <w:tc>
          <w:tcPr>
            <w:tcW w:w="3289" w:type="dxa"/>
            <w:shd w:val="clear" w:color="auto" w:fill="auto"/>
            <w:vAlign w:val="bottom"/>
          </w:tcPr>
          <w:p w14:paraId="12E1DD5B" w14:textId="070D45EC" w:rsidR="00B15B8A" w:rsidRPr="00065D55" w:rsidRDefault="00B15B8A" w:rsidP="003C0C7B">
            <w:pPr>
              <w:pStyle w:val="TableText"/>
            </w:pPr>
            <w:r w:rsidRPr="00065D55">
              <w:t>Standard</w:t>
            </w:r>
          </w:p>
        </w:tc>
        <w:tc>
          <w:tcPr>
            <w:tcW w:w="1985" w:type="dxa"/>
            <w:shd w:val="clear" w:color="auto" w:fill="auto"/>
          </w:tcPr>
          <w:p w14:paraId="7DF59EA2" w14:textId="77777777" w:rsidR="00B15B8A" w:rsidRPr="00065D55" w:rsidRDefault="00B15B8A" w:rsidP="00C46142">
            <w:pPr>
              <w:pStyle w:val="TableHeading"/>
            </w:pPr>
            <w:r w:rsidRPr="00065D55">
              <w:t>Level 1</w:t>
            </w:r>
          </w:p>
          <w:p w14:paraId="1B60FDE8" w14:textId="23402A9B" w:rsidR="00B15B8A" w:rsidRPr="00065D55" w:rsidRDefault="00B15B8A" w:rsidP="00AE2F89">
            <w:pPr>
              <w:pStyle w:val="TableText"/>
              <w:jc w:val="center"/>
            </w:pPr>
            <w:r w:rsidRPr="00065D55">
              <w:t>(</w:t>
            </w:r>
            <w:r>
              <w:t>extreme</w:t>
            </w:r>
            <w:r w:rsidRPr="00065D55">
              <w:t>/high)</w:t>
            </w:r>
          </w:p>
        </w:tc>
        <w:tc>
          <w:tcPr>
            <w:tcW w:w="1985" w:type="dxa"/>
            <w:shd w:val="clear" w:color="auto" w:fill="auto"/>
          </w:tcPr>
          <w:p w14:paraId="72F95E95" w14:textId="77777777" w:rsidR="00B15B8A" w:rsidRPr="00065D55" w:rsidRDefault="00B15B8A" w:rsidP="00C46142">
            <w:pPr>
              <w:pStyle w:val="TableHeading"/>
            </w:pPr>
            <w:r w:rsidRPr="00065D55">
              <w:t>Level 2</w:t>
            </w:r>
          </w:p>
          <w:p w14:paraId="63AE67E6" w14:textId="77777777" w:rsidR="00B15B8A" w:rsidRPr="00065D55" w:rsidRDefault="00B15B8A" w:rsidP="00AE2F89">
            <w:pPr>
              <w:pStyle w:val="TableText"/>
              <w:jc w:val="center"/>
            </w:pPr>
            <w:r w:rsidRPr="00065D55">
              <w:t>(</w:t>
            </w:r>
            <w:r>
              <w:t>moderate</w:t>
            </w:r>
            <w:r w:rsidRPr="00065D55">
              <w:t>)</w:t>
            </w:r>
          </w:p>
        </w:tc>
        <w:tc>
          <w:tcPr>
            <w:tcW w:w="1985" w:type="dxa"/>
            <w:shd w:val="clear" w:color="auto" w:fill="auto"/>
          </w:tcPr>
          <w:p w14:paraId="50F6B57E" w14:textId="4D0D2D70" w:rsidR="00667CDB" w:rsidRDefault="00B15B8A" w:rsidP="00C46142">
            <w:pPr>
              <w:pStyle w:val="TableHeading"/>
            </w:pPr>
            <w:r w:rsidRPr="00065D55">
              <w:t>Level 3</w:t>
            </w:r>
          </w:p>
          <w:p w14:paraId="60E77961" w14:textId="239D88C1" w:rsidR="00B15B8A" w:rsidRPr="00065D55" w:rsidRDefault="00B15B8A" w:rsidP="00AE2F89">
            <w:pPr>
              <w:pStyle w:val="TableText"/>
              <w:jc w:val="center"/>
            </w:pPr>
            <w:r w:rsidRPr="00065D55">
              <w:t>(low)</w:t>
            </w:r>
          </w:p>
        </w:tc>
      </w:tr>
      <w:tr w:rsidR="00B15B8A" w:rsidRPr="00E3784E" w14:paraId="0A55469E" w14:textId="77777777" w:rsidTr="003C0C7B">
        <w:trPr>
          <w:trHeight w:hRule="exact" w:val="454"/>
        </w:trPr>
        <w:tc>
          <w:tcPr>
            <w:tcW w:w="3289" w:type="dxa"/>
            <w:shd w:val="clear" w:color="auto" w:fill="DAEEF3"/>
            <w:vAlign w:val="center"/>
          </w:tcPr>
          <w:p w14:paraId="46DBBC86" w14:textId="77777777" w:rsidR="00B15B8A" w:rsidRPr="00065D55" w:rsidRDefault="00B15B8A" w:rsidP="00AE2F89">
            <w:pPr>
              <w:pStyle w:val="TableText"/>
            </w:pPr>
            <w:r w:rsidRPr="00065D55">
              <w:t>Access and Participation</w:t>
            </w:r>
          </w:p>
        </w:tc>
        <w:tc>
          <w:tcPr>
            <w:tcW w:w="1985" w:type="dxa"/>
            <w:shd w:val="clear" w:color="auto" w:fill="DAEEF3"/>
            <w:vAlign w:val="center"/>
          </w:tcPr>
          <w:p w14:paraId="76DC2E14" w14:textId="77777777" w:rsidR="00B15B8A" w:rsidRPr="00065D55" w:rsidRDefault="00B15B8A" w:rsidP="00AE2F89">
            <w:pPr>
              <w:pStyle w:val="TableText"/>
              <w:jc w:val="center"/>
            </w:pPr>
            <w:r w:rsidRPr="00065D55">
              <w:t>-</w:t>
            </w:r>
          </w:p>
        </w:tc>
        <w:tc>
          <w:tcPr>
            <w:tcW w:w="1985" w:type="dxa"/>
            <w:shd w:val="clear" w:color="auto" w:fill="DAEEF3"/>
            <w:vAlign w:val="center"/>
          </w:tcPr>
          <w:p w14:paraId="77E0A774" w14:textId="77777777" w:rsidR="00B15B8A" w:rsidRPr="00065D55" w:rsidRDefault="00B15B8A" w:rsidP="00AE2F89">
            <w:pPr>
              <w:pStyle w:val="TableText"/>
              <w:jc w:val="center"/>
            </w:pPr>
            <w:r w:rsidRPr="00065D55">
              <w:t>4</w:t>
            </w:r>
          </w:p>
        </w:tc>
        <w:tc>
          <w:tcPr>
            <w:tcW w:w="1985" w:type="dxa"/>
            <w:shd w:val="clear" w:color="auto" w:fill="DAEEF3"/>
            <w:vAlign w:val="center"/>
          </w:tcPr>
          <w:p w14:paraId="00850674" w14:textId="77777777" w:rsidR="00B15B8A" w:rsidRPr="00065D55" w:rsidRDefault="00B15B8A" w:rsidP="00AE2F89">
            <w:pPr>
              <w:pStyle w:val="TableText"/>
              <w:jc w:val="center"/>
            </w:pPr>
            <w:r>
              <w:t>1</w:t>
            </w:r>
          </w:p>
        </w:tc>
      </w:tr>
      <w:tr w:rsidR="00B15B8A" w:rsidRPr="00E3784E" w14:paraId="299421B3" w14:textId="77777777" w:rsidTr="003C0C7B">
        <w:trPr>
          <w:trHeight w:hRule="exact" w:val="454"/>
        </w:trPr>
        <w:tc>
          <w:tcPr>
            <w:tcW w:w="3289" w:type="dxa"/>
            <w:shd w:val="clear" w:color="auto" w:fill="auto"/>
            <w:vAlign w:val="center"/>
          </w:tcPr>
          <w:p w14:paraId="0482D0E7" w14:textId="77777777" w:rsidR="00B15B8A" w:rsidRPr="00065D55" w:rsidRDefault="00B15B8A" w:rsidP="00AE2F89">
            <w:pPr>
              <w:pStyle w:val="TableText"/>
            </w:pPr>
            <w:r w:rsidRPr="00065D55">
              <w:t>Cancer Detection</w:t>
            </w:r>
          </w:p>
        </w:tc>
        <w:tc>
          <w:tcPr>
            <w:tcW w:w="1985" w:type="dxa"/>
            <w:shd w:val="clear" w:color="auto" w:fill="auto"/>
            <w:vAlign w:val="center"/>
          </w:tcPr>
          <w:p w14:paraId="2994E10F" w14:textId="77777777" w:rsidR="00B15B8A" w:rsidRPr="00655A3B" w:rsidRDefault="00B15B8A" w:rsidP="00AE2F89">
            <w:pPr>
              <w:pStyle w:val="TableText"/>
              <w:jc w:val="center"/>
            </w:pPr>
            <w:r>
              <w:t>3</w:t>
            </w:r>
          </w:p>
        </w:tc>
        <w:tc>
          <w:tcPr>
            <w:tcW w:w="1985" w:type="dxa"/>
            <w:shd w:val="clear" w:color="auto" w:fill="auto"/>
            <w:vAlign w:val="center"/>
          </w:tcPr>
          <w:p w14:paraId="4F8AC1F2" w14:textId="60EA1F0C" w:rsidR="00B15B8A" w:rsidRPr="00655A3B" w:rsidRDefault="00B15B8A" w:rsidP="00AE2F89">
            <w:pPr>
              <w:pStyle w:val="TableText"/>
              <w:jc w:val="center"/>
            </w:pPr>
            <w:r>
              <w:t>1</w:t>
            </w:r>
            <w:r w:rsidR="008815BA">
              <w:t>5</w:t>
            </w:r>
          </w:p>
        </w:tc>
        <w:tc>
          <w:tcPr>
            <w:tcW w:w="1985" w:type="dxa"/>
            <w:shd w:val="clear" w:color="auto" w:fill="auto"/>
            <w:vAlign w:val="center"/>
          </w:tcPr>
          <w:p w14:paraId="193F39AB" w14:textId="77777777" w:rsidR="00B15B8A" w:rsidRPr="00655A3B" w:rsidRDefault="00B15B8A" w:rsidP="00AE2F89">
            <w:pPr>
              <w:pStyle w:val="TableText"/>
              <w:jc w:val="center"/>
            </w:pPr>
            <w:r>
              <w:t>4</w:t>
            </w:r>
          </w:p>
        </w:tc>
      </w:tr>
      <w:tr w:rsidR="00B15B8A" w:rsidRPr="00E3784E" w14:paraId="008AB42F" w14:textId="77777777" w:rsidTr="003C0C7B">
        <w:trPr>
          <w:trHeight w:hRule="exact" w:val="454"/>
        </w:trPr>
        <w:tc>
          <w:tcPr>
            <w:tcW w:w="3289" w:type="dxa"/>
            <w:shd w:val="clear" w:color="auto" w:fill="DAEEF3"/>
            <w:vAlign w:val="center"/>
          </w:tcPr>
          <w:p w14:paraId="32DD9BEE" w14:textId="77777777" w:rsidR="00B15B8A" w:rsidRPr="00065D55" w:rsidRDefault="00B15B8A" w:rsidP="00AE2F89">
            <w:pPr>
              <w:pStyle w:val="TableText"/>
            </w:pPr>
            <w:r w:rsidRPr="00065D55">
              <w:t>Assessment</w:t>
            </w:r>
          </w:p>
        </w:tc>
        <w:tc>
          <w:tcPr>
            <w:tcW w:w="1985" w:type="dxa"/>
            <w:shd w:val="clear" w:color="auto" w:fill="DAEEF3"/>
            <w:vAlign w:val="center"/>
          </w:tcPr>
          <w:p w14:paraId="7AB3D35F" w14:textId="77777777" w:rsidR="00B15B8A" w:rsidRPr="00655A3B" w:rsidRDefault="00B15B8A" w:rsidP="00AE2F89">
            <w:pPr>
              <w:pStyle w:val="TableText"/>
              <w:jc w:val="center"/>
            </w:pPr>
            <w:r>
              <w:t>4</w:t>
            </w:r>
          </w:p>
        </w:tc>
        <w:tc>
          <w:tcPr>
            <w:tcW w:w="1985" w:type="dxa"/>
            <w:shd w:val="clear" w:color="auto" w:fill="DAEEF3"/>
            <w:vAlign w:val="center"/>
          </w:tcPr>
          <w:p w14:paraId="5FC0E283" w14:textId="77777777" w:rsidR="00B15B8A" w:rsidRPr="00655A3B" w:rsidRDefault="00B15B8A" w:rsidP="00AE2F89">
            <w:pPr>
              <w:pStyle w:val="TableText"/>
              <w:jc w:val="center"/>
            </w:pPr>
            <w:r>
              <w:t>3</w:t>
            </w:r>
          </w:p>
        </w:tc>
        <w:tc>
          <w:tcPr>
            <w:tcW w:w="1985" w:type="dxa"/>
            <w:shd w:val="clear" w:color="auto" w:fill="DAEEF3"/>
            <w:vAlign w:val="center"/>
          </w:tcPr>
          <w:p w14:paraId="05BEB74D" w14:textId="77777777" w:rsidR="00B15B8A" w:rsidRPr="00655A3B" w:rsidRDefault="00B15B8A" w:rsidP="00AE2F89">
            <w:pPr>
              <w:pStyle w:val="TableText"/>
              <w:jc w:val="center"/>
            </w:pPr>
            <w:r w:rsidRPr="00655A3B">
              <w:t>1</w:t>
            </w:r>
          </w:p>
        </w:tc>
      </w:tr>
      <w:tr w:rsidR="00B15B8A" w:rsidRPr="00E3784E" w14:paraId="17B78F14" w14:textId="77777777" w:rsidTr="003C0C7B">
        <w:trPr>
          <w:trHeight w:hRule="exact" w:val="454"/>
        </w:trPr>
        <w:tc>
          <w:tcPr>
            <w:tcW w:w="3289" w:type="dxa"/>
            <w:shd w:val="clear" w:color="auto" w:fill="auto"/>
            <w:vAlign w:val="center"/>
          </w:tcPr>
          <w:p w14:paraId="642F0CD2" w14:textId="77777777" w:rsidR="00B15B8A" w:rsidRPr="00065D55" w:rsidRDefault="00B15B8A" w:rsidP="00AE2F89">
            <w:pPr>
              <w:pStyle w:val="TableText"/>
            </w:pPr>
            <w:r w:rsidRPr="00065D55">
              <w:lastRenderedPageBreak/>
              <w:t>Timeliness</w:t>
            </w:r>
          </w:p>
        </w:tc>
        <w:tc>
          <w:tcPr>
            <w:tcW w:w="1985" w:type="dxa"/>
            <w:shd w:val="clear" w:color="auto" w:fill="auto"/>
            <w:vAlign w:val="center"/>
          </w:tcPr>
          <w:p w14:paraId="7C0BB266" w14:textId="77777777" w:rsidR="00B15B8A" w:rsidRPr="00655A3B" w:rsidRDefault="00B15B8A" w:rsidP="00AE2F89">
            <w:pPr>
              <w:pStyle w:val="TableText"/>
              <w:jc w:val="center"/>
            </w:pPr>
            <w:r w:rsidRPr="00655A3B">
              <w:t>1</w:t>
            </w:r>
          </w:p>
        </w:tc>
        <w:tc>
          <w:tcPr>
            <w:tcW w:w="1985" w:type="dxa"/>
            <w:shd w:val="clear" w:color="auto" w:fill="auto"/>
            <w:vAlign w:val="center"/>
          </w:tcPr>
          <w:p w14:paraId="67C7DDC0" w14:textId="77777777" w:rsidR="00B15B8A" w:rsidRPr="00655A3B" w:rsidRDefault="00B15B8A" w:rsidP="00AE2F89">
            <w:pPr>
              <w:pStyle w:val="TableText"/>
              <w:jc w:val="center"/>
            </w:pPr>
            <w:r>
              <w:t>7</w:t>
            </w:r>
          </w:p>
        </w:tc>
        <w:tc>
          <w:tcPr>
            <w:tcW w:w="1985" w:type="dxa"/>
            <w:shd w:val="clear" w:color="auto" w:fill="auto"/>
            <w:vAlign w:val="center"/>
          </w:tcPr>
          <w:p w14:paraId="799301C3" w14:textId="77777777" w:rsidR="00B15B8A" w:rsidRPr="00655A3B" w:rsidRDefault="00B15B8A" w:rsidP="00AE2F89">
            <w:pPr>
              <w:pStyle w:val="TableText"/>
              <w:jc w:val="center"/>
            </w:pPr>
            <w:r w:rsidRPr="00655A3B">
              <w:t>-</w:t>
            </w:r>
          </w:p>
        </w:tc>
      </w:tr>
      <w:tr w:rsidR="00B15B8A" w:rsidRPr="00E3784E" w14:paraId="07A4256A" w14:textId="77777777" w:rsidTr="003C0C7B">
        <w:trPr>
          <w:trHeight w:hRule="exact" w:val="634"/>
        </w:trPr>
        <w:tc>
          <w:tcPr>
            <w:tcW w:w="3289" w:type="dxa"/>
            <w:shd w:val="clear" w:color="auto" w:fill="DAEEF3"/>
            <w:vAlign w:val="center"/>
          </w:tcPr>
          <w:p w14:paraId="77F8A1D8" w14:textId="77777777" w:rsidR="00B15B8A" w:rsidRPr="00065D55" w:rsidRDefault="00B15B8A" w:rsidP="00AE2F89">
            <w:pPr>
              <w:pStyle w:val="TableText"/>
            </w:pPr>
            <w:r>
              <w:t>Data Management and Information Systems</w:t>
            </w:r>
          </w:p>
        </w:tc>
        <w:tc>
          <w:tcPr>
            <w:tcW w:w="1985" w:type="dxa"/>
            <w:shd w:val="clear" w:color="auto" w:fill="DAEEF3"/>
            <w:vAlign w:val="center"/>
          </w:tcPr>
          <w:p w14:paraId="1865C26C" w14:textId="77777777" w:rsidR="00B15B8A" w:rsidRPr="00655A3B" w:rsidRDefault="00B15B8A" w:rsidP="00AE2F89">
            <w:pPr>
              <w:pStyle w:val="TableText"/>
              <w:jc w:val="center"/>
            </w:pPr>
            <w:r w:rsidRPr="00655A3B">
              <w:t>-</w:t>
            </w:r>
          </w:p>
        </w:tc>
        <w:tc>
          <w:tcPr>
            <w:tcW w:w="1985" w:type="dxa"/>
            <w:shd w:val="clear" w:color="auto" w:fill="DAEEF3"/>
            <w:vAlign w:val="center"/>
          </w:tcPr>
          <w:p w14:paraId="12E072E4" w14:textId="77777777" w:rsidR="00B15B8A" w:rsidRPr="00655A3B" w:rsidRDefault="00B15B8A" w:rsidP="00AE2F89">
            <w:pPr>
              <w:pStyle w:val="TableText"/>
              <w:jc w:val="center"/>
            </w:pPr>
            <w:r w:rsidRPr="00655A3B">
              <w:t>1</w:t>
            </w:r>
          </w:p>
        </w:tc>
        <w:tc>
          <w:tcPr>
            <w:tcW w:w="1985" w:type="dxa"/>
            <w:shd w:val="clear" w:color="auto" w:fill="DAEEF3"/>
            <w:vAlign w:val="center"/>
          </w:tcPr>
          <w:p w14:paraId="47A45D82" w14:textId="77777777" w:rsidR="00B15B8A" w:rsidRPr="00655A3B" w:rsidRDefault="00B15B8A" w:rsidP="00AE2F89">
            <w:pPr>
              <w:pStyle w:val="TableText"/>
              <w:jc w:val="center"/>
            </w:pPr>
            <w:r w:rsidRPr="00655A3B">
              <w:t>1</w:t>
            </w:r>
          </w:p>
        </w:tc>
      </w:tr>
      <w:tr w:rsidR="00B15B8A" w:rsidRPr="00E3784E" w14:paraId="6E19A350" w14:textId="77777777" w:rsidTr="003C0C7B">
        <w:trPr>
          <w:trHeight w:hRule="exact" w:val="454"/>
        </w:trPr>
        <w:tc>
          <w:tcPr>
            <w:tcW w:w="3289" w:type="dxa"/>
            <w:shd w:val="clear" w:color="auto" w:fill="auto"/>
            <w:vAlign w:val="center"/>
          </w:tcPr>
          <w:p w14:paraId="3F3BF72D" w14:textId="77777777" w:rsidR="00B15B8A" w:rsidRPr="00065D55" w:rsidRDefault="00B15B8A" w:rsidP="00AE2F89">
            <w:pPr>
              <w:pStyle w:val="TableText"/>
            </w:pPr>
            <w:r>
              <w:t>Client Focus</w:t>
            </w:r>
          </w:p>
        </w:tc>
        <w:tc>
          <w:tcPr>
            <w:tcW w:w="1985" w:type="dxa"/>
            <w:shd w:val="clear" w:color="auto" w:fill="auto"/>
            <w:vAlign w:val="center"/>
          </w:tcPr>
          <w:p w14:paraId="7A863E81" w14:textId="77777777" w:rsidR="00B15B8A" w:rsidRPr="001678CF" w:rsidRDefault="00B15B8A" w:rsidP="00AE2F89">
            <w:pPr>
              <w:pStyle w:val="TableText"/>
              <w:jc w:val="center"/>
            </w:pPr>
            <w:r>
              <w:t>-</w:t>
            </w:r>
          </w:p>
        </w:tc>
        <w:tc>
          <w:tcPr>
            <w:tcW w:w="1985" w:type="dxa"/>
            <w:shd w:val="clear" w:color="auto" w:fill="auto"/>
            <w:vAlign w:val="center"/>
          </w:tcPr>
          <w:p w14:paraId="0B18CDCF" w14:textId="77777777" w:rsidR="00B15B8A" w:rsidRPr="001678CF" w:rsidRDefault="00B15B8A" w:rsidP="00AE2F89">
            <w:pPr>
              <w:pStyle w:val="TableText"/>
              <w:jc w:val="center"/>
            </w:pPr>
            <w:r>
              <w:t>-</w:t>
            </w:r>
          </w:p>
        </w:tc>
        <w:tc>
          <w:tcPr>
            <w:tcW w:w="1985" w:type="dxa"/>
            <w:shd w:val="clear" w:color="auto" w:fill="auto"/>
            <w:vAlign w:val="center"/>
          </w:tcPr>
          <w:p w14:paraId="519C23E3" w14:textId="77777777" w:rsidR="00B15B8A" w:rsidRPr="001678CF" w:rsidRDefault="00B15B8A" w:rsidP="00AE2F89">
            <w:pPr>
              <w:pStyle w:val="TableText"/>
              <w:jc w:val="center"/>
            </w:pPr>
            <w:r>
              <w:t>-</w:t>
            </w:r>
          </w:p>
        </w:tc>
      </w:tr>
      <w:tr w:rsidR="00B15B8A" w:rsidRPr="00E3784E" w14:paraId="43B3A5EC" w14:textId="77777777" w:rsidTr="003C0C7B">
        <w:trPr>
          <w:trHeight w:hRule="exact" w:val="536"/>
        </w:trPr>
        <w:tc>
          <w:tcPr>
            <w:tcW w:w="3289" w:type="dxa"/>
            <w:shd w:val="clear" w:color="auto" w:fill="DAEEF3"/>
            <w:vAlign w:val="center"/>
          </w:tcPr>
          <w:p w14:paraId="689B2AD2" w14:textId="77777777" w:rsidR="00B15B8A" w:rsidRPr="00065D55" w:rsidRDefault="00B15B8A" w:rsidP="00AE2F89">
            <w:pPr>
              <w:pStyle w:val="TableText"/>
            </w:pPr>
            <w:r>
              <w:t xml:space="preserve">Governance and Management </w:t>
            </w:r>
          </w:p>
        </w:tc>
        <w:tc>
          <w:tcPr>
            <w:tcW w:w="1985" w:type="dxa"/>
            <w:shd w:val="clear" w:color="auto" w:fill="DAEEF3"/>
            <w:vAlign w:val="center"/>
          </w:tcPr>
          <w:p w14:paraId="23C6B6BF" w14:textId="77777777" w:rsidR="00B15B8A" w:rsidRPr="001678CF" w:rsidRDefault="00B15B8A" w:rsidP="00AE2F89">
            <w:pPr>
              <w:pStyle w:val="TableText"/>
              <w:jc w:val="center"/>
            </w:pPr>
            <w:r w:rsidRPr="001678CF">
              <w:t>-</w:t>
            </w:r>
          </w:p>
        </w:tc>
        <w:tc>
          <w:tcPr>
            <w:tcW w:w="1985" w:type="dxa"/>
            <w:shd w:val="clear" w:color="auto" w:fill="DAEEF3"/>
            <w:vAlign w:val="center"/>
          </w:tcPr>
          <w:p w14:paraId="195D8BEA" w14:textId="77777777" w:rsidR="00B15B8A" w:rsidRPr="001678CF" w:rsidRDefault="00B15B8A" w:rsidP="00AE2F89">
            <w:pPr>
              <w:pStyle w:val="TableText"/>
              <w:jc w:val="center"/>
            </w:pPr>
            <w:r>
              <w:t>-</w:t>
            </w:r>
          </w:p>
        </w:tc>
        <w:tc>
          <w:tcPr>
            <w:tcW w:w="1985" w:type="dxa"/>
            <w:shd w:val="clear" w:color="auto" w:fill="DAEEF3"/>
            <w:vAlign w:val="center"/>
          </w:tcPr>
          <w:p w14:paraId="34CD5145" w14:textId="77777777" w:rsidR="00B15B8A" w:rsidRPr="001678CF" w:rsidRDefault="00B15B8A" w:rsidP="00AE2F89">
            <w:pPr>
              <w:pStyle w:val="TableText"/>
              <w:jc w:val="center"/>
            </w:pPr>
            <w:r>
              <w:t>-</w:t>
            </w:r>
          </w:p>
        </w:tc>
      </w:tr>
      <w:tr w:rsidR="00B15B8A" w:rsidRPr="00E3784E" w14:paraId="71097BC6" w14:textId="77777777" w:rsidTr="003C0C7B">
        <w:trPr>
          <w:trHeight w:hRule="exact" w:val="454"/>
        </w:trPr>
        <w:tc>
          <w:tcPr>
            <w:tcW w:w="3289" w:type="dxa"/>
            <w:shd w:val="clear" w:color="auto" w:fill="auto"/>
            <w:vAlign w:val="center"/>
          </w:tcPr>
          <w:p w14:paraId="5DF1311D" w14:textId="77777777" w:rsidR="00B15B8A" w:rsidRPr="00065D55" w:rsidRDefault="00B15B8A" w:rsidP="00AE2F89">
            <w:pPr>
              <w:pStyle w:val="TableText"/>
            </w:pPr>
            <w:r w:rsidRPr="00065D55">
              <w:t>Total for each risk level</w:t>
            </w:r>
          </w:p>
        </w:tc>
        <w:tc>
          <w:tcPr>
            <w:tcW w:w="1985" w:type="dxa"/>
            <w:shd w:val="clear" w:color="auto" w:fill="auto"/>
            <w:vAlign w:val="center"/>
          </w:tcPr>
          <w:p w14:paraId="08F61256" w14:textId="77777777" w:rsidR="00B15B8A" w:rsidRPr="001678CF" w:rsidRDefault="00B15B8A" w:rsidP="00AE2F89">
            <w:pPr>
              <w:pStyle w:val="TableText"/>
              <w:jc w:val="center"/>
            </w:pPr>
            <w:r>
              <w:t>8</w:t>
            </w:r>
          </w:p>
        </w:tc>
        <w:tc>
          <w:tcPr>
            <w:tcW w:w="1985" w:type="dxa"/>
            <w:shd w:val="clear" w:color="auto" w:fill="auto"/>
            <w:vAlign w:val="center"/>
          </w:tcPr>
          <w:p w14:paraId="632A16D3" w14:textId="225FED41" w:rsidR="00B15B8A" w:rsidRPr="001678CF" w:rsidRDefault="006C0D75" w:rsidP="00AE2F89">
            <w:pPr>
              <w:pStyle w:val="TableText"/>
              <w:jc w:val="center"/>
            </w:pPr>
            <w:r>
              <w:t>30</w:t>
            </w:r>
          </w:p>
        </w:tc>
        <w:tc>
          <w:tcPr>
            <w:tcW w:w="1985" w:type="dxa"/>
            <w:shd w:val="clear" w:color="auto" w:fill="auto"/>
            <w:vAlign w:val="center"/>
          </w:tcPr>
          <w:p w14:paraId="60BA9596" w14:textId="77777777" w:rsidR="00B15B8A" w:rsidRPr="001678CF" w:rsidRDefault="00B15B8A" w:rsidP="00AE2F89">
            <w:pPr>
              <w:pStyle w:val="TableText"/>
              <w:jc w:val="center"/>
            </w:pPr>
            <w:r>
              <w:t>7</w:t>
            </w:r>
          </w:p>
        </w:tc>
      </w:tr>
      <w:tr w:rsidR="00B15B8A" w:rsidRPr="00E3784E" w14:paraId="3BB8DFB3" w14:textId="77777777" w:rsidTr="003C0C7B">
        <w:trPr>
          <w:trHeight w:hRule="exact" w:val="454"/>
        </w:trPr>
        <w:tc>
          <w:tcPr>
            <w:tcW w:w="3289" w:type="dxa"/>
            <w:shd w:val="clear" w:color="auto" w:fill="D9D9D9"/>
            <w:vAlign w:val="center"/>
          </w:tcPr>
          <w:p w14:paraId="13DE446F" w14:textId="77777777" w:rsidR="00B15B8A" w:rsidRPr="00065D55" w:rsidRDefault="00B15B8A" w:rsidP="00C46142">
            <w:pPr>
              <w:pStyle w:val="TableHeading"/>
            </w:pPr>
            <w:r w:rsidRPr="00065D55">
              <w:t xml:space="preserve">TOTAL NAS </w:t>
            </w:r>
            <w:r>
              <w:t>Measure</w:t>
            </w:r>
            <w:r w:rsidRPr="00065D55">
              <w:t xml:space="preserve">s </w:t>
            </w:r>
          </w:p>
        </w:tc>
        <w:tc>
          <w:tcPr>
            <w:tcW w:w="5955" w:type="dxa"/>
            <w:gridSpan w:val="3"/>
            <w:shd w:val="clear" w:color="auto" w:fill="D9D9D9"/>
            <w:vAlign w:val="center"/>
          </w:tcPr>
          <w:p w14:paraId="50F40035" w14:textId="3309FE4A" w:rsidR="00B15B8A" w:rsidRPr="00065D55" w:rsidRDefault="00B15B8A" w:rsidP="00C46142">
            <w:pPr>
              <w:pStyle w:val="TableHeading"/>
            </w:pPr>
            <w:r>
              <w:t>4</w:t>
            </w:r>
            <w:r w:rsidR="008815BA">
              <w:t>5</w:t>
            </w:r>
          </w:p>
        </w:tc>
      </w:tr>
    </w:tbl>
    <w:p w14:paraId="1C687AA7" w14:textId="0BFFE2A8" w:rsidR="00B15B8A" w:rsidRPr="00A6047B" w:rsidRDefault="00B15B8A" w:rsidP="00AB1C35">
      <w:r w:rsidRPr="00A6047B">
        <w:t xml:space="preserve">A list of the Level 1 NAS Measures </w:t>
      </w:r>
      <w:r w:rsidR="0017165E">
        <w:t>is</w:t>
      </w:r>
      <w:r w:rsidRPr="00A6047B">
        <w:t xml:space="preserve"> </w:t>
      </w:r>
      <w:r w:rsidR="000C2986">
        <w:t>detailed below.</w:t>
      </w:r>
    </w:p>
    <w:p w14:paraId="6F361AD4" w14:textId="58802143" w:rsidR="00B15B8A" w:rsidRDefault="00B15B8A" w:rsidP="007742E2">
      <w:pPr>
        <w:pStyle w:val="Heading4"/>
      </w:pPr>
      <w:r w:rsidRPr="008B5E6D">
        <w:t>Standard 2: Cancer Detection</w:t>
      </w:r>
    </w:p>
    <w:p w14:paraId="3332014E" w14:textId="77777777" w:rsidR="00F56D66" w:rsidRPr="00F56D66" w:rsidRDefault="00F56D66" w:rsidP="00F56D66">
      <w:pPr>
        <w:widowControl/>
        <w:numPr>
          <w:ilvl w:val="2"/>
          <w:numId w:val="2"/>
        </w:numPr>
        <w:spacing w:before="0" w:after="60"/>
        <w:contextualSpacing/>
        <w:rPr>
          <w:rFonts w:ascii="Calibri" w:hAnsi="Calibri" w:cs="Arial"/>
          <w:lang w:val="en-AU"/>
        </w:rPr>
      </w:pPr>
      <w:r w:rsidRPr="00F56D66">
        <w:rPr>
          <w:rFonts w:ascii="Calibri" w:hAnsi="Calibri" w:cs="Arial"/>
          <w:lang w:val="en-AU"/>
        </w:rPr>
        <w:t xml:space="preserve">a) The Service and/or SCU monitors and reports the proportion of women </w:t>
      </w:r>
    </w:p>
    <w:p w14:paraId="2068D21F" w14:textId="77777777" w:rsidR="00F56D66" w:rsidRPr="00F56D66" w:rsidRDefault="00F56D66" w:rsidP="00F56D66">
      <w:pPr>
        <w:widowControl/>
        <w:spacing w:before="0" w:after="60"/>
        <w:ind w:left="720"/>
        <w:contextualSpacing/>
        <w:rPr>
          <w:rFonts w:ascii="Calibri" w:hAnsi="Calibri" w:cs="Arial"/>
          <w:lang w:val="en-AU"/>
        </w:rPr>
      </w:pPr>
      <w:r w:rsidRPr="00F56D66">
        <w:rPr>
          <w:rFonts w:ascii="Calibri" w:hAnsi="Calibri" w:cs="Arial"/>
          <w:lang w:val="en-AU"/>
        </w:rPr>
        <w:t>aged 50</w:t>
      </w:r>
      <w:r w:rsidRPr="00F56D66">
        <w:rPr>
          <w:sz w:val="22"/>
          <w:szCs w:val="22"/>
        </w:rPr>
        <w:t>– </w:t>
      </w:r>
      <w:r w:rsidRPr="00F56D66">
        <w:rPr>
          <w:rFonts w:ascii="Calibri" w:hAnsi="Calibri" w:cs="Arial"/>
          <w:lang w:val="en-AU"/>
        </w:rPr>
        <w:t>74 years who attend for their first screening episode who are diagnosed with invasive breast cancer.</w:t>
      </w:r>
    </w:p>
    <w:p w14:paraId="7051BF5C" w14:textId="77777777" w:rsidR="00F56D66" w:rsidRPr="00F56D66" w:rsidRDefault="00F56D66" w:rsidP="00F56D66">
      <w:pPr>
        <w:spacing w:before="0" w:after="0"/>
        <w:ind w:left="720"/>
        <w:rPr>
          <w:rFonts w:ascii="Calibri" w:hAnsi="Calibri" w:cs="Arial"/>
          <w:lang w:val="en-AU"/>
        </w:rPr>
      </w:pPr>
      <w:r w:rsidRPr="00F56D66">
        <w:rPr>
          <w:rFonts w:ascii="Calibri" w:hAnsi="Calibri" w:cs="Arial"/>
          <w:lang w:val="en-AU"/>
        </w:rPr>
        <w:t>b) ≥50 per 10,000 women aged 50</w:t>
      </w:r>
      <w:r w:rsidRPr="00F56D66">
        <w:rPr>
          <w:sz w:val="22"/>
          <w:szCs w:val="22"/>
        </w:rPr>
        <w:t>–</w:t>
      </w:r>
      <w:r w:rsidRPr="00F56D66">
        <w:rPr>
          <w:rFonts w:ascii="Calibri" w:hAnsi="Calibri" w:cs="Arial"/>
          <w:lang w:val="en-AU"/>
        </w:rPr>
        <w:t>69 years who attend for their first screening episode are diagnosed with invasive breast cancer.</w:t>
      </w:r>
    </w:p>
    <w:p w14:paraId="0B270CEF" w14:textId="77777777" w:rsidR="00F56D66" w:rsidRPr="00F56D66" w:rsidRDefault="00F56D66" w:rsidP="00F56D66">
      <w:pPr>
        <w:spacing w:before="0" w:after="0" w:line="240" w:lineRule="auto"/>
        <w:ind w:left="720"/>
        <w:rPr>
          <w:rFonts w:ascii="Calibri" w:hAnsi="Calibri" w:cs="Arial"/>
          <w:lang w:val="en-AU"/>
        </w:rPr>
      </w:pPr>
    </w:p>
    <w:p w14:paraId="7427DE80" w14:textId="77777777" w:rsidR="00F56D66" w:rsidRPr="00F56D66" w:rsidRDefault="00F56D66" w:rsidP="00F56D66">
      <w:pPr>
        <w:widowControl/>
        <w:numPr>
          <w:ilvl w:val="2"/>
          <w:numId w:val="18"/>
        </w:numPr>
        <w:spacing w:before="0" w:after="60"/>
        <w:ind w:left="709" w:hanging="709"/>
        <w:contextualSpacing/>
        <w:rPr>
          <w:rFonts w:ascii="Calibri" w:hAnsi="Calibri" w:cs="Arial"/>
          <w:lang w:val="en-AU"/>
        </w:rPr>
      </w:pPr>
      <w:r w:rsidRPr="00F56D66">
        <w:rPr>
          <w:rFonts w:ascii="Calibri" w:hAnsi="Calibri" w:cs="Arial"/>
          <w:lang w:val="en-AU"/>
        </w:rPr>
        <w:t xml:space="preserve">a) The Service and/or SCU monitors and reports the proportion of women </w:t>
      </w:r>
    </w:p>
    <w:p w14:paraId="388FBEC0" w14:textId="77777777" w:rsidR="00F56D66" w:rsidRPr="00F56D66" w:rsidRDefault="00F56D66" w:rsidP="00F56D66">
      <w:pPr>
        <w:widowControl/>
        <w:spacing w:before="0" w:after="60"/>
        <w:ind w:left="709"/>
        <w:contextualSpacing/>
        <w:rPr>
          <w:rFonts w:ascii="Calibri" w:hAnsi="Calibri" w:cs="Arial"/>
          <w:lang w:val="en-AU"/>
        </w:rPr>
      </w:pPr>
      <w:r w:rsidRPr="00F56D66">
        <w:rPr>
          <w:rFonts w:ascii="Calibri" w:hAnsi="Calibri" w:cs="Arial"/>
          <w:lang w:val="en-AU"/>
        </w:rPr>
        <w:t>aged 50</w:t>
      </w:r>
      <w:r w:rsidRPr="00F56D66">
        <w:rPr>
          <w:sz w:val="22"/>
          <w:szCs w:val="22"/>
        </w:rPr>
        <w:t>–</w:t>
      </w:r>
      <w:r w:rsidRPr="00F56D66">
        <w:rPr>
          <w:rFonts w:ascii="Calibri" w:hAnsi="Calibri" w:cs="Arial"/>
          <w:lang w:val="en-AU"/>
        </w:rPr>
        <w:t>74 years who attend for their second or subsequent screening episode who are diagnosed with invasive breast cancer.</w:t>
      </w:r>
    </w:p>
    <w:p w14:paraId="7D95951A" w14:textId="77777777" w:rsidR="00F56D66" w:rsidRPr="00F56D66" w:rsidRDefault="00F56D66" w:rsidP="00F56D66">
      <w:pPr>
        <w:spacing w:before="0" w:after="0"/>
        <w:ind w:left="720"/>
        <w:rPr>
          <w:rFonts w:ascii="Calibri" w:hAnsi="Calibri" w:cs="Arial"/>
          <w:lang w:val="en-AU"/>
        </w:rPr>
      </w:pPr>
      <w:r w:rsidRPr="00F56D66">
        <w:rPr>
          <w:rFonts w:ascii="Calibri" w:hAnsi="Calibri" w:cs="Arial"/>
          <w:lang w:val="en-AU"/>
        </w:rPr>
        <w:t>b) ≥35 per 10,000 women aged 50</w:t>
      </w:r>
      <w:r w:rsidRPr="00F56D66">
        <w:rPr>
          <w:sz w:val="22"/>
          <w:szCs w:val="22"/>
        </w:rPr>
        <w:t>–</w:t>
      </w:r>
      <w:r w:rsidRPr="00F56D66">
        <w:rPr>
          <w:rFonts w:ascii="Calibri" w:hAnsi="Calibri" w:cs="Arial"/>
          <w:lang w:val="en-AU"/>
        </w:rPr>
        <w:t xml:space="preserve">69 years who attend for their second or subsequent screening episode are diagnosed with invasive breast cancer. </w:t>
      </w:r>
    </w:p>
    <w:p w14:paraId="6E85FFFA" w14:textId="77777777" w:rsidR="00F56D66" w:rsidRPr="00F56D66" w:rsidRDefault="00F56D66" w:rsidP="00F56D66">
      <w:pPr>
        <w:spacing w:before="0" w:after="0" w:line="240" w:lineRule="auto"/>
        <w:ind w:left="720"/>
        <w:rPr>
          <w:rFonts w:ascii="Calibri" w:hAnsi="Calibri" w:cs="Arial"/>
          <w:lang w:val="en-AU"/>
        </w:rPr>
      </w:pPr>
    </w:p>
    <w:p w14:paraId="25BA0BA3" w14:textId="77777777" w:rsidR="00F56D66" w:rsidRPr="00F56D66" w:rsidRDefault="00F56D66" w:rsidP="00F56D66">
      <w:pPr>
        <w:spacing w:before="0" w:after="60"/>
        <w:ind w:left="709" w:hanging="709"/>
        <w:rPr>
          <w:rFonts w:ascii="Calibri" w:hAnsi="Calibri" w:cs="Arial"/>
          <w:lang w:val="en-AU"/>
        </w:rPr>
      </w:pPr>
      <w:r w:rsidRPr="00F56D66">
        <w:rPr>
          <w:rFonts w:ascii="Calibri" w:hAnsi="Calibri" w:cs="Arial"/>
          <w:b/>
          <w:lang w:val="en-AU"/>
        </w:rPr>
        <w:t>2.1.3</w:t>
      </w:r>
      <w:r w:rsidRPr="00F56D66">
        <w:rPr>
          <w:rFonts w:ascii="Calibri" w:hAnsi="Calibri" w:cs="Arial"/>
          <w:b/>
          <w:lang w:val="en-AU"/>
        </w:rPr>
        <w:tab/>
      </w:r>
      <w:r w:rsidRPr="00F56D66">
        <w:rPr>
          <w:rFonts w:ascii="Calibri" w:hAnsi="Calibri" w:cs="Arial"/>
          <w:lang w:val="en-AU"/>
        </w:rPr>
        <w:t xml:space="preserve">a) The Service and/or SCU monitors and reports the proportion of women aged </w:t>
      </w:r>
    </w:p>
    <w:p w14:paraId="6D5D42C1" w14:textId="77777777" w:rsidR="00F56D66" w:rsidRPr="00F56D66" w:rsidRDefault="00F56D66" w:rsidP="00F56D66">
      <w:pPr>
        <w:spacing w:before="0" w:after="60"/>
        <w:ind w:left="709"/>
        <w:rPr>
          <w:rFonts w:ascii="Calibri" w:hAnsi="Calibri" w:cs="Arial"/>
          <w:lang w:val="en-AU"/>
        </w:rPr>
      </w:pPr>
      <w:r w:rsidRPr="00F56D66">
        <w:rPr>
          <w:rFonts w:ascii="Calibri" w:hAnsi="Calibri" w:cs="Arial"/>
          <w:lang w:val="en-AU"/>
        </w:rPr>
        <w:t>50</w:t>
      </w:r>
      <w:r w:rsidRPr="00F56D66">
        <w:rPr>
          <w:sz w:val="22"/>
          <w:szCs w:val="22"/>
        </w:rPr>
        <w:t>–</w:t>
      </w:r>
      <w:r w:rsidRPr="00F56D66">
        <w:rPr>
          <w:rFonts w:ascii="Calibri" w:hAnsi="Calibri" w:cs="Arial"/>
          <w:lang w:val="en-AU"/>
        </w:rPr>
        <w:t xml:space="preserve">74 years who attend for their first screening episode who are diagnosed with small (≤15mm) invasive breast cancer. </w:t>
      </w:r>
    </w:p>
    <w:p w14:paraId="2DD6DE73" w14:textId="77777777" w:rsidR="00F56D66" w:rsidRPr="00F56D66" w:rsidRDefault="00F56D66" w:rsidP="00F56D66">
      <w:pPr>
        <w:widowControl/>
        <w:numPr>
          <w:ilvl w:val="0"/>
          <w:numId w:val="19"/>
        </w:numPr>
        <w:tabs>
          <w:tab w:val="left" w:pos="993"/>
        </w:tabs>
        <w:spacing w:before="0" w:after="60"/>
        <w:ind w:left="709" w:firstLine="11"/>
        <w:rPr>
          <w:rFonts w:ascii="Calibri" w:hAnsi="Calibri" w:cs="Arial"/>
          <w:lang w:val="en-AU"/>
        </w:rPr>
      </w:pPr>
      <w:r w:rsidRPr="00F56D66">
        <w:rPr>
          <w:rFonts w:ascii="Calibri" w:hAnsi="Calibri" w:cs="Arial"/>
          <w:lang w:val="en-AU"/>
        </w:rPr>
        <w:t>the Service and/or SCU monitors the proportion of women aged 50</w:t>
      </w:r>
      <w:r w:rsidRPr="00F56D66">
        <w:rPr>
          <w:sz w:val="22"/>
          <w:szCs w:val="22"/>
        </w:rPr>
        <w:t>–</w:t>
      </w:r>
      <w:r w:rsidRPr="00F56D66">
        <w:rPr>
          <w:rFonts w:ascii="Calibri" w:hAnsi="Calibri" w:cs="Arial"/>
          <w:lang w:val="en-AU"/>
        </w:rPr>
        <w:t>74 years who attend for second or subsequent screening episode who are diagnosed with small (≤15mm) invasive breast cancer.</w:t>
      </w:r>
    </w:p>
    <w:p w14:paraId="2720B0D4" w14:textId="77777777" w:rsidR="00F56D66" w:rsidRPr="00F56D66" w:rsidRDefault="00F56D66" w:rsidP="00F56D66">
      <w:pPr>
        <w:spacing w:before="0" w:after="0"/>
        <w:ind w:left="720"/>
        <w:rPr>
          <w:rFonts w:ascii="Calibri" w:hAnsi="Calibri" w:cs="Arial"/>
          <w:lang w:val="en-AU"/>
        </w:rPr>
      </w:pPr>
      <w:r w:rsidRPr="00F56D66">
        <w:rPr>
          <w:rFonts w:ascii="Calibri" w:hAnsi="Calibri" w:cs="Arial"/>
          <w:lang w:val="en-AU"/>
        </w:rPr>
        <w:t>c) ≥25 per 10,000 women aged 50</w:t>
      </w:r>
      <w:r w:rsidRPr="00F56D66">
        <w:rPr>
          <w:sz w:val="22"/>
          <w:szCs w:val="22"/>
        </w:rPr>
        <w:t>–</w:t>
      </w:r>
      <w:r w:rsidRPr="00F56D66">
        <w:rPr>
          <w:rFonts w:ascii="Calibri" w:hAnsi="Calibri" w:cs="Arial"/>
          <w:lang w:val="en-AU"/>
        </w:rPr>
        <w:t xml:space="preserve">69 years who attend for screening are diagnosed with small (≤15mm) invasive breast cancer. </w:t>
      </w:r>
    </w:p>
    <w:p w14:paraId="2ED38D0A" w14:textId="1A7EE7DD" w:rsidR="00B15B8A" w:rsidRPr="008B5E6D" w:rsidRDefault="00B15B8A" w:rsidP="007742E2">
      <w:pPr>
        <w:pStyle w:val="Heading4"/>
      </w:pPr>
      <w:r w:rsidRPr="008B5E6D">
        <w:t>Standard 3: Assessment</w:t>
      </w:r>
    </w:p>
    <w:p w14:paraId="2724FFBC" w14:textId="77777777" w:rsidR="0056268B" w:rsidRPr="0056268B" w:rsidRDefault="0056268B" w:rsidP="0056268B">
      <w:pPr>
        <w:numPr>
          <w:ilvl w:val="2"/>
          <w:numId w:val="21"/>
        </w:numPr>
        <w:spacing w:before="0" w:after="200"/>
        <w:contextualSpacing/>
        <w:rPr>
          <w:rFonts w:ascii="Calibri" w:hAnsi="Calibri" w:cs="Arial"/>
          <w:lang w:val="en-AU"/>
        </w:rPr>
      </w:pPr>
      <w:r w:rsidRPr="0056268B">
        <w:rPr>
          <w:rFonts w:ascii="Calibri" w:hAnsi="Calibri" w:cs="Arial"/>
          <w:lang w:val="en-AU"/>
        </w:rPr>
        <w:t>≤0.35% of women who attend for their first screening episode are found not to have invasive breast cancer or DCIS after diagnostic open biopsy.</w:t>
      </w:r>
    </w:p>
    <w:p w14:paraId="58C887F4" w14:textId="77777777" w:rsidR="0056268B" w:rsidRPr="0056268B" w:rsidRDefault="0056268B" w:rsidP="0056268B">
      <w:pPr>
        <w:widowControl/>
        <w:numPr>
          <w:ilvl w:val="2"/>
          <w:numId w:val="21"/>
        </w:numPr>
        <w:tabs>
          <w:tab w:val="left" w:pos="1320"/>
        </w:tabs>
        <w:spacing w:before="0" w:after="200"/>
        <w:contextualSpacing/>
        <w:rPr>
          <w:rFonts w:ascii="Calibri" w:hAnsi="Calibri" w:cs="Arial"/>
          <w:lang w:val="en-AU"/>
        </w:rPr>
      </w:pPr>
      <w:r w:rsidRPr="0056268B">
        <w:rPr>
          <w:rFonts w:ascii="Calibri" w:hAnsi="Calibri" w:cs="Arial"/>
          <w:lang w:val="en-AU"/>
        </w:rPr>
        <w:t>≤0.16% of women who attend for their second or subsequent screening episode are found not to have invasive breast cancer or DCIS after diagnostic open biopsy.</w:t>
      </w:r>
    </w:p>
    <w:p w14:paraId="4BDD6200" w14:textId="77777777" w:rsidR="0056268B" w:rsidRPr="0056268B" w:rsidRDefault="0056268B" w:rsidP="0056268B">
      <w:pPr>
        <w:widowControl/>
        <w:tabs>
          <w:tab w:val="left" w:pos="709"/>
        </w:tabs>
        <w:spacing w:before="0" w:line="240" w:lineRule="auto"/>
        <w:rPr>
          <w:rFonts w:ascii="Calibri" w:hAnsi="Calibri" w:cs="Arial"/>
          <w:lang w:val="en-AU"/>
        </w:rPr>
      </w:pPr>
      <w:r w:rsidRPr="0056268B">
        <w:rPr>
          <w:rFonts w:ascii="Calibri" w:hAnsi="Calibri" w:cs="Arial"/>
          <w:b/>
          <w:lang w:val="en-AU"/>
        </w:rPr>
        <w:t>3.1.7</w:t>
      </w:r>
      <w:r w:rsidRPr="0056268B">
        <w:rPr>
          <w:rFonts w:ascii="Calibri" w:hAnsi="Calibri" w:cs="Arial"/>
          <w:b/>
          <w:lang w:val="en-AU"/>
        </w:rPr>
        <w:tab/>
      </w:r>
      <w:r w:rsidRPr="0056268B">
        <w:rPr>
          <w:rFonts w:ascii="Calibri" w:hAnsi="Calibri" w:cs="Arial"/>
          <w:lang w:val="en-AU"/>
        </w:rPr>
        <w:t>≥95% of all lesions are correctly identified at first excision.</w:t>
      </w:r>
    </w:p>
    <w:p w14:paraId="07058800" w14:textId="77777777" w:rsidR="0056268B" w:rsidRPr="0056268B" w:rsidRDefault="0056268B" w:rsidP="0056268B">
      <w:pPr>
        <w:widowControl/>
        <w:tabs>
          <w:tab w:val="left" w:pos="709"/>
        </w:tabs>
        <w:spacing w:before="0" w:line="240" w:lineRule="auto"/>
        <w:rPr>
          <w:rFonts w:ascii="Calibri" w:hAnsi="Calibri" w:cs="Arial"/>
          <w:lang w:val="en-AU"/>
        </w:rPr>
      </w:pPr>
    </w:p>
    <w:p w14:paraId="7A3F0DFC" w14:textId="120ABBD2" w:rsidR="0056268B" w:rsidRPr="0056268B" w:rsidRDefault="0056268B" w:rsidP="0056268B">
      <w:pPr>
        <w:widowControl/>
        <w:spacing w:before="0" w:after="60"/>
        <w:rPr>
          <w:rFonts w:ascii="Calibri" w:hAnsi="Calibri" w:cs="Arial"/>
          <w:lang w:val="en-AU"/>
        </w:rPr>
      </w:pPr>
      <w:r w:rsidRPr="0056268B">
        <w:rPr>
          <w:rFonts w:ascii="Calibri" w:hAnsi="Calibri" w:cs="Arial"/>
          <w:b/>
          <w:lang w:val="en-AU"/>
        </w:rPr>
        <w:lastRenderedPageBreak/>
        <w:t xml:space="preserve">3.1.8 </w:t>
      </w:r>
      <w:r w:rsidRPr="0056268B">
        <w:rPr>
          <w:rFonts w:ascii="Calibri" w:hAnsi="Calibri" w:cs="Arial"/>
          <w:b/>
          <w:lang w:val="en-AU"/>
        </w:rPr>
        <w:tab/>
      </w:r>
      <w:r w:rsidRPr="0056268B">
        <w:rPr>
          <w:rFonts w:ascii="Calibri" w:hAnsi="Calibri" w:cs="Arial"/>
          <w:lang w:val="en-AU"/>
        </w:rPr>
        <w:t>a)</w:t>
      </w:r>
      <w:r w:rsidR="00A27598">
        <w:rPr>
          <w:rFonts w:ascii="Calibri" w:hAnsi="Calibri" w:cs="Arial"/>
          <w:lang w:val="en-AU"/>
        </w:rPr>
        <w:t xml:space="preserve"> </w:t>
      </w:r>
      <w:r w:rsidRPr="0056268B">
        <w:rPr>
          <w:rFonts w:ascii="Calibri" w:hAnsi="Calibri" w:cs="Arial"/>
          <w:lang w:val="en-AU"/>
        </w:rPr>
        <w:t xml:space="preserve">≥85% of invasive breast cancers or DCIS are diagnosed without the need for </w:t>
      </w:r>
      <w:r w:rsidRPr="0056268B">
        <w:rPr>
          <w:rFonts w:ascii="Calibri" w:hAnsi="Calibri" w:cs="Arial"/>
          <w:lang w:val="en-AU"/>
        </w:rPr>
        <w:tab/>
      </w:r>
      <w:r w:rsidRPr="0056268B">
        <w:rPr>
          <w:rFonts w:ascii="Calibri" w:hAnsi="Calibri" w:cs="Arial"/>
          <w:lang w:val="en-AU"/>
        </w:rPr>
        <w:tab/>
        <w:t xml:space="preserve">excision. </w:t>
      </w:r>
    </w:p>
    <w:p w14:paraId="16BCC03E" w14:textId="33E995B7" w:rsidR="0056268B" w:rsidRPr="0056268B" w:rsidRDefault="0056268B" w:rsidP="0056268B">
      <w:pPr>
        <w:widowControl/>
        <w:tabs>
          <w:tab w:val="left" w:pos="709"/>
        </w:tabs>
        <w:spacing w:before="0"/>
        <w:ind w:left="720"/>
        <w:rPr>
          <w:rFonts w:ascii="Calibri" w:hAnsi="Calibri" w:cs="Arial"/>
          <w:lang w:val="en-AU"/>
        </w:rPr>
      </w:pPr>
      <w:r w:rsidRPr="0056268B">
        <w:rPr>
          <w:rFonts w:ascii="Calibri" w:hAnsi="Calibri" w:cs="Arial"/>
          <w:lang w:val="en-AU"/>
        </w:rPr>
        <w:t>b) Where part a) is not met, the Service and/or SCU</w:t>
      </w:r>
      <w:r w:rsidRPr="0056268B" w:rsidDel="00AC449D">
        <w:rPr>
          <w:rFonts w:ascii="Calibri" w:hAnsi="Calibri" w:cs="Arial"/>
          <w:lang w:val="en-AU"/>
        </w:rPr>
        <w:t xml:space="preserve"> </w:t>
      </w:r>
      <w:r w:rsidRPr="0056268B">
        <w:rPr>
          <w:rFonts w:ascii="Calibri" w:hAnsi="Calibri" w:cs="Arial"/>
          <w:lang w:val="en-AU"/>
        </w:rPr>
        <w:t xml:space="preserve">provides the proportion of breast cancers that are diagnosed as invasive and DCIS without the need for excision. </w:t>
      </w:r>
    </w:p>
    <w:p w14:paraId="79B739AC" w14:textId="4005F835" w:rsidR="00B15B8A" w:rsidRDefault="00B15B8A" w:rsidP="007742E2">
      <w:pPr>
        <w:pStyle w:val="Heading4"/>
      </w:pPr>
      <w:r w:rsidRPr="008B5E6D">
        <w:t>Standard 4: Timeliness</w:t>
      </w:r>
    </w:p>
    <w:p w14:paraId="29E79B12" w14:textId="77777777" w:rsidR="0056268B" w:rsidRPr="0056268B" w:rsidRDefault="0056268B" w:rsidP="0056268B">
      <w:pPr>
        <w:widowControl/>
        <w:numPr>
          <w:ilvl w:val="2"/>
          <w:numId w:val="22"/>
        </w:numPr>
        <w:tabs>
          <w:tab w:val="left" w:pos="1320"/>
        </w:tabs>
        <w:spacing w:before="0" w:after="60"/>
        <w:rPr>
          <w:rFonts w:cstheme="minorHAnsi"/>
        </w:rPr>
      </w:pPr>
      <w:r w:rsidRPr="0056268B">
        <w:rPr>
          <w:rFonts w:cstheme="minorHAnsi"/>
        </w:rPr>
        <w:t xml:space="preserve">a) </w:t>
      </w:r>
      <w:r w:rsidRPr="0056268B">
        <w:t>≥</w:t>
      </w:r>
      <w:r w:rsidRPr="0056268B">
        <w:rPr>
          <w:rFonts w:cstheme="minorHAnsi"/>
        </w:rPr>
        <w:t>90% of women requiring assessment attend an assessment visit within 28 calendar days of their screening visit.</w:t>
      </w:r>
    </w:p>
    <w:p w14:paraId="3534DA08" w14:textId="77777777" w:rsidR="0056268B" w:rsidRPr="0056268B" w:rsidRDefault="0056268B" w:rsidP="0056268B">
      <w:pPr>
        <w:tabs>
          <w:tab w:val="left" w:pos="1320"/>
        </w:tabs>
        <w:spacing w:before="0" w:after="60"/>
        <w:ind w:left="720"/>
        <w:rPr>
          <w:rFonts w:cstheme="minorHAnsi"/>
        </w:rPr>
      </w:pPr>
      <w:r w:rsidRPr="0056268B">
        <w:rPr>
          <w:rFonts w:cstheme="minorHAnsi"/>
        </w:rPr>
        <w:t>b) Where part a) is not met, the Service and/or SCU records and reports the number of days the Service and/or SCU takes to achieve 90%.</w:t>
      </w:r>
    </w:p>
    <w:p w14:paraId="400FD528" w14:textId="07D55467" w:rsidR="0056268B" w:rsidRPr="0056268B" w:rsidRDefault="0056268B" w:rsidP="0056268B">
      <w:pPr>
        <w:widowControl/>
        <w:spacing w:before="0" w:after="200"/>
        <w:ind w:left="720"/>
        <w:rPr>
          <w:rFonts w:cstheme="minorHAnsi"/>
          <w:bCs/>
          <w:iCs/>
        </w:rPr>
      </w:pPr>
      <w:r w:rsidRPr="0056268B">
        <w:rPr>
          <w:rFonts w:cstheme="minorHAnsi"/>
          <w:bCs/>
          <w:iCs/>
        </w:rPr>
        <w:t>c) Where part a) is not met, the Service and/or SCU records and reports the percentage of women who were offered assessment within 28 calendar days of their screening visit.</w:t>
      </w:r>
    </w:p>
    <w:p w14:paraId="779AD6F8" w14:textId="4546FB04" w:rsidR="00B15B8A" w:rsidRPr="00891857" w:rsidRDefault="009949E6" w:rsidP="006D2034">
      <w:pPr>
        <w:pStyle w:val="Heading3"/>
      </w:pPr>
      <w:bookmarkStart w:id="103" w:name="_Toc517944622"/>
      <w:bookmarkStart w:id="104" w:name="_Toc66438652"/>
      <w:r w:rsidRPr="00AA6550">
        <w:t>Tiered</w:t>
      </w:r>
      <w:r w:rsidRPr="00891857">
        <w:t xml:space="preserve"> Accreditation</w:t>
      </w:r>
      <w:bookmarkEnd w:id="103"/>
      <w:bookmarkEnd w:id="104"/>
    </w:p>
    <w:p w14:paraId="0A35DABD" w14:textId="52F364AA" w:rsidR="00B15B8A" w:rsidRPr="006F3E5F" w:rsidRDefault="00B15B8A" w:rsidP="00AB1C35">
      <w:r w:rsidRPr="00A60F8F">
        <w:t>There are four levels of accreditation with non-accreditation also a possible outcome.  A new Service comes into the Program at the conditional accreditation level.</w:t>
      </w:r>
      <w:r w:rsidR="009B65A3" w:rsidRPr="00A60F8F">
        <w:t xml:space="preserve"> A</w:t>
      </w:r>
      <w:r w:rsidR="009B65A3">
        <w:t xml:space="preserve"> description of each accreditation level is provided below.</w:t>
      </w:r>
    </w:p>
    <w:p w14:paraId="7B98EE13" w14:textId="77777777" w:rsidR="00B15B8A" w:rsidRDefault="00B15B8A" w:rsidP="007742E2">
      <w:pPr>
        <w:pStyle w:val="Heading4"/>
      </w:pPr>
      <w:r w:rsidRPr="006F5EAE">
        <w:t>Accredited with commendation</w:t>
      </w:r>
    </w:p>
    <w:p w14:paraId="34F2442B" w14:textId="5428865E" w:rsidR="00B15B8A" w:rsidRPr="00501643" w:rsidRDefault="00B15B8A" w:rsidP="00AB1C35">
      <w:r w:rsidRPr="00501643">
        <w:t xml:space="preserve">This is the highest level of accreditation awarded.  The Service and/or SCU is recognised for high performance against all Measures for which they </w:t>
      </w:r>
      <w:r w:rsidR="00FA2F8B" w:rsidRPr="00501643">
        <w:t>have sole/shared</w:t>
      </w:r>
      <w:r w:rsidRPr="00501643">
        <w:t xml:space="preserve"> responsib</w:t>
      </w:r>
      <w:r w:rsidR="00FA2F8B" w:rsidRPr="00501643">
        <w:t>ility</w:t>
      </w:r>
      <w:r w:rsidRPr="00501643">
        <w:t>.</w:t>
      </w:r>
    </w:p>
    <w:p w14:paraId="747B13E7" w14:textId="77777777" w:rsidR="00B15B8A" w:rsidRPr="0096086C" w:rsidRDefault="00B15B8A" w:rsidP="007742E2">
      <w:pPr>
        <w:pStyle w:val="Heading4"/>
      </w:pPr>
      <w:r w:rsidRPr="0096086C">
        <w:t>Accredited</w:t>
      </w:r>
    </w:p>
    <w:p w14:paraId="30B78B6A" w14:textId="163E891C" w:rsidR="00B15B8A" w:rsidRPr="00501643" w:rsidRDefault="00B15B8A" w:rsidP="00AB1C35">
      <w:r w:rsidRPr="00501643">
        <w:t xml:space="preserve">BreastScreen Australia Services and SCUs that achieve this level of accreditation must perform highly against most Measures for which they </w:t>
      </w:r>
      <w:r w:rsidR="00FA2F8B" w:rsidRPr="00501643">
        <w:t>have sole/shared</w:t>
      </w:r>
      <w:r w:rsidRPr="00501643">
        <w:t xml:space="preserve"> responsib</w:t>
      </w:r>
      <w:r w:rsidR="00FA2F8B" w:rsidRPr="00501643">
        <w:t>ility</w:t>
      </w:r>
      <w:r w:rsidRPr="00501643">
        <w:t xml:space="preserve">, including all </w:t>
      </w:r>
      <w:r w:rsidR="00FA2F8B" w:rsidRPr="00501643">
        <w:t xml:space="preserve">but 1 of the </w:t>
      </w:r>
      <w:r w:rsidRPr="00501643">
        <w:t>level 1 Measures</w:t>
      </w:r>
      <w:r w:rsidR="00C85865" w:rsidRPr="00501643">
        <w:t xml:space="preserve"> and </w:t>
      </w:r>
      <w:r w:rsidR="00FA2F8B" w:rsidRPr="00501643">
        <w:t>80%</w:t>
      </w:r>
      <w:r w:rsidR="00C85865" w:rsidRPr="00501643">
        <w:t xml:space="preserve"> of level 2 and 3 Measures</w:t>
      </w:r>
      <w:r w:rsidRPr="00501643">
        <w:t>.</w:t>
      </w:r>
    </w:p>
    <w:p w14:paraId="2F7293E7" w14:textId="19F88019" w:rsidR="00B15B8A" w:rsidRPr="0096086C" w:rsidRDefault="00B15B8A" w:rsidP="007742E2">
      <w:pPr>
        <w:pStyle w:val="Heading4"/>
      </w:pPr>
      <w:r w:rsidRPr="0096086C">
        <w:t>Conditional accreditation</w:t>
      </w:r>
    </w:p>
    <w:p w14:paraId="59A0C821" w14:textId="77777777" w:rsidR="00B15B8A" w:rsidRPr="00FF5C81" w:rsidRDefault="00B15B8A" w:rsidP="00FF5C81">
      <w:pPr>
        <w:pStyle w:val="Heading5"/>
      </w:pPr>
      <w:r w:rsidRPr="00FF5C81">
        <w:t>Existing Services and/or SCUs</w:t>
      </w:r>
    </w:p>
    <w:p w14:paraId="082A7135" w14:textId="6D56F15B" w:rsidR="00B15B8A" w:rsidRPr="00501643" w:rsidRDefault="00B15B8A" w:rsidP="00AB1C35">
      <w:r w:rsidRPr="00501643">
        <w:t xml:space="preserve">Conditional accreditation is awarded to Services and/or SCUs that need to address a number of quality improvement issues identified by the NQMC in order to </w:t>
      </w:r>
      <w:r w:rsidR="00803BE4" w:rsidRPr="00501643">
        <w:t xml:space="preserve">be or </w:t>
      </w:r>
      <w:r w:rsidRPr="00501643">
        <w:t xml:space="preserve">remain accredited as a BreastScreen Australia provider. </w:t>
      </w:r>
      <w:r w:rsidR="00D13B03" w:rsidRPr="00501643">
        <w:t xml:space="preserve">Services and/or SCUs that achieve this level of accreditation are expected to have met all but </w:t>
      </w:r>
      <w:r w:rsidR="00FA2F8B" w:rsidRPr="00501643">
        <w:t>2</w:t>
      </w:r>
      <w:r w:rsidR="00D13B03" w:rsidRPr="00501643">
        <w:t xml:space="preserve"> of the level 1 Measures</w:t>
      </w:r>
      <w:r w:rsidR="00FA2F8B" w:rsidRPr="00501643">
        <w:t xml:space="preserve"> and 75% </w:t>
      </w:r>
      <w:r w:rsidR="00D13B03" w:rsidRPr="00501643">
        <w:t xml:space="preserve">of level 2 and 3 Measures. </w:t>
      </w:r>
    </w:p>
    <w:p w14:paraId="12388828" w14:textId="435E5EA9" w:rsidR="00B15B8A" w:rsidRPr="00501643" w:rsidRDefault="00B15B8A" w:rsidP="00AB1C35">
      <w:r w:rsidRPr="00501643">
        <w:t xml:space="preserve">While conditional accreditation is awarded for a period of four years, should the Service and/or SCU feel that it has sufficiently addressed the quality improvement issues identified by the NQMC, the Service and/or SCU may seek to upgrade its level of accreditation at any time </w:t>
      </w:r>
      <w:r w:rsidR="00FB624A">
        <w:t xml:space="preserve">from two years after accreditation was granted (at the time </w:t>
      </w:r>
      <w:r w:rsidR="00FF26E6">
        <w:t>it would be submitting its</w:t>
      </w:r>
      <w:r w:rsidR="00FB624A">
        <w:t xml:space="preserve"> second ADR </w:t>
      </w:r>
      <w:r w:rsidR="00FF26E6">
        <w:t>since the accreditation application</w:t>
      </w:r>
      <w:r w:rsidR="00FB624A">
        <w:t xml:space="preserve">). </w:t>
      </w:r>
      <w:r w:rsidRPr="00501643">
        <w:t xml:space="preserve">  This will be at the expense of the </w:t>
      </w:r>
      <w:r w:rsidRPr="00501643">
        <w:lastRenderedPageBreak/>
        <w:t xml:space="preserve">individual jurisdiction and a request will need to be sent </w:t>
      </w:r>
      <w:r w:rsidR="00803BE4" w:rsidRPr="00501643">
        <w:t xml:space="preserve">outlining how the Service and/or SCU has addressed the QI issues identified </w:t>
      </w:r>
      <w:r w:rsidRPr="00501643">
        <w:t>to the NQMC Secretariat</w:t>
      </w:r>
      <w:r w:rsidR="0055648D">
        <w:t xml:space="preserve"> (see Sections 5.3 and 6.5)</w:t>
      </w:r>
      <w:r w:rsidRPr="00501643">
        <w:t xml:space="preserve">. </w:t>
      </w:r>
    </w:p>
    <w:p w14:paraId="3C19B8DD" w14:textId="77777777" w:rsidR="00B15B8A" w:rsidRDefault="00B15B8A" w:rsidP="00FF5C81">
      <w:pPr>
        <w:pStyle w:val="Heading5"/>
      </w:pPr>
      <w:r w:rsidRPr="00D35735">
        <w:t>New Services</w:t>
      </w:r>
    </w:p>
    <w:p w14:paraId="41D5BA8C" w14:textId="53C73C52" w:rsidR="00B15B8A" w:rsidRPr="00501643" w:rsidRDefault="00B15B8A" w:rsidP="00AB1C35">
      <w:r w:rsidRPr="00501643">
        <w:t xml:space="preserve">Conditional accreditation is the entry level of accreditation to allow new Services to become operational and </w:t>
      </w:r>
      <w:r w:rsidR="00803BE4" w:rsidRPr="00501643">
        <w:t xml:space="preserve">enable them </w:t>
      </w:r>
      <w:r w:rsidRPr="00501643">
        <w:t>to develop the potential to achieve full accreditation. Services that have become non-accredited will also use conditional accreditation to re-enter the Program.</w:t>
      </w:r>
    </w:p>
    <w:p w14:paraId="3A05757D" w14:textId="52A5947A" w:rsidR="00B15B8A" w:rsidRDefault="00803BE4" w:rsidP="00AB1C35">
      <w:r w:rsidRPr="00501643">
        <w:t>A</w:t>
      </w:r>
      <w:r w:rsidR="00B15B8A" w:rsidRPr="00501643">
        <w:t xml:space="preserve"> new Service can choose to apply for full accreditation </w:t>
      </w:r>
      <w:r w:rsidR="00497711" w:rsidRPr="00501643">
        <w:t xml:space="preserve">a minimum of </w:t>
      </w:r>
      <w:r w:rsidR="00B15B8A" w:rsidRPr="00501643">
        <w:t>two years</w:t>
      </w:r>
      <w:r w:rsidRPr="00501643">
        <w:t xml:space="preserve"> after it has been granted conditional accreditation</w:t>
      </w:r>
      <w:r w:rsidR="00B15B8A" w:rsidRPr="00501643">
        <w:t xml:space="preserve">.  This is to ensure that the new Service has sufficient time in which to become established and to collect data to support its application for full accreditation.  Before the end of the four year conditional accreditation period, the Service </w:t>
      </w:r>
      <w:r w:rsidR="00064E7A" w:rsidRPr="00501643">
        <w:t xml:space="preserve">Director </w:t>
      </w:r>
      <w:r w:rsidR="00B15B8A" w:rsidRPr="00501643">
        <w:t>should commence work with the SCU to apply for full accreditation.</w:t>
      </w:r>
    </w:p>
    <w:p w14:paraId="58E29082" w14:textId="16E7CA8D" w:rsidR="00E830CE" w:rsidRDefault="00BA4C81" w:rsidP="00BA4C81">
      <w:pPr>
        <w:pStyle w:val="Heading5"/>
      </w:pPr>
      <w:r>
        <w:t xml:space="preserve">SCU </w:t>
      </w:r>
      <w:r w:rsidR="00E830CE">
        <w:t>Provisional accreditation</w:t>
      </w:r>
    </w:p>
    <w:p w14:paraId="45195904" w14:textId="1A7CE39D" w:rsidR="00E830CE" w:rsidRPr="00501643" w:rsidRDefault="00463E9D" w:rsidP="00AB1C35">
      <w:r>
        <w:t xml:space="preserve">Provisional accreditation is the </w:t>
      </w:r>
      <w:r w:rsidR="00D50724">
        <w:t xml:space="preserve">once-off, </w:t>
      </w:r>
      <w:r>
        <w:t>entry level of accreditation for</w:t>
      </w:r>
      <w:r w:rsidR="00BA4C81">
        <w:t xml:space="preserve"> multi-service</w:t>
      </w:r>
      <w:r>
        <w:t xml:space="preserve"> SCUs</w:t>
      </w:r>
      <w:r w:rsidR="00D50724">
        <w:t xml:space="preserve"> agreed by the NQMC</w:t>
      </w:r>
      <w:r>
        <w:t>.  SCUs have two years from the date of obtaining Provisional accreditation to apply for full accreditation.</w:t>
      </w:r>
    </w:p>
    <w:p w14:paraId="05ADCE8E" w14:textId="77777777" w:rsidR="00B15B8A" w:rsidRPr="00420285" w:rsidRDefault="00B15B8A" w:rsidP="007742E2">
      <w:pPr>
        <w:pStyle w:val="Heading4"/>
      </w:pPr>
      <w:r w:rsidRPr="00420285">
        <w:t>Non-accredited</w:t>
      </w:r>
    </w:p>
    <w:p w14:paraId="77D9DDA6" w14:textId="0152D2A0" w:rsidR="00B15B8A" w:rsidRPr="00501643" w:rsidRDefault="00B15B8A" w:rsidP="00AB1C35">
      <w:r w:rsidRPr="00501643">
        <w:t xml:space="preserve">A Service and/or SCU will not be accredited if it does not meet at least the requirements for conditional accreditation following a six month remediation period, or if accreditation has lapsed (see Section </w:t>
      </w:r>
      <w:r w:rsidR="00807712">
        <w:fldChar w:fldCharType="begin"/>
      </w:r>
      <w:r w:rsidR="00807712">
        <w:instrText xml:space="preserve"> REF _Ref465947384 \r \h </w:instrText>
      </w:r>
      <w:r w:rsidR="00807712">
        <w:fldChar w:fldCharType="separate"/>
      </w:r>
      <w:r w:rsidR="00B36BEE">
        <w:t>6.7</w:t>
      </w:r>
      <w:r w:rsidR="00807712">
        <w:fldChar w:fldCharType="end"/>
      </w:r>
      <w:r w:rsidRPr="00501643">
        <w:t>).</w:t>
      </w:r>
    </w:p>
    <w:p w14:paraId="130D32CC" w14:textId="23741BE7" w:rsidR="005D5A32" w:rsidRPr="00501643" w:rsidRDefault="00B15B8A" w:rsidP="00AB1C35">
      <w:r w:rsidRPr="00501643">
        <w:t>Services and/or SCUs that do not meet the requirements for conditional accreditation w</w:t>
      </w:r>
      <w:r w:rsidR="005D5A32" w:rsidRPr="00501643">
        <w:t xml:space="preserve">ill </w:t>
      </w:r>
      <w:r w:rsidRPr="00501643">
        <w:t xml:space="preserve">be given six months to show improvement or risk being non-accredited. Remedial actions should be undertaken with direct involvement from the respective state/territory government and the jurisdictional </w:t>
      </w:r>
      <w:r w:rsidR="00923B98" w:rsidRPr="00501643">
        <w:t xml:space="preserve">SCU and/or </w:t>
      </w:r>
      <w:r w:rsidRPr="00501643">
        <w:t xml:space="preserve">SQC.  </w:t>
      </w:r>
    </w:p>
    <w:p w14:paraId="68653365" w14:textId="1F90ECB2" w:rsidR="00B15B8A" w:rsidRPr="00501643" w:rsidRDefault="00B15B8A" w:rsidP="00AB1C35">
      <w:r w:rsidRPr="00501643">
        <w:t>While it is acknowledge</w:t>
      </w:r>
      <w:r w:rsidR="00906070" w:rsidRPr="00501643">
        <w:t>d</w:t>
      </w:r>
      <w:r w:rsidRPr="00501643">
        <w:t xml:space="preserve"> that it is likely to take more than six months for improvement in</w:t>
      </w:r>
      <w:r w:rsidRPr="005D5A32">
        <w:rPr>
          <w:color w:val="000000"/>
        </w:rPr>
        <w:t xml:space="preserve"> </w:t>
      </w:r>
      <w:r w:rsidRPr="00501643">
        <w:t xml:space="preserve">performance to show in data trends, it is considered that within six months, work should have commenced to develop and implement strategies to improve the clinical and corporate governance issues associated with the Service and/or SCU’s poor performance.  </w:t>
      </w:r>
      <w:r w:rsidR="00E6415D" w:rsidRPr="00501643">
        <w:t xml:space="preserve">QI </w:t>
      </w:r>
      <w:r w:rsidRPr="00501643">
        <w:t xml:space="preserve">plans and a demonstrated commitment to improve performance should be provided to the NQMC to inform any future action </w:t>
      </w:r>
      <w:r w:rsidR="00906070" w:rsidRPr="00501643">
        <w:t xml:space="preserve">or decision </w:t>
      </w:r>
      <w:r w:rsidRPr="00501643">
        <w:t>which may be required by the NQMC to monitor the ongoing performance of the Service and/or SCU.</w:t>
      </w:r>
      <w:r w:rsidRPr="005D5A32">
        <w:rPr>
          <w:color w:val="000000"/>
        </w:rPr>
        <w:br/>
      </w:r>
      <w:r w:rsidRPr="00501643">
        <w:t>If, after the six month remediation period, a Service and/or SCU is still unable to meet the requirements for conditional accreditation, the Service and/or SCU will be deemed to be not-accredited. Non-accreditation will mean that the Service and/or SCU will not be able to:</w:t>
      </w:r>
    </w:p>
    <w:p w14:paraId="0D718BC7" w14:textId="77777777" w:rsidR="00B15B8A" w:rsidRPr="00DE0793" w:rsidRDefault="00B15B8A" w:rsidP="004712E5">
      <w:pPr>
        <w:pStyle w:val="ListBullet"/>
      </w:pPr>
      <w:r>
        <w:t>O</w:t>
      </w:r>
      <w:r w:rsidRPr="00DE0793">
        <w:t>perate as a</w:t>
      </w:r>
      <w:r>
        <w:t xml:space="preserve"> BreastScreen Australia Service.</w:t>
      </w:r>
    </w:p>
    <w:p w14:paraId="580BFBDA" w14:textId="77777777" w:rsidR="00B15B8A" w:rsidRDefault="00B15B8A" w:rsidP="004712E5">
      <w:pPr>
        <w:pStyle w:val="ListBullet"/>
      </w:pPr>
      <w:r>
        <w:t>U</w:t>
      </w:r>
      <w:r w:rsidRPr="00DE0793">
        <w:t xml:space="preserve">se the BreastScreen Australia logo or any logo or material that identifies it with the </w:t>
      </w:r>
      <w:r w:rsidRPr="00DE0793">
        <w:lastRenderedPageBreak/>
        <w:t>Program, including State and Territory versions of the logo.</w:t>
      </w:r>
    </w:p>
    <w:p w14:paraId="366B59B2" w14:textId="1377E0D0" w:rsidR="00B15B8A" w:rsidRPr="00501643" w:rsidRDefault="00B15B8A" w:rsidP="00AB1C35">
      <w:r w:rsidRPr="00501643">
        <w:t>A non-accredited Service should in no way purport to be part of the BreastScreen Australia Program.  The accreditation process is evidence of BreastScreen Australia’s commitment to quality services.  The operation of non-accredited Services seemingly under the auspice of the Program may undermine the integrity of the Program, and most importantly, potentially put clients and staff at risk.</w:t>
      </w:r>
      <w:r w:rsidR="000D4B9E" w:rsidRPr="00501643">
        <w:t xml:space="preserve"> </w:t>
      </w:r>
      <w:r w:rsidRPr="00501643">
        <w:t xml:space="preserve">A </w:t>
      </w:r>
      <w:r w:rsidR="00497711" w:rsidRPr="00501643">
        <w:t xml:space="preserve">non-accredited </w:t>
      </w:r>
      <w:r w:rsidRPr="00501643">
        <w:t>Service in this situation should undertake careful risk management planning with the relevant State</w:t>
      </w:r>
      <w:r w:rsidR="00FA2F8B" w:rsidRPr="00501643">
        <w:t>/</w:t>
      </w:r>
      <w:r w:rsidRPr="00501643">
        <w:t>Territory Program Manager to make informed decisions about whether to continue operations.  The Program Manager should make informed decisions with their health authority as there will be medico-legal and funding implications to consider.</w:t>
      </w:r>
    </w:p>
    <w:p w14:paraId="36D9A6FF" w14:textId="38F6BFFD" w:rsidR="00B15B8A" w:rsidRPr="00501643" w:rsidRDefault="00B15B8A" w:rsidP="00AB1C35">
      <w:r w:rsidRPr="00501643">
        <w:t>Should a non-accredited Service re-apply for accreditation, it will do so at the conditional level.  Any data provided in support of an application for accreditation is to apply to the relevant period—that is, from the time the Service instigates its application for accreditation and in effect, re-commences operations.  Data pertaining to periods before the application by the Service for conditional accreditation is not relevant on the basis that it relates to the previous structure and operation that would be expected to have changed signiﬁcantly to address the reasons for non-accreditation.</w:t>
      </w:r>
    </w:p>
    <w:p w14:paraId="288F01BF" w14:textId="77777777" w:rsidR="00B15B8A" w:rsidRPr="00501643" w:rsidRDefault="00B15B8A" w:rsidP="00AB1C35">
      <w:r w:rsidRPr="00501643">
        <w:t>Services that allow their accreditation to lapse become non-accredited.</w:t>
      </w:r>
    </w:p>
    <w:p w14:paraId="4C469F0F" w14:textId="58365CC8" w:rsidR="000F5505" w:rsidRPr="00641654" w:rsidRDefault="000F5505" w:rsidP="006D2034">
      <w:pPr>
        <w:pStyle w:val="Heading3"/>
      </w:pPr>
      <w:bookmarkStart w:id="105" w:name="_Toc517944623"/>
      <w:bookmarkStart w:id="106" w:name="_Toc66438653"/>
      <w:r w:rsidRPr="00641654">
        <w:t xml:space="preserve">Categorising Performance </w:t>
      </w:r>
      <w:r>
        <w:t>a</w:t>
      </w:r>
      <w:r w:rsidRPr="00641654">
        <w:t>gainst Individual NAS Measures</w:t>
      </w:r>
      <w:bookmarkEnd w:id="105"/>
      <w:bookmarkEnd w:id="106"/>
    </w:p>
    <w:p w14:paraId="4C50F2FE" w14:textId="78F83E83" w:rsidR="000F5505" w:rsidRPr="007B43D6" w:rsidRDefault="000F5505" w:rsidP="00AB1C35">
      <w:r w:rsidRPr="007B43D6">
        <w:t>There are f</w:t>
      </w:r>
      <w:r>
        <w:t>our</w:t>
      </w:r>
      <w:r w:rsidRPr="007B43D6">
        <w:t xml:space="preserve"> ways in which</w:t>
      </w:r>
      <w:r>
        <w:t xml:space="preserve"> the performance of</w:t>
      </w:r>
      <w:r w:rsidRPr="007B43D6">
        <w:t xml:space="preserve"> a Service</w:t>
      </w:r>
      <w:r>
        <w:t xml:space="preserve"> and/or SCUs </w:t>
      </w:r>
      <w:r w:rsidRPr="007B43D6">
        <w:t xml:space="preserve">can be categorised against a NAS </w:t>
      </w:r>
      <w:r>
        <w:t>Measure</w:t>
      </w:r>
      <w:r w:rsidRPr="007B43D6">
        <w:t xml:space="preserve">.  The </w:t>
      </w:r>
      <w:r>
        <w:t>Measure</w:t>
      </w:r>
      <w:r w:rsidRPr="007B43D6">
        <w:t xml:space="preserve"> can be considered to be:</w:t>
      </w:r>
    </w:p>
    <w:p w14:paraId="5886CD5E" w14:textId="77777777" w:rsidR="000F5505" w:rsidRDefault="000C2986" w:rsidP="004712E5">
      <w:pPr>
        <w:pStyle w:val="ListBullet"/>
      </w:pPr>
      <w:r w:rsidRPr="004712E5">
        <w:t>u</w:t>
      </w:r>
      <w:r w:rsidR="000F5505" w:rsidRPr="004712E5">
        <w:t>nable</w:t>
      </w:r>
      <w:r w:rsidR="000F5505">
        <w:t xml:space="preserve"> to be assessed;</w:t>
      </w:r>
    </w:p>
    <w:p w14:paraId="468179D9" w14:textId="77777777" w:rsidR="000F5505" w:rsidRPr="004B1E66" w:rsidRDefault="000C2986" w:rsidP="004712E5">
      <w:pPr>
        <w:pStyle w:val="ListBullet"/>
      </w:pPr>
      <w:r w:rsidRPr="004712E5">
        <w:t>u</w:t>
      </w:r>
      <w:r w:rsidR="000F5505" w:rsidRPr="004712E5">
        <w:t>nmet</w:t>
      </w:r>
      <w:r w:rsidR="000F5505" w:rsidRPr="004B1E66">
        <w:t>;</w:t>
      </w:r>
    </w:p>
    <w:p w14:paraId="702C467B" w14:textId="77777777" w:rsidR="000F5505" w:rsidRPr="00BE1668" w:rsidRDefault="000C2986" w:rsidP="004712E5">
      <w:pPr>
        <w:pStyle w:val="ListBullet"/>
      </w:pPr>
      <w:r>
        <w:t>m</w:t>
      </w:r>
      <w:r w:rsidR="000F5505">
        <w:t>et; or</w:t>
      </w:r>
    </w:p>
    <w:p w14:paraId="6D98D5EA" w14:textId="77777777" w:rsidR="000F5505" w:rsidRPr="00511070" w:rsidRDefault="000C2986" w:rsidP="004712E5">
      <w:pPr>
        <w:pStyle w:val="ListBullet"/>
      </w:pPr>
      <w:r>
        <w:t>m</w:t>
      </w:r>
      <w:r w:rsidR="000F5505" w:rsidRPr="00511070">
        <w:t xml:space="preserve">et with exception. </w:t>
      </w:r>
    </w:p>
    <w:p w14:paraId="6ABBDA16" w14:textId="77777777" w:rsidR="000F5505" w:rsidRPr="007B43D6" w:rsidRDefault="000F5505" w:rsidP="007742E2">
      <w:pPr>
        <w:pStyle w:val="Heading4"/>
      </w:pPr>
      <w:r w:rsidRPr="00511070">
        <w:t>Unable</w:t>
      </w:r>
      <w:r w:rsidRPr="007B43D6">
        <w:t xml:space="preserve"> to be assessed</w:t>
      </w:r>
    </w:p>
    <w:p w14:paraId="43AA74D4" w14:textId="56BB03F9" w:rsidR="000F5505" w:rsidRPr="007B43D6" w:rsidRDefault="000F5505" w:rsidP="00AB1C35">
      <w:pPr>
        <w:rPr>
          <w:highlight w:val="yellow"/>
        </w:rPr>
      </w:pPr>
      <w:r w:rsidRPr="007B43D6">
        <w:rPr>
          <w:snapToGrid w:val="0"/>
        </w:rPr>
        <w:t>This category applies in situations where</w:t>
      </w:r>
      <w:r w:rsidRPr="007B43D6">
        <w:t xml:space="preserve"> no sound information or data is available to assess performance.  </w:t>
      </w:r>
      <w:r w:rsidRPr="007B43D6">
        <w:rPr>
          <w:snapToGrid w:val="0"/>
        </w:rPr>
        <w:t xml:space="preserve">For example, a new Service may not have been operating long enough to collect enough data to measure its performance against a particular </w:t>
      </w:r>
      <w:r>
        <w:rPr>
          <w:snapToGrid w:val="0"/>
        </w:rPr>
        <w:t>Measure</w:t>
      </w:r>
      <w:r w:rsidRPr="007B43D6">
        <w:rPr>
          <w:snapToGrid w:val="0"/>
        </w:rPr>
        <w:t>.</w:t>
      </w:r>
      <w:r w:rsidR="00906070">
        <w:rPr>
          <w:snapToGrid w:val="0"/>
        </w:rPr>
        <w:t xml:space="preserve"> For the purpose of calculation of accreditation against the </w:t>
      </w:r>
      <w:r w:rsidR="000935A2">
        <w:rPr>
          <w:snapToGrid w:val="0"/>
        </w:rPr>
        <w:t>D</w:t>
      </w:r>
      <w:r w:rsidR="00906070">
        <w:rPr>
          <w:snapToGrid w:val="0"/>
        </w:rPr>
        <w:t xml:space="preserve">ecision </w:t>
      </w:r>
      <w:r w:rsidR="000935A2">
        <w:rPr>
          <w:snapToGrid w:val="0"/>
        </w:rPr>
        <w:t>T</w:t>
      </w:r>
      <w:r w:rsidR="00906070">
        <w:rPr>
          <w:snapToGrid w:val="0"/>
        </w:rPr>
        <w:t>ool, Measures that are ‘unable to be assessed’ are considered to be ‘unmet’.</w:t>
      </w:r>
    </w:p>
    <w:p w14:paraId="1EC8D7CD" w14:textId="77777777" w:rsidR="000F5505" w:rsidRPr="007B43D6" w:rsidRDefault="000F5505" w:rsidP="007742E2">
      <w:pPr>
        <w:pStyle w:val="Heading4"/>
      </w:pPr>
      <w:r w:rsidRPr="007B43D6">
        <w:t>Unmet</w:t>
      </w:r>
    </w:p>
    <w:p w14:paraId="1A0B993C" w14:textId="77777777" w:rsidR="000F5505" w:rsidRPr="007B43D6" w:rsidRDefault="000F5505" w:rsidP="00AB1C35">
      <w:r>
        <w:t>A Measure</w:t>
      </w:r>
      <w:r w:rsidRPr="007B43D6">
        <w:t xml:space="preserve"> is considered </w:t>
      </w:r>
      <w:r w:rsidRPr="007B43D6">
        <w:rPr>
          <w:i/>
        </w:rPr>
        <w:t xml:space="preserve">'unmet' </w:t>
      </w:r>
      <w:r w:rsidRPr="007B43D6">
        <w:t>where there is data or other evidence available to determine that the required measure has not been attained.</w:t>
      </w:r>
    </w:p>
    <w:p w14:paraId="54ECD5FD" w14:textId="77777777" w:rsidR="000F5505" w:rsidRPr="007B43D6" w:rsidRDefault="000F5505" w:rsidP="007742E2">
      <w:pPr>
        <w:pStyle w:val="Heading4"/>
      </w:pPr>
      <w:r w:rsidRPr="007B43D6">
        <w:lastRenderedPageBreak/>
        <w:t>Met</w:t>
      </w:r>
    </w:p>
    <w:p w14:paraId="1CDA27D3" w14:textId="77777777" w:rsidR="000F5505" w:rsidRPr="007B43D6" w:rsidRDefault="000F5505" w:rsidP="00AB1C35">
      <w:r>
        <w:t>A Measure</w:t>
      </w:r>
      <w:r w:rsidRPr="007B43D6">
        <w:t xml:space="preserve"> is considered </w:t>
      </w:r>
      <w:r w:rsidRPr="007B43D6">
        <w:rPr>
          <w:i/>
        </w:rPr>
        <w:t>'met'</w:t>
      </w:r>
      <w:r w:rsidRPr="007B43D6">
        <w:t xml:space="preserve"> where there is evidence available to determine that the required performance level has been attained.</w:t>
      </w:r>
    </w:p>
    <w:p w14:paraId="5EC41D24" w14:textId="77777777" w:rsidR="000F5505" w:rsidRPr="007B43D6" w:rsidRDefault="000F5505" w:rsidP="007742E2">
      <w:pPr>
        <w:pStyle w:val="Heading4"/>
      </w:pPr>
      <w:r w:rsidRPr="007B43D6">
        <w:t>Met with exception</w:t>
      </w:r>
    </w:p>
    <w:p w14:paraId="249ECBD1" w14:textId="66831535" w:rsidR="000F5505" w:rsidRDefault="000F5505" w:rsidP="00AB1C35">
      <w:r w:rsidRPr="007B43D6">
        <w:t xml:space="preserve">To be classified as </w:t>
      </w:r>
      <w:r w:rsidRPr="007B43D6">
        <w:rPr>
          <w:i/>
        </w:rPr>
        <w:t>'met with exception'</w:t>
      </w:r>
      <w:r>
        <w:rPr>
          <w:i/>
        </w:rPr>
        <w:t>,</w:t>
      </w:r>
      <w:r w:rsidRPr="007B43D6">
        <w:t xml:space="preserve"> performance against a</w:t>
      </w:r>
      <w:r>
        <w:t xml:space="preserve"> Measure</w:t>
      </w:r>
      <w:r w:rsidRPr="007B43D6">
        <w:t xml:space="preserve"> must be very close to meeting the absolute measure.  </w:t>
      </w:r>
      <w:r>
        <w:t xml:space="preserve">The </w:t>
      </w:r>
      <w:r w:rsidRPr="006F2B09">
        <w:rPr>
          <w:i/>
        </w:rPr>
        <w:t>‘met with exception’</w:t>
      </w:r>
      <w:r>
        <w:t xml:space="preserve"> category is applied to those Measures prefaced with the word ‘all’</w:t>
      </w:r>
      <w:r w:rsidR="004802C0">
        <w:t xml:space="preserve"> or a standard of 100% or 0%</w:t>
      </w:r>
      <w:r>
        <w:t>. However, in addition to these Measures, t</w:t>
      </w:r>
      <w:r w:rsidRPr="007B43D6">
        <w:t xml:space="preserve">he NQMC </w:t>
      </w:r>
      <w:r>
        <w:t xml:space="preserve">also </w:t>
      </w:r>
      <w:r w:rsidRPr="007B43D6">
        <w:t xml:space="preserve">retains its discretion to assess on a case by case basis if </w:t>
      </w:r>
      <w:r>
        <w:t>any other Measure</w:t>
      </w:r>
      <w:r w:rsidRPr="007B43D6">
        <w:t xml:space="preserve"> should be </w:t>
      </w:r>
      <w:r w:rsidR="009A0BE6">
        <w:t xml:space="preserve">determined to be </w:t>
      </w:r>
      <w:r w:rsidRPr="004E082E">
        <w:rPr>
          <w:i/>
        </w:rPr>
        <w:t>‘met with exception’</w:t>
      </w:r>
      <w:r w:rsidRPr="007B43D6">
        <w:t xml:space="preserve">.  </w:t>
      </w:r>
      <w:r w:rsidR="009A0BE6">
        <w:t>For example, where outcomes of Measures are impacted by the number of women screened and small numbers.</w:t>
      </w:r>
    </w:p>
    <w:p w14:paraId="75BA85B2" w14:textId="77777777" w:rsidR="000F5505" w:rsidRDefault="000F5505" w:rsidP="00AB1C35">
      <w:r w:rsidRPr="007B43D6">
        <w:t>Supporting information from the Service</w:t>
      </w:r>
      <w:r>
        <w:t xml:space="preserve"> and/or SCU </w:t>
      </w:r>
      <w:r w:rsidRPr="007B43D6">
        <w:t xml:space="preserve">will be required and used by the NQMC to inform its decision.  This should include explanatory information as well as information on the strategies in place to enable the </w:t>
      </w:r>
      <w:r>
        <w:t>Measure</w:t>
      </w:r>
      <w:r w:rsidRPr="007B43D6">
        <w:t xml:space="preserve"> to be met.</w:t>
      </w:r>
    </w:p>
    <w:p w14:paraId="0EF47E76" w14:textId="08A96856" w:rsidR="0007147D" w:rsidRPr="00D12B22" w:rsidRDefault="0007147D" w:rsidP="00500310">
      <w:pPr>
        <w:pStyle w:val="Heading2"/>
      </w:pPr>
      <w:bookmarkStart w:id="107" w:name="_Toc517944624"/>
      <w:bookmarkStart w:id="108" w:name="_Toc66438654"/>
      <w:r w:rsidRPr="00C876F1">
        <w:t>AFTER AN ACCREDITATION DECISION IS MADE BY THE NQMC</w:t>
      </w:r>
      <w:bookmarkEnd w:id="107"/>
      <w:bookmarkEnd w:id="108"/>
    </w:p>
    <w:p w14:paraId="3C446042" w14:textId="77777777" w:rsidR="0007147D" w:rsidRPr="00D12B22" w:rsidRDefault="0007147D" w:rsidP="00AB1C35">
      <w:pPr>
        <w:rPr>
          <w:snapToGrid w:val="0"/>
        </w:rPr>
      </w:pPr>
      <w:r w:rsidRPr="00D12B22">
        <w:rPr>
          <w:snapToGrid w:val="0"/>
        </w:rPr>
        <w:t xml:space="preserve">To ensure conﬁdentiality, NQMC members </w:t>
      </w:r>
      <w:r>
        <w:rPr>
          <w:snapToGrid w:val="0"/>
        </w:rPr>
        <w:t>must ensure application documents are</w:t>
      </w:r>
      <w:r w:rsidRPr="00D12B22">
        <w:rPr>
          <w:snapToGrid w:val="0"/>
        </w:rPr>
        <w:t xml:space="preserve"> destroyed after an accreditation decision is reached.</w:t>
      </w:r>
      <w:r>
        <w:rPr>
          <w:snapToGrid w:val="0"/>
        </w:rPr>
        <w:t xml:space="preserve">  </w:t>
      </w:r>
      <w:r w:rsidRPr="00D12B22">
        <w:rPr>
          <w:snapToGrid w:val="0"/>
        </w:rPr>
        <w:t xml:space="preserve">The </w:t>
      </w:r>
      <w:r>
        <w:rPr>
          <w:snapToGrid w:val="0"/>
        </w:rPr>
        <w:t>S</w:t>
      </w:r>
      <w:r w:rsidRPr="00D12B22">
        <w:rPr>
          <w:snapToGrid w:val="0"/>
        </w:rPr>
        <w:t xml:space="preserve">ecretariat will keep one copy on ﬁle as a record.  The Australian Government Department of Health is also provided with a copy by the </w:t>
      </w:r>
      <w:r>
        <w:rPr>
          <w:snapToGrid w:val="0"/>
        </w:rPr>
        <w:t>S</w:t>
      </w:r>
      <w:r w:rsidRPr="00D12B22">
        <w:rPr>
          <w:snapToGrid w:val="0"/>
        </w:rPr>
        <w:t>ecretariat for its records.</w:t>
      </w:r>
    </w:p>
    <w:p w14:paraId="3CD30634" w14:textId="1AD8C632" w:rsidR="0007147D" w:rsidRPr="00D12B22" w:rsidRDefault="0007147D" w:rsidP="00AB1C35">
      <w:pPr>
        <w:rPr>
          <w:snapToGrid w:val="0"/>
        </w:rPr>
      </w:pPr>
      <w:r w:rsidRPr="00D12B22">
        <w:rPr>
          <w:snapToGrid w:val="0"/>
        </w:rPr>
        <w:t>After each NQMC meeting</w:t>
      </w:r>
      <w:r>
        <w:rPr>
          <w:snapToGrid w:val="0"/>
        </w:rPr>
        <w:t>,</w:t>
      </w:r>
      <w:r w:rsidRPr="00D12B22">
        <w:rPr>
          <w:snapToGrid w:val="0"/>
        </w:rPr>
        <w:t xml:space="preserve"> the NQMC </w:t>
      </w:r>
      <w:r>
        <w:rPr>
          <w:snapToGrid w:val="0"/>
        </w:rPr>
        <w:t>S</w:t>
      </w:r>
      <w:r w:rsidRPr="00D12B22">
        <w:rPr>
          <w:snapToGrid w:val="0"/>
        </w:rPr>
        <w:t xml:space="preserve">ecretariat updates the </w:t>
      </w:r>
      <w:r>
        <w:rPr>
          <w:snapToGrid w:val="0"/>
        </w:rPr>
        <w:t xml:space="preserve">national </w:t>
      </w:r>
      <w:r w:rsidRPr="00D12B22">
        <w:rPr>
          <w:snapToGrid w:val="0"/>
        </w:rPr>
        <w:t xml:space="preserve">accreditation status </w:t>
      </w:r>
      <w:r>
        <w:rPr>
          <w:snapToGrid w:val="0"/>
        </w:rPr>
        <w:t>report</w:t>
      </w:r>
      <w:r w:rsidRPr="00D12B22">
        <w:rPr>
          <w:snapToGrid w:val="0"/>
        </w:rPr>
        <w:t xml:space="preserve">, which </w:t>
      </w:r>
      <w:r>
        <w:rPr>
          <w:snapToGrid w:val="0"/>
        </w:rPr>
        <w:t>is then published on the Department of Health’s cancer screening website.</w:t>
      </w:r>
      <w:r w:rsidRPr="00F3322D">
        <w:rPr>
          <w:snapToGrid w:val="0"/>
        </w:rPr>
        <w:t xml:space="preserve"> </w:t>
      </w:r>
      <w:r>
        <w:rPr>
          <w:snapToGrid w:val="0"/>
        </w:rPr>
        <w:t>T</w:t>
      </w:r>
      <w:r w:rsidRPr="00D12B22">
        <w:rPr>
          <w:snapToGrid w:val="0"/>
        </w:rPr>
        <w:t xml:space="preserve">he NQMC </w:t>
      </w:r>
      <w:r>
        <w:rPr>
          <w:snapToGrid w:val="0"/>
        </w:rPr>
        <w:t>then</w:t>
      </w:r>
      <w:r w:rsidRPr="00D12B22">
        <w:rPr>
          <w:snapToGrid w:val="0"/>
        </w:rPr>
        <w:t xml:space="preserve"> advises the </w:t>
      </w:r>
      <w:r>
        <w:rPr>
          <w:snapToGrid w:val="0"/>
        </w:rPr>
        <w:t xml:space="preserve">Service and/or </w:t>
      </w:r>
      <w:r w:rsidRPr="00D12B22">
        <w:rPr>
          <w:snapToGrid w:val="0"/>
        </w:rPr>
        <w:t xml:space="preserve">SCU in writing of </w:t>
      </w:r>
      <w:r>
        <w:rPr>
          <w:snapToGrid w:val="0"/>
        </w:rPr>
        <w:t>its</w:t>
      </w:r>
      <w:r w:rsidRPr="00D12B22">
        <w:rPr>
          <w:snapToGrid w:val="0"/>
        </w:rPr>
        <w:t xml:space="preserve"> decision</w:t>
      </w:r>
      <w:r>
        <w:rPr>
          <w:snapToGrid w:val="0"/>
        </w:rPr>
        <w:t>, together with a</w:t>
      </w:r>
      <w:r w:rsidRPr="00D35735">
        <w:rPr>
          <w:snapToGrid w:val="0"/>
        </w:rPr>
        <w:t xml:space="preserve"> summary of </w:t>
      </w:r>
      <w:r>
        <w:rPr>
          <w:snapToGrid w:val="0"/>
        </w:rPr>
        <w:t>its a</w:t>
      </w:r>
      <w:r w:rsidRPr="00D35735">
        <w:rPr>
          <w:snapToGrid w:val="0"/>
        </w:rPr>
        <w:t xml:space="preserve">ssessment of </w:t>
      </w:r>
      <w:r>
        <w:rPr>
          <w:snapToGrid w:val="0"/>
        </w:rPr>
        <w:t>the</w:t>
      </w:r>
      <w:r w:rsidRPr="00D35735">
        <w:rPr>
          <w:snapToGrid w:val="0"/>
        </w:rPr>
        <w:t xml:space="preserve"> Service and/or SCUs accreditation submission</w:t>
      </w:r>
      <w:r>
        <w:rPr>
          <w:snapToGrid w:val="0"/>
        </w:rPr>
        <w:t xml:space="preserve">. </w:t>
      </w:r>
      <w:r w:rsidR="000D4B9E">
        <w:rPr>
          <w:snapToGrid w:val="0"/>
        </w:rPr>
        <w:t xml:space="preserve">A high level report of the Service’s performance history will be </w:t>
      </w:r>
      <w:r w:rsidRPr="000D4B9E">
        <w:rPr>
          <w:snapToGrid w:val="0"/>
        </w:rPr>
        <w:t>published on the Department of Health’s cancer screening website. Releasing this informat</w:t>
      </w:r>
      <w:r w:rsidRPr="00D35735">
        <w:rPr>
          <w:snapToGrid w:val="0"/>
        </w:rPr>
        <w:t xml:space="preserve">ion will help ensure public accountability and transparency of the </w:t>
      </w:r>
      <w:r>
        <w:rPr>
          <w:snapToGrid w:val="0"/>
        </w:rPr>
        <w:t>P</w:t>
      </w:r>
      <w:r w:rsidRPr="00D35735">
        <w:rPr>
          <w:snapToGrid w:val="0"/>
        </w:rPr>
        <w:t>rogram, and through this, help drive quality improvement.  The information will be released in a consistent format and will include the level of accreditation achieved, areas in which the Service and/or SCU has performed well, and areas in which the Service and/or SCU could improve performance.</w:t>
      </w:r>
    </w:p>
    <w:p w14:paraId="0A99908A" w14:textId="77777777" w:rsidR="0007147D" w:rsidRPr="00D12B22" w:rsidRDefault="0007147D" w:rsidP="00AB1C35">
      <w:pPr>
        <w:rPr>
          <w:snapToGrid w:val="0"/>
        </w:rPr>
      </w:pPr>
      <w:r>
        <w:rPr>
          <w:snapToGrid w:val="0"/>
        </w:rPr>
        <w:t xml:space="preserve">The NQMC Secretariat also notifies the relevant Department of Health, National Surveyor and survey team of the outcome of accreditation for quality improvement purposes. </w:t>
      </w:r>
    </w:p>
    <w:p w14:paraId="415AED7F" w14:textId="77777777" w:rsidR="00667CDB" w:rsidRDefault="0007147D" w:rsidP="00AB1C35">
      <w:pPr>
        <w:rPr>
          <w:snapToGrid w:val="0"/>
        </w:rPr>
      </w:pPr>
      <w:r w:rsidRPr="00700EC3">
        <w:rPr>
          <w:snapToGrid w:val="0"/>
        </w:rPr>
        <w:t>All Services</w:t>
      </w:r>
      <w:r>
        <w:rPr>
          <w:snapToGrid w:val="0"/>
        </w:rPr>
        <w:t xml:space="preserve"> and/or </w:t>
      </w:r>
      <w:r w:rsidRPr="00700EC3">
        <w:rPr>
          <w:snapToGrid w:val="0"/>
        </w:rPr>
        <w:t>SCUs achieving accreditation receive a certiﬁcate from the NQMC Secretari</w:t>
      </w:r>
      <w:r>
        <w:rPr>
          <w:snapToGrid w:val="0"/>
        </w:rPr>
        <w:t xml:space="preserve">at acknowledging their success.  A separate certificate will be supplied for each unit within a Service.  </w:t>
      </w:r>
      <w:r w:rsidRPr="00700EC3">
        <w:rPr>
          <w:snapToGrid w:val="0"/>
        </w:rPr>
        <w:t xml:space="preserve">Certiﬁcates must be displayed by Services in a prominent position where they can be seen by consumers. </w:t>
      </w:r>
    </w:p>
    <w:p w14:paraId="42B2A0E5" w14:textId="66146708" w:rsidR="00B16B5B" w:rsidRDefault="00B16B5B" w:rsidP="00500310">
      <w:pPr>
        <w:pStyle w:val="Heading2"/>
      </w:pPr>
      <w:bookmarkStart w:id="109" w:name="_Toc517944625"/>
      <w:bookmarkStart w:id="110" w:name="_Toc66438655"/>
      <w:r>
        <w:lastRenderedPageBreak/>
        <w:t>APPEAL OF DECISIONS</w:t>
      </w:r>
      <w:bookmarkEnd w:id="109"/>
      <w:bookmarkEnd w:id="110"/>
    </w:p>
    <w:p w14:paraId="1200CD42" w14:textId="5AC249C5" w:rsidR="00702AE3" w:rsidRPr="000202F9" w:rsidRDefault="00702AE3" w:rsidP="00AB1C35">
      <w:pPr>
        <w:rPr>
          <w:snapToGrid w:val="0"/>
        </w:rPr>
      </w:pPr>
      <w:r w:rsidRPr="000202F9">
        <w:rPr>
          <w:snapToGrid w:val="0"/>
        </w:rPr>
        <w:t>The appeals process is premised upon the collaborative working arrangements between Services, SCUs and the NQMC to achieve accreditation for the Service.</w:t>
      </w:r>
    </w:p>
    <w:p w14:paraId="59D35598" w14:textId="37C19C29" w:rsidR="00B16B5B" w:rsidRPr="0045030C" w:rsidRDefault="00B16B5B" w:rsidP="006D2034">
      <w:pPr>
        <w:pStyle w:val="Heading3"/>
      </w:pPr>
      <w:bookmarkStart w:id="111" w:name="_Toc517944626"/>
      <w:bookmarkStart w:id="112" w:name="_Toc66438656"/>
      <w:r w:rsidRPr="0045030C">
        <w:t>Right of Appeal</w:t>
      </w:r>
      <w:bookmarkEnd w:id="111"/>
      <w:bookmarkEnd w:id="112"/>
    </w:p>
    <w:p w14:paraId="47C7DBBC" w14:textId="30073F89" w:rsidR="00667CDB" w:rsidRDefault="00B16B5B" w:rsidP="00AB1C35">
      <w:pPr>
        <w:rPr>
          <w:snapToGrid w:val="0"/>
        </w:rPr>
      </w:pPr>
      <w:r w:rsidRPr="0045030C">
        <w:rPr>
          <w:snapToGrid w:val="0"/>
        </w:rPr>
        <w:t>A</w:t>
      </w:r>
      <w:r w:rsidR="00F648AE">
        <w:rPr>
          <w:snapToGrid w:val="0"/>
        </w:rPr>
        <w:t>ny</w:t>
      </w:r>
      <w:r w:rsidRPr="0045030C">
        <w:rPr>
          <w:snapToGrid w:val="0"/>
        </w:rPr>
        <w:t xml:space="preserve"> </w:t>
      </w:r>
      <w:r w:rsidRPr="007534CE">
        <w:rPr>
          <w:snapToGrid w:val="0"/>
        </w:rPr>
        <w:t xml:space="preserve">Service </w:t>
      </w:r>
      <w:r>
        <w:rPr>
          <w:snapToGrid w:val="0"/>
        </w:rPr>
        <w:t xml:space="preserve">(through the </w:t>
      </w:r>
      <w:r w:rsidR="000D4B9E">
        <w:rPr>
          <w:snapToGrid w:val="0"/>
        </w:rPr>
        <w:t>SCU</w:t>
      </w:r>
      <w:r>
        <w:rPr>
          <w:snapToGrid w:val="0"/>
        </w:rPr>
        <w:t xml:space="preserve">) </w:t>
      </w:r>
      <w:r w:rsidRPr="007534CE">
        <w:rPr>
          <w:snapToGrid w:val="0"/>
        </w:rPr>
        <w:t xml:space="preserve">and/or </w:t>
      </w:r>
      <w:r>
        <w:rPr>
          <w:snapToGrid w:val="0"/>
        </w:rPr>
        <w:t xml:space="preserve">SCU </w:t>
      </w:r>
      <w:r w:rsidRPr="0045030C">
        <w:rPr>
          <w:snapToGrid w:val="0"/>
        </w:rPr>
        <w:t xml:space="preserve">has the right to appeal a decision made by the </w:t>
      </w:r>
      <w:r>
        <w:rPr>
          <w:snapToGrid w:val="0"/>
        </w:rPr>
        <w:t>NQMC</w:t>
      </w:r>
      <w:r w:rsidRPr="0045030C">
        <w:rPr>
          <w:snapToGrid w:val="0"/>
        </w:rPr>
        <w:t xml:space="preserve"> in relation to their accreditation status.  </w:t>
      </w:r>
    </w:p>
    <w:p w14:paraId="18D52539" w14:textId="211D2D88" w:rsidR="00B16B5B" w:rsidRPr="0045030C" w:rsidRDefault="00B16B5B" w:rsidP="00AB1C35">
      <w:pPr>
        <w:rPr>
          <w:snapToGrid w:val="0"/>
        </w:rPr>
      </w:pPr>
      <w:r w:rsidRPr="0045030C">
        <w:rPr>
          <w:snapToGrid w:val="0"/>
        </w:rPr>
        <w:t xml:space="preserve">The appeal should be made in writing from the SCU to the </w:t>
      </w:r>
      <w:r>
        <w:rPr>
          <w:snapToGrid w:val="0"/>
        </w:rPr>
        <w:t>C</w:t>
      </w:r>
      <w:r w:rsidRPr="0045030C">
        <w:rPr>
          <w:snapToGrid w:val="0"/>
        </w:rPr>
        <w:t xml:space="preserve">hair of the NQMC within four weeks of the </w:t>
      </w:r>
      <w:r>
        <w:rPr>
          <w:snapToGrid w:val="0"/>
        </w:rPr>
        <w:t xml:space="preserve">receipt of </w:t>
      </w:r>
      <w:r w:rsidRPr="0045030C">
        <w:rPr>
          <w:snapToGrid w:val="0"/>
        </w:rPr>
        <w:t>notification</w:t>
      </w:r>
      <w:r>
        <w:rPr>
          <w:snapToGrid w:val="0"/>
        </w:rPr>
        <w:t xml:space="preserve"> of the accreditation outcome</w:t>
      </w:r>
      <w:r w:rsidRPr="0045030C">
        <w:rPr>
          <w:snapToGrid w:val="0"/>
        </w:rPr>
        <w:t xml:space="preserve"> letter from the NQMC.  The application for a review of accreditation decision should include a statement of the grounds on which accreditation reconsideration is sought.  The form </w:t>
      </w:r>
      <w:r w:rsidRPr="00AF0698">
        <w:rPr>
          <w:snapToGrid w:val="0"/>
        </w:rPr>
        <w:t>'Appeal Application'</w:t>
      </w:r>
      <w:r w:rsidRPr="0045030C">
        <w:rPr>
          <w:snapToGrid w:val="0"/>
        </w:rPr>
        <w:t xml:space="preserve"> is to be used when lodging an </w:t>
      </w:r>
      <w:r w:rsidRPr="004844A5">
        <w:rPr>
          <w:snapToGrid w:val="0"/>
        </w:rPr>
        <w:t>appeal (</w:t>
      </w:r>
      <w:r w:rsidR="00C96C2F" w:rsidRPr="004844A5">
        <w:rPr>
          <w:snapToGrid w:val="0"/>
        </w:rPr>
        <w:t>BSA201</w:t>
      </w:r>
      <w:r>
        <w:rPr>
          <w:snapToGrid w:val="0"/>
        </w:rPr>
        <w:t>)</w:t>
      </w:r>
      <w:r w:rsidRPr="0045030C">
        <w:rPr>
          <w:snapToGrid w:val="0"/>
        </w:rPr>
        <w:t>.</w:t>
      </w:r>
    </w:p>
    <w:p w14:paraId="100F0B39" w14:textId="77777777" w:rsidR="00B16B5B" w:rsidRPr="0045030C" w:rsidRDefault="00B16B5B" w:rsidP="00AB1C35">
      <w:pPr>
        <w:rPr>
          <w:snapToGrid w:val="0"/>
        </w:rPr>
      </w:pPr>
      <w:r w:rsidRPr="0045030C">
        <w:rPr>
          <w:snapToGrid w:val="0"/>
        </w:rPr>
        <w:t xml:space="preserve">The </w:t>
      </w:r>
      <w:r>
        <w:rPr>
          <w:snapToGrid w:val="0"/>
        </w:rPr>
        <w:t>C</w:t>
      </w:r>
      <w:r w:rsidRPr="0045030C">
        <w:rPr>
          <w:snapToGrid w:val="0"/>
        </w:rPr>
        <w:t>hair of the NQMC will formally acknowledge receipt of the appeal in writing</w:t>
      </w:r>
      <w:r>
        <w:rPr>
          <w:snapToGrid w:val="0"/>
        </w:rPr>
        <w:t xml:space="preserve"> to the SCU within five working days of receiving the appeal letter</w:t>
      </w:r>
      <w:r w:rsidRPr="0045030C">
        <w:rPr>
          <w:snapToGrid w:val="0"/>
        </w:rPr>
        <w:t>.</w:t>
      </w:r>
    </w:p>
    <w:p w14:paraId="063E569E" w14:textId="05F0A4D8" w:rsidR="00B16B5B" w:rsidRPr="0045030C" w:rsidRDefault="00B16B5B" w:rsidP="00AB1C35">
      <w:pPr>
        <w:rPr>
          <w:snapToGrid w:val="0"/>
        </w:rPr>
      </w:pPr>
      <w:r w:rsidRPr="00C36027">
        <w:rPr>
          <w:snapToGrid w:val="0"/>
        </w:rPr>
        <w:t xml:space="preserve">The accreditation </w:t>
      </w:r>
      <w:r>
        <w:rPr>
          <w:snapToGrid w:val="0"/>
        </w:rPr>
        <w:t>status held by the Service or SCU prior to the accreditation decision which is under appeal</w:t>
      </w:r>
      <w:r w:rsidRPr="00C36027">
        <w:rPr>
          <w:snapToGrid w:val="0"/>
        </w:rPr>
        <w:t xml:space="preserve"> will remain in force until the appeal is ﬁnalised.</w:t>
      </w:r>
    </w:p>
    <w:p w14:paraId="7994993D" w14:textId="1990AD35" w:rsidR="00B16B5B" w:rsidRPr="0045030C" w:rsidRDefault="00B16B5B" w:rsidP="006D2034">
      <w:pPr>
        <w:pStyle w:val="Heading3"/>
      </w:pPr>
      <w:bookmarkStart w:id="113" w:name="_Toc517944627"/>
      <w:bookmarkStart w:id="114" w:name="_Toc66438657"/>
      <w:r w:rsidRPr="0045030C">
        <w:t>Grounds for Appeal</w:t>
      </w:r>
      <w:bookmarkEnd w:id="113"/>
      <w:bookmarkEnd w:id="114"/>
    </w:p>
    <w:p w14:paraId="0BF403FC" w14:textId="77777777" w:rsidR="00B16B5B" w:rsidRPr="0045030C" w:rsidRDefault="00B16B5B" w:rsidP="00AB1C35">
      <w:pPr>
        <w:rPr>
          <w:snapToGrid w:val="0"/>
        </w:rPr>
      </w:pPr>
      <w:r w:rsidRPr="0045030C">
        <w:rPr>
          <w:snapToGrid w:val="0"/>
        </w:rPr>
        <w:t>An appeal may be made on one or more of the following grounds:</w:t>
      </w:r>
    </w:p>
    <w:p w14:paraId="2B499B23" w14:textId="24CD18DF" w:rsidR="00B16B5B" w:rsidRPr="00C501A9" w:rsidRDefault="00B16B5B" w:rsidP="004712E5">
      <w:pPr>
        <w:pStyle w:val="ListBullet"/>
        <w:rPr>
          <w:snapToGrid w:val="0"/>
        </w:rPr>
      </w:pPr>
      <w:r>
        <w:rPr>
          <w:snapToGrid w:val="0"/>
        </w:rPr>
        <w:t>r</w:t>
      </w:r>
      <w:r w:rsidRPr="00C501A9">
        <w:rPr>
          <w:snapToGrid w:val="0"/>
        </w:rPr>
        <w:t>elevant and signiﬁcant evidence was not properly considered</w:t>
      </w:r>
      <w:r>
        <w:rPr>
          <w:snapToGrid w:val="0"/>
        </w:rPr>
        <w:t xml:space="preserve"> or was </w:t>
      </w:r>
      <w:r w:rsidR="007D2376">
        <w:rPr>
          <w:snapToGrid w:val="0"/>
        </w:rPr>
        <w:t xml:space="preserve">perceived to be </w:t>
      </w:r>
      <w:r>
        <w:rPr>
          <w:snapToGrid w:val="0"/>
        </w:rPr>
        <w:t xml:space="preserve">incorrectly interpreted; </w:t>
      </w:r>
    </w:p>
    <w:p w14:paraId="41D15738" w14:textId="77777777" w:rsidR="00B16B5B" w:rsidRPr="00C501A9" w:rsidRDefault="00B16B5B" w:rsidP="004712E5">
      <w:pPr>
        <w:pStyle w:val="ListBullet"/>
        <w:rPr>
          <w:snapToGrid w:val="0"/>
        </w:rPr>
      </w:pPr>
      <w:r>
        <w:rPr>
          <w:snapToGrid w:val="0"/>
        </w:rPr>
        <w:t>t</w:t>
      </w:r>
      <w:r w:rsidRPr="00C501A9">
        <w:rPr>
          <w:snapToGrid w:val="0"/>
        </w:rPr>
        <w:t>he reasons provided for the accreditation decision are inconsistent with the evidence up</w:t>
      </w:r>
      <w:r>
        <w:rPr>
          <w:snapToGrid w:val="0"/>
        </w:rPr>
        <w:t>on which that decision was made;</w:t>
      </w:r>
    </w:p>
    <w:p w14:paraId="170BE074" w14:textId="77777777" w:rsidR="00B16B5B" w:rsidRPr="00C501A9" w:rsidRDefault="00B16B5B" w:rsidP="004712E5">
      <w:pPr>
        <w:pStyle w:val="ListBullet"/>
        <w:rPr>
          <w:snapToGrid w:val="0"/>
        </w:rPr>
      </w:pPr>
      <w:r>
        <w:rPr>
          <w:snapToGrid w:val="0"/>
        </w:rPr>
        <w:t>a</w:t>
      </w:r>
      <w:r w:rsidRPr="00C501A9">
        <w:rPr>
          <w:snapToGrid w:val="0"/>
        </w:rPr>
        <w:t>n error was perceived to be made in the accreditation decision or the proce</w:t>
      </w:r>
      <w:r>
        <w:rPr>
          <w:snapToGrid w:val="0"/>
        </w:rPr>
        <w:t>ss leading to that decision; or</w:t>
      </w:r>
    </w:p>
    <w:p w14:paraId="3DAE8534" w14:textId="77777777" w:rsidR="00B16B5B" w:rsidRPr="00C501A9" w:rsidRDefault="00B16B5B" w:rsidP="004712E5">
      <w:pPr>
        <w:pStyle w:val="ListBullet"/>
        <w:rPr>
          <w:snapToGrid w:val="0"/>
        </w:rPr>
      </w:pPr>
      <w:r>
        <w:rPr>
          <w:snapToGrid w:val="0"/>
        </w:rPr>
        <w:t>o</w:t>
      </w:r>
      <w:r w:rsidRPr="00C501A9">
        <w:rPr>
          <w:snapToGrid w:val="0"/>
        </w:rPr>
        <w:t>ther</w:t>
      </w:r>
      <w:r>
        <w:rPr>
          <w:snapToGrid w:val="0"/>
        </w:rPr>
        <w:t xml:space="preserve"> reasons that would need to substantiated</w:t>
      </w:r>
      <w:r w:rsidRPr="00C501A9">
        <w:rPr>
          <w:snapToGrid w:val="0"/>
        </w:rPr>
        <w:t>.</w:t>
      </w:r>
    </w:p>
    <w:p w14:paraId="00BC9531" w14:textId="5E519BB3" w:rsidR="00B16B5B" w:rsidRPr="004E1C02" w:rsidRDefault="00B16B5B" w:rsidP="006D2034">
      <w:pPr>
        <w:pStyle w:val="Heading3"/>
      </w:pPr>
      <w:bookmarkStart w:id="115" w:name="_Toc517944628"/>
      <w:bookmarkStart w:id="116" w:name="_Toc66438658"/>
      <w:r w:rsidRPr="004E1C02">
        <w:t>NQMC Consideration of Appeal</w:t>
      </w:r>
      <w:bookmarkEnd w:id="115"/>
      <w:bookmarkEnd w:id="116"/>
    </w:p>
    <w:p w14:paraId="1F1B421A" w14:textId="20F7FC22" w:rsidR="00811AA1" w:rsidRDefault="00B16B5B" w:rsidP="00AB1C35">
      <w:pPr>
        <w:rPr>
          <w:snapToGrid w:val="0"/>
        </w:rPr>
      </w:pPr>
      <w:r w:rsidRPr="004E1C02">
        <w:rPr>
          <w:snapToGrid w:val="0"/>
        </w:rPr>
        <w:t xml:space="preserve">In the ﬁrst instance, the NQMC </w:t>
      </w:r>
      <w:r w:rsidR="002C489A" w:rsidRPr="004E1C02">
        <w:rPr>
          <w:snapToGrid w:val="0"/>
        </w:rPr>
        <w:t xml:space="preserve">will consider the appeal, reviewing its original </w:t>
      </w:r>
      <w:r w:rsidR="002C489A">
        <w:rPr>
          <w:snapToGrid w:val="0"/>
        </w:rPr>
        <w:t xml:space="preserve">accreditation </w:t>
      </w:r>
      <w:r w:rsidR="002C489A" w:rsidRPr="004E1C02">
        <w:rPr>
          <w:snapToGrid w:val="0"/>
        </w:rPr>
        <w:t>decision and recommendations.</w:t>
      </w:r>
      <w:r w:rsidR="002C489A">
        <w:rPr>
          <w:snapToGrid w:val="0"/>
        </w:rPr>
        <w:t xml:space="preserve">  </w:t>
      </w:r>
      <w:r w:rsidR="008B1F9C">
        <w:rPr>
          <w:snapToGrid w:val="0"/>
        </w:rPr>
        <w:t>In undertaking this internal review</w:t>
      </w:r>
      <w:r w:rsidR="00811AA1">
        <w:rPr>
          <w:snapToGrid w:val="0"/>
        </w:rPr>
        <w:t xml:space="preserve">: </w:t>
      </w:r>
    </w:p>
    <w:p w14:paraId="16CD778F" w14:textId="7F7605DC" w:rsidR="003F41F9" w:rsidRDefault="003F41F9" w:rsidP="003F41F9">
      <w:pPr>
        <w:pStyle w:val="ListBullet"/>
        <w:rPr>
          <w:snapToGrid w:val="0"/>
        </w:rPr>
      </w:pPr>
      <w:r w:rsidRPr="00811AA1">
        <w:rPr>
          <w:snapToGrid w:val="0"/>
        </w:rPr>
        <w:t xml:space="preserve">The </w:t>
      </w:r>
      <w:r>
        <w:rPr>
          <w:snapToGrid w:val="0"/>
        </w:rPr>
        <w:t>NQMC will have a formal discussion</w:t>
      </w:r>
      <w:r w:rsidR="009D23D5">
        <w:rPr>
          <w:rStyle w:val="FootnoteReference"/>
          <w:snapToGrid w:val="0"/>
        </w:rPr>
        <w:footnoteReference w:id="5"/>
      </w:r>
      <w:r>
        <w:rPr>
          <w:snapToGrid w:val="0"/>
        </w:rPr>
        <w:t xml:space="preserve"> with the appellant </w:t>
      </w:r>
      <w:r w:rsidR="009D23D5">
        <w:rPr>
          <w:snapToGrid w:val="0"/>
        </w:rPr>
        <w:t>about the grounds for their appeal</w:t>
      </w:r>
      <w:r w:rsidRPr="00811AA1">
        <w:rPr>
          <w:snapToGrid w:val="0"/>
        </w:rPr>
        <w:t xml:space="preserve">.  </w:t>
      </w:r>
    </w:p>
    <w:p w14:paraId="6E0EE137" w14:textId="55AD465D" w:rsidR="004C0CBC" w:rsidRPr="004E1C02" w:rsidRDefault="004C0CBC" w:rsidP="004C0CBC">
      <w:pPr>
        <w:pStyle w:val="ListBullet"/>
        <w:rPr>
          <w:snapToGrid w:val="0"/>
        </w:rPr>
      </w:pPr>
      <w:r>
        <w:rPr>
          <w:snapToGrid w:val="0"/>
        </w:rPr>
        <w:lastRenderedPageBreak/>
        <w:t>T</w:t>
      </w:r>
      <w:r w:rsidRPr="004E1C02">
        <w:rPr>
          <w:snapToGrid w:val="0"/>
        </w:rPr>
        <w:t xml:space="preserve">he NQMC may inspect the premises of the </w:t>
      </w:r>
      <w:r w:rsidRPr="007534CE">
        <w:rPr>
          <w:snapToGrid w:val="0"/>
        </w:rPr>
        <w:t>Service and/or SCU</w:t>
      </w:r>
      <w:r>
        <w:rPr>
          <w:snapToGrid w:val="0"/>
        </w:rPr>
        <w:t>; invite</w:t>
      </w:r>
      <w:r w:rsidRPr="004E1C02">
        <w:rPr>
          <w:snapToGrid w:val="0"/>
        </w:rPr>
        <w:t xml:space="preserve"> any relevant perso</w:t>
      </w:r>
      <w:r>
        <w:rPr>
          <w:snapToGrid w:val="0"/>
        </w:rPr>
        <w:t xml:space="preserve">n to appear before the NQMC, including </w:t>
      </w:r>
      <w:r w:rsidR="00FD1C45">
        <w:rPr>
          <w:snapToGrid w:val="0"/>
        </w:rPr>
        <w:t xml:space="preserve">Survey Team </w:t>
      </w:r>
      <w:r>
        <w:rPr>
          <w:snapToGrid w:val="0"/>
        </w:rPr>
        <w:t>members;</w:t>
      </w:r>
      <w:r w:rsidRPr="004E1C02">
        <w:rPr>
          <w:snapToGrid w:val="0"/>
        </w:rPr>
        <w:t xml:space="preserve"> or seek </w:t>
      </w:r>
      <w:r>
        <w:rPr>
          <w:snapToGrid w:val="0"/>
        </w:rPr>
        <w:t>additional information from the</w:t>
      </w:r>
      <w:r w:rsidRPr="004E1C02">
        <w:rPr>
          <w:snapToGrid w:val="0"/>
        </w:rPr>
        <w:t xml:space="preserve"> Service, SCU or S</w:t>
      </w:r>
      <w:r>
        <w:rPr>
          <w:snapToGrid w:val="0"/>
        </w:rPr>
        <w:t>tate Quality Committee (SQC)</w:t>
      </w:r>
      <w:r w:rsidRPr="004E1C02">
        <w:rPr>
          <w:snapToGrid w:val="0"/>
        </w:rPr>
        <w:t>.</w:t>
      </w:r>
    </w:p>
    <w:p w14:paraId="6BE58BF9" w14:textId="5CE23F18" w:rsidR="00811AA1" w:rsidRDefault="00811AA1" w:rsidP="00811AA1">
      <w:pPr>
        <w:pStyle w:val="ListBullet"/>
        <w:rPr>
          <w:snapToGrid w:val="0"/>
        </w:rPr>
      </w:pPr>
      <w:r w:rsidRPr="00811AA1">
        <w:rPr>
          <w:snapToGrid w:val="0"/>
        </w:rPr>
        <w:t xml:space="preserve">The </w:t>
      </w:r>
      <w:r w:rsidR="008B1F9C">
        <w:rPr>
          <w:snapToGrid w:val="0"/>
        </w:rPr>
        <w:t xml:space="preserve">NQMC </w:t>
      </w:r>
      <w:r w:rsidR="003F41F9">
        <w:rPr>
          <w:snapToGrid w:val="0"/>
        </w:rPr>
        <w:t>will</w:t>
      </w:r>
      <w:r w:rsidRPr="00811AA1">
        <w:rPr>
          <w:snapToGrid w:val="0"/>
        </w:rPr>
        <w:t xml:space="preserve"> take into account </w:t>
      </w:r>
      <w:r w:rsidR="003F41F9">
        <w:rPr>
          <w:snapToGrid w:val="0"/>
        </w:rPr>
        <w:t xml:space="preserve">any </w:t>
      </w:r>
      <w:r w:rsidRPr="00811AA1">
        <w:rPr>
          <w:snapToGrid w:val="0"/>
        </w:rPr>
        <w:t xml:space="preserve">new information submitted by the appellant.  </w:t>
      </w:r>
    </w:p>
    <w:p w14:paraId="6ECBEECD" w14:textId="6AE44DFD" w:rsidR="00811AA1" w:rsidRDefault="00811AA1" w:rsidP="001A75AF">
      <w:pPr>
        <w:rPr>
          <w:snapToGrid w:val="0"/>
        </w:rPr>
      </w:pPr>
      <w:r w:rsidRPr="00811AA1">
        <w:rPr>
          <w:snapToGrid w:val="0"/>
        </w:rPr>
        <w:t>If the NQMC considers that it should change its original decision on the basis of new information provided, it will set aside its original decision and replace it with a new decision.</w:t>
      </w:r>
      <w:r w:rsidR="001A75AF">
        <w:rPr>
          <w:snapToGrid w:val="0"/>
        </w:rPr>
        <w:t xml:space="preserve">  Where</w:t>
      </w:r>
      <w:r w:rsidRPr="00811AA1">
        <w:rPr>
          <w:snapToGrid w:val="0"/>
        </w:rPr>
        <w:t xml:space="preserve"> no new information is provided by the appellant</w:t>
      </w:r>
      <w:r w:rsidR="008B1F9C">
        <w:rPr>
          <w:snapToGrid w:val="0"/>
        </w:rPr>
        <w:t>,</w:t>
      </w:r>
      <w:r w:rsidRPr="00811AA1">
        <w:rPr>
          <w:snapToGrid w:val="0"/>
        </w:rPr>
        <w:t xml:space="preserve"> the NQMC must conduct its internal</w:t>
      </w:r>
      <w:r w:rsidR="0086758F">
        <w:rPr>
          <w:snapToGrid w:val="0"/>
        </w:rPr>
        <w:t xml:space="preserve"> </w:t>
      </w:r>
      <w:r w:rsidRPr="00811AA1">
        <w:rPr>
          <w:snapToGrid w:val="0"/>
        </w:rPr>
        <w:t xml:space="preserve">review on the basis of the information considered in arriving at the original decision.  </w:t>
      </w:r>
    </w:p>
    <w:p w14:paraId="7E6AF4D1" w14:textId="3A3D82DB" w:rsidR="00B16B5B" w:rsidRPr="004E1C02" w:rsidRDefault="001F1F2D" w:rsidP="00FD1C45">
      <w:pPr>
        <w:rPr>
          <w:snapToGrid w:val="0"/>
        </w:rPr>
      </w:pPr>
      <w:r>
        <w:rPr>
          <w:snapToGrid w:val="0"/>
        </w:rPr>
        <w:t>Should</w:t>
      </w:r>
      <w:r w:rsidR="00B16B5B">
        <w:rPr>
          <w:snapToGrid w:val="0"/>
        </w:rPr>
        <w:t xml:space="preserve"> the NQMC decide </w:t>
      </w:r>
      <w:r w:rsidR="00B16B5B" w:rsidRPr="004E1C02">
        <w:rPr>
          <w:snapToGrid w:val="0"/>
        </w:rPr>
        <w:t>by co</w:t>
      </w:r>
      <w:r w:rsidR="00B16B5B">
        <w:rPr>
          <w:snapToGrid w:val="0"/>
        </w:rPr>
        <w:t xml:space="preserve">nsensus to change its </w:t>
      </w:r>
      <w:r w:rsidR="00B16B5B" w:rsidRPr="004E1C02">
        <w:rPr>
          <w:snapToGrid w:val="0"/>
        </w:rPr>
        <w:t>accreditatio</w:t>
      </w:r>
      <w:r w:rsidR="00B16B5B">
        <w:rPr>
          <w:snapToGrid w:val="0"/>
        </w:rPr>
        <w:t>n decision, it will notify the SCU</w:t>
      </w:r>
      <w:r w:rsidR="00B16B5B" w:rsidRPr="004E1C02">
        <w:rPr>
          <w:snapToGrid w:val="0"/>
        </w:rPr>
        <w:t xml:space="preserve"> in writing</w:t>
      </w:r>
      <w:r w:rsidR="000A43BD">
        <w:rPr>
          <w:snapToGrid w:val="0"/>
        </w:rPr>
        <w:t xml:space="preserve"> within 10 working days</w:t>
      </w:r>
      <w:r w:rsidR="00B16B5B">
        <w:rPr>
          <w:snapToGrid w:val="0"/>
        </w:rPr>
        <w:t>.</w:t>
      </w:r>
    </w:p>
    <w:p w14:paraId="51195175" w14:textId="2404753C" w:rsidR="00B16B5B" w:rsidRDefault="00B16B5B" w:rsidP="00FD1C45">
      <w:pPr>
        <w:rPr>
          <w:snapToGrid w:val="0"/>
        </w:rPr>
      </w:pPr>
      <w:r>
        <w:rPr>
          <w:snapToGrid w:val="0"/>
        </w:rPr>
        <w:t xml:space="preserve">If the NQMC decides </w:t>
      </w:r>
      <w:r w:rsidRPr="004E1C02">
        <w:rPr>
          <w:snapToGrid w:val="0"/>
        </w:rPr>
        <w:t>by co</w:t>
      </w:r>
      <w:r>
        <w:rPr>
          <w:snapToGrid w:val="0"/>
        </w:rPr>
        <w:t xml:space="preserve">nsensus to retain its original accreditation decision, </w:t>
      </w:r>
      <w:r w:rsidR="00FD1C45" w:rsidRPr="00811AA1">
        <w:rPr>
          <w:snapToGrid w:val="0"/>
        </w:rPr>
        <w:t>then the appeal escalates to a review by an external Appeal</w:t>
      </w:r>
      <w:r w:rsidR="007A2624">
        <w:rPr>
          <w:snapToGrid w:val="0"/>
        </w:rPr>
        <w:t>s</w:t>
      </w:r>
      <w:r w:rsidR="00FD1C45" w:rsidRPr="00811AA1">
        <w:rPr>
          <w:snapToGrid w:val="0"/>
        </w:rPr>
        <w:t xml:space="preserve"> Committee</w:t>
      </w:r>
      <w:r w:rsidR="00FD1C45">
        <w:rPr>
          <w:snapToGrid w:val="0"/>
        </w:rPr>
        <w:t xml:space="preserve"> and </w:t>
      </w:r>
      <w:r>
        <w:rPr>
          <w:snapToGrid w:val="0"/>
        </w:rPr>
        <w:t>the SCU</w:t>
      </w:r>
      <w:r w:rsidRPr="004E1C02">
        <w:rPr>
          <w:snapToGrid w:val="0"/>
        </w:rPr>
        <w:t xml:space="preserve"> will be notiﬁed in writing that an </w:t>
      </w:r>
      <w:r w:rsidR="003E2156" w:rsidRPr="00811AA1">
        <w:rPr>
          <w:snapToGrid w:val="0"/>
        </w:rPr>
        <w:t>Appeal</w:t>
      </w:r>
      <w:r w:rsidR="003E2156">
        <w:rPr>
          <w:snapToGrid w:val="0"/>
        </w:rPr>
        <w:t>s</w:t>
      </w:r>
      <w:r w:rsidR="003E2156" w:rsidRPr="00811AA1">
        <w:rPr>
          <w:snapToGrid w:val="0"/>
        </w:rPr>
        <w:t xml:space="preserve"> Committee</w:t>
      </w:r>
      <w:r w:rsidR="003E2156">
        <w:rPr>
          <w:snapToGrid w:val="0"/>
        </w:rPr>
        <w:t xml:space="preserve"> </w:t>
      </w:r>
      <w:r w:rsidRPr="004E1C02">
        <w:rPr>
          <w:snapToGrid w:val="0"/>
        </w:rPr>
        <w:t>will be appointed</w:t>
      </w:r>
      <w:r>
        <w:rPr>
          <w:snapToGrid w:val="0"/>
        </w:rPr>
        <w:t xml:space="preserve"> and a meeting convened</w:t>
      </w:r>
      <w:r w:rsidRPr="004E1C02">
        <w:rPr>
          <w:snapToGrid w:val="0"/>
        </w:rPr>
        <w:t>.</w:t>
      </w:r>
    </w:p>
    <w:p w14:paraId="2A4F51BA" w14:textId="7BCF0CDF" w:rsidR="00B16B5B" w:rsidRPr="004E1C02" w:rsidRDefault="00B16B5B" w:rsidP="006D2034">
      <w:pPr>
        <w:pStyle w:val="Heading3"/>
      </w:pPr>
      <w:bookmarkStart w:id="117" w:name="_Toc517944629"/>
      <w:bookmarkStart w:id="118" w:name="_Toc66438659"/>
      <w:r w:rsidRPr="004E1C02">
        <w:t>Formation and Operation of an Appeals Committee</w:t>
      </w:r>
      <w:bookmarkEnd w:id="117"/>
      <w:bookmarkEnd w:id="118"/>
    </w:p>
    <w:p w14:paraId="521D0940" w14:textId="77777777" w:rsidR="00667CDB" w:rsidRDefault="00B16B5B" w:rsidP="00AB1C35">
      <w:pPr>
        <w:rPr>
          <w:snapToGrid w:val="0"/>
        </w:rPr>
      </w:pPr>
      <w:r>
        <w:rPr>
          <w:snapToGrid w:val="0"/>
        </w:rPr>
        <w:t>If required, the</w:t>
      </w:r>
      <w:r w:rsidRPr="004E1C02">
        <w:rPr>
          <w:snapToGrid w:val="0"/>
        </w:rPr>
        <w:t xml:space="preserve"> NQMC will instruct its </w:t>
      </w:r>
      <w:r>
        <w:rPr>
          <w:snapToGrid w:val="0"/>
        </w:rPr>
        <w:t>S</w:t>
      </w:r>
      <w:r w:rsidRPr="004E1C02">
        <w:rPr>
          <w:snapToGrid w:val="0"/>
        </w:rPr>
        <w:t>ecretariat to convene an appeals committee and</w:t>
      </w:r>
      <w:r>
        <w:rPr>
          <w:snapToGrid w:val="0"/>
        </w:rPr>
        <w:t xml:space="preserve"> refer the</w:t>
      </w:r>
      <w:r w:rsidRPr="004E1C02">
        <w:rPr>
          <w:snapToGrid w:val="0"/>
        </w:rPr>
        <w:t xml:space="preserve"> matter to that committee. </w:t>
      </w:r>
      <w:r>
        <w:rPr>
          <w:snapToGrid w:val="0"/>
        </w:rPr>
        <w:t xml:space="preserve"> </w:t>
      </w:r>
    </w:p>
    <w:p w14:paraId="30DE2E4A" w14:textId="77777777" w:rsidR="00667CDB" w:rsidRDefault="00B16B5B" w:rsidP="00AB1C35">
      <w:pPr>
        <w:rPr>
          <w:snapToGrid w:val="0"/>
        </w:rPr>
      </w:pPr>
      <w:r w:rsidRPr="004E1C02">
        <w:rPr>
          <w:snapToGrid w:val="0"/>
        </w:rPr>
        <w:t xml:space="preserve">The role of an appeals committee is to independently </w:t>
      </w:r>
      <w:r>
        <w:rPr>
          <w:snapToGrid w:val="0"/>
        </w:rPr>
        <w:t>review the NQMC’s original accreditation decision</w:t>
      </w:r>
      <w:r w:rsidRPr="004E1C02">
        <w:rPr>
          <w:snapToGrid w:val="0"/>
        </w:rPr>
        <w:t>.</w:t>
      </w:r>
      <w:r>
        <w:rPr>
          <w:snapToGrid w:val="0"/>
        </w:rPr>
        <w:t xml:space="preserve"> </w:t>
      </w:r>
      <w:r w:rsidRPr="004E1C02">
        <w:rPr>
          <w:snapToGrid w:val="0"/>
        </w:rPr>
        <w:t xml:space="preserve"> </w:t>
      </w:r>
    </w:p>
    <w:p w14:paraId="39916EDD" w14:textId="56A2AA8B" w:rsidR="00B16B5B" w:rsidRPr="004E1C02" w:rsidRDefault="00B16B5B" w:rsidP="00AB1C35">
      <w:pPr>
        <w:rPr>
          <w:snapToGrid w:val="0"/>
        </w:rPr>
      </w:pPr>
      <w:r w:rsidRPr="004E1C02">
        <w:rPr>
          <w:snapToGrid w:val="0"/>
        </w:rPr>
        <w:t>The appeals committee will comprise</w:t>
      </w:r>
      <w:r>
        <w:rPr>
          <w:snapToGrid w:val="0"/>
        </w:rPr>
        <w:t xml:space="preserve"> at a minimum</w:t>
      </w:r>
      <w:r w:rsidRPr="004E1C02">
        <w:rPr>
          <w:snapToGrid w:val="0"/>
        </w:rPr>
        <w:t>:</w:t>
      </w:r>
    </w:p>
    <w:p w14:paraId="1B56E01D" w14:textId="77777777" w:rsidR="00B16B5B" w:rsidRPr="00C501A9" w:rsidRDefault="00B16B5B" w:rsidP="004712E5">
      <w:pPr>
        <w:pStyle w:val="ListBullet"/>
        <w:rPr>
          <w:snapToGrid w:val="0"/>
        </w:rPr>
      </w:pPr>
      <w:r>
        <w:rPr>
          <w:snapToGrid w:val="0"/>
        </w:rPr>
        <w:t>t</w:t>
      </w:r>
      <w:r w:rsidRPr="00C501A9">
        <w:rPr>
          <w:snapToGrid w:val="0"/>
        </w:rPr>
        <w:t>he chair or delegated member of the Standing Co</w:t>
      </w:r>
      <w:r>
        <w:rPr>
          <w:snapToGrid w:val="0"/>
        </w:rPr>
        <w:t>mmittee on Screening.  I</w:t>
      </w:r>
      <w:r w:rsidRPr="00C501A9">
        <w:rPr>
          <w:snapToGrid w:val="0"/>
        </w:rPr>
        <w:t xml:space="preserve">n the case of a conﬂict of interest, this role is to be undertaken by a suitably qualiﬁed, independent person to be determined by the </w:t>
      </w:r>
      <w:r>
        <w:rPr>
          <w:snapToGrid w:val="0"/>
        </w:rPr>
        <w:t>S</w:t>
      </w:r>
      <w:r w:rsidRPr="00C501A9">
        <w:rPr>
          <w:snapToGrid w:val="0"/>
        </w:rPr>
        <w:t>ecretariat in consultation with the Australia Government Department of Health</w:t>
      </w:r>
      <w:r>
        <w:rPr>
          <w:snapToGrid w:val="0"/>
        </w:rPr>
        <w:t>;</w:t>
      </w:r>
    </w:p>
    <w:p w14:paraId="6EE08B7A" w14:textId="5882C86F" w:rsidR="00B16B5B" w:rsidRPr="00C501A9" w:rsidRDefault="00B16B5B" w:rsidP="004712E5">
      <w:pPr>
        <w:pStyle w:val="ListBullet"/>
        <w:rPr>
          <w:snapToGrid w:val="0"/>
        </w:rPr>
      </w:pPr>
      <w:r>
        <w:rPr>
          <w:snapToGrid w:val="0"/>
        </w:rPr>
        <w:t xml:space="preserve">a BreastScreen Australia Program representative </w:t>
      </w:r>
      <w:r w:rsidRPr="00C501A9">
        <w:rPr>
          <w:snapToGrid w:val="0"/>
        </w:rPr>
        <w:t>such as a Service</w:t>
      </w:r>
      <w:r w:rsidR="007F57E9">
        <w:rPr>
          <w:snapToGrid w:val="0"/>
        </w:rPr>
        <w:t xml:space="preserve"> Director </w:t>
      </w:r>
      <w:r>
        <w:rPr>
          <w:snapToGrid w:val="0"/>
        </w:rPr>
        <w:t>(they must not be from the same jurisdiction as the appealing Service and/or SCU);</w:t>
      </w:r>
    </w:p>
    <w:p w14:paraId="3753CA72" w14:textId="6D325278" w:rsidR="00B16B5B" w:rsidRPr="00C501A9" w:rsidRDefault="00B16B5B" w:rsidP="004712E5">
      <w:pPr>
        <w:pStyle w:val="ListBullet"/>
        <w:rPr>
          <w:snapToGrid w:val="0"/>
        </w:rPr>
      </w:pPr>
      <w:r>
        <w:rPr>
          <w:snapToGrid w:val="0"/>
        </w:rPr>
        <w:t xml:space="preserve">a </w:t>
      </w:r>
      <w:r w:rsidRPr="00C501A9">
        <w:rPr>
          <w:snapToGrid w:val="0"/>
        </w:rPr>
        <w:t xml:space="preserve">consumer representative, who may be a member of the </w:t>
      </w:r>
      <w:r>
        <w:rPr>
          <w:snapToGrid w:val="0"/>
        </w:rPr>
        <w:t>NQMC;</w:t>
      </w:r>
      <w:r w:rsidR="00625D7C">
        <w:rPr>
          <w:snapToGrid w:val="0"/>
        </w:rPr>
        <w:t xml:space="preserve"> and</w:t>
      </w:r>
    </w:p>
    <w:p w14:paraId="248A4C76" w14:textId="5C982893" w:rsidR="00B16B5B" w:rsidRPr="00C501A9" w:rsidRDefault="00B16B5B" w:rsidP="004712E5">
      <w:pPr>
        <w:pStyle w:val="ListBullet"/>
        <w:rPr>
          <w:snapToGrid w:val="0"/>
        </w:rPr>
      </w:pPr>
      <w:r>
        <w:rPr>
          <w:snapToGrid w:val="0"/>
        </w:rPr>
        <w:t>a</w:t>
      </w:r>
      <w:r w:rsidRPr="00C501A9">
        <w:rPr>
          <w:snapToGrid w:val="0"/>
        </w:rPr>
        <w:t>n Australian Government representa</w:t>
      </w:r>
      <w:r>
        <w:rPr>
          <w:snapToGrid w:val="0"/>
        </w:rPr>
        <w:t xml:space="preserve">tive who is </w:t>
      </w:r>
      <w:r w:rsidRPr="00C501A9">
        <w:rPr>
          <w:snapToGrid w:val="0"/>
        </w:rPr>
        <w:t>not a member of the</w:t>
      </w:r>
      <w:r>
        <w:rPr>
          <w:snapToGrid w:val="0"/>
        </w:rPr>
        <w:t xml:space="preserve"> NQMC</w:t>
      </w:r>
      <w:r w:rsidR="00625D7C">
        <w:rPr>
          <w:snapToGrid w:val="0"/>
        </w:rPr>
        <w:t xml:space="preserve">. </w:t>
      </w:r>
    </w:p>
    <w:p w14:paraId="4DDA8CE4" w14:textId="76978BD7" w:rsidR="00B16B5B" w:rsidRDefault="00B16B5B" w:rsidP="00AB1C35">
      <w:pPr>
        <w:rPr>
          <w:snapToGrid w:val="0"/>
        </w:rPr>
      </w:pPr>
      <w:r>
        <w:rPr>
          <w:snapToGrid w:val="0"/>
        </w:rPr>
        <w:t>Depending on the issues to be considered, the appeals committee may also include</w:t>
      </w:r>
      <w:r w:rsidR="00625D7C">
        <w:rPr>
          <w:snapToGrid w:val="0"/>
        </w:rPr>
        <w:t xml:space="preserve"> a </w:t>
      </w:r>
      <w:r w:rsidR="00625D7C" w:rsidRPr="00C501A9">
        <w:rPr>
          <w:snapToGrid w:val="0"/>
        </w:rPr>
        <w:t>representative of the legal profes</w:t>
      </w:r>
      <w:r w:rsidR="00625D7C">
        <w:rPr>
          <w:snapToGrid w:val="0"/>
        </w:rPr>
        <w:t>sion,</w:t>
      </w:r>
      <w:r>
        <w:rPr>
          <w:snapToGrid w:val="0"/>
        </w:rPr>
        <w:t xml:space="preserve"> an epidemiologist</w:t>
      </w:r>
      <w:r w:rsidR="00625D7C">
        <w:rPr>
          <w:snapToGrid w:val="0"/>
        </w:rPr>
        <w:t>,</w:t>
      </w:r>
      <w:r>
        <w:rPr>
          <w:snapToGrid w:val="0"/>
        </w:rPr>
        <w:t xml:space="preserve"> an expert in patient safety and quality</w:t>
      </w:r>
      <w:r w:rsidR="00625D7C">
        <w:rPr>
          <w:snapToGrid w:val="0"/>
        </w:rPr>
        <w:t xml:space="preserve"> and any other professional expertise required</w:t>
      </w:r>
      <w:r>
        <w:rPr>
          <w:snapToGrid w:val="0"/>
        </w:rPr>
        <w:t xml:space="preserve">. </w:t>
      </w:r>
    </w:p>
    <w:p w14:paraId="66B2302B" w14:textId="2EDCB6A3" w:rsidR="00B16B5B" w:rsidRDefault="00B16B5B" w:rsidP="00AB1C35">
      <w:pPr>
        <w:rPr>
          <w:snapToGrid w:val="0"/>
        </w:rPr>
      </w:pPr>
      <w:r w:rsidRPr="00C501A9">
        <w:rPr>
          <w:snapToGrid w:val="0"/>
        </w:rPr>
        <w:t>No per</w:t>
      </w:r>
      <w:r>
        <w:rPr>
          <w:snapToGrid w:val="0"/>
        </w:rPr>
        <w:t>son with a conﬂict of interest, for instance</w:t>
      </w:r>
      <w:r w:rsidRPr="00C501A9">
        <w:rPr>
          <w:snapToGrid w:val="0"/>
        </w:rPr>
        <w:t xml:space="preserve"> a c</w:t>
      </w:r>
      <w:r>
        <w:rPr>
          <w:snapToGrid w:val="0"/>
        </w:rPr>
        <w:t xml:space="preserve">urrent or past employee of the </w:t>
      </w:r>
      <w:r w:rsidRPr="00C501A9">
        <w:rPr>
          <w:snapToGrid w:val="0"/>
        </w:rPr>
        <w:t>appealing</w:t>
      </w:r>
      <w:r>
        <w:rPr>
          <w:snapToGrid w:val="0"/>
        </w:rPr>
        <w:t xml:space="preserve"> SCU or Service, is to take part</w:t>
      </w:r>
      <w:r w:rsidRPr="00C501A9">
        <w:rPr>
          <w:snapToGrid w:val="0"/>
        </w:rPr>
        <w:t xml:space="preserve"> in an appeals committee. </w:t>
      </w:r>
      <w:r>
        <w:rPr>
          <w:snapToGrid w:val="0"/>
        </w:rPr>
        <w:t xml:space="preserve"> </w:t>
      </w:r>
      <w:r w:rsidRPr="00C501A9">
        <w:rPr>
          <w:snapToGrid w:val="0"/>
        </w:rPr>
        <w:t>All members of an appeals committee</w:t>
      </w:r>
      <w:r>
        <w:rPr>
          <w:snapToGrid w:val="0"/>
        </w:rPr>
        <w:t xml:space="preserve"> will be required to sign a deed of </w:t>
      </w:r>
      <w:r w:rsidRPr="00C501A9">
        <w:rPr>
          <w:snapToGrid w:val="0"/>
        </w:rPr>
        <w:t>conﬁdentiality and conﬂict of in</w:t>
      </w:r>
      <w:r>
        <w:rPr>
          <w:snapToGrid w:val="0"/>
        </w:rPr>
        <w:t>terest undertaking prior to the</w:t>
      </w:r>
      <w:r w:rsidRPr="00C501A9">
        <w:rPr>
          <w:snapToGrid w:val="0"/>
        </w:rPr>
        <w:t xml:space="preserve"> committee convening. </w:t>
      </w:r>
      <w:r>
        <w:rPr>
          <w:snapToGrid w:val="0"/>
        </w:rPr>
        <w:t xml:space="preserve"> The Secretariat will keep the original </w:t>
      </w:r>
      <w:r w:rsidRPr="00C501A9">
        <w:rPr>
          <w:snapToGrid w:val="0"/>
        </w:rPr>
        <w:t>signed forms as a record.</w:t>
      </w:r>
    </w:p>
    <w:p w14:paraId="4DF0ABA9" w14:textId="4A0579EB" w:rsidR="00B16B5B" w:rsidRPr="0045030C" w:rsidRDefault="00B16B5B" w:rsidP="00AB1C35">
      <w:pPr>
        <w:rPr>
          <w:snapToGrid w:val="0"/>
        </w:rPr>
      </w:pPr>
      <w:r w:rsidRPr="0045030C">
        <w:rPr>
          <w:snapToGrid w:val="0"/>
        </w:rPr>
        <w:lastRenderedPageBreak/>
        <w:t xml:space="preserve">Before the committee is convened, the </w:t>
      </w:r>
      <w:r>
        <w:rPr>
          <w:snapToGrid w:val="0"/>
        </w:rPr>
        <w:t>S</w:t>
      </w:r>
      <w:r w:rsidRPr="0045030C">
        <w:rPr>
          <w:snapToGrid w:val="0"/>
        </w:rPr>
        <w:t>ecretariat will ensure members have access to all relevant Breast</w:t>
      </w:r>
      <w:r>
        <w:rPr>
          <w:snapToGrid w:val="0"/>
        </w:rPr>
        <w:t xml:space="preserve">Screen Australia documents including </w:t>
      </w:r>
      <w:r w:rsidRPr="0045030C">
        <w:rPr>
          <w:snapToGrid w:val="0"/>
        </w:rPr>
        <w:t>the N</w:t>
      </w:r>
      <w:r>
        <w:rPr>
          <w:snapToGrid w:val="0"/>
        </w:rPr>
        <w:t xml:space="preserve">ational </w:t>
      </w:r>
      <w:r w:rsidRPr="0045030C">
        <w:rPr>
          <w:snapToGrid w:val="0"/>
        </w:rPr>
        <w:t>A</w:t>
      </w:r>
      <w:r>
        <w:rPr>
          <w:snapToGrid w:val="0"/>
        </w:rPr>
        <w:t xml:space="preserve">ccreditation </w:t>
      </w:r>
      <w:r w:rsidRPr="0045030C">
        <w:rPr>
          <w:snapToGrid w:val="0"/>
        </w:rPr>
        <w:t>S</w:t>
      </w:r>
      <w:r>
        <w:rPr>
          <w:snapToGrid w:val="0"/>
        </w:rPr>
        <w:t>tandards</w:t>
      </w:r>
      <w:r w:rsidRPr="0045030C">
        <w:rPr>
          <w:snapToGrid w:val="0"/>
        </w:rPr>
        <w:t xml:space="preserve">, the Handbook </w:t>
      </w:r>
      <w:r>
        <w:rPr>
          <w:snapToGrid w:val="0"/>
        </w:rPr>
        <w:t>including the Decision Tool and any other documents of relevance</w:t>
      </w:r>
      <w:r w:rsidRPr="0045030C">
        <w:rPr>
          <w:snapToGrid w:val="0"/>
        </w:rPr>
        <w:t>.  Members will also be provided with copies of the accreditation application</w:t>
      </w:r>
      <w:r>
        <w:rPr>
          <w:snapToGrid w:val="0"/>
        </w:rPr>
        <w:t xml:space="preserve"> and</w:t>
      </w:r>
      <w:r w:rsidRPr="0045030C">
        <w:rPr>
          <w:snapToGrid w:val="0"/>
        </w:rPr>
        <w:t xml:space="preserve"> all supporting documents </w:t>
      </w:r>
      <w:r>
        <w:rPr>
          <w:snapToGrid w:val="0"/>
        </w:rPr>
        <w:t>provided to the NQMC by the SCU and the NQMC original decision</w:t>
      </w:r>
      <w:r w:rsidRPr="0045030C">
        <w:rPr>
          <w:snapToGrid w:val="0"/>
        </w:rPr>
        <w:t>.</w:t>
      </w:r>
      <w:r>
        <w:rPr>
          <w:snapToGrid w:val="0"/>
        </w:rPr>
        <w:t xml:space="preserve"> </w:t>
      </w:r>
      <w:r w:rsidR="001415BF">
        <w:rPr>
          <w:snapToGrid w:val="0"/>
        </w:rPr>
        <w:t xml:space="preserve">If necessary, </w:t>
      </w:r>
      <w:r>
        <w:rPr>
          <w:snapToGrid w:val="0"/>
        </w:rPr>
        <w:t xml:space="preserve">the appeals committee </w:t>
      </w:r>
      <w:r w:rsidR="001415BF">
        <w:rPr>
          <w:snapToGrid w:val="0"/>
        </w:rPr>
        <w:t xml:space="preserve">may </w:t>
      </w:r>
      <w:r>
        <w:rPr>
          <w:snapToGrid w:val="0"/>
        </w:rPr>
        <w:t>request clarification of issues</w:t>
      </w:r>
      <w:r w:rsidR="001415BF">
        <w:rPr>
          <w:snapToGrid w:val="0"/>
        </w:rPr>
        <w:t xml:space="preserve"> from the </w:t>
      </w:r>
      <w:r w:rsidR="002044E4">
        <w:rPr>
          <w:snapToGrid w:val="0"/>
        </w:rPr>
        <w:t>appealing</w:t>
      </w:r>
      <w:r w:rsidR="001415BF">
        <w:rPr>
          <w:snapToGrid w:val="0"/>
        </w:rPr>
        <w:t xml:space="preserve"> Service and/or SCU</w:t>
      </w:r>
      <w:r>
        <w:rPr>
          <w:snapToGrid w:val="0"/>
        </w:rPr>
        <w:t xml:space="preserve">. </w:t>
      </w:r>
    </w:p>
    <w:p w14:paraId="143A0071" w14:textId="0563E221" w:rsidR="00B16B5B" w:rsidRPr="0045030C" w:rsidRDefault="00B16B5B" w:rsidP="00AB1C35">
      <w:pPr>
        <w:rPr>
          <w:snapToGrid w:val="0"/>
        </w:rPr>
      </w:pPr>
      <w:r w:rsidRPr="0045030C">
        <w:rPr>
          <w:snapToGrid w:val="0"/>
        </w:rPr>
        <w:t>Reimbursement of costs to eligible members of an appeals committee will be the responsibility of the jurisdictional SCU</w:t>
      </w:r>
      <w:r w:rsidRPr="00C36027">
        <w:rPr>
          <w:snapToGrid w:val="0"/>
        </w:rPr>
        <w:t xml:space="preserve">.  </w:t>
      </w:r>
      <w:hyperlink w:anchor="_Attachment_4:_Payment" w:history="1">
        <w:r w:rsidR="00122FAF" w:rsidRPr="00B90F7F">
          <w:rPr>
            <w:rStyle w:val="Hyperlink"/>
            <w:snapToGrid w:val="0"/>
          </w:rPr>
          <w:t>Attachment 4</w:t>
        </w:r>
      </w:hyperlink>
      <w:r w:rsidRPr="00C36027">
        <w:rPr>
          <w:snapToGrid w:val="0"/>
        </w:rPr>
        <w:t xml:space="preserve">, “Payment and </w:t>
      </w:r>
      <w:r w:rsidR="00122FAF">
        <w:rPr>
          <w:snapToGrid w:val="0"/>
        </w:rPr>
        <w:t>travel requirement</w:t>
      </w:r>
      <w:r w:rsidRPr="00C36027">
        <w:rPr>
          <w:snapToGrid w:val="0"/>
        </w:rPr>
        <w:t xml:space="preserve">s for </w:t>
      </w:r>
      <w:r>
        <w:rPr>
          <w:snapToGrid w:val="0"/>
        </w:rPr>
        <w:t>survey</w:t>
      </w:r>
      <w:r w:rsidRPr="00C36027">
        <w:rPr>
          <w:snapToGrid w:val="0"/>
        </w:rPr>
        <w:t xml:space="preserve">ors and </w:t>
      </w:r>
      <w:r>
        <w:rPr>
          <w:snapToGrid w:val="0"/>
        </w:rPr>
        <w:t>D</w:t>
      </w:r>
      <w:r w:rsidRPr="00C36027">
        <w:rPr>
          <w:snapToGrid w:val="0"/>
        </w:rPr>
        <w:t xml:space="preserve">ata </w:t>
      </w:r>
      <w:r>
        <w:rPr>
          <w:snapToGrid w:val="0"/>
        </w:rPr>
        <w:t>Assessors</w:t>
      </w:r>
      <w:r w:rsidRPr="00C36027">
        <w:rPr>
          <w:snapToGrid w:val="0"/>
        </w:rPr>
        <w:t>” provides an indication of costs.</w:t>
      </w:r>
    </w:p>
    <w:p w14:paraId="12353BC8" w14:textId="3FCBCB8F" w:rsidR="00B16B5B" w:rsidRPr="00805BF3" w:rsidRDefault="00B16B5B" w:rsidP="006D2034">
      <w:pPr>
        <w:pStyle w:val="Heading3"/>
      </w:pPr>
      <w:bookmarkStart w:id="119" w:name="_Toc517944630"/>
      <w:bookmarkStart w:id="120" w:name="_Toc66438660"/>
      <w:r w:rsidRPr="00805BF3">
        <w:t>Consideration of Appeals</w:t>
      </w:r>
      <w:bookmarkEnd w:id="119"/>
      <w:bookmarkEnd w:id="120"/>
    </w:p>
    <w:p w14:paraId="6E51E38E" w14:textId="26020110" w:rsidR="00B16B5B" w:rsidRDefault="00B16B5B" w:rsidP="004712E5">
      <w:pPr>
        <w:rPr>
          <w:snapToGrid w:val="0"/>
        </w:rPr>
      </w:pPr>
      <w:r w:rsidRPr="00805BF3">
        <w:rPr>
          <w:snapToGrid w:val="0"/>
        </w:rPr>
        <w:t xml:space="preserve">The appeals committee will review the </w:t>
      </w:r>
      <w:r>
        <w:rPr>
          <w:snapToGrid w:val="0"/>
        </w:rPr>
        <w:t xml:space="preserve">accreditation process </w:t>
      </w:r>
      <w:r w:rsidR="00AA3677">
        <w:rPr>
          <w:snapToGrid w:val="0"/>
        </w:rPr>
        <w:t xml:space="preserve">applied </w:t>
      </w:r>
      <w:r>
        <w:rPr>
          <w:snapToGrid w:val="0"/>
        </w:rPr>
        <w:t xml:space="preserve">and the accreditation decision awarded by the NQMC having regard to the evidence presented to it. This may include a request by the committee for a representative of the Service and/or SCU to appear before the committee.  At the conclusion of the review, the committee will provide a recommendation to the NQMC regarding the outcome of accreditation, which may include a request for the NQMC to reconsider further documentation to be provided by the Service and/or SCU. </w:t>
      </w:r>
    </w:p>
    <w:p w14:paraId="5849FF8E" w14:textId="77777777" w:rsidR="00667CDB" w:rsidRDefault="00B16B5B" w:rsidP="004712E5">
      <w:pPr>
        <w:rPr>
          <w:snapToGrid w:val="0"/>
        </w:rPr>
      </w:pPr>
      <w:r w:rsidRPr="0045030C">
        <w:rPr>
          <w:snapToGrid w:val="0"/>
        </w:rPr>
        <w:t xml:space="preserve">All members of the appeals committee, including the chair, are entitled to vote.  </w:t>
      </w:r>
      <w:r>
        <w:rPr>
          <w:snapToGrid w:val="0"/>
        </w:rPr>
        <w:t>The appeals committee recommendation</w:t>
      </w:r>
      <w:r w:rsidRPr="0045030C">
        <w:rPr>
          <w:snapToGrid w:val="0"/>
        </w:rPr>
        <w:t xml:space="preserve"> shall be carried on the basis of a majority vote.  If the appeals committee is unable to reach a majority vote, the chair will exercise the deciding vote.  </w:t>
      </w:r>
    </w:p>
    <w:p w14:paraId="3228B195" w14:textId="29DDC28E" w:rsidR="00B16B5B" w:rsidRPr="0045030C" w:rsidRDefault="00B16B5B" w:rsidP="004712E5">
      <w:pPr>
        <w:rPr>
          <w:snapToGrid w:val="0"/>
        </w:rPr>
      </w:pPr>
      <w:r w:rsidRPr="002B3F3A">
        <w:rPr>
          <w:snapToGrid w:val="0"/>
        </w:rPr>
        <w:t xml:space="preserve">The </w:t>
      </w:r>
      <w:r w:rsidRPr="0045030C">
        <w:rPr>
          <w:snapToGrid w:val="0"/>
        </w:rPr>
        <w:t>appeals committee may, on considering all submissions and other relevant evidence, recommend to the NQMC one or more of the following:</w:t>
      </w:r>
    </w:p>
    <w:p w14:paraId="5E316A8F" w14:textId="77777777" w:rsidR="00B16B5B" w:rsidRPr="0045030C" w:rsidRDefault="00FD5E3F" w:rsidP="004712E5">
      <w:pPr>
        <w:pStyle w:val="ListBullet"/>
        <w:rPr>
          <w:snapToGrid w:val="0"/>
        </w:rPr>
      </w:pPr>
      <w:r>
        <w:rPr>
          <w:snapToGrid w:val="0"/>
        </w:rPr>
        <w:t>c</w:t>
      </w:r>
      <w:r w:rsidR="00B16B5B" w:rsidRPr="0045030C">
        <w:rPr>
          <w:snapToGrid w:val="0"/>
        </w:rPr>
        <w:t xml:space="preserve">onﬁrmation of the </w:t>
      </w:r>
      <w:r>
        <w:rPr>
          <w:snapToGrid w:val="0"/>
        </w:rPr>
        <w:t>original accreditation decision;</w:t>
      </w:r>
    </w:p>
    <w:p w14:paraId="28D1CA17" w14:textId="77777777" w:rsidR="00B16B5B" w:rsidRPr="0045030C" w:rsidRDefault="00FD5E3F" w:rsidP="004712E5">
      <w:pPr>
        <w:pStyle w:val="ListBullet"/>
        <w:rPr>
          <w:snapToGrid w:val="0"/>
        </w:rPr>
      </w:pPr>
      <w:r>
        <w:rPr>
          <w:snapToGrid w:val="0"/>
        </w:rPr>
        <w:t>v</w:t>
      </w:r>
      <w:r w:rsidR="00B16B5B" w:rsidRPr="0045030C">
        <w:rPr>
          <w:snapToGrid w:val="0"/>
        </w:rPr>
        <w:t>ariation of the original accreditation decision, in whole or part, including varying the original level</w:t>
      </w:r>
      <w:r>
        <w:rPr>
          <w:snapToGrid w:val="0"/>
        </w:rPr>
        <w:t xml:space="preserve"> of accreditation; or</w:t>
      </w:r>
    </w:p>
    <w:p w14:paraId="13429B8A" w14:textId="77777777" w:rsidR="00B16B5B" w:rsidRDefault="00FD5E3F" w:rsidP="004712E5">
      <w:pPr>
        <w:pStyle w:val="ListBullet"/>
        <w:rPr>
          <w:snapToGrid w:val="0"/>
        </w:rPr>
      </w:pPr>
      <w:r>
        <w:rPr>
          <w:snapToGrid w:val="0"/>
        </w:rPr>
        <w:t>r</w:t>
      </w:r>
      <w:r w:rsidR="00B16B5B" w:rsidRPr="0045030C">
        <w:rPr>
          <w:snapToGrid w:val="0"/>
        </w:rPr>
        <w:t xml:space="preserve">e-survey of the relevant premises, in whole or in part, including a new </w:t>
      </w:r>
      <w:r w:rsidR="00B16B5B">
        <w:rPr>
          <w:snapToGrid w:val="0"/>
        </w:rPr>
        <w:t>survey</w:t>
      </w:r>
      <w:r w:rsidR="00B16B5B" w:rsidRPr="0045030C">
        <w:rPr>
          <w:snapToGrid w:val="0"/>
        </w:rPr>
        <w:t>.</w:t>
      </w:r>
    </w:p>
    <w:p w14:paraId="5E9B3D5B" w14:textId="77777777" w:rsidR="00B16B5B" w:rsidRPr="0045030C" w:rsidRDefault="00B16B5B" w:rsidP="00AB1C35">
      <w:pPr>
        <w:rPr>
          <w:snapToGrid w:val="0"/>
        </w:rPr>
      </w:pPr>
      <w:r w:rsidRPr="0045030C">
        <w:rPr>
          <w:snapToGrid w:val="0"/>
        </w:rPr>
        <w:t>The appeals committee must record all its discussions and deliberations.  The appeals committee must submit its recommendations to the NQMC along with all minutes and a summary of its deliberations, including any signiﬁcant information that</w:t>
      </w:r>
      <w:r>
        <w:rPr>
          <w:snapToGrid w:val="0"/>
        </w:rPr>
        <w:t xml:space="preserve"> inﬂuenced its decision </w:t>
      </w:r>
      <w:r w:rsidRPr="0045030C">
        <w:rPr>
          <w:snapToGrid w:val="0"/>
        </w:rPr>
        <w:t>process or recommendation.</w:t>
      </w:r>
    </w:p>
    <w:p w14:paraId="1914A0D1" w14:textId="52DEE227" w:rsidR="00B16B5B" w:rsidRPr="0045030C" w:rsidRDefault="00B16B5B" w:rsidP="00AB1C35">
      <w:pPr>
        <w:rPr>
          <w:snapToGrid w:val="0"/>
        </w:rPr>
      </w:pPr>
      <w:r w:rsidRPr="0045030C">
        <w:rPr>
          <w:snapToGrid w:val="0"/>
        </w:rPr>
        <w:t xml:space="preserve">The review decision </w:t>
      </w:r>
      <w:r w:rsidRPr="00C36027">
        <w:rPr>
          <w:snapToGrid w:val="0"/>
        </w:rPr>
        <w:t>should be ﬁnalised within three months of receipt of the 'Appeal Application'</w:t>
      </w:r>
      <w:r w:rsidRPr="0045030C">
        <w:rPr>
          <w:snapToGrid w:val="0"/>
        </w:rPr>
        <w:t xml:space="preserve"> form.</w:t>
      </w:r>
      <w:r>
        <w:rPr>
          <w:snapToGrid w:val="0"/>
        </w:rPr>
        <w:t xml:space="preserve"> </w:t>
      </w:r>
      <w:r w:rsidRPr="0045030C">
        <w:rPr>
          <w:snapToGrid w:val="0"/>
        </w:rPr>
        <w:t>The</w:t>
      </w:r>
      <w:r>
        <w:rPr>
          <w:snapToGrid w:val="0"/>
        </w:rPr>
        <w:t xml:space="preserve"> NQMC S</w:t>
      </w:r>
      <w:r w:rsidRPr="0045030C">
        <w:rPr>
          <w:snapToGrid w:val="0"/>
        </w:rPr>
        <w:t xml:space="preserve">ecretariat will advise the </w:t>
      </w:r>
      <w:r w:rsidR="000F52B1" w:rsidRPr="0045030C">
        <w:rPr>
          <w:snapToGrid w:val="0"/>
        </w:rPr>
        <w:t>appea</w:t>
      </w:r>
      <w:r w:rsidR="000F52B1">
        <w:rPr>
          <w:snapToGrid w:val="0"/>
        </w:rPr>
        <w:t>ling</w:t>
      </w:r>
      <w:r w:rsidR="007B6339">
        <w:rPr>
          <w:snapToGrid w:val="0"/>
        </w:rPr>
        <w:t xml:space="preserve"> Service and/or SCU</w:t>
      </w:r>
      <w:r w:rsidRPr="0045030C">
        <w:rPr>
          <w:snapToGrid w:val="0"/>
        </w:rPr>
        <w:t xml:space="preserve"> in writing of the appeal outcomes</w:t>
      </w:r>
      <w:r>
        <w:rPr>
          <w:snapToGrid w:val="0"/>
        </w:rPr>
        <w:t xml:space="preserve"> as soon as possible after the appeals committee has made its decision</w:t>
      </w:r>
      <w:r w:rsidRPr="0045030C">
        <w:rPr>
          <w:snapToGrid w:val="0"/>
        </w:rPr>
        <w:t>.</w:t>
      </w:r>
    </w:p>
    <w:p w14:paraId="51EF86A3" w14:textId="3BC6BA0E" w:rsidR="00B16B5B" w:rsidRPr="0045030C" w:rsidRDefault="00B16B5B" w:rsidP="006D2034">
      <w:pPr>
        <w:pStyle w:val="Heading3"/>
      </w:pPr>
      <w:bookmarkStart w:id="121" w:name="_Toc517944631"/>
      <w:bookmarkStart w:id="122" w:name="_Toc66438661"/>
      <w:r w:rsidRPr="0045030C">
        <w:lastRenderedPageBreak/>
        <w:t xml:space="preserve">Confidentiality and Conflict </w:t>
      </w:r>
      <w:r>
        <w:t>O</w:t>
      </w:r>
      <w:r w:rsidRPr="0045030C">
        <w:t xml:space="preserve">f Interest Provisions </w:t>
      </w:r>
      <w:r w:rsidR="00CA2FBA">
        <w:t>f</w:t>
      </w:r>
      <w:r w:rsidRPr="0045030C">
        <w:t xml:space="preserve">or NQMC </w:t>
      </w:r>
      <w:r>
        <w:t>A</w:t>
      </w:r>
      <w:r w:rsidRPr="0045030C">
        <w:t>nd Appeals Committee Members</w:t>
      </w:r>
      <w:bookmarkEnd w:id="121"/>
      <w:bookmarkEnd w:id="122"/>
    </w:p>
    <w:p w14:paraId="2486B2BE" w14:textId="77777777" w:rsidR="00B16B5B" w:rsidRPr="0045030C" w:rsidRDefault="00B16B5B" w:rsidP="00AB1C35">
      <w:pPr>
        <w:rPr>
          <w:snapToGrid w:val="0"/>
        </w:rPr>
      </w:pPr>
      <w:r w:rsidRPr="0045030C">
        <w:rPr>
          <w:snapToGrid w:val="0"/>
        </w:rPr>
        <w:t>Members of the NQMC and any appeals committee convened must maintain strict conﬁdentiality concerning the accreditation of a BreastScreen Australia entity and any related appeal.  All accreditation and appeals documentation should be treated with conﬁdentiality at all stages of the process.  For instance, documents should be marked 'Conﬁdential' and transported securely.</w:t>
      </w:r>
    </w:p>
    <w:p w14:paraId="075209EE" w14:textId="77777777" w:rsidR="00B16B5B" w:rsidRPr="0045030C" w:rsidRDefault="00B16B5B" w:rsidP="00AB1C35">
      <w:pPr>
        <w:rPr>
          <w:snapToGrid w:val="0"/>
        </w:rPr>
      </w:pPr>
      <w:r w:rsidRPr="0045030C">
        <w:rPr>
          <w:snapToGrid w:val="0"/>
        </w:rPr>
        <w:t>Information provided for the purposes of accreditation or appeals decisions should not be discussed outside the relevant committee meetings, except as required through the role of the committee in gathering further information.</w:t>
      </w:r>
    </w:p>
    <w:p w14:paraId="2E42FE05" w14:textId="77777777" w:rsidR="00B16B5B" w:rsidRPr="0045030C" w:rsidRDefault="00B16B5B" w:rsidP="00AB1C35">
      <w:pPr>
        <w:rPr>
          <w:snapToGrid w:val="0"/>
        </w:rPr>
      </w:pPr>
      <w:r w:rsidRPr="0045030C">
        <w:rPr>
          <w:snapToGrid w:val="0"/>
        </w:rPr>
        <w:t xml:space="preserve">All copies of accreditation or appeal related documentation that do not form part of a ﬁnal report to the NQMC will be either destroyed or returned to the </w:t>
      </w:r>
      <w:r w:rsidRPr="007534CE">
        <w:rPr>
          <w:snapToGrid w:val="0"/>
        </w:rPr>
        <w:t>Service and/or SCU</w:t>
      </w:r>
      <w:r>
        <w:rPr>
          <w:snapToGrid w:val="0"/>
        </w:rPr>
        <w:t xml:space="preserve"> </w:t>
      </w:r>
      <w:r w:rsidRPr="0045030C">
        <w:rPr>
          <w:snapToGrid w:val="0"/>
        </w:rPr>
        <w:t>on completion of the process.  Documents should be destroyed if they contain annotations made by the committee members that could be considered sensitive.  All other documentation created as part of the process, such as notes of committee members, should be destroyed once the business of the committee is ﬁnalised.</w:t>
      </w:r>
    </w:p>
    <w:p w14:paraId="7EAF2AD6" w14:textId="51DC812E" w:rsidR="00B16B5B" w:rsidRPr="0045030C" w:rsidRDefault="00B16B5B" w:rsidP="006D2034">
      <w:pPr>
        <w:pStyle w:val="Heading3"/>
      </w:pPr>
      <w:bookmarkStart w:id="123" w:name="_Toc517944632"/>
      <w:bookmarkStart w:id="124" w:name="_Toc66438662"/>
      <w:r w:rsidRPr="0045030C">
        <w:t>Administration of Appeals Committees</w:t>
      </w:r>
      <w:bookmarkEnd w:id="123"/>
      <w:bookmarkEnd w:id="124"/>
    </w:p>
    <w:p w14:paraId="4A38C151" w14:textId="77777777" w:rsidR="00B16B5B" w:rsidRPr="0045030C" w:rsidRDefault="00B16B5B" w:rsidP="00AB1C35">
      <w:pPr>
        <w:rPr>
          <w:snapToGrid w:val="0"/>
        </w:rPr>
      </w:pPr>
      <w:r w:rsidRPr="0045030C">
        <w:rPr>
          <w:snapToGrid w:val="0"/>
        </w:rPr>
        <w:t xml:space="preserve">To support the appeals process the </w:t>
      </w:r>
      <w:r>
        <w:rPr>
          <w:snapToGrid w:val="0"/>
        </w:rPr>
        <w:t>NQMC S</w:t>
      </w:r>
      <w:r w:rsidRPr="0045030C">
        <w:rPr>
          <w:snapToGrid w:val="0"/>
        </w:rPr>
        <w:t>ecretariat will:</w:t>
      </w:r>
    </w:p>
    <w:p w14:paraId="7E5D1BAF" w14:textId="753E59E3" w:rsidR="00B16B5B" w:rsidRPr="0045030C" w:rsidRDefault="003D462D" w:rsidP="004712E5">
      <w:pPr>
        <w:pStyle w:val="ListBullet"/>
        <w:rPr>
          <w:snapToGrid w:val="0"/>
        </w:rPr>
      </w:pPr>
      <w:r>
        <w:rPr>
          <w:snapToGrid w:val="0"/>
        </w:rPr>
        <w:t>e</w:t>
      </w:r>
      <w:r w:rsidR="00B16B5B" w:rsidRPr="0045030C">
        <w:rPr>
          <w:snapToGrid w:val="0"/>
        </w:rPr>
        <w:t>nsure that those on the appeals committee receive information on the BreastScree</w:t>
      </w:r>
      <w:r>
        <w:rPr>
          <w:snapToGrid w:val="0"/>
        </w:rPr>
        <w:t xml:space="preserve">n Australia Program </w:t>
      </w:r>
      <w:r w:rsidR="0019514B">
        <w:rPr>
          <w:snapToGrid w:val="0"/>
        </w:rPr>
        <w:t xml:space="preserve">and appeals process </w:t>
      </w:r>
      <w:r>
        <w:rPr>
          <w:snapToGrid w:val="0"/>
        </w:rPr>
        <w:t>as required;</w:t>
      </w:r>
    </w:p>
    <w:p w14:paraId="54FC11EB" w14:textId="740B55B2" w:rsidR="00B16B5B" w:rsidRPr="0045030C" w:rsidRDefault="003D462D" w:rsidP="004712E5">
      <w:pPr>
        <w:pStyle w:val="ListBullet"/>
        <w:rPr>
          <w:snapToGrid w:val="0"/>
        </w:rPr>
      </w:pPr>
      <w:r>
        <w:rPr>
          <w:snapToGrid w:val="0"/>
        </w:rPr>
        <w:t>p</w:t>
      </w:r>
      <w:r w:rsidR="00B16B5B" w:rsidRPr="0045030C">
        <w:rPr>
          <w:snapToGrid w:val="0"/>
        </w:rPr>
        <w:t>rovide members of an appeals committee with conﬁdentiality and declaration of interest forms pri</w:t>
      </w:r>
      <w:r w:rsidR="00B16B5B">
        <w:rPr>
          <w:snapToGrid w:val="0"/>
        </w:rPr>
        <w:t>or to the appeals committee being convened</w:t>
      </w:r>
      <w:r>
        <w:rPr>
          <w:snapToGrid w:val="0"/>
        </w:rPr>
        <w:t>;</w:t>
      </w:r>
    </w:p>
    <w:p w14:paraId="65483C43" w14:textId="77777777" w:rsidR="00B16B5B" w:rsidRPr="0045030C" w:rsidRDefault="003D462D" w:rsidP="004712E5">
      <w:pPr>
        <w:pStyle w:val="ListBullet"/>
        <w:rPr>
          <w:snapToGrid w:val="0"/>
        </w:rPr>
      </w:pPr>
      <w:r>
        <w:rPr>
          <w:snapToGrid w:val="0"/>
        </w:rPr>
        <w:t>m</w:t>
      </w:r>
      <w:r w:rsidR="00B16B5B" w:rsidRPr="0045030C">
        <w:rPr>
          <w:snapToGrid w:val="0"/>
        </w:rPr>
        <w:t xml:space="preserve">aintain </w:t>
      </w:r>
      <w:r w:rsidR="00B16B5B">
        <w:rPr>
          <w:snapToGrid w:val="0"/>
        </w:rPr>
        <w:t xml:space="preserve">the </w:t>
      </w:r>
      <w:r w:rsidR="00B16B5B" w:rsidRPr="0045030C">
        <w:rPr>
          <w:snapToGrid w:val="0"/>
        </w:rPr>
        <w:t>original signed co</w:t>
      </w:r>
      <w:r w:rsidR="00B16B5B">
        <w:rPr>
          <w:snapToGrid w:val="0"/>
        </w:rPr>
        <w:t>pies</w:t>
      </w:r>
      <w:r>
        <w:rPr>
          <w:snapToGrid w:val="0"/>
        </w:rPr>
        <w:t xml:space="preserve"> of these forms for the records;</w:t>
      </w:r>
    </w:p>
    <w:p w14:paraId="1F3CB2A7" w14:textId="71E3792F" w:rsidR="00B16B5B" w:rsidRPr="0045030C" w:rsidRDefault="003D462D" w:rsidP="004712E5">
      <w:pPr>
        <w:pStyle w:val="ListBullet"/>
        <w:rPr>
          <w:snapToGrid w:val="0"/>
        </w:rPr>
      </w:pPr>
      <w:r>
        <w:rPr>
          <w:snapToGrid w:val="0"/>
        </w:rPr>
        <w:t>p</w:t>
      </w:r>
      <w:r w:rsidR="00B16B5B" w:rsidRPr="0045030C">
        <w:rPr>
          <w:snapToGrid w:val="0"/>
        </w:rPr>
        <w:t>rovide secretariat</w:t>
      </w:r>
      <w:r w:rsidR="00B16B5B">
        <w:rPr>
          <w:snapToGrid w:val="0"/>
        </w:rPr>
        <w:t xml:space="preserve"> and all other administrative</w:t>
      </w:r>
      <w:r w:rsidR="00B16B5B" w:rsidRPr="0045030C">
        <w:rPr>
          <w:snapToGrid w:val="0"/>
        </w:rPr>
        <w:t xml:space="preserve"> support to the </w:t>
      </w:r>
      <w:r w:rsidR="00B16B5B">
        <w:rPr>
          <w:snapToGrid w:val="0"/>
        </w:rPr>
        <w:t xml:space="preserve">appeals </w:t>
      </w:r>
      <w:r w:rsidR="00B16B5B" w:rsidRPr="0045030C">
        <w:rPr>
          <w:snapToGrid w:val="0"/>
        </w:rPr>
        <w:t xml:space="preserve">committee and keep records of </w:t>
      </w:r>
      <w:r w:rsidR="00B16B5B">
        <w:rPr>
          <w:snapToGrid w:val="0"/>
        </w:rPr>
        <w:t xml:space="preserve">appeal </w:t>
      </w:r>
      <w:r w:rsidR="00B16B5B" w:rsidRPr="0045030C">
        <w:rPr>
          <w:snapToGrid w:val="0"/>
        </w:rPr>
        <w:t xml:space="preserve">decisions </w:t>
      </w:r>
      <w:r w:rsidR="00B16B5B">
        <w:rPr>
          <w:snapToGrid w:val="0"/>
        </w:rPr>
        <w:t>on</w:t>
      </w:r>
      <w:r w:rsidR="00B16B5B" w:rsidRPr="0045030C">
        <w:rPr>
          <w:snapToGrid w:val="0"/>
        </w:rPr>
        <w:t xml:space="preserve"> ﬁle, and provide a record</w:t>
      </w:r>
      <w:r w:rsidR="00B16B5B">
        <w:rPr>
          <w:snapToGrid w:val="0"/>
        </w:rPr>
        <w:t xml:space="preserve"> of appeal decisions</w:t>
      </w:r>
      <w:r w:rsidR="00B16B5B" w:rsidRPr="0045030C">
        <w:rPr>
          <w:snapToGrid w:val="0"/>
        </w:rPr>
        <w:t xml:space="preserve"> to the Australian Government D</w:t>
      </w:r>
      <w:r>
        <w:rPr>
          <w:snapToGrid w:val="0"/>
        </w:rPr>
        <w:t>epartment of Health; and</w:t>
      </w:r>
    </w:p>
    <w:p w14:paraId="769E821D" w14:textId="77777777" w:rsidR="00B16B5B" w:rsidRPr="00FD5E3F" w:rsidRDefault="003D462D" w:rsidP="004712E5">
      <w:pPr>
        <w:pStyle w:val="ListBullet"/>
        <w:rPr>
          <w:snapToGrid w:val="0"/>
        </w:rPr>
      </w:pPr>
      <w:r>
        <w:rPr>
          <w:snapToGrid w:val="0"/>
        </w:rPr>
        <w:t>a</w:t>
      </w:r>
      <w:r w:rsidR="00B16B5B" w:rsidRPr="0045030C">
        <w:rPr>
          <w:snapToGrid w:val="0"/>
        </w:rPr>
        <w:t>dvise the appellant in writing of the appeal outcomes.</w:t>
      </w:r>
    </w:p>
    <w:p w14:paraId="7F548721" w14:textId="2ABD56B6" w:rsidR="00C41314" w:rsidRDefault="00C41314" w:rsidP="0008617F">
      <w:pPr>
        <w:pStyle w:val="Heading1"/>
      </w:pPr>
      <w:bookmarkStart w:id="125" w:name="_Ref465948362"/>
      <w:bookmarkStart w:id="126" w:name="_Toc517944633"/>
      <w:bookmarkStart w:id="127" w:name="_Toc66438663"/>
      <w:r>
        <w:lastRenderedPageBreak/>
        <w:t>KEY COMPONENTS OF THE</w:t>
      </w:r>
      <w:r w:rsidR="00E65280">
        <w:t xml:space="preserve"> </w:t>
      </w:r>
      <w:r w:rsidR="000B3F64">
        <w:t>ACCREDITATION PROCESS</w:t>
      </w:r>
      <w:bookmarkEnd w:id="125"/>
      <w:bookmarkEnd w:id="126"/>
      <w:bookmarkEnd w:id="127"/>
    </w:p>
    <w:p w14:paraId="4E16950C" w14:textId="37700BAB" w:rsidR="00E25A1D" w:rsidRDefault="00377F9C" w:rsidP="00500310">
      <w:pPr>
        <w:pStyle w:val="Heading2"/>
      </w:pPr>
      <w:bookmarkStart w:id="128" w:name="_Toc517944634"/>
      <w:bookmarkStart w:id="129" w:name="_Toc66438664"/>
      <w:r>
        <w:t>QUALITY I</w:t>
      </w:r>
      <w:r w:rsidR="001A07AF">
        <w:t>MPROVE</w:t>
      </w:r>
      <w:r w:rsidR="009568C2">
        <w:t>MENT</w:t>
      </w:r>
      <w:r w:rsidR="00E25A1D">
        <w:t xml:space="preserve"> PLANS</w:t>
      </w:r>
      <w:bookmarkEnd w:id="128"/>
      <w:bookmarkEnd w:id="129"/>
    </w:p>
    <w:p w14:paraId="413FD2CA" w14:textId="77D3D846" w:rsidR="00A52B73" w:rsidRPr="000C476C" w:rsidRDefault="007F36E6" w:rsidP="00AB1C35">
      <w:r w:rsidRPr="00760236">
        <w:t xml:space="preserve">QI </w:t>
      </w:r>
      <w:r w:rsidR="009568C2" w:rsidRPr="00760236">
        <w:t>Plans</w:t>
      </w:r>
      <w:r w:rsidR="009568C2">
        <w:t xml:space="preserve"> are required to be </w:t>
      </w:r>
      <w:r w:rsidR="00A52B73" w:rsidRPr="000C476C">
        <w:t xml:space="preserve">developed and implemented </w:t>
      </w:r>
      <w:r w:rsidR="001A07AF">
        <w:t>a</w:t>
      </w:r>
      <w:r w:rsidR="001A07AF" w:rsidRPr="000C476C">
        <w:t xml:space="preserve">t a </w:t>
      </w:r>
      <w:r w:rsidR="001A07AF">
        <w:t>S</w:t>
      </w:r>
      <w:r w:rsidR="001A07AF" w:rsidRPr="000C476C">
        <w:t>ervice, ju</w:t>
      </w:r>
      <w:r w:rsidR="001A07AF">
        <w:t xml:space="preserve">risdictional and national level </w:t>
      </w:r>
      <w:r w:rsidR="00A52B73" w:rsidRPr="000C476C">
        <w:t xml:space="preserve">and </w:t>
      </w:r>
      <w:r w:rsidR="00A52B73">
        <w:t xml:space="preserve">these must be </w:t>
      </w:r>
      <w:r w:rsidR="00A52B73" w:rsidRPr="000C476C">
        <w:t xml:space="preserve">monitored </w:t>
      </w:r>
      <w:r w:rsidR="00A52B73">
        <w:t xml:space="preserve">and reviewed </w:t>
      </w:r>
      <w:r w:rsidR="00A52B73" w:rsidRPr="000C476C">
        <w:t>at regular intervals.</w:t>
      </w:r>
      <w:r w:rsidR="001B76C1">
        <w:t xml:space="preserve"> </w:t>
      </w:r>
    </w:p>
    <w:p w14:paraId="652F5C05" w14:textId="3687C671" w:rsidR="00E17332" w:rsidRDefault="00CE2392" w:rsidP="00AB1C35">
      <w:pPr>
        <w:rPr>
          <w:snapToGrid w:val="0"/>
        </w:rPr>
      </w:pPr>
      <w:r>
        <w:rPr>
          <w:snapToGrid w:val="0"/>
        </w:rPr>
        <w:t>As outlined in Section 2.3, the S</w:t>
      </w:r>
      <w:r w:rsidR="007F36E6">
        <w:rPr>
          <w:snapToGrid w:val="0"/>
        </w:rPr>
        <w:t xml:space="preserve">tate </w:t>
      </w:r>
      <w:r>
        <w:rPr>
          <w:snapToGrid w:val="0"/>
        </w:rPr>
        <w:t>Q</w:t>
      </w:r>
      <w:r w:rsidR="007F36E6">
        <w:rPr>
          <w:snapToGrid w:val="0"/>
        </w:rPr>
        <w:t xml:space="preserve">uality </w:t>
      </w:r>
      <w:r>
        <w:rPr>
          <w:snapToGrid w:val="0"/>
        </w:rPr>
        <w:t>C</w:t>
      </w:r>
      <w:r w:rsidR="007F36E6">
        <w:rPr>
          <w:snapToGrid w:val="0"/>
        </w:rPr>
        <w:t>ommittee (SQC)</w:t>
      </w:r>
      <w:r>
        <w:rPr>
          <w:snapToGrid w:val="0"/>
        </w:rPr>
        <w:t xml:space="preserve"> </w:t>
      </w:r>
      <w:r w:rsidR="008B424B">
        <w:rPr>
          <w:snapToGrid w:val="0"/>
        </w:rPr>
        <w:t xml:space="preserve">and/or SCU </w:t>
      </w:r>
      <w:r>
        <w:rPr>
          <w:snapToGrid w:val="0"/>
        </w:rPr>
        <w:t xml:space="preserve">in each jurisdiction is responsible for developing, monitoring and implementing a </w:t>
      </w:r>
      <w:r w:rsidR="00AB36FF">
        <w:rPr>
          <w:snapToGrid w:val="0"/>
        </w:rPr>
        <w:t>QI P</w:t>
      </w:r>
      <w:r>
        <w:rPr>
          <w:snapToGrid w:val="0"/>
        </w:rPr>
        <w:t>lan for the relevant state or territory. It is important that the Q</w:t>
      </w:r>
      <w:r w:rsidR="00AB36FF">
        <w:rPr>
          <w:snapToGrid w:val="0"/>
        </w:rPr>
        <w:t>I</w:t>
      </w:r>
      <w:r>
        <w:rPr>
          <w:snapToGrid w:val="0"/>
        </w:rPr>
        <w:t xml:space="preserve"> Plans developed for Services and SCUs  </w:t>
      </w:r>
      <w:r w:rsidR="00E17332">
        <w:rPr>
          <w:snapToGrid w:val="0"/>
        </w:rPr>
        <w:t>are in alignment with, and complement the jurisdiction</w:t>
      </w:r>
      <w:r>
        <w:rPr>
          <w:snapToGrid w:val="0"/>
        </w:rPr>
        <w:t xml:space="preserve">al </w:t>
      </w:r>
      <w:r w:rsidR="00E17332">
        <w:rPr>
          <w:snapToGrid w:val="0"/>
        </w:rPr>
        <w:t>Q</w:t>
      </w:r>
      <w:r w:rsidR="00AB36FF">
        <w:rPr>
          <w:snapToGrid w:val="0"/>
        </w:rPr>
        <w:t>I</w:t>
      </w:r>
      <w:r w:rsidR="00E17332">
        <w:rPr>
          <w:snapToGrid w:val="0"/>
        </w:rPr>
        <w:t xml:space="preserve"> Plan</w:t>
      </w:r>
      <w:r>
        <w:rPr>
          <w:snapToGrid w:val="0"/>
        </w:rPr>
        <w:t xml:space="preserve"> developed by the SQC</w:t>
      </w:r>
      <w:r w:rsidR="001568FC">
        <w:rPr>
          <w:snapToGrid w:val="0"/>
        </w:rPr>
        <w:t xml:space="preserve"> </w:t>
      </w:r>
      <w:r w:rsidR="008B424B">
        <w:rPr>
          <w:snapToGrid w:val="0"/>
        </w:rPr>
        <w:t xml:space="preserve">and/or SCU </w:t>
      </w:r>
      <w:r w:rsidR="001568FC">
        <w:rPr>
          <w:snapToGrid w:val="0"/>
        </w:rPr>
        <w:t>whilst also addressing specific, local issues relevant to the Service/and or SCU.</w:t>
      </w:r>
    </w:p>
    <w:p w14:paraId="570B31CF" w14:textId="7A80D0EF" w:rsidR="0063047A" w:rsidRDefault="009515C4" w:rsidP="00AB1C35">
      <w:r w:rsidRPr="00772A06">
        <w:rPr>
          <w:rFonts w:cstheme="minorHAnsi"/>
          <w:snapToGrid w:val="0"/>
        </w:rPr>
        <w:t>As outlined within the N</w:t>
      </w:r>
      <w:r w:rsidR="00643A5D">
        <w:rPr>
          <w:rFonts w:cstheme="minorHAnsi"/>
          <w:snapToGrid w:val="0"/>
        </w:rPr>
        <w:t xml:space="preserve">ational </w:t>
      </w:r>
      <w:r w:rsidRPr="00772A06">
        <w:rPr>
          <w:rFonts w:cstheme="minorHAnsi"/>
          <w:snapToGrid w:val="0"/>
        </w:rPr>
        <w:t>A</w:t>
      </w:r>
      <w:r w:rsidR="00643A5D">
        <w:rPr>
          <w:rFonts w:cstheme="minorHAnsi"/>
          <w:snapToGrid w:val="0"/>
        </w:rPr>
        <w:t xml:space="preserve">ccreditation </w:t>
      </w:r>
      <w:r w:rsidRPr="00772A06">
        <w:rPr>
          <w:rFonts w:cstheme="minorHAnsi"/>
          <w:snapToGrid w:val="0"/>
        </w:rPr>
        <w:t>S</w:t>
      </w:r>
      <w:r w:rsidR="00643A5D">
        <w:rPr>
          <w:rFonts w:cstheme="minorHAnsi"/>
          <w:snapToGrid w:val="0"/>
        </w:rPr>
        <w:t>tandards (NAS)</w:t>
      </w:r>
      <w:r w:rsidRPr="00772A06">
        <w:rPr>
          <w:rFonts w:cstheme="minorHAnsi"/>
          <w:snapToGrid w:val="0"/>
        </w:rPr>
        <w:t xml:space="preserve"> commentary, the </w:t>
      </w:r>
      <w:r w:rsidR="00797AB0" w:rsidRPr="00772A06">
        <w:rPr>
          <w:rFonts w:cstheme="minorHAnsi"/>
          <w:snapToGrid w:val="0"/>
        </w:rPr>
        <w:t>Q</w:t>
      </w:r>
      <w:r w:rsidR="00AB36FF">
        <w:rPr>
          <w:rFonts w:cstheme="minorHAnsi"/>
          <w:snapToGrid w:val="0"/>
        </w:rPr>
        <w:t>I</w:t>
      </w:r>
      <w:r w:rsidRPr="00772A06">
        <w:t xml:space="preserve"> </w:t>
      </w:r>
      <w:r w:rsidR="00797AB0" w:rsidRPr="00772A06">
        <w:t>P</w:t>
      </w:r>
      <w:r w:rsidRPr="00772A06">
        <w:t xml:space="preserve">lan </w:t>
      </w:r>
      <w:r w:rsidR="00036458" w:rsidRPr="00772A06">
        <w:t xml:space="preserve">should </w:t>
      </w:r>
      <w:r w:rsidR="00797AB0" w:rsidRPr="00772A06">
        <w:t xml:space="preserve">include </w:t>
      </w:r>
      <w:r w:rsidRPr="00772A06">
        <w:t>clear lines of clinical and management responsibility</w:t>
      </w:r>
      <w:r w:rsidR="00036458" w:rsidRPr="00772A06">
        <w:t xml:space="preserve"> within the Service and/or SCU</w:t>
      </w:r>
      <w:r w:rsidR="00797AB0" w:rsidRPr="00772A06">
        <w:t>,</w:t>
      </w:r>
      <w:r w:rsidR="00036458" w:rsidRPr="00772A06">
        <w:t xml:space="preserve"> and </w:t>
      </w:r>
      <w:r w:rsidRPr="00772A06">
        <w:t>identify strategies for each component of the screening and assessment pathway that will support and enhance the quality of breast cancer screening services for women.</w:t>
      </w:r>
      <w:r w:rsidR="00036458" w:rsidRPr="00772A06">
        <w:t xml:space="preserve"> </w:t>
      </w:r>
      <w:r w:rsidR="0063047A" w:rsidRPr="00772A06">
        <w:t xml:space="preserve">The </w:t>
      </w:r>
      <w:r w:rsidR="00036458" w:rsidRPr="00772A06">
        <w:t>Q</w:t>
      </w:r>
      <w:r w:rsidR="00AB36FF">
        <w:t>I</w:t>
      </w:r>
      <w:r w:rsidR="00036458" w:rsidRPr="00772A06">
        <w:t xml:space="preserve"> Plan should also include </w:t>
      </w:r>
      <w:r w:rsidR="003875CF" w:rsidRPr="00772A06">
        <w:t xml:space="preserve">specific </w:t>
      </w:r>
      <w:r w:rsidR="00036458" w:rsidRPr="00772A06">
        <w:t xml:space="preserve">strategies to improve performance against any unmet NAS </w:t>
      </w:r>
      <w:r w:rsidR="00AB36FF">
        <w:t>Measure</w:t>
      </w:r>
      <w:r w:rsidR="00036458" w:rsidRPr="00772A06">
        <w:t xml:space="preserve">s, or when declining performance trends are identified within the Service and/or SCU. </w:t>
      </w:r>
    </w:p>
    <w:p w14:paraId="7285640C" w14:textId="2A9CEA09" w:rsidR="0068594B" w:rsidRPr="00772A06" w:rsidRDefault="00037AAC" w:rsidP="00AB1C35">
      <w:pPr>
        <w:rPr>
          <w:rFonts w:cstheme="minorHAnsi"/>
          <w:snapToGrid w:val="0"/>
        </w:rPr>
      </w:pPr>
      <w:r w:rsidRPr="00772A06">
        <w:t>A template Q</w:t>
      </w:r>
      <w:r w:rsidR="00AB36FF">
        <w:t>I</w:t>
      </w:r>
      <w:r w:rsidRPr="00772A06">
        <w:t xml:space="preserve"> Plan has been developed for use by Services and/or SCUs within the suite of </w:t>
      </w:r>
      <w:r w:rsidRPr="004844A5">
        <w:t>forms (</w:t>
      </w:r>
      <w:r w:rsidR="00C96C2F" w:rsidRPr="004844A5">
        <w:t>BSA006</w:t>
      </w:r>
      <w:r w:rsidRPr="004844A5">
        <w:t>)</w:t>
      </w:r>
      <w:r w:rsidR="0068594B" w:rsidRPr="004844A5">
        <w:t>. The</w:t>
      </w:r>
      <w:r w:rsidR="0068594B" w:rsidRPr="00772A06">
        <w:t xml:space="preserve"> Service and/or SCU Q</w:t>
      </w:r>
      <w:r w:rsidR="00AB36FF">
        <w:t>I</w:t>
      </w:r>
      <w:r w:rsidR="0068594B" w:rsidRPr="00772A06">
        <w:t xml:space="preserve"> Plan must be submitted to the NQMC</w:t>
      </w:r>
      <w:r w:rsidR="00C10171">
        <w:t xml:space="preserve"> on </w:t>
      </w:r>
      <w:r w:rsidR="00457367">
        <w:t>this</w:t>
      </w:r>
      <w:r w:rsidR="00C10171">
        <w:t xml:space="preserve"> template</w:t>
      </w:r>
      <w:r w:rsidR="0068594B" w:rsidRPr="00772A06">
        <w:t xml:space="preserve"> as part of an application for accreditation.</w:t>
      </w:r>
    </w:p>
    <w:p w14:paraId="200B7C2F" w14:textId="60CB1689" w:rsidR="007112DC" w:rsidRDefault="000C476C" w:rsidP="00500310">
      <w:pPr>
        <w:pStyle w:val="Heading2"/>
      </w:pPr>
      <w:bookmarkStart w:id="130" w:name="_Toc517944635"/>
      <w:bookmarkStart w:id="131" w:name="_Toc66438665"/>
      <w:r w:rsidRPr="001A1836">
        <w:t>SELF</w:t>
      </w:r>
      <w:r w:rsidR="00A36223">
        <w:t>-</w:t>
      </w:r>
      <w:r w:rsidRPr="001A1836">
        <w:t>ASSESSMENT</w:t>
      </w:r>
      <w:bookmarkEnd w:id="130"/>
      <w:bookmarkEnd w:id="131"/>
    </w:p>
    <w:p w14:paraId="641B2726" w14:textId="45248CE7" w:rsidR="00247107" w:rsidRDefault="000C476C" w:rsidP="00AB1C35">
      <w:pPr>
        <w:rPr>
          <w:rFonts w:ascii="Calibri" w:hAnsi="Calibri" w:cs="Calibri"/>
        </w:rPr>
      </w:pPr>
      <w:r w:rsidRPr="008D0222">
        <w:rPr>
          <w:rFonts w:cstheme="minorHAnsi"/>
          <w:snapToGrid w:val="0"/>
        </w:rPr>
        <w:t xml:space="preserve">All </w:t>
      </w:r>
      <w:r w:rsidR="007534CE" w:rsidRPr="007534CE">
        <w:rPr>
          <w:rFonts w:cstheme="minorHAnsi"/>
          <w:snapToGrid w:val="0"/>
        </w:rPr>
        <w:t>Service</w:t>
      </w:r>
      <w:r w:rsidR="007534CE">
        <w:rPr>
          <w:rFonts w:cstheme="minorHAnsi"/>
          <w:snapToGrid w:val="0"/>
        </w:rPr>
        <w:t>s</w:t>
      </w:r>
      <w:r w:rsidR="007534CE" w:rsidRPr="007534CE">
        <w:rPr>
          <w:rFonts w:cstheme="minorHAnsi"/>
          <w:snapToGrid w:val="0"/>
        </w:rPr>
        <w:t xml:space="preserve"> and/or SCU</w:t>
      </w:r>
      <w:r w:rsidR="007534CE">
        <w:rPr>
          <w:rFonts w:cstheme="minorHAnsi"/>
          <w:snapToGrid w:val="0"/>
        </w:rPr>
        <w:t xml:space="preserve">s </w:t>
      </w:r>
      <w:r w:rsidRPr="008D0222">
        <w:rPr>
          <w:rFonts w:cstheme="minorHAnsi"/>
          <w:snapToGrid w:val="0"/>
        </w:rPr>
        <w:t xml:space="preserve">must undertake </w:t>
      </w:r>
      <w:r w:rsidR="001E7129">
        <w:rPr>
          <w:rFonts w:cstheme="minorHAnsi"/>
          <w:snapToGrid w:val="0"/>
        </w:rPr>
        <w:t xml:space="preserve">at least annually a </w:t>
      </w:r>
      <w:r w:rsidRPr="008D0222">
        <w:rPr>
          <w:rFonts w:cstheme="minorHAnsi"/>
          <w:snapToGrid w:val="0"/>
        </w:rPr>
        <w:t xml:space="preserve">self-assessment </w:t>
      </w:r>
      <w:r w:rsidR="001E7129">
        <w:rPr>
          <w:rFonts w:cstheme="minorHAnsi"/>
          <w:snapToGrid w:val="0"/>
        </w:rPr>
        <w:t>against all NAS Measures</w:t>
      </w:r>
      <w:r w:rsidR="00BE1668">
        <w:rPr>
          <w:rFonts w:cstheme="minorHAnsi"/>
          <w:snapToGrid w:val="0"/>
        </w:rPr>
        <w:t xml:space="preserve"> </w:t>
      </w:r>
      <w:r w:rsidR="008D0222" w:rsidRPr="008D0222">
        <w:t xml:space="preserve">to drive quality improvement and identify areas which are done well, and those requiring improvement.  </w:t>
      </w:r>
      <w:r w:rsidR="00BE1668">
        <w:rPr>
          <w:rFonts w:ascii="Calibri" w:hAnsi="Calibri" w:cs="Calibri"/>
        </w:rPr>
        <w:t xml:space="preserve">Each Service and SCU is required to submit an Annual Data Report to the NQMC. The NAS Data Report form should be used to undertake self-assessment and is provided in the suite of forms (see Section </w:t>
      </w:r>
      <w:r w:rsidR="00807712">
        <w:rPr>
          <w:rFonts w:ascii="Calibri" w:hAnsi="Calibri" w:cs="Calibri"/>
        </w:rPr>
        <w:fldChar w:fldCharType="begin"/>
      </w:r>
      <w:r w:rsidR="00807712">
        <w:rPr>
          <w:rFonts w:ascii="Calibri" w:hAnsi="Calibri" w:cs="Calibri"/>
        </w:rPr>
        <w:instrText xml:space="preserve"> REF _Ref465947413 \r \h </w:instrText>
      </w:r>
      <w:r w:rsidR="00807712">
        <w:rPr>
          <w:rFonts w:ascii="Calibri" w:hAnsi="Calibri" w:cs="Calibri"/>
        </w:rPr>
      </w:r>
      <w:r w:rsidR="00807712">
        <w:rPr>
          <w:rFonts w:ascii="Calibri" w:hAnsi="Calibri" w:cs="Calibri"/>
        </w:rPr>
        <w:fldChar w:fldCharType="separate"/>
      </w:r>
      <w:r w:rsidR="00B36BEE">
        <w:rPr>
          <w:rFonts w:ascii="Calibri" w:hAnsi="Calibri" w:cs="Calibri"/>
        </w:rPr>
        <w:t>5.8</w:t>
      </w:r>
      <w:r w:rsidR="00807712">
        <w:rPr>
          <w:rFonts w:ascii="Calibri" w:hAnsi="Calibri" w:cs="Calibri"/>
        </w:rPr>
        <w:fldChar w:fldCharType="end"/>
      </w:r>
      <w:r w:rsidR="00BE1668">
        <w:rPr>
          <w:rFonts w:ascii="Calibri" w:hAnsi="Calibri" w:cs="Calibri"/>
        </w:rPr>
        <w:t xml:space="preserve">).  </w:t>
      </w:r>
    </w:p>
    <w:p w14:paraId="7671A7AF" w14:textId="42F46A8F" w:rsidR="00247107" w:rsidRDefault="008D0222" w:rsidP="00AB1C35">
      <w:pPr>
        <w:rPr>
          <w:snapToGrid w:val="0"/>
        </w:rPr>
      </w:pPr>
      <w:r w:rsidRPr="008D0222">
        <w:t>Self-assessment</w:t>
      </w:r>
      <w:r w:rsidRPr="00E25A1D">
        <w:rPr>
          <w:color w:val="FF0000"/>
        </w:rPr>
        <w:t xml:space="preserve"> </w:t>
      </w:r>
      <w:r>
        <w:rPr>
          <w:snapToGrid w:val="0"/>
        </w:rPr>
        <w:t>is also required</w:t>
      </w:r>
      <w:r w:rsidR="000C476C" w:rsidRPr="001A1836">
        <w:rPr>
          <w:snapToGrid w:val="0"/>
        </w:rPr>
        <w:t xml:space="preserve"> to support </w:t>
      </w:r>
      <w:r>
        <w:rPr>
          <w:snapToGrid w:val="0"/>
        </w:rPr>
        <w:t>an</w:t>
      </w:r>
      <w:r w:rsidR="000C476C" w:rsidRPr="001A1836">
        <w:rPr>
          <w:snapToGrid w:val="0"/>
        </w:rPr>
        <w:t xml:space="preserve"> accreditation application.  </w:t>
      </w:r>
      <w:r w:rsidR="00225E14">
        <w:rPr>
          <w:snapToGrid w:val="0"/>
        </w:rPr>
        <w:t>This takes the form of a review</w:t>
      </w:r>
      <w:r w:rsidR="000C476C" w:rsidRPr="001A1836">
        <w:rPr>
          <w:snapToGrid w:val="0"/>
        </w:rPr>
        <w:t xml:space="preserve"> prior to a sch</w:t>
      </w:r>
      <w:r w:rsidR="00225E14">
        <w:rPr>
          <w:snapToGrid w:val="0"/>
        </w:rPr>
        <w:t xml:space="preserve">eduled </w:t>
      </w:r>
      <w:r w:rsidR="005B131A">
        <w:rPr>
          <w:snapToGrid w:val="0"/>
        </w:rPr>
        <w:t xml:space="preserve">accreditation </w:t>
      </w:r>
      <w:r w:rsidR="00C902CD">
        <w:rPr>
          <w:snapToGrid w:val="0"/>
        </w:rPr>
        <w:t>survey</w:t>
      </w:r>
      <w:r w:rsidR="005B131A">
        <w:rPr>
          <w:snapToGrid w:val="0"/>
        </w:rPr>
        <w:t>,</w:t>
      </w:r>
      <w:r w:rsidR="000C476C" w:rsidRPr="001A1836">
        <w:rPr>
          <w:snapToGrid w:val="0"/>
        </w:rPr>
        <w:t xml:space="preserve"> with documentation of performance against all NAS </w:t>
      </w:r>
      <w:r w:rsidR="00AB36FF">
        <w:rPr>
          <w:snapToGrid w:val="0"/>
        </w:rPr>
        <w:t>Measure</w:t>
      </w:r>
      <w:r w:rsidR="000C476C" w:rsidRPr="001A1836">
        <w:rPr>
          <w:snapToGrid w:val="0"/>
        </w:rPr>
        <w:t>s</w:t>
      </w:r>
      <w:r w:rsidR="005B131A">
        <w:rPr>
          <w:snapToGrid w:val="0"/>
        </w:rPr>
        <w:t>,</w:t>
      </w:r>
      <w:r w:rsidR="000C476C" w:rsidRPr="001A1836">
        <w:rPr>
          <w:snapToGrid w:val="0"/>
        </w:rPr>
        <w:t xml:space="preserve"> and consideration of the risks as outlined in the Decision Tool</w:t>
      </w:r>
      <w:r w:rsidR="00285BCB">
        <w:rPr>
          <w:snapToGrid w:val="0"/>
        </w:rPr>
        <w:t xml:space="preserve"> (see Section </w:t>
      </w:r>
      <w:r w:rsidR="00807712">
        <w:rPr>
          <w:snapToGrid w:val="0"/>
        </w:rPr>
        <w:fldChar w:fldCharType="begin"/>
      </w:r>
      <w:r w:rsidR="00807712">
        <w:rPr>
          <w:snapToGrid w:val="0"/>
        </w:rPr>
        <w:instrText xml:space="preserve"> REF _Ref465947432 \r \h </w:instrText>
      </w:r>
      <w:r w:rsidR="00807712">
        <w:rPr>
          <w:snapToGrid w:val="0"/>
        </w:rPr>
      </w:r>
      <w:r w:rsidR="00807712">
        <w:rPr>
          <w:snapToGrid w:val="0"/>
        </w:rPr>
        <w:fldChar w:fldCharType="separate"/>
      </w:r>
      <w:r w:rsidR="00B36BEE">
        <w:rPr>
          <w:snapToGrid w:val="0"/>
        </w:rPr>
        <w:t>3.3</w:t>
      </w:r>
      <w:r w:rsidR="00807712">
        <w:rPr>
          <w:snapToGrid w:val="0"/>
        </w:rPr>
        <w:fldChar w:fldCharType="end"/>
      </w:r>
      <w:r w:rsidR="00285BCB">
        <w:rPr>
          <w:snapToGrid w:val="0"/>
        </w:rPr>
        <w:t>)</w:t>
      </w:r>
      <w:r w:rsidR="000C476C" w:rsidRPr="001A1836">
        <w:rPr>
          <w:snapToGrid w:val="0"/>
        </w:rPr>
        <w:t xml:space="preserve">.  </w:t>
      </w:r>
    </w:p>
    <w:p w14:paraId="28B2C919" w14:textId="26D9617D" w:rsidR="000C476C" w:rsidRDefault="00497711" w:rsidP="00AB1C35">
      <w:pPr>
        <w:rPr>
          <w:snapToGrid w:val="0"/>
        </w:rPr>
      </w:pPr>
      <w:r>
        <w:rPr>
          <w:rFonts w:ascii="Calibri" w:hAnsi="Calibri" w:cs="Calibri"/>
        </w:rPr>
        <w:t>When</w:t>
      </w:r>
      <w:r w:rsidR="00423F81">
        <w:rPr>
          <w:rFonts w:ascii="Calibri" w:hAnsi="Calibri" w:cs="Calibri"/>
        </w:rPr>
        <w:t xml:space="preserve"> </w:t>
      </w:r>
      <w:r w:rsidR="009063C8">
        <w:rPr>
          <w:rFonts w:ascii="Calibri" w:hAnsi="Calibri" w:cs="Calibri"/>
        </w:rPr>
        <w:t xml:space="preserve">issues </w:t>
      </w:r>
      <w:r>
        <w:rPr>
          <w:rFonts w:ascii="Calibri" w:hAnsi="Calibri" w:cs="Calibri"/>
        </w:rPr>
        <w:t xml:space="preserve">are </w:t>
      </w:r>
      <w:r w:rsidR="009063C8">
        <w:rPr>
          <w:rFonts w:ascii="Calibri" w:hAnsi="Calibri" w:cs="Calibri"/>
        </w:rPr>
        <w:t xml:space="preserve">identified through </w:t>
      </w:r>
      <w:r w:rsidR="001E1AA3">
        <w:rPr>
          <w:snapToGrid w:val="0"/>
        </w:rPr>
        <w:t>the self-assessment process</w:t>
      </w:r>
      <w:r w:rsidR="00225E14">
        <w:rPr>
          <w:snapToGrid w:val="0"/>
        </w:rPr>
        <w:t xml:space="preserve"> </w:t>
      </w:r>
      <w:r w:rsidR="009568C2">
        <w:rPr>
          <w:snapToGrid w:val="0"/>
        </w:rPr>
        <w:t xml:space="preserve">quality improvement </w:t>
      </w:r>
      <w:r w:rsidR="000C476C" w:rsidRPr="001A1836">
        <w:rPr>
          <w:snapToGrid w:val="0"/>
        </w:rPr>
        <w:t xml:space="preserve">strategies </w:t>
      </w:r>
      <w:r w:rsidR="00D75670">
        <w:rPr>
          <w:snapToGrid w:val="0"/>
        </w:rPr>
        <w:t xml:space="preserve">must </w:t>
      </w:r>
      <w:r>
        <w:rPr>
          <w:snapToGrid w:val="0"/>
        </w:rPr>
        <w:t xml:space="preserve">be </w:t>
      </w:r>
      <w:r w:rsidR="001E1AA3">
        <w:rPr>
          <w:snapToGrid w:val="0"/>
        </w:rPr>
        <w:t>developed</w:t>
      </w:r>
      <w:r w:rsidR="000C476C" w:rsidRPr="001A1836">
        <w:rPr>
          <w:snapToGrid w:val="0"/>
        </w:rPr>
        <w:t xml:space="preserve"> to reduce or remove risks</w:t>
      </w:r>
      <w:r w:rsidR="001E1AA3">
        <w:rPr>
          <w:snapToGrid w:val="0"/>
        </w:rPr>
        <w:t>.  These</w:t>
      </w:r>
      <w:r w:rsidR="000C476C" w:rsidRPr="001A1836">
        <w:rPr>
          <w:snapToGrid w:val="0"/>
        </w:rPr>
        <w:t xml:space="preserve"> should be documented in </w:t>
      </w:r>
      <w:r w:rsidR="000C476C" w:rsidRPr="001A1836">
        <w:rPr>
          <w:snapToGrid w:val="0"/>
        </w:rPr>
        <w:lastRenderedPageBreak/>
        <w:t xml:space="preserve">the </w:t>
      </w:r>
      <w:r w:rsidR="00CE42E7">
        <w:rPr>
          <w:snapToGrid w:val="0"/>
        </w:rPr>
        <w:t>Service and/or SCU Q</w:t>
      </w:r>
      <w:r w:rsidR="00AB36FF">
        <w:rPr>
          <w:snapToGrid w:val="0"/>
        </w:rPr>
        <w:t>I</w:t>
      </w:r>
      <w:r w:rsidR="000C476C" w:rsidRPr="001A1836">
        <w:rPr>
          <w:rFonts w:ascii="Calibri" w:hAnsi="Calibri"/>
        </w:rPr>
        <w:t xml:space="preserve"> </w:t>
      </w:r>
      <w:r w:rsidR="00CE42E7">
        <w:rPr>
          <w:rFonts w:ascii="Calibri" w:hAnsi="Calibri"/>
        </w:rPr>
        <w:t>P</w:t>
      </w:r>
      <w:r w:rsidR="000C476C" w:rsidRPr="001A1836">
        <w:rPr>
          <w:rFonts w:ascii="Calibri" w:hAnsi="Calibri"/>
        </w:rPr>
        <w:t xml:space="preserve">lan </w:t>
      </w:r>
      <w:r w:rsidR="00225E14">
        <w:rPr>
          <w:rFonts w:ascii="Calibri" w:hAnsi="Calibri"/>
        </w:rPr>
        <w:t>and</w:t>
      </w:r>
      <w:r w:rsidR="000C476C" w:rsidRPr="001A1836">
        <w:rPr>
          <w:snapToGrid w:val="0"/>
        </w:rPr>
        <w:t xml:space="preserve"> </w:t>
      </w:r>
      <w:r w:rsidR="000C476C" w:rsidRPr="001A1836">
        <w:rPr>
          <w:rFonts w:ascii="Calibri" w:hAnsi="Calibri"/>
        </w:rPr>
        <w:t xml:space="preserve">regularly monitored and reviewed </w:t>
      </w:r>
      <w:r w:rsidR="000C476C" w:rsidRPr="001A1836">
        <w:rPr>
          <w:snapToGrid w:val="0"/>
        </w:rPr>
        <w:t>by management and staff.</w:t>
      </w:r>
      <w:r w:rsidR="009A55E8">
        <w:rPr>
          <w:snapToGrid w:val="0"/>
        </w:rPr>
        <w:t xml:space="preserve"> If necessary, issues may need to be managed in accordance with the incident management process outlined in Section </w:t>
      </w:r>
      <w:r w:rsidR="00807712">
        <w:rPr>
          <w:snapToGrid w:val="0"/>
        </w:rPr>
        <w:fldChar w:fldCharType="begin"/>
      </w:r>
      <w:r w:rsidR="00807712">
        <w:rPr>
          <w:snapToGrid w:val="0"/>
        </w:rPr>
        <w:instrText xml:space="preserve"> REF _Ref465947455 \r \h </w:instrText>
      </w:r>
      <w:r w:rsidR="00807712">
        <w:rPr>
          <w:snapToGrid w:val="0"/>
        </w:rPr>
      </w:r>
      <w:r w:rsidR="00807712">
        <w:rPr>
          <w:snapToGrid w:val="0"/>
        </w:rPr>
        <w:fldChar w:fldCharType="separate"/>
      </w:r>
      <w:r w:rsidR="00B36BEE">
        <w:rPr>
          <w:snapToGrid w:val="0"/>
        </w:rPr>
        <w:t>9.3</w:t>
      </w:r>
      <w:r w:rsidR="00807712">
        <w:rPr>
          <w:snapToGrid w:val="0"/>
        </w:rPr>
        <w:fldChar w:fldCharType="end"/>
      </w:r>
      <w:r w:rsidR="008726C2">
        <w:rPr>
          <w:snapToGrid w:val="0"/>
        </w:rPr>
        <w:t>.</w:t>
      </w:r>
    </w:p>
    <w:p w14:paraId="6A180170" w14:textId="21255375" w:rsidR="00C41314" w:rsidRPr="001A1836" w:rsidRDefault="00C41314" w:rsidP="00500310">
      <w:pPr>
        <w:pStyle w:val="Heading2"/>
      </w:pPr>
      <w:bookmarkStart w:id="132" w:name="_Toc517944636"/>
      <w:bookmarkStart w:id="133" w:name="_Toc66438666"/>
      <w:r w:rsidRPr="001A1836">
        <w:t>ANNUAL DATA REPORTS</w:t>
      </w:r>
      <w:bookmarkEnd w:id="132"/>
      <w:bookmarkEnd w:id="133"/>
    </w:p>
    <w:p w14:paraId="2AB6D069" w14:textId="77777777" w:rsidR="00247107" w:rsidRDefault="001A1836" w:rsidP="00AB1C35">
      <w:pPr>
        <w:rPr>
          <w:snapToGrid w:val="0"/>
        </w:rPr>
      </w:pPr>
      <w:r w:rsidRPr="00E8278D">
        <w:rPr>
          <w:snapToGrid w:val="0"/>
        </w:rPr>
        <w:t xml:space="preserve">The NQMC requires annual data reports </w:t>
      </w:r>
      <w:r w:rsidR="00E8278D" w:rsidRPr="00E8278D">
        <w:rPr>
          <w:snapToGrid w:val="0"/>
        </w:rPr>
        <w:t xml:space="preserve">to be submitted </w:t>
      </w:r>
      <w:r w:rsidRPr="00E8278D">
        <w:rPr>
          <w:snapToGrid w:val="0"/>
        </w:rPr>
        <w:t>from every Service</w:t>
      </w:r>
      <w:r w:rsidR="00CE631D">
        <w:rPr>
          <w:snapToGrid w:val="0"/>
        </w:rPr>
        <w:t xml:space="preserve"> and SCU</w:t>
      </w:r>
      <w:r w:rsidRPr="00E8278D">
        <w:rPr>
          <w:snapToGrid w:val="0"/>
        </w:rPr>
        <w:t xml:space="preserve">.  These reports inform the accreditation process and allow the NQMC to monitor performance between accreditation periods.  </w:t>
      </w:r>
    </w:p>
    <w:p w14:paraId="0BA07E3C" w14:textId="426609E3" w:rsidR="00BE1668" w:rsidRPr="001A1836" w:rsidRDefault="00BE1668" w:rsidP="00AB1C35">
      <w:pPr>
        <w:rPr>
          <w:snapToGrid w:val="0"/>
        </w:rPr>
      </w:pPr>
      <w:r w:rsidRPr="001A1836">
        <w:rPr>
          <w:snapToGrid w:val="0"/>
        </w:rPr>
        <w:t xml:space="preserve">Annual </w:t>
      </w:r>
      <w:r>
        <w:rPr>
          <w:snapToGrid w:val="0"/>
        </w:rPr>
        <w:t>D</w:t>
      </w:r>
      <w:r w:rsidRPr="001A1836">
        <w:rPr>
          <w:snapToGrid w:val="0"/>
        </w:rPr>
        <w:t xml:space="preserve">ata </w:t>
      </w:r>
      <w:r>
        <w:rPr>
          <w:snapToGrid w:val="0"/>
        </w:rPr>
        <w:t>R</w:t>
      </w:r>
      <w:r w:rsidRPr="001A1836">
        <w:rPr>
          <w:snapToGrid w:val="0"/>
        </w:rPr>
        <w:t xml:space="preserve">eports are based on </w:t>
      </w:r>
      <w:r>
        <w:rPr>
          <w:snapToGrid w:val="0"/>
        </w:rPr>
        <w:t xml:space="preserve">the most recently available data for </w:t>
      </w:r>
      <w:r w:rsidRPr="001A1836">
        <w:rPr>
          <w:snapToGrid w:val="0"/>
        </w:rPr>
        <w:t xml:space="preserve">either calendar or ﬁnancial years and are required to be submitted to the NQMC </w:t>
      </w:r>
      <w:r>
        <w:rPr>
          <w:snapToGrid w:val="0"/>
        </w:rPr>
        <w:t xml:space="preserve">every </w:t>
      </w:r>
      <w:r w:rsidRPr="001A1836">
        <w:rPr>
          <w:snapToGrid w:val="0"/>
        </w:rPr>
        <w:t>12 month</w:t>
      </w:r>
      <w:r>
        <w:rPr>
          <w:snapToGrid w:val="0"/>
        </w:rPr>
        <w:t xml:space="preserve">s from the date the Service and/or SCU was </w:t>
      </w:r>
      <w:r w:rsidR="00457367">
        <w:rPr>
          <w:snapToGrid w:val="0"/>
        </w:rPr>
        <w:t xml:space="preserve">awarded </w:t>
      </w:r>
      <w:r>
        <w:rPr>
          <w:snapToGrid w:val="0"/>
        </w:rPr>
        <w:t>accredit</w:t>
      </w:r>
      <w:r w:rsidR="00457367">
        <w:rPr>
          <w:snapToGrid w:val="0"/>
        </w:rPr>
        <w:t>ation by the NQMC</w:t>
      </w:r>
      <w:r>
        <w:rPr>
          <w:snapToGrid w:val="0"/>
        </w:rPr>
        <w:t>.</w:t>
      </w:r>
    </w:p>
    <w:p w14:paraId="4D30089B" w14:textId="2FFF6E85" w:rsidR="00FB76F3" w:rsidRPr="00CE631D" w:rsidRDefault="00CE631D" w:rsidP="006D2034">
      <w:pPr>
        <w:pStyle w:val="Heading3"/>
      </w:pPr>
      <w:bookmarkStart w:id="134" w:name="_Toc517944637"/>
      <w:bookmarkStart w:id="135" w:name="_Toc66438667"/>
      <w:r w:rsidRPr="00CE631D">
        <w:t>SCU Annual Data Report</w:t>
      </w:r>
      <w:bookmarkEnd w:id="134"/>
      <w:bookmarkEnd w:id="135"/>
    </w:p>
    <w:p w14:paraId="46C70284" w14:textId="5980B04B" w:rsidR="005F1609" w:rsidRDefault="00CE631D" w:rsidP="004712E5">
      <w:r>
        <w:t xml:space="preserve">Every SCU must submit an Annual Data </w:t>
      </w:r>
      <w:r w:rsidRPr="004844A5">
        <w:t xml:space="preserve">Report </w:t>
      </w:r>
      <w:r w:rsidR="005F1609" w:rsidRPr="004844A5">
        <w:t xml:space="preserve">(using </w:t>
      </w:r>
      <w:r w:rsidR="0030366D" w:rsidRPr="004844A5">
        <w:t>BSA004</w:t>
      </w:r>
      <w:r w:rsidR="005F1609" w:rsidRPr="004844A5">
        <w:t>)</w:t>
      </w:r>
      <w:r w:rsidR="00D75670" w:rsidRPr="004844A5">
        <w:t xml:space="preserve"> </w:t>
      </w:r>
      <w:r w:rsidRPr="004844A5">
        <w:t>which includes</w:t>
      </w:r>
      <w:r>
        <w:t xml:space="preserve"> statewide data for each NAS </w:t>
      </w:r>
      <w:r w:rsidR="00AB36FF">
        <w:t>Measure</w:t>
      </w:r>
      <w:r>
        <w:t xml:space="preserve">. This provides the NQMC with </w:t>
      </w:r>
      <w:r w:rsidR="00B737A1">
        <w:t xml:space="preserve">a holistic view of the performance of the jurisdiction, to help identify any performance issues or trends and inform the development of any </w:t>
      </w:r>
      <w:r w:rsidR="008432CC">
        <w:t>q</w:t>
      </w:r>
      <w:r w:rsidR="00B737A1">
        <w:t xml:space="preserve">uality </w:t>
      </w:r>
      <w:r w:rsidR="008432CC">
        <w:t>i</w:t>
      </w:r>
      <w:r w:rsidR="00B737A1">
        <w:t xml:space="preserve">mprovement </w:t>
      </w:r>
      <w:r w:rsidR="00D2334F">
        <w:t>s</w:t>
      </w:r>
      <w:r w:rsidR="00B737A1">
        <w:t xml:space="preserve">trategies that may need to be implemented across the jurisdiction. </w:t>
      </w:r>
    </w:p>
    <w:p w14:paraId="4BF3BD6A" w14:textId="62FA7550" w:rsidR="008432CC" w:rsidRDefault="008432CC" w:rsidP="004712E5">
      <w:r>
        <w:t>For single-service jurisdictions, it is acknowledge</w:t>
      </w:r>
      <w:r w:rsidR="0020615D">
        <w:t>d</w:t>
      </w:r>
      <w:r>
        <w:t xml:space="preserve"> that the Annual Data Report will include data against each NAS </w:t>
      </w:r>
      <w:r w:rsidR="00AB36FF">
        <w:t>Measure</w:t>
      </w:r>
      <w:r>
        <w:t xml:space="preserve"> for both the Service and the SCU. </w:t>
      </w:r>
    </w:p>
    <w:p w14:paraId="3D736F81" w14:textId="7C661AFB" w:rsidR="004233F0" w:rsidRPr="004233F0" w:rsidRDefault="004233F0" w:rsidP="004712E5">
      <w:r w:rsidRPr="004233F0">
        <w:t>For SCU Annual Data Reports, the SCU is expected to provide state wide Quality Improvement Plans only for unmet</w:t>
      </w:r>
      <w:r w:rsidRPr="004233F0">
        <w:rPr>
          <w:b/>
          <w:bCs/>
        </w:rPr>
        <w:t xml:space="preserve"> </w:t>
      </w:r>
      <w:r w:rsidRPr="004233F0">
        <w:t>NAS Measures for which they are responsible.</w:t>
      </w:r>
    </w:p>
    <w:p w14:paraId="60B67993" w14:textId="07FD828D" w:rsidR="00B737A1" w:rsidRPr="00B737A1" w:rsidRDefault="00B737A1" w:rsidP="006D2034">
      <w:pPr>
        <w:pStyle w:val="Heading3"/>
      </w:pPr>
      <w:bookmarkStart w:id="136" w:name="_Toc517944638"/>
      <w:bookmarkStart w:id="137" w:name="_Toc66438668"/>
      <w:r w:rsidRPr="00B737A1">
        <w:t>Service Annual Data Report</w:t>
      </w:r>
      <w:bookmarkEnd w:id="136"/>
      <w:bookmarkEnd w:id="137"/>
    </w:p>
    <w:p w14:paraId="5362F616" w14:textId="1DF3B6E6" w:rsidR="00D347B8" w:rsidRDefault="00D347B8" w:rsidP="00AB1C35">
      <w:r w:rsidRPr="00730635">
        <w:t xml:space="preserve">For multi-service jurisdictions, the </w:t>
      </w:r>
      <w:r w:rsidR="00D2334F" w:rsidRPr="00730635">
        <w:t xml:space="preserve">Annual Data Report </w:t>
      </w:r>
      <w:r w:rsidR="00BE1668" w:rsidRPr="00730635">
        <w:t>for each Service</w:t>
      </w:r>
      <w:r w:rsidR="004233F0">
        <w:t>/SCU</w:t>
      </w:r>
      <w:r w:rsidR="00BE1668" w:rsidRPr="00730635">
        <w:t xml:space="preserve"> </w:t>
      </w:r>
      <w:r w:rsidR="00D2334F" w:rsidRPr="00730635">
        <w:t xml:space="preserve">is to include data </w:t>
      </w:r>
      <w:r w:rsidR="00FF0EC5" w:rsidRPr="00730635">
        <w:t xml:space="preserve">against each </w:t>
      </w:r>
      <w:r w:rsidR="00AC26FB" w:rsidRPr="00730635">
        <w:t xml:space="preserve">NAS </w:t>
      </w:r>
      <w:r w:rsidR="00AB36FF" w:rsidRPr="00730635">
        <w:t>Measure</w:t>
      </w:r>
      <w:r w:rsidRPr="00730635">
        <w:t xml:space="preserve">, </w:t>
      </w:r>
      <w:r w:rsidR="00FB76F3" w:rsidRPr="00730635">
        <w:t xml:space="preserve">regardless of whether </w:t>
      </w:r>
      <w:r w:rsidRPr="00730635">
        <w:t xml:space="preserve">the </w:t>
      </w:r>
      <w:r w:rsidR="00AB36FF" w:rsidRPr="00730635">
        <w:t>Measure</w:t>
      </w:r>
      <w:r w:rsidRPr="00730635">
        <w:t xml:space="preserve"> </w:t>
      </w:r>
      <w:r w:rsidR="00FB76F3" w:rsidRPr="00730635">
        <w:t>is the responsibility of the Service or the SCU</w:t>
      </w:r>
      <w:r w:rsidR="00FF0EC5" w:rsidRPr="00730635">
        <w:t xml:space="preserve">.  </w:t>
      </w:r>
      <w:r w:rsidRPr="00730635">
        <w:t>T</w:t>
      </w:r>
      <w:r w:rsidR="001830AA" w:rsidRPr="00730635">
        <w:t xml:space="preserve">his </w:t>
      </w:r>
      <w:r w:rsidRPr="00730635">
        <w:t xml:space="preserve">will </w:t>
      </w:r>
      <w:r w:rsidR="001830AA" w:rsidRPr="00730635">
        <w:t xml:space="preserve">require </w:t>
      </w:r>
      <w:r w:rsidR="00FF0EC5" w:rsidRPr="00730635">
        <w:t xml:space="preserve">information </w:t>
      </w:r>
      <w:r w:rsidR="001830AA" w:rsidRPr="00730635">
        <w:t xml:space="preserve">to be </w:t>
      </w:r>
      <w:r w:rsidR="00FF0EC5" w:rsidRPr="00730635">
        <w:t>provided by</w:t>
      </w:r>
      <w:r w:rsidR="001830AA" w:rsidRPr="00730635">
        <w:t xml:space="preserve"> both</w:t>
      </w:r>
      <w:r w:rsidR="00154FD3" w:rsidRPr="00730635">
        <w:t xml:space="preserve"> </w:t>
      </w:r>
      <w:r w:rsidR="00FF0EC5" w:rsidRPr="00730635">
        <w:t xml:space="preserve">the </w:t>
      </w:r>
      <w:r w:rsidR="007534CE" w:rsidRPr="00730635">
        <w:t>Service and SCU</w:t>
      </w:r>
      <w:r w:rsidRPr="00730635">
        <w:t xml:space="preserve"> and </w:t>
      </w:r>
      <w:r w:rsidR="001830AA" w:rsidRPr="00730635">
        <w:t xml:space="preserve">will </w:t>
      </w:r>
      <w:r w:rsidR="00FF0EC5" w:rsidRPr="00730635">
        <w:t xml:space="preserve">provide the NQMC with a holistic view of the performance of the </w:t>
      </w:r>
      <w:r w:rsidR="0057312A" w:rsidRPr="00730635">
        <w:t>Service</w:t>
      </w:r>
      <w:r w:rsidR="00FF0EC5" w:rsidRPr="00730635">
        <w:t>.</w:t>
      </w:r>
      <w:r>
        <w:t xml:space="preserve"> </w:t>
      </w:r>
    </w:p>
    <w:p w14:paraId="29BC602F" w14:textId="5C8A9C5E" w:rsidR="004233F0" w:rsidRPr="00132C0A" w:rsidRDefault="004233F0" w:rsidP="00AB1C35">
      <w:r w:rsidRPr="00132C0A">
        <w:t>Services in multi-service jurisdictions are expected to provide information about their Quality Improvement Plans for unmet NAS Measures, including state wide Quality Improvement Plans for NAS Measures that are the responsibility of the SCU.</w:t>
      </w:r>
    </w:p>
    <w:p w14:paraId="3813C0EA" w14:textId="7E6D1520" w:rsidR="00247107" w:rsidRDefault="00981348" w:rsidP="00AB1C35">
      <w:pPr>
        <w:rPr>
          <w:snapToGrid w:val="0"/>
        </w:rPr>
      </w:pPr>
      <w:r w:rsidRPr="004844A5">
        <w:rPr>
          <w:snapToGrid w:val="0"/>
        </w:rPr>
        <w:t xml:space="preserve">The NAS </w:t>
      </w:r>
      <w:r w:rsidR="00C93CA1" w:rsidRPr="004844A5">
        <w:rPr>
          <w:snapToGrid w:val="0"/>
        </w:rPr>
        <w:t>D</w:t>
      </w:r>
      <w:r w:rsidRPr="004844A5">
        <w:rPr>
          <w:snapToGrid w:val="0"/>
        </w:rPr>
        <w:t xml:space="preserve">ata </w:t>
      </w:r>
      <w:r w:rsidR="00C93CA1" w:rsidRPr="004844A5">
        <w:rPr>
          <w:snapToGrid w:val="0"/>
        </w:rPr>
        <w:t>R</w:t>
      </w:r>
      <w:r w:rsidRPr="004844A5">
        <w:rPr>
          <w:snapToGrid w:val="0"/>
        </w:rPr>
        <w:t>eport template</w:t>
      </w:r>
      <w:r w:rsidR="009A475E" w:rsidRPr="004844A5">
        <w:rPr>
          <w:snapToGrid w:val="0"/>
        </w:rPr>
        <w:t xml:space="preserve"> (</w:t>
      </w:r>
      <w:r w:rsidR="007240A7" w:rsidRPr="004844A5">
        <w:rPr>
          <w:snapToGrid w:val="0"/>
        </w:rPr>
        <w:t>BSA004</w:t>
      </w:r>
      <w:r w:rsidR="009A475E" w:rsidRPr="004844A5">
        <w:rPr>
          <w:snapToGrid w:val="0"/>
        </w:rPr>
        <w:t>)</w:t>
      </w:r>
      <w:r w:rsidRPr="004844A5">
        <w:rPr>
          <w:snapToGrid w:val="0"/>
        </w:rPr>
        <w:t xml:space="preserve"> should be used to complete the </w:t>
      </w:r>
      <w:r w:rsidR="009A475E" w:rsidRPr="004844A5">
        <w:rPr>
          <w:snapToGrid w:val="0"/>
        </w:rPr>
        <w:t>A</w:t>
      </w:r>
      <w:r w:rsidRPr="004844A5">
        <w:rPr>
          <w:snapToGrid w:val="0"/>
        </w:rPr>
        <w:t xml:space="preserve">nnual </w:t>
      </w:r>
      <w:r w:rsidR="009A475E" w:rsidRPr="004844A5">
        <w:rPr>
          <w:snapToGrid w:val="0"/>
        </w:rPr>
        <w:t>D</w:t>
      </w:r>
      <w:r w:rsidRPr="004844A5">
        <w:rPr>
          <w:snapToGrid w:val="0"/>
        </w:rPr>
        <w:t xml:space="preserve">ata </w:t>
      </w:r>
      <w:r w:rsidR="009A475E" w:rsidRPr="004844A5">
        <w:rPr>
          <w:snapToGrid w:val="0"/>
        </w:rPr>
        <w:t>R</w:t>
      </w:r>
      <w:r w:rsidRPr="004844A5">
        <w:rPr>
          <w:snapToGrid w:val="0"/>
        </w:rPr>
        <w:t xml:space="preserve">eport. </w:t>
      </w:r>
      <w:r w:rsidR="00154FD3" w:rsidRPr="004844A5">
        <w:rPr>
          <w:snapToGrid w:val="0"/>
        </w:rPr>
        <w:t xml:space="preserve"> </w:t>
      </w:r>
    </w:p>
    <w:p w14:paraId="72170897" w14:textId="392AD357" w:rsidR="001A1836" w:rsidRPr="001A1836" w:rsidRDefault="00654605" w:rsidP="00AB1C35">
      <w:pPr>
        <w:rPr>
          <w:rFonts w:cstheme="minorHAnsi"/>
          <w:snapToGrid w:val="0"/>
        </w:rPr>
      </w:pPr>
      <w:r>
        <w:rPr>
          <w:rFonts w:cstheme="minorHAnsi"/>
          <w:snapToGrid w:val="0"/>
        </w:rPr>
        <w:t>Annual Data Reports</w:t>
      </w:r>
      <w:r w:rsidRPr="001A1836">
        <w:rPr>
          <w:rFonts w:cstheme="minorHAnsi"/>
          <w:snapToGrid w:val="0"/>
        </w:rPr>
        <w:t xml:space="preserve"> </w:t>
      </w:r>
      <w:r w:rsidR="001A1836" w:rsidRPr="001A1836">
        <w:rPr>
          <w:rFonts w:cstheme="minorHAnsi"/>
          <w:snapToGrid w:val="0"/>
        </w:rPr>
        <w:t xml:space="preserve">should include a response for all unmet </w:t>
      </w:r>
      <w:r w:rsidR="00AB36FF">
        <w:rPr>
          <w:rFonts w:cstheme="minorHAnsi"/>
          <w:snapToGrid w:val="0"/>
        </w:rPr>
        <w:t>Measure</w:t>
      </w:r>
      <w:r w:rsidR="005532EC">
        <w:rPr>
          <w:rFonts w:cstheme="minorHAnsi"/>
          <w:snapToGrid w:val="0"/>
        </w:rPr>
        <w:t xml:space="preserve">s </w:t>
      </w:r>
      <w:r w:rsidR="00291E87">
        <w:rPr>
          <w:rFonts w:cstheme="minorHAnsi"/>
          <w:snapToGrid w:val="0"/>
        </w:rPr>
        <w:t>using the Response by Service</w:t>
      </w:r>
      <w:r w:rsidR="00A561B5">
        <w:rPr>
          <w:rFonts w:cstheme="minorHAnsi"/>
          <w:snapToGrid w:val="0"/>
        </w:rPr>
        <w:t>/</w:t>
      </w:r>
      <w:r w:rsidR="00A561B5" w:rsidRPr="004844A5">
        <w:rPr>
          <w:rFonts w:cstheme="minorHAnsi"/>
          <w:snapToGrid w:val="0"/>
        </w:rPr>
        <w:t>SCU</w:t>
      </w:r>
      <w:r w:rsidR="006009E4" w:rsidRPr="004844A5">
        <w:rPr>
          <w:rFonts w:cstheme="minorHAnsi"/>
          <w:snapToGrid w:val="0"/>
        </w:rPr>
        <w:t xml:space="preserve"> F</w:t>
      </w:r>
      <w:r w:rsidR="00291E87" w:rsidRPr="004844A5">
        <w:rPr>
          <w:rFonts w:cstheme="minorHAnsi"/>
          <w:snapToGrid w:val="0"/>
        </w:rPr>
        <w:t>orm</w:t>
      </w:r>
      <w:r w:rsidRPr="004844A5">
        <w:rPr>
          <w:rFonts w:cstheme="minorHAnsi"/>
          <w:snapToGrid w:val="0"/>
        </w:rPr>
        <w:t xml:space="preserve"> (</w:t>
      </w:r>
      <w:r w:rsidR="00DC3EB1" w:rsidRPr="004844A5">
        <w:rPr>
          <w:rFonts w:cstheme="minorHAnsi"/>
          <w:snapToGrid w:val="0"/>
        </w:rPr>
        <w:t>BSA005</w:t>
      </w:r>
      <w:r w:rsidRPr="004844A5">
        <w:rPr>
          <w:rFonts w:cstheme="minorHAnsi"/>
          <w:snapToGrid w:val="0"/>
        </w:rPr>
        <w:t>)</w:t>
      </w:r>
      <w:r w:rsidR="001A1836" w:rsidRPr="004844A5">
        <w:rPr>
          <w:rFonts w:cstheme="minorHAnsi"/>
          <w:snapToGrid w:val="0"/>
        </w:rPr>
        <w:t xml:space="preserve">.  </w:t>
      </w:r>
      <w:r w:rsidR="001A1836" w:rsidRPr="004844A5">
        <w:t>The</w:t>
      </w:r>
      <w:r w:rsidR="001A1836" w:rsidRPr="001A1836">
        <w:t xml:space="preserve"> SCU</w:t>
      </w:r>
      <w:r w:rsidR="007045F2">
        <w:t xml:space="preserve"> and</w:t>
      </w:r>
      <w:r w:rsidR="001A1836" w:rsidRPr="007045F2">
        <w:t>/</w:t>
      </w:r>
      <w:r w:rsidR="007045F2">
        <w:t xml:space="preserve">or </w:t>
      </w:r>
      <w:r w:rsidR="001A1836" w:rsidRPr="007045F2">
        <w:t>SQC</w:t>
      </w:r>
      <w:r w:rsidR="006009E4">
        <w:t xml:space="preserve"> are</w:t>
      </w:r>
      <w:r w:rsidR="001A1836" w:rsidRPr="001A1836">
        <w:t xml:space="preserve"> required to work with the Service to identify and implement quality improvement strategies to address areas of concern.  </w:t>
      </w:r>
      <w:r w:rsidR="001A1836" w:rsidRPr="001A1836">
        <w:rPr>
          <w:rFonts w:cstheme="minorHAnsi"/>
          <w:snapToGrid w:val="0"/>
        </w:rPr>
        <w:t xml:space="preserve">A </w:t>
      </w:r>
      <w:r w:rsidR="001A1836" w:rsidRPr="001A1836">
        <w:t xml:space="preserve">copy of the </w:t>
      </w:r>
      <w:r w:rsidR="0057312A">
        <w:t>Service</w:t>
      </w:r>
      <w:r w:rsidR="00285BCB">
        <w:t xml:space="preserve"> and/or </w:t>
      </w:r>
      <w:r w:rsidR="001A1836" w:rsidRPr="001A1836">
        <w:t xml:space="preserve">SCU </w:t>
      </w:r>
      <w:r w:rsidR="00AB36FF">
        <w:t>QI</w:t>
      </w:r>
      <w:r w:rsidR="001A1836" w:rsidRPr="001A1836">
        <w:t xml:space="preserve"> plans </w:t>
      </w:r>
      <w:r w:rsidR="001A1836" w:rsidRPr="007045F2">
        <w:t>should</w:t>
      </w:r>
      <w:r w:rsidR="001A1836" w:rsidRPr="001A1836">
        <w:t xml:space="preserve"> also be provided to the NQMC.</w:t>
      </w:r>
    </w:p>
    <w:p w14:paraId="4A79FD83" w14:textId="77777777" w:rsidR="00A52B73" w:rsidRDefault="001A1836" w:rsidP="00AB1C35">
      <w:pPr>
        <w:rPr>
          <w:rFonts w:cstheme="minorHAnsi"/>
          <w:snapToGrid w:val="0"/>
        </w:rPr>
      </w:pPr>
      <w:r w:rsidRPr="001A1836">
        <w:lastRenderedPageBreak/>
        <w:t xml:space="preserve">Where an </w:t>
      </w:r>
      <w:r w:rsidR="009B5BB5">
        <w:t>A</w:t>
      </w:r>
      <w:r w:rsidRPr="001A1836">
        <w:t xml:space="preserve">nnual </w:t>
      </w:r>
      <w:r w:rsidR="009B5BB5">
        <w:t>D</w:t>
      </w:r>
      <w:r w:rsidRPr="001A1836">
        <w:t xml:space="preserve">ata </w:t>
      </w:r>
      <w:r w:rsidR="009B5BB5">
        <w:t>R</w:t>
      </w:r>
      <w:r w:rsidRPr="001A1836">
        <w:t xml:space="preserve">eport indicates significant falling performance or areas of concern, the NQMC may request an interim </w:t>
      </w:r>
      <w:r w:rsidR="00C902CD">
        <w:t>survey</w:t>
      </w:r>
      <w:r w:rsidRPr="001A1836">
        <w:t xml:space="preserve">(s) be undertaken of the </w:t>
      </w:r>
      <w:r w:rsidR="007534CE" w:rsidRPr="007534CE">
        <w:t>Service and/or SCU</w:t>
      </w:r>
      <w:r w:rsidRPr="001A1836">
        <w:t>, which would include a review of the accreditation status.</w:t>
      </w:r>
    </w:p>
    <w:p w14:paraId="020E8FE9" w14:textId="309E5897" w:rsidR="00A52B73" w:rsidRDefault="001A1836" w:rsidP="00DE3B8F">
      <w:pPr>
        <w:ind w:left="709" w:hanging="709"/>
        <w:rPr>
          <w:snapToGrid w:val="0"/>
        </w:rPr>
      </w:pPr>
      <w:r w:rsidRPr="00432D5D">
        <w:rPr>
          <w:snapToGrid w:val="0"/>
        </w:rPr>
        <w:t xml:space="preserve">Note: </w:t>
      </w:r>
      <w:r w:rsidR="00DE3B8F">
        <w:rPr>
          <w:snapToGrid w:val="0"/>
        </w:rPr>
        <w:tab/>
      </w:r>
      <w:r w:rsidRPr="00432D5D">
        <w:rPr>
          <w:snapToGrid w:val="0"/>
        </w:rPr>
        <w:t xml:space="preserve">Annual data reports must be provided to the </w:t>
      </w:r>
      <w:r w:rsidR="00BD5A23">
        <w:rPr>
          <w:snapToGrid w:val="0"/>
        </w:rPr>
        <w:t xml:space="preserve">accreditation </w:t>
      </w:r>
      <w:r w:rsidR="00C902CD">
        <w:rPr>
          <w:snapToGrid w:val="0"/>
        </w:rPr>
        <w:t>survey</w:t>
      </w:r>
      <w:r w:rsidRPr="00432D5D">
        <w:rPr>
          <w:snapToGrid w:val="0"/>
        </w:rPr>
        <w:t xml:space="preserve"> team before a </w:t>
      </w:r>
      <w:r w:rsidR="00C902CD">
        <w:rPr>
          <w:snapToGrid w:val="0"/>
        </w:rPr>
        <w:t>survey</w:t>
      </w:r>
      <w:r w:rsidRPr="00432D5D">
        <w:rPr>
          <w:snapToGrid w:val="0"/>
        </w:rPr>
        <w:t>.</w:t>
      </w:r>
    </w:p>
    <w:p w14:paraId="1929B714" w14:textId="753FB4F0" w:rsidR="00AA340F" w:rsidRDefault="00AA340F" w:rsidP="00500310">
      <w:pPr>
        <w:pStyle w:val="Heading2"/>
      </w:pPr>
      <w:bookmarkStart w:id="138" w:name="_Toc517944639"/>
      <w:bookmarkStart w:id="139" w:name="_Toc66438669"/>
      <w:r>
        <w:t>ACCREDITATION SURVEY</w:t>
      </w:r>
      <w:r w:rsidRPr="00B533B2">
        <w:t>S</w:t>
      </w:r>
      <w:bookmarkEnd w:id="138"/>
      <w:bookmarkEnd w:id="139"/>
    </w:p>
    <w:p w14:paraId="5DF00784" w14:textId="23FDD2F1" w:rsidR="00AA340F" w:rsidRPr="005D00E7" w:rsidRDefault="00AA340F" w:rsidP="00AB1C35">
      <w:pPr>
        <w:rPr>
          <w:snapToGrid w:val="0"/>
        </w:rPr>
      </w:pPr>
      <w:bookmarkStart w:id="140" w:name="_Toc368331886"/>
      <w:bookmarkStart w:id="141" w:name="_Toc368410668"/>
      <w:r w:rsidRPr="005D00E7">
        <w:rPr>
          <w:snapToGrid w:val="0"/>
        </w:rPr>
        <w:t xml:space="preserve">Each Service and SCU must undergo a formal accreditation survey once every four years. </w:t>
      </w:r>
      <w:r w:rsidR="00F5048A" w:rsidRPr="005D00E7">
        <w:rPr>
          <w:snapToGrid w:val="0"/>
        </w:rPr>
        <w:t xml:space="preserve">The survey is conducted by a BreastScreen Australia accreditation </w:t>
      </w:r>
      <w:r w:rsidR="00D060F9" w:rsidRPr="005D00E7">
        <w:rPr>
          <w:snapToGrid w:val="0"/>
        </w:rPr>
        <w:t>survey team</w:t>
      </w:r>
      <w:r w:rsidR="00F5048A" w:rsidRPr="005D00E7">
        <w:rPr>
          <w:snapToGrid w:val="0"/>
        </w:rPr>
        <w:t>, led by the National Surveyor. The purpose of the survey is to:</w:t>
      </w:r>
      <w:bookmarkEnd w:id="140"/>
      <w:bookmarkEnd w:id="141"/>
    </w:p>
    <w:p w14:paraId="5C5D4A9D" w14:textId="77777777" w:rsidR="00A01D12" w:rsidRPr="005D00E7" w:rsidRDefault="00A01D12" w:rsidP="004712E5">
      <w:pPr>
        <w:pStyle w:val="ListBullet"/>
        <w:rPr>
          <w:snapToGrid w:val="0"/>
        </w:rPr>
      </w:pPr>
      <w:r w:rsidRPr="005D00E7">
        <w:rPr>
          <w:snapToGrid w:val="0"/>
        </w:rPr>
        <w:t>validate the self-assessment of BreastScreen Services and SCUs against the NAS</w:t>
      </w:r>
      <w:r w:rsidR="00AB36FF" w:rsidRPr="005D00E7">
        <w:rPr>
          <w:snapToGrid w:val="0"/>
        </w:rPr>
        <w:t xml:space="preserve"> Measures</w:t>
      </w:r>
      <w:r w:rsidRPr="005D00E7">
        <w:rPr>
          <w:snapToGrid w:val="0"/>
        </w:rPr>
        <w:t xml:space="preserve">; and </w:t>
      </w:r>
    </w:p>
    <w:p w14:paraId="020445F3" w14:textId="77777777" w:rsidR="00A01D12" w:rsidRPr="005D00E7" w:rsidRDefault="00AE2928" w:rsidP="004712E5">
      <w:pPr>
        <w:pStyle w:val="ListBullet"/>
        <w:rPr>
          <w:snapToGrid w:val="0"/>
        </w:rPr>
      </w:pPr>
      <w:r w:rsidRPr="005D00E7">
        <w:rPr>
          <w:snapToGrid w:val="0"/>
        </w:rPr>
        <w:t>provide</w:t>
      </w:r>
      <w:r w:rsidR="00A01D12" w:rsidRPr="005D00E7">
        <w:rPr>
          <w:snapToGrid w:val="0"/>
        </w:rPr>
        <w:t xml:space="preserve"> educative and learning opportunities to facilitate continuous quality improvement for the Service and/or SCU.</w:t>
      </w:r>
    </w:p>
    <w:p w14:paraId="7EF36444" w14:textId="1CEBC157" w:rsidR="00B35F4D" w:rsidRPr="005D00E7" w:rsidRDefault="00B35F4D" w:rsidP="00AB1C35">
      <w:pPr>
        <w:rPr>
          <w:snapToGrid w:val="0"/>
        </w:rPr>
      </w:pPr>
      <w:bookmarkStart w:id="142" w:name="_Toc368331887"/>
      <w:bookmarkStart w:id="143" w:name="_Toc368410669"/>
      <w:r w:rsidRPr="005D00E7">
        <w:rPr>
          <w:snapToGrid w:val="0"/>
        </w:rPr>
        <w:t xml:space="preserve">There are </w:t>
      </w:r>
      <w:r w:rsidR="00026C66" w:rsidRPr="005D00E7">
        <w:rPr>
          <w:snapToGrid w:val="0"/>
        </w:rPr>
        <w:t>f</w:t>
      </w:r>
      <w:r w:rsidR="00497711" w:rsidRPr="005D00E7">
        <w:rPr>
          <w:snapToGrid w:val="0"/>
        </w:rPr>
        <w:t>ive</w:t>
      </w:r>
      <w:r w:rsidR="001E630D" w:rsidRPr="005D00E7">
        <w:rPr>
          <w:snapToGrid w:val="0"/>
        </w:rPr>
        <w:t xml:space="preserve"> types of accreditation surveys which may be undertaken as part of the accreditation process for Services and/or SCUs:</w:t>
      </w:r>
      <w:bookmarkEnd w:id="142"/>
      <w:bookmarkEnd w:id="143"/>
    </w:p>
    <w:p w14:paraId="5A5A795D" w14:textId="77777777" w:rsidR="001E630D" w:rsidRPr="005D00E7" w:rsidRDefault="000C2986" w:rsidP="004712E5">
      <w:pPr>
        <w:pStyle w:val="ListBullet"/>
        <w:rPr>
          <w:snapToGrid w:val="0"/>
        </w:rPr>
      </w:pPr>
      <w:bookmarkStart w:id="144" w:name="_Toc368331888"/>
      <w:bookmarkStart w:id="145" w:name="_Toc368410670"/>
      <w:r>
        <w:rPr>
          <w:snapToGrid w:val="0"/>
        </w:rPr>
        <w:t>a</w:t>
      </w:r>
      <w:r w:rsidR="001E630D" w:rsidRPr="005D00E7">
        <w:rPr>
          <w:snapToGrid w:val="0"/>
        </w:rPr>
        <w:t xml:space="preserve"> full accreditation survey</w:t>
      </w:r>
      <w:r w:rsidR="004E45E8" w:rsidRPr="005D00E7">
        <w:rPr>
          <w:snapToGrid w:val="0"/>
        </w:rPr>
        <w:t>, which includes a Data Governance and Management Assessment</w:t>
      </w:r>
      <w:r w:rsidR="001E630D" w:rsidRPr="005D00E7">
        <w:rPr>
          <w:snapToGrid w:val="0"/>
        </w:rPr>
        <w:t>;</w:t>
      </w:r>
      <w:bookmarkEnd w:id="144"/>
      <w:bookmarkEnd w:id="145"/>
    </w:p>
    <w:p w14:paraId="5BEEDDF1" w14:textId="77777777" w:rsidR="001E630D" w:rsidRPr="005D00E7" w:rsidRDefault="000C2986" w:rsidP="004712E5">
      <w:pPr>
        <w:pStyle w:val="ListBullet"/>
        <w:rPr>
          <w:snapToGrid w:val="0"/>
        </w:rPr>
      </w:pPr>
      <w:bookmarkStart w:id="146" w:name="_Toc368331889"/>
      <w:bookmarkStart w:id="147" w:name="_Toc368410671"/>
      <w:r>
        <w:rPr>
          <w:snapToGrid w:val="0"/>
        </w:rPr>
        <w:t>a</w:t>
      </w:r>
      <w:r w:rsidR="001E630D" w:rsidRPr="005D00E7">
        <w:rPr>
          <w:snapToGrid w:val="0"/>
        </w:rPr>
        <w:t>n interim accreditation survey;</w:t>
      </w:r>
      <w:bookmarkEnd w:id="146"/>
      <w:bookmarkEnd w:id="147"/>
    </w:p>
    <w:p w14:paraId="75C55BBC" w14:textId="0AB83F25" w:rsidR="001E630D" w:rsidRPr="005D00E7" w:rsidRDefault="000C2986" w:rsidP="004712E5">
      <w:pPr>
        <w:pStyle w:val="ListBullet"/>
        <w:rPr>
          <w:snapToGrid w:val="0"/>
        </w:rPr>
      </w:pPr>
      <w:bookmarkStart w:id="148" w:name="_Toc368331890"/>
      <w:bookmarkStart w:id="149" w:name="_Toc368410672"/>
      <w:r>
        <w:rPr>
          <w:snapToGrid w:val="0"/>
        </w:rPr>
        <w:t>a</w:t>
      </w:r>
      <w:r w:rsidR="001E630D" w:rsidRPr="005D00E7">
        <w:rPr>
          <w:snapToGrid w:val="0"/>
        </w:rPr>
        <w:t>n un</w:t>
      </w:r>
      <w:r w:rsidR="00457367" w:rsidRPr="005D00E7">
        <w:rPr>
          <w:snapToGrid w:val="0"/>
        </w:rPr>
        <w:t>scheduled</w:t>
      </w:r>
      <w:r w:rsidR="001E630D" w:rsidRPr="005D00E7">
        <w:rPr>
          <w:snapToGrid w:val="0"/>
        </w:rPr>
        <w:t xml:space="preserve"> accreditation survey; </w:t>
      </w:r>
      <w:bookmarkEnd w:id="148"/>
      <w:bookmarkEnd w:id="149"/>
    </w:p>
    <w:p w14:paraId="2F5D3ECC" w14:textId="77777777" w:rsidR="00497711" w:rsidRPr="005D00E7" w:rsidRDefault="000C2986" w:rsidP="004712E5">
      <w:pPr>
        <w:pStyle w:val="ListBullet"/>
        <w:rPr>
          <w:snapToGrid w:val="0"/>
        </w:rPr>
      </w:pPr>
      <w:bookmarkStart w:id="150" w:name="_Toc368331891"/>
      <w:bookmarkStart w:id="151" w:name="_Toc368410673"/>
      <w:r>
        <w:rPr>
          <w:snapToGrid w:val="0"/>
        </w:rPr>
        <w:t>a</w:t>
      </w:r>
      <w:r w:rsidR="001E630D" w:rsidRPr="005D00E7">
        <w:rPr>
          <w:snapToGrid w:val="0"/>
        </w:rPr>
        <w:t>n internal accreditation survey</w:t>
      </w:r>
      <w:r w:rsidR="00497711" w:rsidRPr="005D00E7">
        <w:rPr>
          <w:snapToGrid w:val="0"/>
        </w:rPr>
        <w:t>; and</w:t>
      </w:r>
    </w:p>
    <w:p w14:paraId="273EE98F" w14:textId="7F17D407" w:rsidR="001E630D" w:rsidRPr="005D00E7" w:rsidRDefault="000C2986" w:rsidP="004712E5">
      <w:pPr>
        <w:pStyle w:val="ListBullet"/>
        <w:rPr>
          <w:snapToGrid w:val="0"/>
        </w:rPr>
      </w:pPr>
      <w:r>
        <w:rPr>
          <w:snapToGrid w:val="0"/>
        </w:rPr>
        <w:t>a</w:t>
      </w:r>
      <w:r w:rsidR="00497711" w:rsidRPr="005D00E7">
        <w:rPr>
          <w:snapToGrid w:val="0"/>
        </w:rPr>
        <w:t xml:space="preserve"> pre-commencement survey for new services (see Section </w:t>
      </w:r>
      <w:r w:rsidR="00807712">
        <w:rPr>
          <w:snapToGrid w:val="0"/>
        </w:rPr>
        <w:fldChar w:fldCharType="begin"/>
      </w:r>
      <w:r w:rsidR="00807712">
        <w:rPr>
          <w:snapToGrid w:val="0"/>
        </w:rPr>
        <w:instrText xml:space="preserve"> REF _Ref465947561 \r \h </w:instrText>
      </w:r>
      <w:r w:rsidR="00807712">
        <w:rPr>
          <w:snapToGrid w:val="0"/>
        </w:rPr>
      </w:r>
      <w:r w:rsidR="00807712">
        <w:rPr>
          <w:snapToGrid w:val="0"/>
        </w:rPr>
        <w:fldChar w:fldCharType="separate"/>
      </w:r>
      <w:r w:rsidR="00B36BEE">
        <w:rPr>
          <w:snapToGrid w:val="0"/>
        </w:rPr>
        <w:t>5.6</w:t>
      </w:r>
      <w:r w:rsidR="00807712">
        <w:rPr>
          <w:snapToGrid w:val="0"/>
        </w:rPr>
        <w:fldChar w:fldCharType="end"/>
      </w:r>
      <w:r w:rsidR="00497711" w:rsidRPr="005D00E7">
        <w:rPr>
          <w:snapToGrid w:val="0"/>
        </w:rPr>
        <w:t>)</w:t>
      </w:r>
      <w:r w:rsidR="001E630D" w:rsidRPr="005D00E7">
        <w:rPr>
          <w:snapToGrid w:val="0"/>
        </w:rPr>
        <w:t>.</w:t>
      </w:r>
      <w:bookmarkEnd w:id="150"/>
      <w:bookmarkEnd w:id="151"/>
      <w:r w:rsidR="001E630D" w:rsidRPr="005D00E7">
        <w:rPr>
          <w:snapToGrid w:val="0"/>
        </w:rPr>
        <w:t xml:space="preserve"> </w:t>
      </w:r>
    </w:p>
    <w:p w14:paraId="235F97EA" w14:textId="6499663D" w:rsidR="00655221" w:rsidRPr="005D00E7" w:rsidRDefault="00655221" w:rsidP="00AB1C35">
      <w:pPr>
        <w:rPr>
          <w:snapToGrid w:val="0"/>
        </w:rPr>
      </w:pPr>
      <w:bookmarkStart w:id="152" w:name="_Toc368331892"/>
      <w:bookmarkStart w:id="153" w:name="_Toc368410674"/>
      <w:r w:rsidRPr="005D00E7">
        <w:rPr>
          <w:snapToGrid w:val="0"/>
        </w:rPr>
        <w:t xml:space="preserve">Section </w:t>
      </w:r>
      <w:r w:rsidR="00423F81">
        <w:rPr>
          <w:snapToGrid w:val="0"/>
        </w:rPr>
        <w:t xml:space="preserve">5.1 </w:t>
      </w:r>
      <w:r w:rsidRPr="005D00E7">
        <w:rPr>
          <w:snapToGrid w:val="0"/>
        </w:rPr>
        <w:t>of the Handbook provides detailed information about the process for undertaking a</w:t>
      </w:r>
      <w:r w:rsidR="004E45E8" w:rsidRPr="005D00E7">
        <w:rPr>
          <w:snapToGrid w:val="0"/>
        </w:rPr>
        <w:t>n</w:t>
      </w:r>
      <w:r w:rsidRPr="005D00E7">
        <w:rPr>
          <w:snapToGrid w:val="0"/>
        </w:rPr>
        <w:t xml:space="preserve"> accreditation survey</w:t>
      </w:r>
      <w:r w:rsidR="00151836" w:rsidRPr="005D00E7">
        <w:rPr>
          <w:snapToGrid w:val="0"/>
        </w:rPr>
        <w:t>.</w:t>
      </w:r>
      <w:bookmarkEnd w:id="152"/>
      <w:bookmarkEnd w:id="153"/>
      <w:r w:rsidR="00151836" w:rsidRPr="005D00E7">
        <w:rPr>
          <w:snapToGrid w:val="0"/>
        </w:rPr>
        <w:t xml:space="preserve"> </w:t>
      </w:r>
    </w:p>
    <w:p w14:paraId="23B907AE" w14:textId="280D461D" w:rsidR="000B3F64" w:rsidRPr="00171B69" w:rsidRDefault="000B3F64" w:rsidP="00500310">
      <w:pPr>
        <w:pStyle w:val="Heading2"/>
      </w:pPr>
      <w:bookmarkStart w:id="154" w:name="_Toc517944640"/>
      <w:bookmarkStart w:id="155" w:name="_Toc66438670"/>
      <w:r w:rsidRPr="00171B69">
        <w:t xml:space="preserve">DATA </w:t>
      </w:r>
      <w:r w:rsidR="00DF7A3A" w:rsidRPr="00171B69">
        <w:t>GOVERNANCE AND MANAGEMENT ASSESSMENT</w:t>
      </w:r>
      <w:bookmarkEnd w:id="154"/>
      <w:bookmarkEnd w:id="155"/>
    </w:p>
    <w:p w14:paraId="1A9C6CE5" w14:textId="77777777" w:rsidR="0067696C" w:rsidRPr="00171B69" w:rsidRDefault="0067696C" w:rsidP="00AB1C35">
      <w:pPr>
        <w:rPr>
          <w:snapToGrid w:val="0"/>
        </w:rPr>
      </w:pPr>
      <w:r w:rsidRPr="00171B69">
        <w:rPr>
          <w:snapToGrid w:val="0"/>
        </w:rPr>
        <w:t>Undertaking Data Governance and Management Assessments is a key part of the BreastScreen Australia accreditation system. Data Governance and Management Assessments are intended to achieve national consistency regarding:</w:t>
      </w:r>
    </w:p>
    <w:p w14:paraId="7E0A4B14" w14:textId="2BCF1FAA" w:rsidR="0067696C" w:rsidRPr="00171B69" w:rsidRDefault="0067696C" w:rsidP="004712E5">
      <w:pPr>
        <w:pStyle w:val="ListBullet"/>
        <w:rPr>
          <w:snapToGrid w:val="0"/>
        </w:rPr>
      </w:pPr>
      <w:r w:rsidRPr="00171B69">
        <w:rPr>
          <w:snapToGrid w:val="0"/>
        </w:rPr>
        <w:t xml:space="preserve">the collection and reporting of </w:t>
      </w:r>
      <w:r w:rsidR="008B7552">
        <w:rPr>
          <w:snapToGrid w:val="0"/>
        </w:rPr>
        <w:t xml:space="preserve">outcome data </w:t>
      </w:r>
      <w:r w:rsidRPr="00171B69">
        <w:rPr>
          <w:snapToGrid w:val="0"/>
        </w:rPr>
        <w:t xml:space="preserve">across </w:t>
      </w:r>
      <w:r w:rsidR="00C6628C" w:rsidRPr="00171B69">
        <w:rPr>
          <w:snapToGrid w:val="0"/>
        </w:rPr>
        <w:t>jurisdictions</w:t>
      </w:r>
      <w:r w:rsidRPr="00171B69">
        <w:rPr>
          <w:snapToGrid w:val="0"/>
        </w:rPr>
        <w:t xml:space="preserve"> and BreastScreen Services; </w:t>
      </w:r>
    </w:p>
    <w:p w14:paraId="6BEF3FD0" w14:textId="77777777" w:rsidR="0067696C" w:rsidRPr="00171B69" w:rsidRDefault="0067696C" w:rsidP="004712E5">
      <w:pPr>
        <w:pStyle w:val="ListBullet"/>
        <w:rPr>
          <w:snapToGrid w:val="0"/>
        </w:rPr>
      </w:pPr>
      <w:r w:rsidRPr="00171B69">
        <w:rPr>
          <w:snapToGrid w:val="0"/>
        </w:rPr>
        <w:t>business processes to ensure data is of a high quality, valid and collected in accordance with the specifications of the BreastScreen Australia Data Dictionary; and</w:t>
      </w:r>
    </w:p>
    <w:p w14:paraId="54701103" w14:textId="0611D3B4" w:rsidR="0067696C" w:rsidRPr="00171B69" w:rsidRDefault="0067696C" w:rsidP="004712E5">
      <w:pPr>
        <w:pStyle w:val="ListBullet"/>
        <w:rPr>
          <w:rFonts w:cstheme="minorHAnsi"/>
          <w:snapToGrid w:val="0"/>
        </w:rPr>
      </w:pPr>
      <w:r w:rsidRPr="00171B69">
        <w:rPr>
          <w:rFonts w:cstheme="minorHAnsi"/>
          <w:snapToGrid w:val="0"/>
        </w:rPr>
        <w:t xml:space="preserve">the interoperability between </w:t>
      </w:r>
      <w:r w:rsidR="00C753B9">
        <w:rPr>
          <w:rFonts w:cstheme="minorHAnsi"/>
          <w:snapToGrid w:val="0"/>
        </w:rPr>
        <w:t xml:space="preserve">the </w:t>
      </w:r>
      <w:r w:rsidRPr="00171B69">
        <w:t xml:space="preserve">Picture Archiving and Communications System (PACS) and </w:t>
      </w:r>
      <w:r w:rsidR="00B22A24">
        <w:t>C</w:t>
      </w:r>
      <w:r w:rsidR="00C753B9">
        <w:t xml:space="preserve">lient </w:t>
      </w:r>
      <w:r w:rsidR="00B22A24">
        <w:t>M</w:t>
      </w:r>
      <w:r w:rsidR="00C753B9">
        <w:t xml:space="preserve">anagement </w:t>
      </w:r>
      <w:r w:rsidR="00B22A24">
        <w:t>S</w:t>
      </w:r>
      <w:r w:rsidR="00C753B9">
        <w:t>ystem</w:t>
      </w:r>
      <w:r w:rsidR="00EA7135">
        <w:t>.</w:t>
      </w:r>
    </w:p>
    <w:p w14:paraId="31F83165" w14:textId="448AC9C0" w:rsidR="007E61B3" w:rsidRPr="004872D6" w:rsidRDefault="00154EE9" w:rsidP="00D060F9">
      <w:pPr>
        <w:pStyle w:val="Default"/>
        <w:spacing w:line="276" w:lineRule="auto"/>
        <w:rPr>
          <w:sz w:val="22"/>
          <w:szCs w:val="22"/>
        </w:rPr>
      </w:pPr>
      <w:r w:rsidRPr="00171B69">
        <w:rPr>
          <w:rFonts w:cstheme="minorHAnsi"/>
          <w:snapToGrid w:val="0"/>
        </w:rPr>
        <w:lastRenderedPageBreak/>
        <w:t xml:space="preserve">Data Governance and Management Assessments </w:t>
      </w:r>
      <w:r w:rsidR="0048521F">
        <w:rPr>
          <w:rFonts w:cstheme="minorHAnsi"/>
          <w:snapToGrid w:val="0"/>
        </w:rPr>
        <w:t xml:space="preserve">are undertaken </w:t>
      </w:r>
      <w:r>
        <w:rPr>
          <w:rFonts w:cstheme="minorHAnsi"/>
          <w:snapToGrid w:val="0"/>
        </w:rPr>
        <w:t>every four years</w:t>
      </w:r>
      <w:r w:rsidR="0048521F">
        <w:rPr>
          <w:rFonts w:cstheme="minorHAnsi"/>
          <w:snapToGrid w:val="0"/>
        </w:rPr>
        <w:t xml:space="preserve"> as part of an accreditation survey</w:t>
      </w:r>
      <w:r>
        <w:rPr>
          <w:rFonts w:cstheme="minorHAnsi"/>
          <w:snapToGrid w:val="0"/>
        </w:rPr>
        <w:t xml:space="preserve">. </w:t>
      </w:r>
      <w:r w:rsidR="0067696C" w:rsidRPr="00171B69">
        <w:rPr>
          <w:rFonts w:cstheme="minorHAnsi"/>
          <w:snapToGrid w:val="0"/>
        </w:rPr>
        <w:t xml:space="preserve">Further information about the process for undertaking Data Governance and Management Assessments is detailed </w:t>
      </w:r>
      <w:r w:rsidR="0067696C" w:rsidRPr="00423F81">
        <w:rPr>
          <w:rFonts w:cstheme="minorHAnsi"/>
          <w:snapToGrid w:val="0"/>
        </w:rPr>
        <w:t>within Section</w:t>
      </w:r>
      <w:r w:rsidR="00423F81" w:rsidRPr="00423F81">
        <w:rPr>
          <w:rFonts w:cstheme="minorHAnsi"/>
          <w:snapToGrid w:val="0"/>
        </w:rPr>
        <w:t xml:space="preserve"> 5.7</w:t>
      </w:r>
      <w:r w:rsidR="003D1C3A" w:rsidRPr="00423F81">
        <w:rPr>
          <w:rFonts w:cstheme="minorHAnsi"/>
          <w:snapToGrid w:val="0"/>
        </w:rPr>
        <w:t>.</w:t>
      </w:r>
    </w:p>
    <w:p w14:paraId="53E9B062" w14:textId="3ECE6495" w:rsidR="00264423" w:rsidRPr="001D29C8" w:rsidRDefault="00264423" w:rsidP="0008617F">
      <w:pPr>
        <w:pStyle w:val="Heading1"/>
      </w:pPr>
      <w:bookmarkStart w:id="156" w:name="_Toc517944641"/>
      <w:bookmarkStart w:id="157" w:name="_Toc66438671"/>
      <w:r w:rsidRPr="00DB7E05">
        <w:lastRenderedPageBreak/>
        <w:t xml:space="preserve">ACCREDITATION </w:t>
      </w:r>
      <w:r w:rsidR="00C37BD0">
        <w:t>SURVEY</w:t>
      </w:r>
      <w:r w:rsidR="00107E60">
        <w:t>S</w:t>
      </w:r>
      <w:r w:rsidR="00C37BD0">
        <w:t xml:space="preserve"> AND</w:t>
      </w:r>
      <w:r w:rsidR="00C37BD0" w:rsidRPr="004712E5">
        <w:t xml:space="preserve"> DATA GOVERNANCE</w:t>
      </w:r>
      <w:r w:rsidR="00584B80" w:rsidRPr="004712E5">
        <w:t xml:space="preserve"> </w:t>
      </w:r>
      <w:r w:rsidR="00C37BD0" w:rsidRPr="004712E5">
        <w:t>AND MANAGEMENT ASSESSMENT</w:t>
      </w:r>
      <w:bookmarkEnd w:id="156"/>
      <w:bookmarkEnd w:id="157"/>
      <w:r w:rsidR="00C37BD0" w:rsidRPr="004712E5">
        <w:t xml:space="preserve"> </w:t>
      </w:r>
    </w:p>
    <w:p w14:paraId="5AF5B19F" w14:textId="78219BA0" w:rsidR="00C37BD0" w:rsidRDefault="00C37BD0" w:rsidP="00500310">
      <w:pPr>
        <w:pStyle w:val="Heading2"/>
      </w:pPr>
      <w:bookmarkStart w:id="158" w:name="_Toc517944642"/>
      <w:bookmarkStart w:id="159" w:name="_Toc66438672"/>
      <w:r>
        <w:t xml:space="preserve">FULL </w:t>
      </w:r>
      <w:r w:rsidR="00FD5E3F">
        <w:t>ACCREDITATION</w:t>
      </w:r>
      <w:r>
        <w:t xml:space="preserve"> SURVEY</w:t>
      </w:r>
      <w:bookmarkEnd w:id="158"/>
      <w:bookmarkEnd w:id="159"/>
    </w:p>
    <w:p w14:paraId="4B4BA2FB" w14:textId="3D1B398B" w:rsidR="005F1609" w:rsidRDefault="005F1609" w:rsidP="004712E5">
      <w:r>
        <w:rPr>
          <w:snapToGrid w:val="0"/>
        </w:rPr>
        <w:t>An accreditation survey</w:t>
      </w:r>
      <w:r w:rsidRPr="00923F37">
        <w:rPr>
          <w:snapToGrid w:val="0"/>
        </w:rPr>
        <w:t xml:space="preserve"> is an external re</w:t>
      </w:r>
      <w:r>
        <w:rPr>
          <w:snapToGrid w:val="0"/>
        </w:rPr>
        <w:t>view of a Service and/or State Coordination Unit (SCU) based on the BreastScreen Australia National Accreditation Standards (NAS)</w:t>
      </w:r>
      <w:r w:rsidRPr="00923F37">
        <w:rPr>
          <w:snapToGrid w:val="0"/>
        </w:rPr>
        <w:t>, and undertaken by a team of professional peer</w:t>
      </w:r>
      <w:r>
        <w:rPr>
          <w:snapToGrid w:val="0"/>
        </w:rPr>
        <w:t xml:space="preserve">s and overseen by the National Surveyor.  </w:t>
      </w:r>
      <w:r w:rsidRPr="00AF7FEA">
        <w:rPr>
          <w:snapToGrid w:val="0"/>
        </w:rPr>
        <w:t xml:space="preserve">The </w:t>
      </w:r>
      <w:r>
        <w:rPr>
          <w:snapToGrid w:val="0"/>
        </w:rPr>
        <w:t>principles of the survey</w:t>
      </w:r>
      <w:r>
        <w:t xml:space="preserve"> are based on</w:t>
      </w:r>
      <w:r w:rsidRPr="00AF7FEA">
        <w:t xml:space="preserve"> the t</w:t>
      </w:r>
      <w:r>
        <w:t xml:space="preserve">wo objectives of </w:t>
      </w:r>
      <w:r w:rsidRPr="00AF7FEA">
        <w:t>accreditation survey systems</w:t>
      </w:r>
      <w:r>
        <w:t>,</w:t>
      </w:r>
      <w:r w:rsidRPr="00AF7FEA">
        <w:t xml:space="preserve"> to enable continuous quality improvement through:</w:t>
      </w:r>
    </w:p>
    <w:p w14:paraId="2FB85B4A" w14:textId="77777777" w:rsidR="005F1609" w:rsidRPr="00AF7FEA" w:rsidRDefault="005F1609" w:rsidP="00D11DF2">
      <w:pPr>
        <w:pStyle w:val="ListBullet"/>
      </w:pPr>
      <w:r>
        <w:t>validating self-assessing against standards; and</w:t>
      </w:r>
    </w:p>
    <w:p w14:paraId="4E92F322" w14:textId="05295394" w:rsidR="005F1609" w:rsidRPr="00075142" w:rsidRDefault="005F1609" w:rsidP="00D11DF2">
      <w:pPr>
        <w:pStyle w:val="ListBullet"/>
      </w:pPr>
      <w:r>
        <w:t>p</w:t>
      </w:r>
      <w:r w:rsidRPr="00C20690">
        <w:t xml:space="preserve">roviding educative and learning </w:t>
      </w:r>
      <w:r w:rsidRPr="00075142">
        <w:t xml:space="preserve">opportunities for </w:t>
      </w:r>
      <w:r w:rsidR="006C34EF">
        <w:t xml:space="preserve">all </w:t>
      </w:r>
      <w:r w:rsidRPr="00075142">
        <w:t xml:space="preserve">participants </w:t>
      </w:r>
      <w:r w:rsidRPr="00075142">
        <w:rPr>
          <w:rFonts w:cstheme="minorHAnsi"/>
          <w:snapToGrid w:val="0"/>
        </w:rPr>
        <w:t>to facilitate continuous quality improvement</w:t>
      </w:r>
      <w:r w:rsidRPr="00075142">
        <w:t>.</w:t>
      </w:r>
    </w:p>
    <w:p w14:paraId="17DC6C80" w14:textId="3AC0AD1C" w:rsidR="005F1609" w:rsidRDefault="005F1609" w:rsidP="00D11DF2">
      <w:pPr>
        <w:rPr>
          <w:snapToGrid w:val="0"/>
        </w:rPr>
      </w:pPr>
      <w:r w:rsidRPr="005F1609">
        <w:rPr>
          <w:snapToGrid w:val="0"/>
        </w:rPr>
        <w:t>During the survey, a Data Governance and Management Assessment will also be conducted by the Data Assessor of the survey team</w:t>
      </w:r>
      <w:r w:rsidR="001E0BCD">
        <w:rPr>
          <w:snapToGrid w:val="0"/>
        </w:rPr>
        <w:t xml:space="preserve"> (</w:t>
      </w:r>
      <w:r w:rsidR="00482AA1">
        <w:rPr>
          <w:snapToGrid w:val="0"/>
        </w:rPr>
        <w:t>see</w:t>
      </w:r>
      <w:r w:rsidR="001E0BCD">
        <w:rPr>
          <w:snapToGrid w:val="0"/>
        </w:rPr>
        <w:t xml:space="preserve"> </w:t>
      </w:r>
      <w:r w:rsidR="00482AA1">
        <w:rPr>
          <w:snapToGrid w:val="0"/>
        </w:rPr>
        <w:t>S</w:t>
      </w:r>
      <w:r w:rsidR="001E0BCD">
        <w:rPr>
          <w:snapToGrid w:val="0"/>
        </w:rPr>
        <w:t xml:space="preserve">ection </w:t>
      </w:r>
      <w:r w:rsidR="00482AA1">
        <w:rPr>
          <w:snapToGrid w:val="0"/>
        </w:rPr>
        <w:fldChar w:fldCharType="begin"/>
      </w:r>
      <w:r w:rsidR="00482AA1">
        <w:rPr>
          <w:snapToGrid w:val="0"/>
        </w:rPr>
        <w:instrText xml:space="preserve"> REF _Ref465948038 \r \h </w:instrText>
      </w:r>
      <w:r w:rsidR="00482AA1">
        <w:rPr>
          <w:snapToGrid w:val="0"/>
        </w:rPr>
      </w:r>
      <w:r w:rsidR="00482AA1">
        <w:rPr>
          <w:snapToGrid w:val="0"/>
        </w:rPr>
        <w:fldChar w:fldCharType="separate"/>
      </w:r>
      <w:r w:rsidR="00B36BEE">
        <w:rPr>
          <w:snapToGrid w:val="0"/>
        </w:rPr>
        <w:t>5.7</w:t>
      </w:r>
      <w:r w:rsidR="00482AA1">
        <w:rPr>
          <w:snapToGrid w:val="0"/>
        </w:rPr>
        <w:fldChar w:fldCharType="end"/>
      </w:r>
      <w:r w:rsidR="001E0BCD">
        <w:rPr>
          <w:snapToGrid w:val="0"/>
        </w:rPr>
        <w:t>)</w:t>
      </w:r>
      <w:r w:rsidRPr="005F1609">
        <w:rPr>
          <w:snapToGrid w:val="0"/>
        </w:rPr>
        <w:t xml:space="preserve">. </w:t>
      </w:r>
    </w:p>
    <w:p w14:paraId="3D500D9D" w14:textId="587B5074" w:rsidR="005F1609" w:rsidRDefault="005F1609" w:rsidP="00D11DF2">
      <w:r w:rsidRPr="00333668">
        <w:t>Ever</w:t>
      </w:r>
      <w:r>
        <w:t>y Service and SCU will undergo an accreditation</w:t>
      </w:r>
      <w:r w:rsidRPr="00333668">
        <w:t xml:space="preserve"> </w:t>
      </w:r>
      <w:r>
        <w:t>survey</w:t>
      </w:r>
      <w:r w:rsidRPr="00333668">
        <w:t xml:space="preserve"> once every four years</w:t>
      </w:r>
      <w:r>
        <w:t>, covering all service units, including mobiles and fixed sites</w:t>
      </w:r>
      <w:r w:rsidRPr="00333668">
        <w:t xml:space="preserve">. </w:t>
      </w:r>
      <w:r>
        <w:t>However, s</w:t>
      </w:r>
      <w:r w:rsidRPr="00CA0D4B">
        <w:t xml:space="preserve">hould the NQMC be concerned about the performance of a </w:t>
      </w:r>
      <w:r>
        <w:t>Service</w:t>
      </w:r>
      <w:r w:rsidRPr="00CA0D4B">
        <w:t xml:space="preserve">, it may request that an </w:t>
      </w:r>
      <w:r>
        <w:t>interim survey</w:t>
      </w:r>
      <w:r w:rsidRPr="00CA0D4B">
        <w:t xml:space="preserve"> be undertaken within the four year period</w:t>
      </w:r>
      <w:r>
        <w:t>.</w:t>
      </w:r>
    </w:p>
    <w:p w14:paraId="792D5A47" w14:textId="77777777" w:rsidR="00247107" w:rsidRDefault="00106D93" w:rsidP="00D11DF2">
      <w:r w:rsidRPr="00333668">
        <w:t xml:space="preserve">The schedule for undertaking </w:t>
      </w:r>
      <w:r>
        <w:t>survey</w:t>
      </w:r>
      <w:r w:rsidRPr="00333668">
        <w:t xml:space="preserve">s will be negotiated with the </w:t>
      </w:r>
      <w:r>
        <w:t xml:space="preserve">National Surveyor, </w:t>
      </w:r>
      <w:r w:rsidRPr="00333668">
        <w:t xml:space="preserve">SCU and </w:t>
      </w:r>
      <w:r>
        <w:t>each Service</w:t>
      </w:r>
      <w:r w:rsidRPr="00333668">
        <w:t xml:space="preserve"> within the jurisdiction, and should aim to be staggered across the four year period</w:t>
      </w:r>
      <w:r>
        <w:t>.</w:t>
      </w:r>
      <w:r w:rsidRPr="00B533B2">
        <w:t xml:space="preserve"> </w:t>
      </w:r>
      <w:r>
        <w:t xml:space="preserve"> </w:t>
      </w:r>
    </w:p>
    <w:p w14:paraId="7A0224A4" w14:textId="699D7191" w:rsidR="00C37BD0" w:rsidRPr="00A27D44" w:rsidRDefault="00C37BD0" w:rsidP="00D11DF2">
      <w:r w:rsidRPr="00A27D44">
        <w:t>For ‘single-service’ jurisdictions the SCU and the Service are integrated, and therefore, the survey will occur concurrently.  For ‘multi-service’ jurisdictions, the SCU survey will occur separately, although a Service survey could also be undertaken at the same time as the SCU survey, if required.</w:t>
      </w:r>
      <w:r w:rsidR="005F1609">
        <w:t xml:space="preserve">  </w:t>
      </w:r>
      <w:r w:rsidRPr="00A27D44">
        <w:t xml:space="preserve">The accreditation survey will assess the SCUs performance against the accreditation </w:t>
      </w:r>
      <w:r>
        <w:t>Measure</w:t>
      </w:r>
      <w:r w:rsidRPr="00A27D44">
        <w:t>s for which it is responsible, as described in the NA</w:t>
      </w:r>
      <w:r>
        <w:t>F</w:t>
      </w:r>
      <w:r w:rsidRPr="00A27D44">
        <w:t xml:space="preserve"> (see Section </w:t>
      </w:r>
      <w:r w:rsidR="00807712">
        <w:fldChar w:fldCharType="begin"/>
      </w:r>
      <w:r w:rsidR="00807712">
        <w:instrText xml:space="preserve"> REF _Ref465947588 \r \h </w:instrText>
      </w:r>
      <w:r w:rsidR="00807712">
        <w:fldChar w:fldCharType="separate"/>
      </w:r>
      <w:r w:rsidR="00B36BEE">
        <w:t>2.6</w:t>
      </w:r>
      <w:r w:rsidR="00807712">
        <w:fldChar w:fldCharType="end"/>
      </w:r>
      <w:r w:rsidRPr="00A27D44">
        <w:t>).</w:t>
      </w:r>
    </w:p>
    <w:p w14:paraId="45E00CAE" w14:textId="217400ED" w:rsidR="00C37BD0" w:rsidRDefault="00C37BD0" w:rsidP="00D11DF2">
      <w:r w:rsidRPr="00333668">
        <w:t>For jurisdictions that have a centra</w:t>
      </w:r>
      <w:r>
        <w:t xml:space="preserve">l </w:t>
      </w:r>
      <w:r w:rsidR="00E36322">
        <w:t xml:space="preserve">Client Management </w:t>
      </w:r>
      <w:r w:rsidR="00584B80">
        <w:t>System</w:t>
      </w:r>
      <w:r>
        <w:t>/PACS, individual Services will not</w:t>
      </w:r>
      <w:r w:rsidRPr="00333668">
        <w:t xml:space="preserve"> be requ</w:t>
      </w:r>
      <w:r>
        <w:t>ired to undergo Data Governance and Management assessment, this will be undertaken during the SCU survey.</w:t>
      </w:r>
    </w:p>
    <w:p w14:paraId="7C0EC7E5" w14:textId="77777777" w:rsidR="00C37BD0" w:rsidRDefault="00C37BD0" w:rsidP="00D11DF2">
      <w:r>
        <w:t xml:space="preserve">For Services within jurisdictions that do not have a centralised ICT system, a Data </w:t>
      </w:r>
      <w:r>
        <w:lastRenderedPageBreak/>
        <w:t>Governance and Management Assessment will be undertaken during the Service’s formal accreditation survey.</w:t>
      </w:r>
    </w:p>
    <w:p w14:paraId="4BCBF55F" w14:textId="7A543732" w:rsidR="00106D93" w:rsidRDefault="00106D93" w:rsidP="00AB1C35">
      <w:pPr>
        <w:rPr>
          <w:snapToGrid w:val="0"/>
        </w:rPr>
      </w:pPr>
      <w:r>
        <w:rPr>
          <w:snapToGrid w:val="0"/>
        </w:rPr>
        <w:t>A full survey of a Screening and Assessment Service</w:t>
      </w:r>
      <w:r w:rsidRPr="00923F37">
        <w:rPr>
          <w:snapToGrid w:val="0"/>
        </w:rPr>
        <w:t xml:space="preserve"> </w:t>
      </w:r>
      <w:r>
        <w:rPr>
          <w:snapToGrid w:val="0"/>
        </w:rPr>
        <w:t xml:space="preserve">(Service) </w:t>
      </w:r>
      <w:r w:rsidRPr="00923F37">
        <w:rPr>
          <w:snapToGrid w:val="0"/>
        </w:rPr>
        <w:t xml:space="preserve">is a thorough process, usually taking between </w:t>
      </w:r>
      <w:r>
        <w:rPr>
          <w:snapToGrid w:val="0"/>
        </w:rPr>
        <w:t>two and three days to complete.  A survey of a SCU should be completed within one day.</w:t>
      </w:r>
    </w:p>
    <w:p w14:paraId="5A67D2CF" w14:textId="6EF41964" w:rsidR="00074D9A" w:rsidRDefault="00074D9A" w:rsidP="00500310">
      <w:pPr>
        <w:pStyle w:val="Heading2"/>
      </w:pPr>
      <w:bookmarkStart w:id="160" w:name="_Toc517944643"/>
      <w:bookmarkStart w:id="161" w:name="_Toc66438673"/>
      <w:r w:rsidRPr="00E124D3">
        <w:t xml:space="preserve">SCOPE OF THE </w:t>
      </w:r>
      <w:r>
        <w:t>SURVEY</w:t>
      </w:r>
      <w:bookmarkEnd w:id="160"/>
      <w:bookmarkEnd w:id="161"/>
    </w:p>
    <w:p w14:paraId="4BAC218E" w14:textId="77777777" w:rsidR="00074D9A" w:rsidRPr="00E124D3" w:rsidRDefault="00074D9A" w:rsidP="00AB1C35">
      <w:pPr>
        <w:rPr>
          <w:snapToGrid w:val="0"/>
        </w:rPr>
      </w:pPr>
      <w:r w:rsidRPr="00E124D3">
        <w:rPr>
          <w:snapToGrid w:val="0"/>
        </w:rPr>
        <w:t xml:space="preserve">Each component of the Service should be visited, whether mobiles or ﬁxed </w:t>
      </w:r>
      <w:r>
        <w:rPr>
          <w:snapToGrid w:val="0"/>
        </w:rPr>
        <w:t>sites</w:t>
      </w:r>
      <w:r w:rsidRPr="00E124D3">
        <w:rPr>
          <w:snapToGrid w:val="0"/>
        </w:rPr>
        <w:t xml:space="preserve">.  </w:t>
      </w:r>
      <w:r>
        <w:rPr>
          <w:snapToGrid w:val="0"/>
        </w:rPr>
        <w:t>There is a long lead-</w:t>
      </w:r>
      <w:r w:rsidRPr="00E124D3">
        <w:rPr>
          <w:snapToGrid w:val="0"/>
        </w:rPr>
        <w:t xml:space="preserve">up time in the accreditation process to allow Services to schedule operations in such a way that all components can be made accessible to the </w:t>
      </w:r>
      <w:r>
        <w:rPr>
          <w:snapToGrid w:val="0"/>
        </w:rPr>
        <w:t>survey</w:t>
      </w:r>
      <w:r w:rsidRPr="00E124D3">
        <w:rPr>
          <w:snapToGrid w:val="0"/>
        </w:rPr>
        <w:t xml:space="preserve"> team over the period of the visit.</w:t>
      </w:r>
    </w:p>
    <w:p w14:paraId="26D79728" w14:textId="1D77FF54" w:rsidR="00074D9A" w:rsidRDefault="00074D9A" w:rsidP="00AB1C35">
      <w:pPr>
        <w:rPr>
          <w:snapToGrid w:val="0"/>
        </w:rPr>
      </w:pPr>
      <w:r>
        <w:rPr>
          <w:snapToGrid w:val="0"/>
        </w:rPr>
        <w:t>An exception to this</w:t>
      </w:r>
      <w:r w:rsidRPr="00E124D3">
        <w:rPr>
          <w:snapToGrid w:val="0"/>
        </w:rPr>
        <w:t xml:space="preserve"> would be where a </w:t>
      </w:r>
      <w:r>
        <w:rPr>
          <w:snapToGrid w:val="0"/>
        </w:rPr>
        <w:t xml:space="preserve">fixed site or </w:t>
      </w:r>
      <w:r w:rsidRPr="00E124D3">
        <w:rPr>
          <w:snapToGrid w:val="0"/>
        </w:rPr>
        <w:t>mobile unit cannot be located within reasonable travelling distance.</w:t>
      </w:r>
      <w:r>
        <w:rPr>
          <w:snapToGrid w:val="0"/>
        </w:rPr>
        <w:t xml:space="preserve"> </w:t>
      </w:r>
      <w:r w:rsidRPr="00E124D3">
        <w:rPr>
          <w:snapToGrid w:val="0"/>
        </w:rPr>
        <w:t xml:space="preserve"> In this circumstance, details of the layout of the van should be made available to the </w:t>
      </w:r>
      <w:r>
        <w:rPr>
          <w:snapToGrid w:val="0"/>
        </w:rPr>
        <w:t>survey</w:t>
      </w:r>
      <w:r w:rsidRPr="00E124D3">
        <w:rPr>
          <w:snapToGrid w:val="0"/>
        </w:rPr>
        <w:t xml:space="preserve"> team.</w:t>
      </w:r>
      <w:r>
        <w:rPr>
          <w:snapToGrid w:val="0"/>
        </w:rPr>
        <w:t xml:space="preserve"> </w:t>
      </w:r>
      <w:r w:rsidRPr="00E124D3">
        <w:rPr>
          <w:snapToGrid w:val="0"/>
        </w:rPr>
        <w:t xml:space="preserve"> Relevant documentation should be made av</w:t>
      </w:r>
      <w:r>
        <w:rPr>
          <w:snapToGrid w:val="0"/>
        </w:rPr>
        <w:t>ailable, and any other information</w:t>
      </w:r>
      <w:r w:rsidRPr="00E124D3">
        <w:rPr>
          <w:snapToGrid w:val="0"/>
        </w:rPr>
        <w:t xml:space="preserve">, such as photographs or video recordings, and copies of </w:t>
      </w:r>
      <w:r>
        <w:rPr>
          <w:snapToGrid w:val="0"/>
        </w:rPr>
        <w:t>images</w:t>
      </w:r>
      <w:r w:rsidRPr="00E124D3">
        <w:rPr>
          <w:snapToGrid w:val="0"/>
        </w:rPr>
        <w:t xml:space="preserve"> for quality assurance checks by the </w:t>
      </w:r>
      <w:r>
        <w:rPr>
          <w:snapToGrid w:val="0"/>
        </w:rPr>
        <w:t>radiologist/</w:t>
      </w:r>
      <w:r w:rsidRPr="00E124D3">
        <w:rPr>
          <w:snapToGrid w:val="0"/>
        </w:rPr>
        <w:t>radio</w:t>
      </w:r>
      <w:r>
        <w:rPr>
          <w:snapToGrid w:val="0"/>
        </w:rPr>
        <w:t>grapher</w:t>
      </w:r>
      <w:r w:rsidRPr="00E124D3">
        <w:rPr>
          <w:snapToGrid w:val="0"/>
        </w:rPr>
        <w:t xml:space="preserve"> on the </w:t>
      </w:r>
      <w:r>
        <w:rPr>
          <w:snapToGrid w:val="0"/>
        </w:rPr>
        <w:t>survey</w:t>
      </w:r>
      <w:r w:rsidRPr="00E124D3">
        <w:rPr>
          <w:snapToGrid w:val="0"/>
        </w:rPr>
        <w:t xml:space="preserve"> team.</w:t>
      </w:r>
      <w:r>
        <w:rPr>
          <w:snapToGrid w:val="0"/>
        </w:rPr>
        <w:t xml:space="preserve"> </w:t>
      </w:r>
      <w:r w:rsidRPr="00E124D3">
        <w:rPr>
          <w:snapToGrid w:val="0"/>
        </w:rPr>
        <w:t xml:space="preserve"> If possible, staff from the </w:t>
      </w:r>
      <w:r>
        <w:rPr>
          <w:snapToGrid w:val="0"/>
        </w:rPr>
        <w:t xml:space="preserve">fixed site or </w:t>
      </w:r>
      <w:r w:rsidRPr="00E124D3">
        <w:rPr>
          <w:snapToGrid w:val="0"/>
        </w:rPr>
        <w:t xml:space="preserve">mobile unit should be available to meet the </w:t>
      </w:r>
      <w:r>
        <w:rPr>
          <w:snapToGrid w:val="0"/>
        </w:rPr>
        <w:t>survey</w:t>
      </w:r>
      <w:r w:rsidRPr="00E124D3">
        <w:rPr>
          <w:snapToGrid w:val="0"/>
        </w:rPr>
        <w:t xml:space="preserve"> team or at least to </w:t>
      </w:r>
      <w:r>
        <w:rPr>
          <w:snapToGrid w:val="0"/>
        </w:rPr>
        <w:t>talk to them by teleconference</w:t>
      </w:r>
      <w:r w:rsidR="006C34EF">
        <w:rPr>
          <w:snapToGrid w:val="0"/>
        </w:rPr>
        <w:t xml:space="preserve"> or videoconference</w:t>
      </w:r>
      <w:r>
        <w:rPr>
          <w:snapToGrid w:val="0"/>
        </w:rPr>
        <w:t>.</w:t>
      </w:r>
    </w:p>
    <w:p w14:paraId="0D938E68" w14:textId="112EB111" w:rsidR="00074D9A" w:rsidRPr="00E124D3" w:rsidRDefault="00074D9A" w:rsidP="00AB1C35">
      <w:pPr>
        <w:rPr>
          <w:snapToGrid w:val="0"/>
        </w:rPr>
      </w:pPr>
      <w:r w:rsidRPr="00172103">
        <w:rPr>
          <w:snapToGrid w:val="0"/>
        </w:rPr>
        <w:t xml:space="preserve">If an interim </w:t>
      </w:r>
      <w:r>
        <w:rPr>
          <w:snapToGrid w:val="0"/>
        </w:rPr>
        <w:t>survey</w:t>
      </w:r>
      <w:r w:rsidRPr="00F24448">
        <w:rPr>
          <w:snapToGrid w:val="0"/>
        </w:rPr>
        <w:t xml:space="preserve"> (see </w:t>
      </w:r>
      <w:r>
        <w:rPr>
          <w:snapToGrid w:val="0"/>
        </w:rPr>
        <w:t>S</w:t>
      </w:r>
      <w:r w:rsidRPr="00F24448">
        <w:rPr>
          <w:snapToGrid w:val="0"/>
        </w:rPr>
        <w:t xml:space="preserve">ection </w:t>
      </w:r>
      <w:r w:rsidR="00807712">
        <w:rPr>
          <w:snapToGrid w:val="0"/>
        </w:rPr>
        <w:fldChar w:fldCharType="begin"/>
      </w:r>
      <w:r w:rsidR="00807712">
        <w:rPr>
          <w:snapToGrid w:val="0"/>
        </w:rPr>
        <w:instrText xml:space="preserve"> REF _Ref465947610 \r \h </w:instrText>
      </w:r>
      <w:r w:rsidR="00807712">
        <w:rPr>
          <w:snapToGrid w:val="0"/>
        </w:rPr>
      </w:r>
      <w:r w:rsidR="00807712">
        <w:rPr>
          <w:snapToGrid w:val="0"/>
        </w:rPr>
        <w:fldChar w:fldCharType="separate"/>
      </w:r>
      <w:r w:rsidR="00B36BEE">
        <w:rPr>
          <w:snapToGrid w:val="0"/>
        </w:rPr>
        <w:t>5.3</w:t>
      </w:r>
      <w:r w:rsidR="00807712">
        <w:rPr>
          <w:snapToGrid w:val="0"/>
        </w:rPr>
        <w:fldChar w:fldCharType="end"/>
      </w:r>
      <w:r w:rsidR="00584B80">
        <w:rPr>
          <w:snapToGrid w:val="0"/>
        </w:rPr>
        <w:t>)</w:t>
      </w:r>
      <w:r w:rsidRPr="00172103">
        <w:rPr>
          <w:snapToGrid w:val="0"/>
        </w:rPr>
        <w:t xml:space="preserve"> has been undertaken in the 12 months prior to the full </w:t>
      </w:r>
      <w:r>
        <w:rPr>
          <w:snapToGrid w:val="0"/>
        </w:rPr>
        <w:t>survey</w:t>
      </w:r>
      <w:r w:rsidRPr="00172103">
        <w:rPr>
          <w:snapToGrid w:val="0"/>
        </w:rPr>
        <w:t xml:space="preserve"> to assess some components of the Service, documentation from this interim </w:t>
      </w:r>
      <w:r>
        <w:rPr>
          <w:snapToGrid w:val="0"/>
        </w:rPr>
        <w:t>survey</w:t>
      </w:r>
      <w:r w:rsidRPr="00172103">
        <w:rPr>
          <w:snapToGrid w:val="0"/>
        </w:rPr>
        <w:t xml:space="preserve"> will be provided to the </w:t>
      </w:r>
      <w:r>
        <w:rPr>
          <w:snapToGrid w:val="0"/>
        </w:rPr>
        <w:t>survey</w:t>
      </w:r>
      <w:r w:rsidRPr="00172103">
        <w:rPr>
          <w:snapToGrid w:val="0"/>
        </w:rPr>
        <w:t>ors.</w:t>
      </w:r>
    </w:p>
    <w:p w14:paraId="1CFA2DE0" w14:textId="77777777" w:rsidR="00247107" w:rsidRDefault="00074D9A" w:rsidP="00AB1C35">
      <w:pPr>
        <w:rPr>
          <w:snapToGrid w:val="0"/>
        </w:rPr>
      </w:pPr>
      <w:r w:rsidRPr="009266EE">
        <w:rPr>
          <w:snapToGrid w:val="0"/>
        </w:rPr>
        <w:t xml:space="preserve">It is important that the </w:t>
      </w:r>
      <w:r>
        <w:rPr>
          <w:snapToGrid w:val="0"/>
        </w:rPr>
        <w:t>survey</w:t>
      </w:r>
      <w:r w:rsidRPr="009266EE">
        <w:rPr>
          <w:snapToGrid w:val="0"/>
        </w:rPr>
        <w:t xml:space="preserve"> focus</w:t>
      </w:r>
      <w:r>
        <w:rPr>
          <w:snapToGrid w:val="0"/>
        </w:rPr>
        <w:t>es</w:t>
      </w:r>
      <w:r w:rsidRPr="009266EE">
        <w:rPr>
          <w:snapToGrid w:val="0"/>
        </w:rPr>
        <w:t xml:space="preserve"> strictly and objectively on the performance and operation of the Service in relation to the NAS</w:t>
      </w:r>
      <w:r>
        <w:rPr>
          <w:snapToGrid w:val="0"/>
        </w:rPr>
        <w:t xml:space="preserve"> Measures</w:t>
      </w:r>
      <w:r w:rsidRPr="009266EE">
        <w:rPr>
          <w:snapToGrid w:val="0"/>
        </w:rPr>
        <w:t>, and not in relation to</w:t>
      </w:r>
      <w:r w:rsidR="006C34EF">
        <w:rPr>
          <w:snapToGrid w:val="0"/>
        </w:rPr>
        <w:t>, or comparison with</w:t>
      </w:r>
      <w:r w:rsidRPr="009266EE">
        <w:rPr>
          <w:snapToGrid w:val="0"/>
        </w:rPr>
        <w:t xml:space="preserve"> any other Service. </w:t>
      </w:r>
      <w:r>
        <w:rPr>
          <w:snapToGrid w:val="0"/>
        </w:rPr>
        <w:t xml:space="preserve"> </w:t>
      </w:r>
    </w:p>
    <w:p w14:paraId="511BEB60" w14:textId="257EF2BD" w:rsidR="00C37BD0" w:rsidRPr="00673300" w:rsidRDefault="00C37BD0" w:rsidP="00500310">
      <w:pPr>
        <w:pStyle w:val="Heading2"/>
      </w:pPr>
      <w:bookmarkStart w:id="162" w:name="_Ref465947610"/>
      <w:bookmarkStart w:id="163" w:name="_Toc517944644"/>
      <w:bookmarkStart w:id="164" w:name="_Toc66438674"/>
      <w:r w:rsidRPr="00B533B2">
        <w:t xml:space="preserve">INTERIM </w:t>
      </w:r>
      <w:r>
        <w:t>SURVEY</w:t>
      </w:r>
      <w:r w:rsidRPr="00B533B2">
        <w:t>S</w:t>
      </w:r>
      <w:bookmarkEnd w:id="162"/>
      <w:bookmarkEnd w:id="163"/>
      <w:bookmarkEnd w:id="164"/>
    </w:p>
    <w:p w14:paraId="2292C84C" w14:textId="327407C2" w:rsidR="00C37BD0" w:rsidRDefault="00C37BD0" w:rsidP="00AB1C35">
      <w:pPr>
        <w:rPr>
          <w:snapToGrid w:val="0"/>
        </w:rPr>
      </w:pPr>
      <w:r w:rsidRPr="00EC3C85">
        <w:rPr>
          <w:snapToGrid w:val="0"/>
        </w:rPr>
        <w:t xml:space="preserve">An interim </w:t>
      </w:r>
      <w:r>
        <w:rPr>
          <w:rFonts w:cs="Calibri"/>
        </w:rPr>
        <w:t xml:space="preserve">survey is a scaled-down version of a full survey and </w:t>
      </w:r>
      <w:r w:rsidRPr="00EC3C85">
        <w:rPr>
          <w:snapToGrid w:val="0"/>
        </w:rPr>
        <w:t>can be instigated by the NQMC</w:t>
      </w:r>
      <w:r w:rsidR="006B2067">
        <w:rPr>
          <w:snapToGrid w:val="0"/>
        </w:rPr>
        <w:t xml:space="preserve">, SCU or SQC </w:t>
      </w:r>
      <w:r w:rsidRPr="00EC3C85">
        <w:rPr>
          <w:snapToGrid w:val="0"/>
        </w:rPr>
        <w:t>at any time.  This is to ensure that should any signiﬁcant concerns exist, sufﬁcient information is available to support quality improvement strategies and accreditation decisions.</w:t>
      </w:r>
    </w:p>
    <w:p w14:paraId="434687F7" w14:textId="77777777" w:rsidR="00C37BD0" w:rsidRDefault="00C37BD0" w:rsidP="00AB1C35">
      <w:pPr>
        <w:rPr>
          <w:rFonts w:cstheme="minorHAnsi"/>
          <w:snapToGrid w:val="0"/>
        </w:rPr>
      </w:pPr>
      <w:r>
        <w:t>Interim</w:t>
      </w:r>
      <w:r w:rsidRPr="00333668">
        <w:t xml:space="preserve"> </w:t>
      </w:r>
      <w:r>
        <w:t>surveys</w:t>
      </w:r>
      <w:r w:rsidRPr="00333668">
        <w:t xml:space="preserve"> will be undertaken by an external, national BreastScreen Australia </w:t>
      </w:r>
      <w:r>
        <w:t>Survey</w:t>
      </w:r>
      <w:r w:rsidRPr="00333668">
        <w:t xml:space="preserve"> Team, </w:t>
      </w:r>
      <w:r w:rsidRPr="003474CF">
        <w:t>which will be appointed by the National Surveyor.</w:t>
      </w:r>
      <w:r>
        <w:t xml:space="preserve">  The membership</w:t>
      </w:r>
      <w:r w:rsidRPr="00BE391A">
        <w:rPr>
          <w:rFonts w:cstheme="minorHAnsi"/>
          <w:snapToGrid w:val="0"/>
        </w:rPr>
        <w:t xml:space="preserve"> </w:t>
      </w:r>
      <w:r>
        <w:rPr>
          <w:rFonts w:cstheme="minorHAnsi"/>
          <w:snapToGrid w:val="0"/>
        </w:rPr>
        <w:t>of the</w:t>
      </w:r>
      <w:r w:rsidRPr="00BE391A">
        <w:rPr>
          <w:rFonts w:cstheme="minorHAnsi"/>
          <w:snapToGrid w:val="0"/>
        </w:rPr>
        <w:t xml:space="preserve"> team </w:t>
      </w:r>
      <w:r>
        <w:rPr>
          <w:rFonts w:cstheme="minorHAnsi"/>
          <w:snapToGrid w:val="0"/>
        </w:rPr>
        <w:t>will be selected to reflect</w:t>
      </w:r>
      <w:r w:rsidRPr="00BE391A">
        <w:rPr>
          <w:rFonts w:cstheme="minorHAnsi"/>
          <w:snapToGrid w:val="0"/>
        </w:rPr>
        <w:t xml:space="preserve"> the </w:t>
      </w:r>
      <w:r>
        <w:rPr>
          <w:rFonts w:cstheme="minorHAnsi"/>
          <w:snapToGrid w:val="0"/>
        </w:rPr>
        <w:t>unmet NAS Measures</w:t>
      </w:r>
      <w:r w:rsidRPr="00BE391A">
        <w:rPr>
          <w:rFonts w:cstheme="minorHAnsi"/>
          <w:snapToGrid w:val="0"/>
        </w:rPr>
        <w:t xml:space="preserve"> and other</w:t>
      </w:r>
      <w:r>
        <w:rPr>
          <w:rFonts w:cstheme="minorHAnsi"/>
          <w:snapToGrid w:val="0"/>
        </w:rPr>
        <w:t xml:space="preserve"> identified</w:t>
      </w:r>
      <w:r w:rsidRPr="00BE391A">
        <w:rPr>
          <w:rFonts w:cstheme="minorHAnsi"/>
          <w:snapToGrid w:val="0"/>
        </w:rPr>
        <w:t xml:space="preserve"> issues.</w:t>
      </w:r>
    </w:p>
    <w:p w14:paraId="7D10DDA0" w14:textId="77777777" w:rsidR="00C37BD0" w:rsidRDefault="00C37BD0" w:rsidP="00AB1C35">
      <w:r>
        <w:t>E</w:t>
      </w:r>
      <w:r w:rsidRPr="008F6004">
        <w:t xml:space="preserve">xamples of when an interim </w:t>
      </w:r>
      <w:r>
        <w:t>survey may be undertaken</w:t>
      </w:r>
      <w:r w:rsidRPr="008F6004">
        <w:t xml:space="preserve"> are as follows:</w:t>
      </w:r>
    </w:p>
    <w:p w14:paraId="6A699AE7" w14:textId="77777777" w:rsidR="00A740A4" w:rsidRDefault="000C2986" w:rsidP="00D11DF2">
      <w:pPr>
        <w:pStyle w:val="ListBullet"/>
      </w:pPr>
      <w:r>
        <w:t>t</w:t>
      </w:r>
      <w:r w:rsidR="00C37BD0" w:rsidRPr="00804143">
        <w:t xml:space="preserve">he NQMC requests the </w:t>
      </w:r>
      <w:r w:rsidR="00C37BD0" w:rsidRPr="007534CE">
        <w:t>Service and/or SCU</w:t>
      </w:r>
      <w:r w:rsidR="00C37BD0">
        <w:t xml:space="preserve"> </w:t>
      </w:r>
      <w:r w:rsidR="00C37BD0" w:rsidRPr="00804143">
        <w:t xml:space="preserve">to undergo an interim </w:t>
      </w:r>
      <w:r w:rsidR="00C37BD0">
        <w:t>survey</w:t>
      </w:r>
      <w:r w:rsidR="00C37BD0" w:rsidRPr="00804143">
        <w:t xml:space="preserve"> if it is concerned about the performance of an accredited </w:t>
      </w:r>
      <w:r w:rsidR="00C37BD0" w:rsidRPr="007534CE">
        <w:t>Service and/or SCU</w:t>
      </w:r>
      <w:r w:rsidR="00C37BD0">
        <w:t xml:space="preserve"> </w:t>
      </w:r>
      <w:r w:rsidR="00C37BD0" w:rsidRPr="00804143">
        <w:t>in maintaining the quality of service commensurate with its accreditation l</w:t>
      </w:r>
      <w:r>
        <w:t xml:space="preserve">evel; </w:t>
      </w:r>
    </w:p>
    <w:p w14:paraId="7CFF3FC7" w14:textId="65FD4481" w:rsidR="00C37BD0" w:rsidRPr="00804143" w:rsidRDefault="00A740A4" w:rsidP="00D11DF2">
      <w:pPr>
        <w:pStyle w:val="ListBullet"/>
      </w:pPr>
      <w:r>
        <w:lastRenderedPageBreak/>
        <w:t xml:space="preserve">the Service and/SCU applies to the NQMC for an upgrade of its accreditation status; </w:t>
      </w:r>
      <w:r w:rsidR="000C2986">
        <w:t>or</w:t>
      </w:r>
    </w:p>
    <w:p w14:paraId="69785578" w14:textId="77777777" w:rsidR="00C37BD0" w:rsidRPr="00804143" w:rsidRDefault="00C37BD0" w:rsidP="00D11DF2">
      <w:pPr>
        <w:pStyle w:val="ListBullet"/>
      </w:pPr>
      <w:r>
        <w:t>A</w:t>
      </w:r>
      <w:r w:rsidRPr="00804143">
        <w:t xml:space="preserve"> </w:t>
      </w:r>
      <w:r w:rsidRPr="007534CE">
        <w:t>Service and/or SCU</w:t>
      </w:r>
      <w:r>
        <w:t xml:space="preserve"> </w:t>
      </w:r>
      <w:r w:rsidRPr="00804143">
        <w:t>is unable to arrange for all units to be made available or a</w:t>
      </w:r>
      <w:r>
        <w:t>cc</w:t>
      </w:r>
      <w:r w:rsidRPr="00804143">
        <w:t xml:space="preserve">essed at the time of a full </w:t>
      </w:r>
      <w:r>
        <w:t>survey</w:t>
      </w:r>
      <w:r w:rsidRPr="00804143">
        <w:t>.</w:t>
      </w:r>
    </w:p>
    <w:p w14:paraId="1C4F994C" w14:textId="0EAAE550" w:rsidR="00C37BD0" w:rsidRDefault="00C37BD0" w:rsidP="00AB1C35">
      <w:r>
        <w:t>If a Service is required to undergo an interim survey, t</w:t>
      </w:r>
      <w:r w:rsidRPr="008F6004">
        <w:t>he</w:t>
      </w:r>
      <w:r>
        <w:t xml:space="preserve">y will need </w:t>
      </w:r>
      <w:r w:rsidRPr="008F6004">
        <w:t>to work collaboratively with the S</w:t>
      </w:r>
      <w:r>
        <w:t xml:space="preserve">CU to prepare for the visit.  </w:t>
      </w:r>
      <w:r w:rsidRPr="008F6004">
        <w:t xml:space="preserve">SCU staff may need to travel to </w:t>
      </w:r>
      <w:r>
        <w:t>the Service prior to and during the visit</w:t>
      </w:r>
      <w:r w:rsidRPr="008F6004">
        <w:t xml:space="preserve"> to ensure quality r</w:t>
      </w:r>
      <w:r>
        <w:t>eporting and service delivery.</w:t>
      </w:r>
      <w:r w:rsidR="0014311E">
        <w:t xml:space="preserve"> Full and complete information must be available to surveyors.</w:t>
      </w:r>
    </w:p>
    <w:p w14:paraId="2E635A7F" w14:textId="77777777" w:rsidR="00C37BD0" w:rsidRDefault="00C37BD0" w:rsidP="00AB1C35">
      <w:pPr>
        <w:rPr>
          <w:snapToGrid w:val="0"/>
        </w:rPr>
      </w:pPr>
      <w:r>
        <w:rPr>
          <w:snapToGrid w:val="0"/>
        </w:rPr>
        <w:t>If a</w:t>
      </w:r>
      <w:r w:rsidRPr="00273AAB">
        <w:rPr>
          <w:snapToGrid w:val="0"/>
        </w:rPr>
        <w:t xml:space="preserve"> Service is unable to arrange for all units to be made available or a</w:t>
      </w:r>
      <w:r>
        <w:rPr>
          <w:snapToGrid w:val="0"/>
        </w:rPr>
        <w:t>cce</w:t>
      </w:r>
      <w:r w:rsidRPr="00273AAB">
        <w:rPr>
          <w:snapToGrid w:val="0"/>
        </w:rPr>
        <w:t xml:space="preserve">ssed at the time of the full </w:t>
      </w:r>
      <w:r>
        <w:rPr>
          <w:snapToGrid w:val="0"/>
        </w:rPr>
        <w:t>survey</w:t>
      </w:r>
      <w:r w:rsidRPr="00273AAB">
        <w:rPr>
          <w:snapToGrid w:val="0"/>
        </w:rPr>
        <w:t xml:space="preserve">, an interim </w:t>
      </w:r>
      <w:r>
        <w:rPr>
          <w:snapToGrid w:val="0"/>
        </w:rPr>
        <w:t>survey</w:t>
      </w:r>
      <w:r w:rsidRPr="00273AAB">
        <w:rPr>
          <w:snapToGrid w:val="0"/>
        </w:rPr>
        <w:t xml:space="preserve"> of one or</w:t>
      </w:r>
      <w:r>
        <w:rPr>
          <w:snapToGrid w:val="0"/>
        </w:rPr>
        <w:t xml:space="preserve"> more units at an earlier time, </w:t>
      </w:r>
      <w:r w:rsidRPr="00273AAB">
        <w:rPr>
          <w:snapToGrid w:val="0"/>
        </w:rPr>
        <w:t>as close as possible to the t</w:t>
      </w:r>
      <w:r>
        <w:rPr>
          <w:snapToGrid w:val="0"/>
        </w:rPr>
        <w:t>ime of the scheduled survey, should be arranged</w:t>
      </w:r>
      <w:r w:rsidRPr="00273AAB">
        <w:rPr>
          <w:snapToGrid w:val="0"/>
        </w:rPr>
        <w:t xml:space="preserve">. </w:t>
      </w:r>
      <w:r>
        <w:rPr>
          <w:snapToGrid w:val="0"/>
        </w:rPr>
        <w:t xml:space="preserve"> </w:t>
      </w:r>
      <w:r w:rsidRPr="00273AAB">
        <w:rPr>
          <w:snapToGrid w:val="0"/>
        </w:rPr>
        <w:t xml:space="preserve">Documentation should then be </w:t>
      </w:r>
      <w:r>
        <w:rPr>
          <w:snapToGrid w:val="0"/>
        </w:rPr>
        <w:t>provided</w:t>
      </w:r>
      <w:r w:rsidRPr="00273AAB">
        <w:rPr>
          <w:snapToGrid w:val="0"/>
        </w:rPr>
        <w:t xml:space="preserve"> to the full </w:t>
      </w:r>
      <w:r>
        <w:rPr>
          <w:snapToGrid w:val="0"/>
        </w:rPr>
        <w:t>survey</w:t>
      </w:r>
      <w:r w:rsidRPr="00273AAB">
        <w:rPr>
          <w:snapToGrid w:val="0"/>
        </w:rPr>
        <w:t xml:space="preserve"> team.</w:t>
      </w:r>
      <w:r>
        <w:rPr>
          <w:snapToGrid w:val="0"/>
        </w:rPr>
        <w:t xml:space="preserve"> </w:t>
      </w:r>
      <w:r w:rsidRPr="00273AAB">
        <w:rPr>
          <w:snapToGrid w:val="0"/>
        </w:rPr>
        <w:t xml:space="preserve"> This may be a useful option for Services in remote areas, where some units may be difﬁcult to access within the timeframe of a </w:t>
      </w:r>
      <w:r>
        <w:rPr>
          <w:snapToGrid w:val="0"/>
        </w:rPr>
        <w:t>survey</w:t>
      </w:r>
      <w:r w:rsidRPr="00273AAB">
        <w:rPr>
          <w:snapToGrid w:val="0"/>
        </w:rPr>
        <w:t>.</w:t>
      </w:r>
    </w:p>
    <w:p w14:paraId="1D3348E6" w14:textId="71977629" w:rsidR="00C37BD0" w:rsidRDefault="00C37BD0" w:rsidP="00AB1C35">
      <w:pPr>
        <w:rPr>
          <w:snapToGrid w:val="0"/>
        </w:rPr>
      </w:pPr>
      <w:r w:rsidRPr="00273AAB">
        <w:rPr>
          <w:snapToGrid w:val="0"/>
        </w:rPr>
        <w:t>This option is to be used only in exceptional circumstances and must be supported by written advice from the SCU to the NQMC of the reasons for requ</w:t>
      </w:r>
      <w:r>
        <w:rPr>
          <w:snapToGrid w:val="0"/>
        </w:rPr>
        <w:t xml:space="preserve">esting the interim survey. </w:t>
      </w:r>
      <w:r w:rsidR="0014311E">
        <w:rPr>
          <w:snapToGrid w:val="0"/>
        </w:rPr>
        <w:t xml:space="preserve">Advice may be sought from the NQMC regarding the conduct of an interim survey. </w:t>
      </w:r>
      <w:r w:rsidR="00CA79D9">
        <w:rPr>
          <w:snapToGrid w:val="0"/>
        </w:rPr>
        <w:t>T</w:t>
      </w:r>
      <w:r>
        <w:rPr>
          <w:snapToGrid w:val="0"/>
        </w:rPr>
        <w:t>he National Surveyor</w:t>
      </w:r>
      <w:r w:rsidR="00310CAA">
        <w:rPr>
          <w:snapToGrid w:val="0"/>
        </w:rPr>
        <w:t xml:space="preserve"> can provide the list of available surveyors. </w:t>
      </w:r>
    </w:p>
    <w:p w14:paraId="7FEC69D2" w14:textId="1B21A55E" w:rsidR="00C37BD0" w:rsidRPr="00673300" w:rsidRDefault="00C37BD0" w:rsidP="00500310">
      <w:pPr>
        <w:pStyle w:val="Heading2"/>
      </w:pPr>
      <w:bookmarkStart w:id="165" w:name="_Toc517944645"/>
      <w:bookmarkStart w:id="166" w:name="_Toc66438675"/>
      <w:r>
        <w:t>UNSCHEDULED</w:t>
      </w:r>
      <w:r w:rsidRPr="00B533B2">
        <w:t xml:space="preserve"> </w:t>
      </w:r>
      <w:r>
        <w:t>SURVEY</w:t>
      </w:r>
      <w:r w:rsidRPr="00B533B2">
        <w:t>S</w:t>
      </w:r>
      <w:bookmarkEnd w:id="165"/>
      <w:bookmarkEnd w:id="166"/>
    </w:p>
    <w:p w14:paraId="64F2DFD4" w14:textId="69D17203" w:rsidR="00C37BD0" w:rsidRPr="00D76FA1" w:rsidRDefault="00C37BD0" w:rsidP="00AB1C35">
      <w:r>
        <w:t>T</w:t>
      </w:r>
      <w:r w:rsidRPr="00D76FA1">
        <w:t xml:space="preserve">he NQMC </w:t>
      </w:r>
      <w:r>
        <w:t xml:space="preserve">reserves the right </w:t>
      </w:r>
      <w:r w:rsidRPr="00D76FA1">
        <w:t>to r</w:t>
      </w:r>
      <w:r>
        <w:t xml:space="preserve">equest unscheduled surveys </w:t>
      </w:r>
      <w:r w:rsidRPr="00D76FA1">
        <w:t xml:space="preserve">for underperforming </w:t>
      </w:r>
      <w:r w:rsidRPr="007534CE">
        <w:t>Service</w:t>
      </w:r>
      <w:r>
        <w:t>s</w:t>
      </w:r>
      <w:r w:rsidRPr="007534CE">
        <w:t xml:space="preserve"> and/or SCU</w:t>
      </w:r>
      <w:r>
        <w:t>s</w:t>
      </w:r>
      <w:r w:rsidRPr="00D76FA1">
        <w:t>.</w:t>
      </w:r>
      <w:r>
        <w:t xml:space="preserve">  </w:t>
      </w:r>
      <w:r w:rsidRPr="00D76FA1">
        <w:t xml:space="preserve">These </w:t>
      </w:r>
      <w:r>
        <w:t>survey</w:t>
      </w:r>
      <w:r w:rsidRPr="00D76FA1">
        <w:t xml:space="preserve">s would be </w:t>
      </w:r>
      <w:r>
        <w:t>similar to an interim survey (above) and be</w:t>
      </w:r>
      <w:r w:rsidRPr="00D76FA1">
        <w:t xml:space="preserve"> organised by the National Surveyor</w:t>
      </w:r>
      <w:r w:rsidR="00CA79D9">
        <w:t xml:space="preserve"> at the direction of the NQMC. </w:t>
      </w:r>
    </w:p>
    <w:p w14:paraId="0C61BDC7" w14:textId="74D1BF1E" w:rsidR="00C37BD0" w:rsidRPr="00673300" w:rsidRDefault="00C37BD0" w:rsidP="00500310">
      <w:pPr>
        <w:pStyle w:val="Heading2"/>
      </w:pPr>
      <w:bookmarkStart w:id="167" w:name="_Ref465947803"/>
      <w:bookmarkStart w:id="168" w:name="_Toc517944646"/>
      <w:bookmarkStart w:id="169" w:name="_Toc66438676"/>
      <w:r w:rsidRPr="00B533B2">
        <w:t>INTER</w:t>
      </w:r>
      <w:r>
        <w:t>NAL</w:t>
      </w:r>
      <w:r w:rsidRPr="00B533B2">
        <w:t xml:space="preserve"> </w:t>
      </w:r>
      <w:r>
        <w:t>SURVEY</w:t>
      </w:r>
      <w:r w:rsidRPr="00B533B2">
        <w:t>S</w:t>
      </w:r>
      <w:bookmarkEnd w:id="167"/>
      <w:bookmarkEnd w:id="168"/>
      <w:bookmarkEnd w:id="169"/>
    </w:p>
    <w:p w14:paraId="2D5370BB" w14:textId="22918ED8" w:rsidR="00C37BD0" w:rsidRPr="003D0E0B" w:rsidRDefault="00C37BD0" w:rsidP="00AB1C35">
      <w:r w:rsidRPr="00D97754">
        <w:t xml:space="preserve">An internal </w:t>
      </w:r>
      <w:r>
        <w:t>survey</w:t>
      </w:r>
      <w:r w:rsidRPr="00D97754">
        <w:t xml:space="preserve"> is </w:t>
      </w:r>
      <w:r>
        <w:t xml:space="preserve">employed as </w:t>
      </w:r>
      <w:r w:rsidRPr="00D97754">
        <w:t xml:space="preserve">an internal quality assurance mechanism for multi-service jurisdictions where </w:t>
      </w:r>
      <w:r w:rsidRPr="003D0E0B">
        <w:t xml:space="preserve">the SCU and/or the </w:t>
      </w:r>
      <w:r w:rsidRPr="00D97754">
        <w:t>S</w:t>
      </w:r>
      <w:r>
        <w:t>QC</w:t>
      </w:r>
      <w:r w:rsidRPr="00D97754">
        <w:t xml:space="preserve"> may be concerned about the performance of a </w:t>
      </w:r>
      <w:r>
        <w:t xml:space="preserve">Service </w:t>
      </w:r>
      <w:r w:rsidRPr="00D97754">
        <w:t>within that jurisdiction.</w:t>
      </w:r>
      <w:r>
        <w:t xml:space="preserve">  </w:t>
      </w:r>
      <w:r w:rsidRPr="003D0E0B">
        <w:t xml:space="preserve">Where a </w:t>
      </w:r>
      <w:r>
        <w:t>Service</w:t>
      </w:r>
      <w:r w:rsidRPr="003D0E0B">
        <w:t xml:space="preserve"> receives a conditional accreditation rating, an external survey will still only be undertaken every four years unless the NQMC requests an interim survey.  However</w:t>
      </w:r>
      <w:r w:rsidR="00051405">
        <w:t>,</w:t>
      </w:r>
      <w:r w:rsidRPr="003D0E0B">
        <w:t xml:space="preserve"> the SCU and/or the </w:t>
      </w:r>
      <w:r w:rsidRPr="00D97754">
        <w:t>S</w:t>
      </w:r>
      <w:r>
        <w:t>QC</w:t>
      </w:r>
      <w:r w:rsidRPr="00D97754">
        <w:t xml:space="preserve"> </w:t>
      </w:r>
      <w:r w:rsidRPr="003D0E0B">
        <w:t xml:space="preserve">may choose to do an internal survey at any time if falling performance or areas of concern have been identified.  The SCU will work with the </w:t>
      </w:r>
      <w:r>
        <w:t>Service</w:t>
      </w:r>
      <w:r w:rsidRPr="003D0E0B">
        <w:t xml:space="preserve"> to implement quality improvement strategies to address the areas of concern.</w:t>
      </w:r>
    </w:p>
    <w:p w14:paraId="49AC97F9" w14:textId="77777777" w:rsidR="00C37BD0" w:rsidRDefault="00C37BD0" w:rsidP="00AB1C35">
      <w:r w:rsidRPr="008F6004">
        <w:t xml:space="preserve">Examples of when an </w:t>
      </w:r>
      <w:r>
        <w:t>internal survey may be used</w:t>
      </w:r>
      <w:r w:rsidRPr="008F6004">
        <w:t xml:space="preserve"> are as follows:</w:t>
      </w:r>
    </w:p>
    <w:p w14:paraId="7D4F09A3" w14:textId="77777777" w:rsidR="00C37BD0" w:rsidRDefault="000C2986" w:rsidP="00D11DF2">
      <w:pPr>
        <w:pStyle w:val="ListBullet"/>
      </w:pPr>
      <w:r>
        <w:t>t</w:t>
      </w:r>
      <w:r w:rsidR="00C37BD0" w:rsidRPr="00510426">
        <w:t xml:space="preserve">o monitor the performance of the </w:t>
      </w:r>
      <w:r w:rsidR="00C37BD0">
        <w:t>Service</w:t>
      </w:r>
      <w:r w:rsidR="00C37BD0" w:rsidRPr="00510426">
        <w:t>, including the implementation of quality improvement strategies</w:t>
      </w:r>
      <w:r>
        <w:t>; or</w:t>
      </w:r>
    </w:p>
    <w:p w14:paraId="5C31BEC7" w14:textId="77777777" w:rsidR="00C37BD0" w:rsidRDefault="000C2986" w:rsidP="00D11DF2">
      <w:pPr>
        <w:pStyle w:val="ListBullet"/>
      </w:pPr>
      <w:r>
        <w:t>a</w:t>
      </w:r>
      <w:r w:rsidR="00C37BD0" w:rsidRPr="008F6004">
        <w:t xml:space="preserve"> new </w:t>
      </w:r>
      <w:r w:rsidR="00C37BD0">
        <w:t>unit is added.</w:t>
      </w:r>
    </w:p>
    <w:p w14:paraId="31C9E1D9" w14:textId="41D4FBE1" w:rsidR="00C37BD0" w:rsidRDefault="00C37BD0" w:rsidP="00D11DF2">
      <w:r w:rsidRPr="00D97754">
        <w:t xml:space="preserve">The </w:t>
      </w:r>
      <w:r>
        <w:t xml:space="preserve">selection and </w:t>
      </w:r>
      <w:r w:rsidRPr="00D97754">
        <w:t xml:space="preserve">appointment of </w:t>
      </w:r>
      <w:r>
        <w:t>survey</w:t>
      </w:r>
      <w:r w:rsidRPr="00D97754">
        <w:t xml:space="preserve">ors for an internal </w:t>
      </w:r>
      <w:r>
        <w:t>survey</w:t>
      </w:r>
      <w:r w:rsidRPr="00D97754">
        <w:t xml:space="preserve"> is the responsibility of the SCU, in consul</w:t>
      </w:r>
      <w:r>
        <w:t>tation with its SQC.</w:t>
      </w:r>
      <w:r w:rsidR="002113EE">
        <w:t xml:space="preserve"> Advice may be sought from the NQMC. </w:t>
      </w:r>
    </w:p>
    <w:p w14:paraId="344094AE" w14:textId="77777777" w:rsidR="00C37BD0" w:rsidRDefault="00C37BD0" w:rsidP="00D11DF2">
      <w:r>
        <w:lastRenderedPageBreak/>
        <w:t>Internal survey reports are usually not required to be submitted to the NQMC unless the SCU determines that the issues of concern are of a nature which requires national consideration and action.</w:t>
      </w:r>
    </w:p>
    <w:p w14:paraId="5E33DE96" w14:textId="0EBBF7F4" w:rsidR="00C37BD0" w:rsidRDefault="00584B80" w:rsidP="00D11DF2">
      <w:r>
        <w:t>R</w:t>
      </w:r>
      <w:r w:rsidR="00C37BD0">
        <w:t xml:space="preserve">eports on internal surveys of new units must be included in the documentation for surveyors at the time of the next accreditation survey for a Service. </w:t>
      </w:r>
    </w:p>
    <w:p w14:paraId="18B5E42D" w14:textId="2D9DD60A" w:rsidR="00DF05CC" w:rsidRPr="00673300" w:rsidRDefault="00DF05CC" w:rsidP="00500310">
      <w:pPr>
        <w:pStyle w:val="Heading2"/>
      </w:pPr>
      <w:bookmarkStart w:id="170" w:name="_Ref465947561"/>
      <w:bookmarkStart w:id="171" w:name="_Toc517944647"/>
      <w:bookmarkStart w:id="172" w:name="_Toc66438677"/>
      <w:r>
        <w:t>PRE-COMMENCEMENT SURVEY</w:t>
      </w:r>
      <w:r w:rsidRPr="00B533B2">
        <w:t>S</w:t>
      </w:r>
      <w:bookmarkEnd w:id="170"/>
      <w:bookmarkEnd w:id="171"/>
      <w:bookmarkEnd w:id="172"/>
    </w:p>
    <w:p w14:paraId="2020C196" w14:textId="77777777" w:rsidR="00DF05CC" w:rsidRDefault="00DF05CC" w:rsidP="00D11DF2">
      <w:pPr>
        <w:rPr>
          <w:snapToGrid w:val="0"/>
        </w:rPr>
      </w:pPr>
      <w:r>
        <w:rPr>
          <w:snapToGrid w:val="0"/>
        </w:rPr>
        <w:t xml:space="preserve">Pre-commencement surveys are undertaken when a new Service, or a new unit within a Service is established. </w:t>
      </w:r>
    </w:p>
    <w:p w14:paraId="1806D052" w14:textId="77777777" w:rsidR="00DF05CC" w:rsidRDefault="00DF05CC" w:rsidP="00D11DF2">
      <w:r>
        <w:rPr>
          <w:snapToGrid w:val="0"/>
        </w:rPr>
        <w:t xml:space="preserve">Pre-commencement surveys ensure that </w:t>
      </w:r>
      <w:r w:rsidR="0027020A">
        <w:rPr>
          <w:snapToGrid w:val="0"/>
        </w:rPr>
        <w:t xml:space="preserve">there are appropriate systems, workforce and operating procedures in place to enable the Service or unit to deliver high quality screening services.  For new Services, </w:t>
      </w:r>
      <w:r w:rsidR="004B556E">
        <w:rPr>
          <w:snapToGrid w:val="0"/>
        </w:rPr>
        <w:t xml:space="preserve">the pre-commencement survey </w:t>
      </w:r>
      <w:r w:rsidR="0027020A">
        <w:rPr>
          <w:snapToGrid w:val="0"/>
        </w:rPr>
        <w:t>will also include a preliminary Data Governance and Management Assessment</w:t>
      </w:r>
      <w:r w:rsidR="004B556E">
        <w:rPr>
          <w:snapToGrid w:val="0"/>
        </w:rPr>
        <w:t xml:space="preserve">. This may be conducted as a paper-based assessment to ensure </w:t>
      </w:r>
      <w:r w:rsidR="0027020A">
        <w:rPr>
          <w:snapToGrid w:val="0"/>
        </w:rPr>
        <w:t>that the Service has the capacity to collect and report reliable, valid and high quality data</w:t>
      </w:r>
      <w:r w:rsidR="007B5908">
        <w:rPr>
          <w:snapToGrid w:val="0"/>
        </w:rPr>
        <w:t>,</w:t>
      </w:r>
      <w:r w:rsidR="0027020A">
        <w:rPr>
          <w:snapToGrid w:val="0"/>
        </w:rPr>
        <w:t xml:space="preserve"> which meets the requirements of the BreastScreen Australia Data Dictionary. </w:t>
      </w:r>
    </w:p>
    <w:p w14:paraId="3C940788" w14:textId="1B290617" w:rsidR="00B65AE6" w:rsidRPr="00A27D44" w:rsidRDefault="001E0BCD" w:rsidP="00500310">
      <w:pPr>
        <w:pStyle w:val="Heading2"/>
      </w:pPr>
      <w:bookmarkStart w:id="173" w:name="_Ref465948038"/>
      <w:bookmarkStart w:id="174" w:name="_Toc517944648"/>
      <w:bookmarkStart w:id="175" w:name="_Toc66438678"/>
      <w:r w:rsidRPr="00A27D44">
        <w:t>DATA GOVERNANCE AND MANAGEMENT ASSESSMENT</w:t>
      </w:r>
      <w:bookmarkEnd w:id="173"/>
      <w:bookmarkEnd w:id="174"/>
      <w:bookmarkEnd w:id="175"/>
    </w:p>
    <w:p w14:paraId="77CDAADD" w14:textId="77777777" w:rsidR="00B65AE6" w:rsidRPr="00A27D44" w:rsidRDefault="00B65AE6" w:rsidP="00D11DF2">
      <w:r w:rsidRPr="00A27D44">
        <w:t>During the survey, the Data Assessor will undertake a Data Governance and Management Assessment. This will assess the components of data governance and management that are the responsibility of the SCU</w:t>
      </w:r>
      <w:r w:rsidR="00694A9A">
        <w:t xml:space="preserve"> or Service</w:t>
      </w:r>
      <w:r w:rsidRPr="00A27D44">
        <w:t>, including:</w:t>
      </w:r>
    </w:p>
    <w:p w14:paraId="2820EA88" w14:textId="77777777" w:rsidR="00B65AE6" w:rsidRDefault="00B65AE6" w:rsidP="00D11DF2">
      <w:pPr>
        <w:pStyle w:val="ListBullet"/>
      </w:pPr>
      <w:r w:rsidRPr="00A27D44">
        <w:t xml:space="preserve">compliance against the accreditation </w:t>
      </w:r>
      <w:r w:rsidR="00F759AF">
        <w:t>Measures</w:t>
      </w:r>
      <w:r w:rsidRPr="00A27D44">
        <w:t xml:space="preserve"> within Standard </w:t>
      </w:r>
      <w:r w:rsidR="00F759AF">
        <w:t>5</w:t>
      </w:r>
      <w:r w:rsidRPr="00A27D44">
        <w:t xml:space="preserve"> – Data Management</w:t>
      </w:r>
      <w:r w:rsidR="00F759AF">
        <w:t xml:space="preserve"> and Information Systems</w:t>
      </w:r>
      <w:r w:rsidRPr="00A27D44">
        <w:t>;</w:t>
      </w:r>
    </w:p>
    <w:p w14:paraId="11D21BD5" w14:textId="3AFA78E9" w:rsidR="008F54CC" w:rsidRPr="00A27D44" w:rsidRDefault="009133C5" w:rsidP="00D11DF2">
      <w:pPr>
        <w:pStyle w:val="ListBullet"/>
      </w:pPr>
      <w:r>
        <w:t xml:space="preserve">compliance against </w:t>
      </w:r>
      <w:r w:rsidR="008F54CC">
        <w:t>the protocols listed within Standard 5</w:t>
      </w:r>
      <w:r w:rsidR="00181766">
        <w:t xml:space="preserve"> (see </w:t>
      </w:r>
      <w:r w:rsidR="002E3EDC">
        <w:t>Glossary</w:t>
      </w:r>
      <w:r w:rsidR="00807712">
        <w:t>:</w:t>
      </w:r>
      <w:r w:rsidR="002E3EDC">
        <w:t xml:space="preserve"> </w:t>
      </w:r>
      <w:r w:rsidR="00955359">
        <w:t>‘Protocol</w:t>
      </w:r>
      <w:r w:rsidR="004E297B">
        <w:t>’</w:t>
      </w:r>
      <w:r w:rsidR="00181766">
        <w:t>)</w:t>
      </w:r>
      <w:r w:rsidR="008F54CC">
        <w:t>;</w:t>
      </w:r>
    </w:p>
    <w:p w14:paraId="4482653D" w14:textId="77777777" w:rsidR="00B65AE6" w:rsidRPr="00A27D44" w:rsidRDefault="00694A9A" w:rsidP="00D11DF2">
      <w:pPr>
        <w:pStyle w:val="ListBullet"/>
      </w:pPr>
      <w:r>
        <w:t xml:space="preserve">the </w:t>
      </w:r>
      <w:r w:rsidR="00B65AE6" w:rsidRPr="00A27D44">
        <w:t>Picture Archiving and Communications System (PACS); and</w:t>
      </w:r>
    </w:p>
    <w:p w14:paraId="5972AB1A" w14:textId="12D4D1A0" w:rsidR="00B65AE6" w:rsidRPr="00A27D44" w:rsidRDefault="00B65AE6" w:rsidP="00D11DF2">
      <w:pPr>
        <w:pStyle w:val="ListBullet"/>
      </w:pPr>
      <w:r w:rsidRPr="00A27D44">
        <w:t xml:space="preserve">the operation, management and governance of the BreastScreen </w:t>
      </w:r>
      <w:r w:rsidR="00AC4897">
        <w:t>Client Management System</w:t>
      </w:r>
      <w:r w:rsidRPr="00A27D44">
        <w:t xml:space="preserve">. </w:t>
      </w:r>
    </w:p>
    <w:p w14:paraId="3FEA07E7" w14:textId="424EC726" w:rsidR="00A93E43" w:rsidRDefault="00B65AE6" w:rsidP="00D11DF2">
      <w:r w:rsidRPr="00A27D44">
        <w:t xml:space="preserve">The Data Governance and Management Assessment will be undertaken once every four years as part of the formal survey. The NQMC will however have the discretion to request the SCU </w:t>
      </w:r>
      <w:r w:rsidR="00694A9A">
        <w:t xml:space="preserve">or Service </w:t>
      </w:r>
      <w:r w:rsidRPr="00A27D44">
        <w:t xml:space="preserve">undergoes an additional assessment if it is concerned about its performance. </w:t>
      </w:r>
    </w:p>
    <w:p w14:paraId="52B26E82" w14:textId="5B8EC997" w:rsidR="00694A9A" w:rsidRDefault="00694A9A" w:rsidP="006D2034">
      <w:pPr>
        <w:pStyle w:val="Heading3"/>
      </w:pPr>
      <w:bookmarkStart w:id="176" w:name="_Toc517944649"/>
      <w:bookmarkStart w:id="177" w:name="_Toc66438679"/>
      <w:r>
        <w:t>Centralised PACS/</w:t>
      </w:r>
      <w:r w:rsidR="00015416">
        <w:t>Client Management System</w:t>
      </w:r>
      <w:bookmarkEnd w:id="176"/>
      <w:bookmarkEnd w:id="177"/>
      <w:r w:rsidR="00015416">
        <w:t xml:space="preserve"> </w:t>
      </w:r>
    </w:p>
    <w:p w14:paraId="224660DF" w14:textId="433B860C" w:rsidR="00B65AE6" w:rsidRDefault="00B65AE6" w:rsidP="00D11DF2">
      <w:r w:rsidRPr="00A27D44">
        <w:t>For jurisdictions that have a central PACS/</w:t>
      </w:r>
      <w:r w:rsidR="00E36322">
        <w:t>Client Management System</w:t>
      </w:r>
      <w:r w:rsidRPr="00A27D44">
        <w:t xml:space="preserve">, only the SCU will undergo a Data Governance and Management Assessment. However, it remains the role of the SCU to ensure the consistency and high quality of information recorded in the BreastScreen Service </w:t>
      </w:r>
      <w:r w:rsidR="00E36322">
        <w:t>Client Management System</w:t>
      </w:r>
      <w:r w:rsidR="00E36322" w:rsidRPr="00A27D44">
        <w:t xml:space="preserve"> </w:t>
      </w:r>
      <w:r w:rsidRPr="00A27D44">
        <w:t xml:space="preserve">within the jurisdiction. This should be </w:t>
      </w:r>
      <w:r w:rsidRPr="00A27D44">
        <w:lastRenderedPageBreak/>
        <w:t>undertaken through both systematic and random audits of Service level data by the SCU. During the Data Governance and Management Assessment, the SCU should provide the Data Assessor with evidence of the quality and consistency of data that is entered at each service within the jurisdiction.</w:t>
      </w:r>
    </w:p>
    <w:p w14:paraId="552A6867" w14:textId="23AC4A6D" w:rsidR="00694A9A" w:rsidRPr="00A27D44" w:rsidRDefault="00694A9A" w:rsidP="00D11DF2">
      <w:r w:rsidRPr="00730635">
        <w:t>The data submitted as part of a Service’s application for accreditation should include data against only those accreditation Measures for which it has sole, or shared responsibility, as outlined in the NAF. This information will be used by the NQMC to determine an accreditation rating informed by the requirements of the Decision Tool.</w:t>
      </w:r>
      <w:r w:rsidR="00787C65">
        <w:t xml:space="preserve"> </w:t>
      </w:r>
    </w:p>
    <w:p w14:paraId="6F604A6A" w14:textId="0FD8810C" w:rsidR="00694A9A" w:rsidRDefault="00694A9A" w:rsidP="006D2034">
      <w:pPr>
        <w:pStyle w:val="Heading3"/>
      </w:pPr>
      <w:bookmarkStart w:id="178" w:name="_Toc517944650"/>
      <w:bookmarkStart w:id="179" w:name="_Toc66438680"/>
      <w:r>
        <w:t>Four Disciplines of D</w:t>
      </w:r>
      <w:r w:rsidRPr="00A27D44">
        <w:t xml:space="preserve">ata </w:t>
      </w:r>
      <w:r>
        <w:t>G</w:t>
      </w:r>
      <w:r w:rsidRPr="00A27D44">
        <w:t xml:space="preserve">overnance and </w:t>
      </w:r>
      <w:r>
        <w:t>M</w:t>
      </w:r>
      <w:r w:rsidRPr="00A27D44">
        <w:t>anagement</w:t>
      </w:r>
      <w:bookmarkEnd w:id="178"/>
      <w:bookmarkEnd w:id="179"/>
    </w:p>
    <w:p w14:paraId="5C13C9BB" w14:textId="1337D6C2" w:rsidR="00B65AE6" w:rsidRPr="00A27D44" w:rsidRDefault="00B65AE6" w:rsidP="00D11DF2">
      <w:r w:rsidRPr="00A27D44">
        <w:t xml:space="preserve">There are four disciplines of data governance and management that will be assessed by the Data Assessor. The following outlines the key areas that the Data Assessor will focus on when analysing </w:t>
      </w:r>
      <w:r w:rsidR="00EF601F">
        <w:t xml:space="preserve">data governance and management </w:t>
      </w:r>
      <w:r w:rsidRPr="00A27D44">
        <w:t xml:space="preserve">as part of the formal accreditation survey. </w:t>
      </w:r>
    </w:p>
    <w:p w14:paraId="67D1D430" w14:textId="1D10F45B" w:rsidR="00B65AE6" w:rsidRPr="00A27D44" w:rsidRDefault="00EF2F20" w:rsidP="007742E2">
      <w:pPr>
        <w:pStyle w:val="Heading4"/>
      </w:pPr>
      <w:r>
        <w:t xml:space="preserve">Discipline 1 - </w:t>
      </w:r>
      <w:r w:rsidR="00B65AE6" w:rsidRPr="00A27D44">
        <w:t>Data security</w:t>
      </w:r>
    </w:p>
    <w:p w14:paraId="77C614AB" w14:textId="77777777" w:rsidR="00B65AE6" w:rsidRPr="00A27D44" w:rsidRDefault="00B65AE6" w:rsidP="00D11DF2">
      <w:pPr>
        <w:pStyle w:val="ListBullet"/>
      </w:pPr>
      <w:r w:rsidRPr="00A27D44">
        <w:t xml:space="preserve">Policies that minimise security risks to information and prevent unauthorised access to data. </w:t>
      </w:r>
      <w:r w:rsidR="00B7046D" w:rsidRPr="00A27D44">
        <w:t xml:space="preserve">Policies should comply with national standards for information security </w:t>
      </w:r>
      <w:r w:rsidR="00F71B41" w:rsidRPr="00A27D44">
        <w:t xml:space="preserve">management </w:t>
      </w:r>
      <w:r w:rsidR="00B7046D" w:rsidRPr="00A27D44">
        <w:t>including AS/NZS ISO/IEC 27001:2006 and AS/NZS ISO/IEC 27002:2006.</w:t>
      </w:r>
      <w:r w:rsidR="00B7046D" w:rsidRPr="00A27D44">
        <w:rPr>
          <w:rFonts w:ascii="Arial" w:hAnsi="Arial" w:cs="Arial"/>
          <w:lang w:val="en-AU"/>
        </w:rPr>
        <w:t xml:space="preserve"> </w:t>
      </w:r>
    </w:p>
    <w:p w14:paraId="0513DF28" w14:textId="77777777" w:rsidR="00B65AE6" w:rsidRPr="00A27D44" w:rsidRDefault="00B65AE6" w:rsidP="00D11DF2">
      <w:pPr>
        <w:pStyle w:val="ListBullet"/>
      </w:pPr>
      <w:r w:rsidRPr="00A27D44">
        <w:t xml:space="preserve">Role-based access levels, permissions and authorisation to data. </w:t>
      </w:r>
    </w:p>
    <w:p w14:paraId="6664BEE5" w14:textId="77777777" w:rsidR="00B65AE6" w:rsidRPr="00A27D44" w:rsidRDefault="00B65AE6" w:rsidP="00D11DF2">
      <w:pPr>
        <w:pStyle w:val="ListBullet"/>
      </w:pPr>
      <w:r w:rsidRPr="00A27D44">
        <w:t xml:space="preserve">Solutions that obscure client identities by modifying client-identifiable data while maintaining data quality. This should ensure data can be used for secondary purposes, e.g. national data analysis/research without compromising confidentiality. </w:t>
      </w:r>
      <w:r w:rsidR="00C81034">
        <w:t xml:space="preserve"> D</w:t>
      </w:r>
      <w:r w:rsidR="00C177B9">
        <w:t>ata identifiability should be informed by the N</w:t>
      </w:r>
      <w:r w:rsidR="00AC2DA2">
        <w:t xml:space="preserve">ational </w:t>
      </w:r>
      <w:r w:rsidR="00C177B9">
        <w:t>H</w:t>
      </w:r>
      <w:r w:rsidR="00AC2DA2">
        <w:t xml:space="preserve">ealth and Medical Research </w:t>
      </w:r>
      <w:r w:rsidR="00C177B9">
        <w:t>C</w:t>
      </w:r>
      <w:r w:rsidR="00AC2DA2">
        <w:t>ouncil</w:t>
      </w:r>
      <w:r w:rsidR="00C177B9">
        <w:t xml:space="preserve">’s National Statement on Ethical Conduct in Human Research 2007 (updated 2013).  </w:t>
      </w:r>
    </w:p>
    <w:p w14:paraId="0755BF04" w14:textId="59E05CED" w:rsidR="003951AA" w:rsidRPr="00247107" w:rsidRDefault="00C91E71" w:rsidP="00D11DF2">
      <w:pPr>
        <w:pStyle w:val="ListBullet"/>
        <w:rPr>
          <w:rFonts w:cstheme="minorHAnsi"/>
          <w:snapToGrid w:val="0"/>
        </w:rPr>
      </w:pPr>
      <w:r w:rsidRPr="00247107">
        <w:t xml:space="preserve">Procedures </w:t>
      </w:r>
      <w:r w:rsidR="00B65AE6" w:rsidRPr="00247107">
        <w:t xml:space="preserve">that ensure security risks/breaches to the </w:t>
      </w:r>
      <w:r w:rsidR="007E7208" w:rsidRPr="00247107">
        <w:t xml:space="preserve">Client Management System and </w:t>
      </w:r>
      <w:r w:rsidR="00B65AE6" w:rsidRPr="00247107">
        <w:t>PACS are</w:t>
      </w:r>
      <w:r w:rsidR="00476042" w:rsidRPr="00247107">
        <w:t xml:space="preserve"> identified</w:t>
      </w:r>
      <w:r w:rsidR="00B65AE6" w:rsidRPr="00247107">
        <w:t xml:space="preserve"> logged, reported and actioned.  </w:t>
      </w:r>
    </w:p>
    <w:p w14:paraId="7F8DAF67" w14:textId="6047E756" w:rsidR="00B65AE6" w:rsidRPr="00A27D44" w:rsidRDefault="008D23E8" w:rsidP="007742E2">
      <w:pPr>
        <w:pStyle w:val="Heading4"/>
      </w:pPr>
      <w:r>
        <w:t>Discipline</w:t>
      </w:r>
      <w:r w:rsidRPr="00A27D44">
        <w:t xml:space="preserve"> </w:t>
      </w:r>
      <w:r>
        <w:t>2</w:t>
      </w:r>
      <w:r w:rsidR="00EF2F20">
        <w:t xml:space="preserve"> - </w:t>
      </w:r>
      <w:r w:rsidR="00B65AE6" w:rsidRPr="00A27D44">
        <w:t>Data quality</w:t>
      </w:r>
    </w:p>
    <w:p w14:paraId="798EF009" w14:textId="77777777" w:rsidR="00B65AE6" w:rsidRPr="00A27D44" w:rsidRDefault="00B65AE6" w:rsidP="00D11DF2">
      <w:pPr>
        <w:pStyle w:val="ListBullet"/>
      </w:pPr>
      <w:r w:rsidRPr="00A27D44">
        <w:t>Establishing data validation rules, processes and monitoring systems to ensure entered data conform to the data specifications as outlined in the BreastScreen Australia Data Dictionary regarding datatype (i.e. numeric/alphanumeric), field size, data domain etc.</w:t>
      </w:r>
    </w:p>
    <w:p w14:paraId="7B9B7F94" w14:textId="53900215" w:rsidR="00B65AE6" w:rsidRPr="00A27D44" w:rsidRDefault="00B65AE6" w:rsidP="00D11DF2">
      <w:pPr>
        <w:pStyle w:val="ListBullet"/>
      </w:pPr>
      <w:r w:rsidRPr="00A27D44">
        <w:t>Developing query reports that relate to the quality of data within the PACS and</w:t>
      </w:r>
      <w:r w:rsidR="00DA6EDB">
        <w:t>/or</w:t>
      </w:r>
      <w:r w:rsidR="002C0F2D">
        <w:t xml:space="preserve"> </w:t>
      </w:r>
      <w:r w:rsidR="00DA6EDB">
        <w:t>Client Management System</w:t>
      </w:r>
      <w:r w:rsidRPr="00A27D44">
        <w:t xml:space="preserve">. These queries may be used to identify missing data, ‘out-of-range’ data or data that appear to be inconsistent. They may also be used to identify abnormal trends (e.g. an unexpected increase in recall to assessment/decrease in cancer detection etc). </w:t>
      </w:r>
    </w:p>
    <w:p w14:paraId="177A49C7" w14:textId="77777777" w:rsidR="00B65AE6" w:rsidRPr="00A27D44" w:rsidRDefault="00B65AE6" w:rsidP="00D11DF2">
      <w:pPr>
        <w:pStyle w:val="ListBullet"/>
      </w:pPr>
      <w:r w:rsidRPr="00A27D44">
        <w:t>Establishing quality assurance mechanisms to ensure:</w:t>
      </w:r>
    </w:p>
    <w:p w14:paraId="496D1841" w14:textId="77777777" w:rsidR="00B65AE6" w:rsidRPr="00A27D44" w:rsidRDefault="00B65AE6" w:rsidP="00D11DF2">
      <w:pPr>
        <w:pStyle w:val="ListBullet2"/>
      </w:pPr>
      <w:r w:rsidRPr="00A27D44">
        <w:lastRenderedPageBreak/>
        <w:t xml:space="preserve">the consistent application of algorithms as described in the BreastScreen Australia Data Dictionary. The Data Assessor may request a demonstration of how the results for specific accreditation </w:t>
      </w:r>
      <w:r w:rsidR="0033686A">
        <w:t>measure</w:t>
      </w:r>
      <w:r w:rsidRPr="00A27D44">
        <w:t>s are calculated.</w:t>
      </w:r>
    </w:p>
    <w:p w14:paraId="794861F5" w14:textId="56ACBC9D" w:rsidR="00B65AE6" w:rsidRPr="00A27D44" w:rsidRDefault="00B65AE6" w:rsidP="00D11DF2">
      <w:pPr>
        <w:pStyle w:val="ListBullet2"/>
      </w:pPr>
      <w:r w:rsidRPr="00A27D44">
        <w:t xml:space="preserve">data accuracy (the extent to which data in the </w:t>
      </w:r>
      <w:r w:rsidR="00D64552">
        <w:t>Client Management System</w:t>
      </w:r>
      <w:r w:rsidR="00D64552" w:rsidRPr="00A27D44">
        <w:t xml:space="preserve"> </w:t>
      </w:r>
      <w:r w:rsidRPr="00A27D44">
        <w:t xml:space="preserve">matches with source data); and </w:t>
      </w:r>
    </w:p>
    <w:p w14:paraId="68E2E6DE" w14:textId="77777777" w:rsidR="00B65AE6" w:rsidRPr="00A27D44" w:rsidRDefault="00B65AE6" w:rsidP="00D11DF2">
      <w:pPr>
        <w:pStyle w:val="ListBullet2"/>
      </w:pPr>
      <w:r w:rsidRPr="00A27D44">
        <w:t xml:space="preserve">data completeness (extent to which all data that should have been registered have actually been registered). </w:t>
      </w:r>
    </w:p>
    <w:p w14:paraId="63BFBE05" w14:textId="3BCCBCD6" w:rsidR="00B65AE6" w:rsidRPr="00A27D44" w:rsidRDefault="00B65AE6" w:rsidP="00D11DF2">
      <w:pPr>
        <w:pStyle w:val="ListBullet"/>
      </w:pPr>
      <w:r w:rsidRPr="00A27D44">
        <w:t xml:space="preserve">Processes to ensure the </w:t>
      </w:r>
      <w:r w:rsidR="00D64552">
        <w:t>Client Management System</w:t>
      </w:r>
      <w:r w:rsidRPr="00A27D44">
        <w:t xml:space="preserve"> is updated when any changes are made to the BreastScreen Australia NAS or data specifications/definitions within the Data Dictionary.</w:t>
      </w:r>
    </w:p>
    <w:p w14:paraId="184B0E70" w14:textId="60642037" w:rsidR="00B65AE6" w:rsidRPr="00A27D44" w:rsidRDefault="008D23E8" w:rsidP="007742E2">
      <w:pPr>
        <w:pStyle w:val="Heading4"/>
      </w:pPr>
      <w:r>
        <w:t>Discipline</w:t>
      </w:r>
      <w:r w:rsidRPr="00A27D44">
        <w:t xml:space="preserve"> </w:t>
      </w:r>
      <w:r>
        <w:t>3</w:t>
      </w:r>
      <w:r w:rsidR="00EF2F20">
        <w:t xml:space="preserve"> - </w:t>
      </w:r>
      <w:r w:rsidR="00B65AE6" w:rsidRPr="00A27D44">
        <w:t>Data integrity</w:t>
      </w:r>
    </w:p>
    <w:p w14:paraId="1275917E" w14:textId="00DFC377" w:rsidR="00B65AE6" w:rsidRPr="00A27D44" w:rsidRDefault="00B65AE6" w:rsidP="00D11DF2">
      <w:pPr>
        <w:pStyle w:val="ListBullet"/>
      </w:pPr>
      <w:r w:rsidRPr="00A27D44">
        <w:t xml:space="preserve">Solutions that maintain the integrity of data transferred between systems (e.g. between the local BreastScreen </w:t>
      </w:r>
      <w:r w:rsidR="00D64552">
        <w:t>Client Management System</w:t>
      </w:r>
      <w:r w:rsidRPr="00A27D44">
        <w:t xml:space="preserve"> and statewide PACS or</w:t>
      </w:r>
      <w:r w:rsidRPr="00A27D44">
        <w:rPr>
          <w:rFonts w:cstheme="minorHAnsi"/>
          <w:snapToGrid w:val="0"/>
        </w:rPr>
        <w:t xml:space="preserve"> between the BreastScreen </w:t>
      </w:r>
      <w:r w:rsidR="00D64552">
        <w:t>Client Management System</w:t>
      </w:r>
      <w:r w:rsidRPr="00A27D44">
        <w:rPr>
          <w:rFonts w:cstheme="minorHAnsi"/>
          <w:snapToGrid w:val="0"/>
        </w:rPr>
        <w:t xml:space="preserve"> and</w:t>
      </w:r>
      <w:r w:rsidR="00D64552">
        <w:rPr>
          <w:rFonts w:cstheme="minorHAnsi"/>
          <w:snapToGrid w:val="0"/>
        </w:rPr>
        <w:t>, if appropriate,</w:t>
      </w:r>
      <w:r w:rsidRPr="00A27D44">
        <w:rPr>
          <w:rFonts w:cstheme="minorHAnsi"/>
          <w:snapToGrid w:val="0"/>
        </w:rPr>
        <w:t xml:space="preserve"> external databases/systems), including </w:t>
      </w:r>
      <w:r w:rsidRPr="00A27D44">
        <w:t xml:space="preserve">processes to test data to eliminate bugs that may cause data loss or corruption during data storage or transfer. </w:t>
      </w:r>
    </w:p>
    <w:p w14:paraId="435B4818" w14:textId="77777777" w:rsidR="00B65AE6" w:rsidRPr="00A27D44" w:rsidRDefault="00B65AE6" w:rsidP="00D11DF2">
      <w:pPr>
        <w:pStyle w:val="ListBullet"/>
      </w:pPr>
      <w:r w:rsidRPr="00A27D44">
        <w:t xml:space="preserve">Establishing appropriate data integrity checks (including both routine and random audits) to ensure data conforms to the data validation rules (developed under </w:t>
      </w:r>
      <w:r w:rsidRPr="00A27D44">
        <w:rPr>
          <w:i/>
        </w:rPr>
        <w:t>Item 2 – Data Quality</w:t>
      </w:r>
      <w:r w:rsidRPr="00A27D44">
        <w:t xml:space="preserve">) after it has been created, stored, retrieved or transferred. These checks should highlight errors, inconsistencies and missing data so that they can be rectified by the Data Manager, or referred to the appropriate person for action. </w:t>
      </w:r>
    </w:p>
    <w:p w14:paraId="1FE998D6" w14:textId="77777777" w:rsidR="00B65AE6" w:rsidRPr="00A27D44" w:rsidRDefault="00B65AE6" w:rsidP="00D11DF2">
      <w:pPr>
        <w:pStyle w:val="ListBullet"/>
      </w:pPr>
      <w:r w:rsidRPr="00A27D44">
        <w:t xml:space="preserve">Mechanisms to ensure data transferred to other systems (e.g. between the SCU and Services, or externally to third party organisations) are secure and unable to be modified without prior authorisation (e.g. disabling fields). Where data are modified, integrity checks are built-in to ensure that data entered remotely complies with the validation rules developed under </w:t>
      </w:r>
      <w:r w:rsidRPr="007D3262">
        <w:rPr>
          <w:i/>
        </w:rPr>
        <w:t>I</w:t>
      </w:r>
      <w:r w:rsidRPr="00A27D44">
        <w:rPr>
          <w:i/>
        </w:rPr>
        <w:t>tem 2 – Data Quality</w:t>
      </w:r>
      <w:r w:rsidRPr="00A27D44">
        <w:t xml:space="preserve">. </w:t>
      </w:r>
    </w:p>
    <w:p w14:paraId="0EB7F6AB" w14:textId="799C2EFA" w:rsidR="00B65AE6" w:rsidRPr="00A27D44" w:rsidRDefault="008D23E8" w:rsidP="007742E2">
      <w:pPr>
        <w:pStyle w:val="Heading4"/>
      </w:pPr>
      <w:r>
        <w:t>Discipline</w:t>
      </w:r>
      <w:r w:rsidRPr="00A27D44">
        <w:t xml:space="preserve"> </w:t>
      </w:r>
      <w:r>
        <w:t>4</w:t>
      </w:r>
      <w:r w:rsidR="00EF2F20">
        <w:t xml:space="preserve"> - </w:t>
      </w:r>
      <w:r w:rsidR="00B65AE6" w:rsidRPr="00A27D44">
        <w:t>Data organisation and systems management</w:t>
      </w:r>
    </w:p>
    <w:p w14:paraId="427EC3BB" w14:textId="5BCEC32B" w:rsidR="00B65AE6" w:rsidRPr="00A27D44" w:rsidRDefault="00B65AE6" w:rsidP="00D11DF2">
      <w:pPr>
        <w:pStyle w:val="ListBullet"/>
      </w:pPr>
      <w:r w:rsidRPr="00A27D44">
        <w:t xml:space="preserve">Establishing support management systems, including appropriate technical support, to address any issues in an effective and timely manner, whilst ensuring the </w:t>
      </w:r>
      <w:r w:rsidR="00844326">
        <w:t>Client Management System</w:t>
      </w:r>
      <w:r w:rsidRPr="00A27D44">
        <w:t xml:space="preserve">/PACS can continue operating to support service delivery requirements. </w:t>
      </w:r>
    </w:p>
    <w:p w14:paraId="1427ACF6" w14:textId="262236F4" w:rsidR="00B65AE6" w:rsidRPr="00A27D44" w:rsidRDefault="00B65AE6" w:rsidP="00D11DF2">
      <w:pPr>
        <w:pStyle w:val="ListBullet"/>
      </w:pPr>
      <w:r w:rsidRPr="00A27D44">
        <w:t xml:space="preserve">Solutions that specify common standards for how clinical information is recorded, organised and managed within the PACS and/or </w:t>
      </w:r>
      <w:r w:rsidR="00844326">
        <w:t>Client Management System</w:t>
      </w:r>
      <w:r w:rsidRPr="00A27D44">
        <w:t>. This may include Integrating the Healthcare Enterprise (IHE) standards such as Health Level 7 (HL7) Clinical Document Architecture, Digital Imaging and Communications in Medicine</w:t>
      </w:r>
      <w:r w:rsidRPr="00A27D44">
        <w:rPr>
          <w:rStyle w:val="st1"/>
          <w:rFonts w:ascii="Arial" w:hAnsi="Arial" w:cs="Arial"/>
          <w:color w:val="444444"/>
        </w:rPr>
        <w:t xml:space="preserve"> (</w:t>
      </w:r>
      <w:r w:rsidRPr="00A27D44">
        <w:t xml:space="preserve">DICOM) or Systematised Nomenclature of Medicine – Clinical Terms Australia (SNOMED </w:t>
      </w:r>
      <w:r w:rsidRPr="00A27D44">
        <w:lastRenderedPageBreak/>
        <w:t>CT-AU)</w:t>
      </w:r>
      <w:r w:rsidRPr="00A27D44">
        <w:rPr>
          <w:rStyle w:val="FootnoteReference"/>
          <w:rFonts w:cs="Calibri"/>
        </w:rPr>
        <w:footnoteReference w:id="6"/>
      </w:r>
      <w:r w:rsidRPr="00A27D44">
        <w:t xml:space="preserve">. </w:t>
      </w:r>
    </w:p>
    <w:p w14:paraId="51230C8B" w14:textId="77777777" w:rsidR="00B65AE6" w:rsidRPr="00A27D44" w:rsidRDefault="00B65AE6" w:rsidP="00D11DF2">
      <w:pPr>
        <w:pStyle w:val="ListBullet2"/>
      </w:pPr>
      <w:r w:rsidRPr="00A27D44">
        <w:t>The Data Assessor should assess the extent to which these solutions:</w:t>
      </w:r>
    </w:p>
    <w:p w14:paraId="48A50CA8" w14:textId="4E584A8E" w:rsidR="00B65AE6" w:rsidRPr="00D11DF2" w:rsidRDefault="00B65AE6" w:rsidP="00D11DF2">
      <w:pPr>
        <w:pStyle w:val="ListBullet3"/>
      </w:pPr>
      <w:r w:rsidRPr="00D11DF2">
        <w:t xml:space="preserve">are adhered to, and consistently implemented within the </w:t>
      </w:r>
      <w:r w:rsidR="00844326" w:rsidRPr="00D11DF2">
        <w:t>Client Management System</w:t>
      </w:r>
      <w:r w:rsidRPr="00D11DF2">
        <w:t>/PACS; and</w:t>
      </w:r>
    </w:p>
    <w:p w14:paraId="7EE372E7" w14:textId="48839B06" w:rsidR="00B65AE6" w:rsidRPr="00A27D44" w:rsidRDefault="00B65AE6" w:rsidP="00D11DF2">
      <w:pPr>
        <w:pStyle w:val="ListBullet3"/>
      </w:pPr>
      <w:r w:rsidRPr="00D11DF2">
        <w:t xml:space="preserve">enable interoperability </w:t>
      </w:r>
      <w:r w:rsidR="00A4057E" w:rsidRPr="00D11DF2">
        <w:t xml:space="preserve">for BreastScreen services within a jurisdiction and where </w:t>
      </w:r>
      <w:r w:rsidR="00A4057E">
        <w:t>possible, external to the jurisdiction</w:t>
      </w:r>
      <w:r w:rsidRPr="00A27D44">
        <w:t xml:space="preserve">, as well as external third party providers.  </w:t>
      </w:r>
    </w:p>
    <w:p w14:paraId="76BBFB01" w14:textId="393B8E60" w:rsidR="00B65AE6" w:rsidRPr="00A27D44" w:rsidRDefault="00B65AE6" w:rsidP="00D11DF2">
      <w:pPr>
        <w:pStyle w:val="ListBullet"/>
      </w:pPr>
      <w:r w:rsidRPr="00A27D44">
        <w:t xml:space="preserve">Solutions to ensure seamless communication and information exchange between the statewide </w:t>
      </w:r>
      <w:r w:rsidR="00D64552">
        <w:t>Client Management System/</w:t>
      </w:r>
      <w:r w:rsidRPr="00A27D44">
        <w:t xml:space="preserve">PACS and individual BreastScreen </w:t>
      </w:r>
      <w:r w:rsidR="00E36322">
        <w:t xml:space="preserve">Client Management Systems </w:t>
      </w:r>
      <w:r w:rsidRPr="00A27D44">
        <w:t>within the jurisdiction.</w:t>
      </w:r>
    </w:p>
    <w:p w14:paraId="24995591" w14:textId="77777777" w:rsidR="00B65AE6" w:rsidRPr="00A27D44" w:rsidRDefault="00B65AE6" w:rsidP="00D11DF2">
      <w:pPr>
        <w:pStyle w:val="ListBullet"/>
      </w:pPr>
      <w:r w:rsidRPr="00A27D44">
        <w:t>A comprehensive Data Management Manual (or equivalent) which includes but is not limited to:</w:t>
      </w:r>
    </w:p>
    <w:p w14:paraId="29746D6D" w14:textId="3CD1C42E" w:rsidR="00B65AE6" w:rsidRPr="00A27D44" w:rsidRDefault="00B65AE6" w:rsidP="00D11DF2">
      <w:pPr>
        <w:pStyle w:val="ListBullet2"/>
      </w:pPr>
      <w:r w:rsidRPr="00A27D44">
        <w:t xml:space="preserve">All policies, procedures and protocols that are required for the effective management and governance of data within the PACS and </w:t>
      </w:r>
      <w:r w:rsidR="00D64552">
        <w:t>Client Management System</w:t>
      </w:r>
    </w:p>
    <w:p w14:paraId="7296A897" w14:textId="77777777" w:rsidR="00B65AE6" w:rsidRPr="00A27D44" w:rsidRDefault="00B65AE6" w:rsidP="00D11DF2">
      <w:pPr>
        <w:pStyle w:val="ListBullet2"/>
      </w:pPr>
      <w:r w:rsidRPr="00A27D44">
        <w:t xml:space="preserve">Change management strategies </w:t>
      </w:r>
    </w:p>
    <w:p w14:paraId="18CE9953" w14:textId="76E0FAA1" w:rsidR="00B65AE6" w:rsidRPr="00A27D44" w:rsidRDefault="00B65AE6" w:rsidP="00D11DF2">
      <w:pPr>
        <w:pStyle w:val="ListBullet2"/>
      </w:pPr>
      <w:r w:rsidRPr="00A27D44">
        <w:t>Training requirements</w:t>
      </w:r>
      <w:r w:rsidR="00DE3B8F">
        <w:t>.</w:t>
      </w:r>
    </w:p>
    <w:p w14:paraId="48DCD15B" w14:textId="39DEA936" w:rsidR="00B65AE6" w:rsidRPr="00A27D44" w:rsidRDefault="00B65AE6" w:rsidP="00D11DF2">
      <w:pPr>
        <w:pStyle w:val="ListBullet"/>
      </w:pPr>
      <w:r w:rsidRPr="00A27D44">
        <w:t xml:space="preserve">Processes to ensure back-up and disaster recovery of data within the PACS and </w:t>
      </w:r>
      <w:r w:rsidR="00D64552">
        <w:t>Client Management System</w:t>
      </w:r>
      <w:r w:rsidR="00DE3B8F">
        <w:t>.</w:t>
      </w:r>
    </w:p>
    <w:p w14:paraId="0B53E035" w14:textId="4D5508DF" w:rsidR="00B65AE6" w:rsidRPr="00A27D44" w:rsidRDefault="00B65AE6" w:rsidP="00AB1C35">
      <w:pPr>
        <w:rPr>
          <w:rFonts w:cstheme="minorHAnsi"/>
        </w:rPr>
      </w:pPr>
      <w:r w:rsidRPr="00A27D44">
        <w:t xml:space="preserve">When assessing performance against disciplines 1, 2 and 3, the Data Assessor should undertake a ‘risk-based approach to quality assurance’. This means </w:t>
      </w:r>
      <w:r w:rsidR="004D029F" w:rsidRPr="00A27D44">
        <w:t>focusing</w:t>
      </w:r>
      <w:r w:rsidRPr="00A27D44">
        <w:t xml:space="preserve"> on the </w:t>
      </w:r>
      <w:r w:rsidRPr="00A27D44">
        <w:rPr>
          <w:rFonts w:cstheme="minorHAnsi"/>
        </w:rPr>
        <w:t>“</w:t>
      </w:r>
      <w:r w:rsidRPr="00A27D44">
        <w:rPr>
          <w:rFonts w:cstheme="minorHAnsi"/>
          <w:i/>
        </w:rPr>
        <w:t xml:space="preserve">most important sources of error or procedural lapses from the perspective of the registry’s purpose” </w:t>
      </w:r>
      <w:r w:rsidRPr="00A27D44">
        <w:rPr>
          <w:rStyle w:val="FootnoteReference"/>
          <w:rFonts w:cstheme="minorHAnsi"/>
        </w:rPr>
        <w:footnoteReference w:id="7"/>
      </w:r>
      <w:r w:rsidRPr="00A27D44">
        <w:rPr>
          <w:rFonts w:cstheme="minorHAnsi"/>
        </w:rPr>
        <w:t xml:space="preserve">. </w:t>
      </w:r>
      <w:r w:rsidR="000C2986">
        <w:rPr>
          <w:rFonts w:cstheme="minorHAnsi"/>
        </w:rPr>
        <w:t xml:space="preserve"> </w:t>
      </w:r>
      <w:r w:rsidRPr="00A27D44">
        <w:rPr>
          <w:rFonts w:cstheme="minorHAnsi"/>
        </w:rPr>
        <w:t>For example:</w:t>
      </w:r>
    </w:p>
    <w:p w14:paraId="2BCD01A9" w14:textId="77777777" w:rsidR="00B65AE6" w:rsidRPr="00A27D44" w:rsidRDefault="00B65AE6" w:rsidP="00D11DF2">
      <w:pPr>
        <w:pStyle w:val="ListBullet"/>
      </w:pPr>
      <w:r w:rsidRPr="00A27D44">
        <w:t>ensuring all women’s images are double read;</w:t>
      </w:r>
    </w:p>
    <w:p w14:paraId="72C570E8" w14:textId="77777777" w:rsidR="00B65AE6" w:rsidRPr="00A27D44" w:rsidRDefault="00B65AE6" w:rsidP="00D11DF2">
      <w:pPr>
        <w:pStyle w:val="ListBullet"/>
      </w:pPr>
      <w:r w:rsidRPr="00A27D44">
        <w:t>where there has been a discordant read, the image has been referred for a ‘consensus’ or ‘third’ read;</w:t>
      </w:r>
    </w:p>
    <w:p w14:paraId="1B895D2F" w14:textId="5CF0240F" w:rsidR="00B65AE6" w:rsidRPr="00A27D44" w:rsidRDefault="00B65AE6" w:rsidP="00D11DF2">
      <w:pPr>
        <w:pStyle w:val="ListBullet"/>
      </w:pPr>
      <w:r w:rsidRPr="00A27D44">
        <w:t xml:space="preserve">calculating </w:t>
      </w:r>
      <w:r w:rsidR="0033686A">
        <w:t>Measure</w:t>
      </w:r>
      <w:r w:rsidRPr="00A27D44">
        <w:t>s which could be subject to misinterpretation or inconsistent application of algorithms - e.g. time from screening to assessment</w:t>
      </w:r>
      <w:r w:rsidR="00DE3B8F">
        <w:t>;</w:t>
      </w:r>
    </w:p>
    <w:p w14:paraId="7FC892EF" w14:textId="77777777" w:rsidR="00B65AE6" w:rsidRPr="00A27D44" w:rsidRDefault="00B65AE6" w:rsidP="00D11DF2">
      <w:pPr>
        <w:pStyle w:val="ListBullet"/>
      </w:pPr>
      <w:r w:rsidRPr="00A27D44">
        <w:t xml:space="preserve">abnormal trend data – i.e. performance against accreditation </w:t>
      </w:r>
      <w:r w:rsidR="0033686A">
        <w:t>Measure</w:t>
      </w:r>
      <w:r w:rsidRPr="00A27D44">
        <w:t>s which appear to have suddenly increased or decreased compared to historical averages;</w:t>
      </w:r>
      <w:r w:rsidR="000C2986">
        <w:t xml:space="preserve"> or</w:t>
      </w:r>
    </w:p>
    <w:p w14:paraId="454CF7C3" w14:textId="510D6C24" w:rsidR="00667D73" w:rsidRDefault="00B65AE6" w:rsidP="00D11DF2">
      <w:pPr>
        <w:pStyle w:val="ListBullet"/>
      </w:pPr>
      <w:r w:rsidRPr="00A27D44">
        <w:t xml:space="preserve">ensuring the accuracy of data entered by the Service with respect to assessment </w:t>
      </w:r>
      <w:r w:rsidRPr="00A27D44">
        <w:lastRenderedPageBreak/>
        <w:t>outcomes</w:t>
      </w:r>
      <w:r w:rsidR="00DE3B8F">
        <w:t>;</w:t>
      </w:r>
      <w:r w:rsidR="00667D73">
        <w:t xml:space="preserve"> and,</w:t>
      </w:r>
    </w:p>
    <w:p w14:paraId="4CB9EA3D" w14:textId="05B7A610" w:rsidR="00B65AE6" w:rsidRPr="00A27D44" w:rsidRDefault="00667D73" w:rsidP="00D11DF2">
      <w:pPr>
        <w:pStyle w:val="ListBullet"/>
      </w:pPr>
      <w:r>
        <w:t>the process for matching with cancer registries for the purpose of validating interval cancers</w:t>
      </w:r>
      <w:r w:rsidR="000C2986">
        <w:t>.</w:t>
      </w:r>
    </w:p>
    <w:p w14:paraId="498A67EA" w14:textId="35FD6759" w:rsidR="00B65AE6" w:rsidRPr="00A27D44" w:rsidRDefault="00B65AE6" w:rsidP="00AB1C35">
      <w:r w:rsidRPr="00A27D44">
        <w:t xml:space="preserve">The Data Assessor’s findings of the Data Governance and Management Assessment will be recorded on the </w:t>
      </w:r>
      <w:r w:rsidR="00C902CD" w:rsidRPr="00A27D44">
        <w:t>Survey</w:t>
      </w:r>
      <w:r w:rsidRPr="00A27D44">
        <w:t xml:space="preserve"> </w:t>
      </w:r>
      <w:r w:rsidRPr="004844A5">
        <w:t>Report (</w:t>
      </w:r>
      <w:r w:rsidR="00350474" w:rsidRPr="004844A5">
        <w:t>BSA101</w:t>
      </w:r>
      <w:r w:rsidRPr="004844A5">
        <w:t>). The</w:t>
      </w:r>
      <w:r w:rsidRPr="00A27D44">
        <w:t xml:space="preserve"> SCU is responsible for addressing any areas identified for improvement through appropriate quality improvement strategies. This will ensure </w:t>
      </w:r>
      <w:r w:rsidR="00AC2DA2">
        <w:t xml:space="preserve">that </w:t>
      </w:r>
      <w:r w:rsidRPr="00A27D44">
        <w:t xml:space="preserve">the Service and/or SCU have effective policies, procedures and protocols that will ensure a high level of data security, accuracy, integrity and organisation and systems management. </w:t>
      </w:r>
    </w:p>
    <w:p w14:paraId="5DC167AE" w14:textId="296FB062" w:rsidR="004D5455" w:rsidRPr="004844A5" w:rsidRDefault="00B65AE6" w:rsidP="00AB1C35">
      <w:r w:rsidRPr="004844A5">
        <w:t>The SCU’s response to the Data Assessor’s findings should be recorded on the ‘Response by Service and/or SCU’ accreditation form (</w:t>
      </w:r>
      <w:r w:rsidR="007F78D5" w:rsidRPr="004844A5">
        <w:t>BSA005</w:t>
      </w:r>
      <w:r w:rsidRPr="004844A5">
        <w:t>), with quality improvement strategies outlined within the SCU’s Quality Improvement Plan (</w:t>
      </w:r>
      <w:r w:rsidR="007F78D5" w:rsidRPr="004844A5">
        <w:t>BSA006</w:t>
      </w:r>
      <w:r w:rsidRPr="004844A5">
        <w:t>).</w:t>
      </w:r>
    </w:p>
    <w:p w14:paraId="7E5F9B3A" w14:textId="3EC76356" w:rsidR="00694A9A" w:rsidRPr="004844A5" w:rsidRDefault="00694A9A" w:rsidP="00500310">
      <w:pPr>
        <w:pStyle w:val="Heading2"/>
      </w:pPr>
      <w:bookmarkStart w:id="180" w:name="_Ref465947260"/>
      <w:bookmarkStart w:id="181" w:name="_Ref465947278"/>
      <w:bookmarkStart w:id="182" w:name="_Ref465947413"/>
      <w:bookmarkStart w:id="183" w:name="_Toc517944651"/>
      <w:bookmarkStart w:id="184" w:name="_Toc66438681"/>
      <w:r w:rsidRPr="004844A5">
        <w:t>SUITE OF FORMS</w:t>
      </w:r>
      <w:bookmarkEnd w:id="180"/>
      <w:bookmarkEnd w:id="181"/>
      <w:bookmarkEnd w:id="182"/>
      <w:bookmarkEnd w:id="183"/>
      <w:bookmarkEnd w:id="184"/>
      <w:r w:rsidRPr="004844A5">
        <w:t xml:space="preserve"> </w:t>
      </w:r>
    </w:p>
    <w:p w14:paraId="1DDDEDD5" w14:textId="77777777" w:rsidR="00694A9A" w:rsidRPr="001A1836" w:rsidRDefault="00694A9A" w:rsidP="00AB1C35">
      <w:pPr>
        <w:rPr>
          <w:snapToGrid w:val="0"/>
        </w:rPr>
      </w:pPr>
      <w:r w:rsidRPr="001A1836">
        <w:rPr>
          <w:snapToGrid w:val="0"/>
        </w:rPr>
        <w:t xml:space="preserve">A suite of forms has been developed to support the accreditation process. </w:t>
      </w:r>
      <w:r>
        <w:rPr>
          <w:snapToGrid w:val="0"/>
        </w:rPr>
        <w:t xml:space="preserve"> </w:t>
      </w:r>
      <w:r w:rsidRPr="001A1836">
        <w:rPr>
          <w:snapToGrid w:val="0"/>
        </w:rPr>
        <w:t xml:space="preserve">These </w:t>
      </w:r>
      <w:r>
        <w:rPr>
          <w:snapToGrid w:val="0"/>
        </w:rPr>
        <w:t xml:space="preserve">are </w:t>
      </w:r>
      <w:r w:rsidRPr="0045030C">
        <w:rPr>
          <w:snapToGrid w:val="0"/>
        </w:rPr>
        <w:t xml:space="preserve">available on the </w:t>
      </w:r>
      <w:r>
        <w:rPr>
          <w:snapToGrid w:val="0"/>
        </w:rPr>
        <w:t xml:space="preserve">Department of Health’s cancer screening </w:t>
      </w:r>
      <w:r w:rsidRPr="0045030C">
        <w:rPr>
          <w:snapToGrid w:val="0"/>
        </w:rPr>
        <w:t>website</w:t>
      </w:r>
      <w:r>
        <w:rPr>
          <w:snapToGrid w:val="0"/>
        </w:rPr>
        <w:t xml:space="preserve"> and include</w:t>
      </w:r>
      <w:r w:rsidRPr="001A1836">
        <w:rPr>
          <w:snapToGrid w:val="0"/>
        </w:rPr>
        <w:t>:</w:t>
      </w:r>
    </w:p>
    <w:p w14:paraId="390932FB" w14:textId="3F03CF5A" w:rsidR="00694A9A" w:rsidRPr="009D1288" w:rsidRDefault="008063D1" w:rsidP="00D11DF2">
      <w:pPr>
        <w:pStyle w:val="ListBullet"/>
      </w:pPr>
      <w:r>
        <w:t xml:space="preserve">BSA001 </w:t>
      </w:r>
      <w:r w:rsidR="00694A9A">
        <w:t>Application for Accreditation.</w:t>
      </w:r>
    </w:p>
    <w:p w14:paraId="30F59350" w14:textId="6818C374" w:rsidR="00694A9A" w:rsidRPr="009D1288" w:rsidRDefault="008063D1" w:rsidP="00D11DF2">
      <w:pPr>
        <w:pStyle w:val="ListBullet"/>
      </w:pPr>
      <w:r>
        <w:t xml:space="preserve">BSA004 </w:t>
      </w:r>
      <w:r w:rsidR="00694A9A">
        <w:t>NAS Data Report.</w:t>
      </w:r>
    </w:p>
    <w:p w14:paraId="58212C84" w14:textId="2FC737FE" w:rsidR="00694A9A" w:rsidRPr="009D1288" w:rsidRDefault="008063D1" w:rsidP="00D11DF2">
      <w:pPr>
        <w:pStyle w:val="ListBullet"/>
      </w:pPr>
      <w:r>
        <w:t xml:space="preserve">BSA003 </w:t>
      </w:r>
      <w:r w:rsidR="00694A9A">
        <w:t>NAS Accountability Framework.</w:t>
      </w:r>
    </w:p>
    <w:p w14:paraId="0BB5B699" w14:textId="316EFC66" w:rsidR="00694A9A" w:rsidRPr="009D1288" w:rsidRDefault="008063D1" w:rsidP="00D11DF2">
      <w:pPr>
        <w:pStyle w:val="ListBullet"/>
      </w:pPr>
      <w:r>
        <w:t xml:space="preserve">BSA101 </w:t>
      </w:r>
      <w:r w:rsidR="00694A9A">
        <w:t>Survey and Interim Survey report.</w:t>
      </w:r>
    </w:p>
    <w:p w14:paraId="552ABB9C" w14:textId="32C09C90" w:rsidR="00694A9A" w:rsidRPr="00AB1C35" w:rsidRDefault="008063D1" w:rsidP="00D11DF2">
      <w:pPr>
        <w:pStyle w:val="ListBullet"/>
        <w:rPr>
          <w:rFonts w:cstheme="minorHAnsi"/>
          <w:w w:val="108"/>
        </w:rPr>
      </w:pPr>
      <w:r>
        <w:t xml:space="preserve">BSA005 </w:t>
      </w:r>
      <w:r w:rsidR="00694A9A" w:rsidRPr="009D1288">
        <w:t>Response by Service</w:t>
      </w:r>
      <w:r w:rsidR="00694A9A">
        <w:t>/SCU.</w:t>
      </w:r>
    </w:p>
    <w:p w14:paraId="636C3A11" w14:textId="45539F2E" w:rsidR="00694A9A" w:rsidRPr="009D1288" w:rsidRDefault="008063D1" w:rsidP="00D11DF2">
      <w:pPr>
        <w:pStyle w:val="ListBullet"/>
      </w:pPr>
      <w:r>
        <w:t xml:space="preserve">BSA002 </w:t>
      </w:r>
      <w:r w:rsidR="00694A9A" w:rsidRPr="009D1288">
        <w:t>Notification of Commencement of Service</w:t>
      </w:r>
      <w:r w:rsidR="00694A9A">
        <w:t>.</w:t>
      </w:r>
    </w:p>
    <w:p w14:paraId="49FC9BAE" w14:textId="28D56126" w:rsidR="00694A9A" w:rsidRPr="009D1288" w:rsidRDefault="008063D1" w:rsidP="00D11DF2">
      <w:pPr>
        <w:pStyle w:val="ListBullet"/>
      </w:pPr>
      <w:r>
        <w:t xml:space="preserve">BSA007 </w:t>
      </w:r>
      <w:r w:rsidR="00694A9A" w:rsidRPr="009D1288">
        <w:t>Request for Extension to Accreditation</w:t>
      </w:r>
      <w:r w:rsidR="00694A9A">
        <w:t>.</w:t>
      </w:r>
    </w:p>
    <w:p w14:paraId="7AED4590" w14:textId="6C4D1D08" w:rsidR="00694A9A" w:rsidRPr="009D1288" w:rsidRDefault="008063D1" w:rsidP="00D11DF2">
      <w:pPr>
        <w:pStyle w:val="ListBullet"/>
      </w:pPr>
      <w:r>
        <w:t xml:space="preserve">BSA201 </w:t>
      </w:r>
      <w:r w:rsidR="00694A9A" w:rsidRPr="009D1288">
        <w:t>Appeal Application</w:t>
      </w:r>
      <w:r w:rsidR="00694A9A">
        <w:t>.</w:t>
      </w:r>
    </w:p>
    <w:p w14:paraId="7B929FF8" w14:textId="0019EEE8" w:rsidR="00694A9A" w:rsidRPr="00AB1C35" w:rsidRDefault="009F4201" w:rsidP="00D11DF2">
      <w:pPr>
        <w:pStyle w:val="ListBullet"/>
        <w:rPr>
          <w:rFonts w:cstheme="minorHAnsi"/>
          <w:w w:val="108"/>
        </w:rPr>
      </w:pPr>
      <w:r>
        <w:t xml:space="preserve">BSA501 </w:t>
      </w:r>
      <w:r w:rsidR="00694A9A" w:rsidRPr="009D1288">
        <w:t>Deed Poll - Confidentiality and Conflict of Interest Undertaking</w:t>
      </w:r>
      <w:r w:rsidR="00694A9A">
        <w:t>.</w:t>
      </w:r>
    </w:p>
    <w:p w14:paraId="430FD445" w14:textId="37311961" w:rsidR="00694A9A" w:rsidRPr="009D1288" w:rsidRDefault="008063D1" w:rsidP="00D11DF2">
      <w:pPr>
        <w:pStyle w:val="ListBullet"/>
      </w:pPr>
      <w:r>
        <w:t xml:space="preserve">BSA009 </w:t>
      </w:r>
      <w:r w:rsidR="001F3CAE">
        <w:t>Survey</w:t>
      </w:r>
      <w:r w:rsidR="001F3CAE" w:rsidRPr="009D1288">
        <w:t xml:space="preserve"> </w:t>
      </w:r>
      <w:r w:rsidR="00694A9A" w:rsidRPr="009D1288">
        <w:t>Evaluation Tool</w:t>
      </w:r>
      <w:r w:rsidR="00694A9A">
        <w:t>.</w:t>
      </w:r>
    </w:p>
    <w:p w14:paraId="514F398D" w14:textId="6AFDA75E" w:rsidR="00694A9A" w:rsidRPr="00ED0090" w:rsidRDefault="00673EE9" w:rsidP="00D11DF2">
      <w:pPr>
        <w:pStyle w:val="ListBullet"/>
      </w:pPr>
      <w:r w:rsidRPr="00ED0090">
        <w:t>[</w:t>
      </w:r>
      <w:r w:rsidR="008063D1">
        <w:t xml:space="preserve">BSA010 </w:t>
      </w:r>
      <w:r w:rsidR="00694A9A" w:rsidRPr="00ED0090">
        <w:t>Surveyor Evaluation Tool.</w:t>
      </w:r>
      <w:r w:rsidRPr="00ED0090">
        <w:t>]</w:t>
      </w:r>
      <w:r w:rsidR="004728D1" w:rsidRPr="00ED0090">
        <w:rPr>
          <w:rStyle w:val="FootnoteReference"/>
        </w:rPr>
        <w:footnoteReference w:id="8"/>
      </w:r>
    </w:p>
    <w:p w14:paraId="675FB1EF" w14:textId="2338A107" w:rsidR="00694A9A" w:rsidRPr="009D1288" w:rsidRDefault="008063D1" w:rsidP="00D11DF2">
      <w:pPr>
        <w:pStyle w:val="ListBullet"/>
      </w:pPr>
      <w:r>
        <w:t xml:space="preserve">BSA008 </w:t>
      </w:r>
      <w:r w:rsidR="00694A9A" w:rsidRPr="009D1288">
        <w:t>Report Evaluation Tool</w:t>
      </w:r>
      <w:r w:rsidR="00694A9A">
        <w:t>.</w:t>
      </w:r>
    </w:p>
    <w:p w14:paraId="15C1F0B5" w14:textId="76E1E790" w:rsidR="00694A9A" w:rsidRPr="00777AED" w:rsidRDefault="008063D1" w:rsidP="00D11DF2">
      <w:pPr>
        <w:pStyle w:val="ListBullet"/>
        <w:rPr>
          <w:rFonts w:cstheme="minorHAnsi"/>
          <w:snapToGrid w:val="0"/>
        </w:rPr>
      </w:pPr>
      <w:r>
        <w:t xml:space="preserve">BSA006 </w:t>
      </w:r>
      <w:r w:rsidR="00694A9A">
        <w:t>Quality Improvement Plan</w:t>
      </w:r>
      <w:r w:rsidR="00694A9A" w:rsidRPr="009D1288">
        <w:t>.</w:t>
      </w:r>
    </w:p>
    <w:p w14:paraId="15685D3B" w14:textId="6A33F89D" w:rsidR="00777AED" w:rsidRPr="00CD0B10" w:rsidRDefault="008063D1" w:rsidP="00D11DF2">
      <w:pPr>
        <w:pStyle w:val="ListBullet"/>
        <w:rPr>
          <w:rFonts w:cstheme="minorHAnsi"/>
          <w:snapToGrid w:val="0"/>
        </w:rPr>
      </w:pPr>
      <w:r>
        <w:t xml:space="preserve">BSA000 </w:t>
      </w:r>
      <w:r w:rsidR="00777AED">
        <w:t>Protocol Management Checklist</w:t>
      </w:r>
      <w:r w:rsidR="005A447E">
        <w:t xml:space="preserve"> (available from the NQMC Secretariat upon request).</w:t>
      </w:r>
    </w:p>
    <w:p w14:paraId="66D59F89" w14:textId="25185079" w:rsidR="00CD0B10" w:rsidRPr="00CD0B10" w:rsidRDefault="00CD0B10" w:rsidP="00D11DF2">
      <w:pPr>
        <w:pStyle w:val="ListBullet"/>
        <w:rPr>
          <w:rFonts w:cstheme="minorHAnsi"/>
          <w:snapToGrid w:val="0"/>
        </w:rPr>
      </w:pPr>
      <w:r>
        <w:lastRenderedPageBreak/>
        <w:t>BSA301 Standard 5 Protocol Accountability Framework</w:t>
      </w:r>
    </w:p>
    <w:p w14:paraId="30D40940" w14:textId="4CECFE70" w:rsidR="00CD0B10" w:rsidRPr="00CD0B10" w:rsidRDefault="00CD0B10" w:rsidP="00D11DF2">
      <w:pPr>
        <w:pStyle w:val="ListBullet"/>
        <w:rPr>
          <w:rFonts w:cstheme="minorHAnsi"/>
          <w:snapToGrid w:val="0"/>
        </w:rPr>
      </w:pPr>
      <w:r>
        <w:t>BSA302 – DGMA Self-assessment form</w:t>
      </w:r>
    </w:p>
    <w:p w14:paraId="3AE9F9E9" w14:textId="02B5BAEA" w:rsidR="00CD0B10" w:rsidRPr="00CD0B10" w:rsidRDefault="00CD0B10" w:rsidP="00D11DF2">
      <w:pPr>
        <w:pStyle w:val="ListBullet"/>
        <w:rPr>
          <w:rFonts w:cstheme="minorHAnsi"/>
          <w:snapToGrid w:val="0"/>
        </w:rPr>
      </w:pPr>
      <w:r>
        <w:t>BSA303 DGMA Data Assessor Report</w:t>
      </w:r>
    </w:p>
    <w:p w14:paraId="10D05404" w14:textId="274B1827" w:rsidR="00CD0B10" w:rsidRPr="00BA3B7F" w:rsidRDefault="00CD0B10" w:rsidP="00D11DF2">
      <w:pPr>
        <w:pStyle w:val="ListBullet"/>
        <w:rPr>
          <w:rFonts w:cstheme="minorHAnsi"/>
          <w:snapToGrid w:val="0"/>
        </w:rPr>
      </w:pPr>
      <w:r>
        <w:t>BSA304 DGMA Service/SCU response to DGMA</w:t>
      </w:r>
    </w:p>
    <w:p w14:paraId="2137E7AA" w14:textId="117FAAF5" w:rsidR="00AA340F" w:rsidRDefault="00694A9A" w:rsidP="00AB1C35">
      <w:pPr>
        <w:rPr>
          <w:snapToGrid w:val="0"/>
        </w:rPr>
      </w:pPr>
      <w:r w:rsidRPr="001A1836">
        <w:rPr>
          <w:snapToGrid w:val="0"/>
        </w:rPr>
        <w:t>It is mandatory for Services</w:t>
      </w:r>
      <w:r>
        <w:rPr>
          <w:snapToGrid w:val="0"/>
        </w:rPr>
        <w:t xml:space="preserve"> and SCUs</w:t>
      </w:r>
      <w:r w:rsidRPr="001A1836">
        <w:rPr>
          <w:snapToGrid w:val="0"/>
        </w:rPr>
        <w:t xml:space="preserve"> to use the forms as they have been designed to provide the NQMC with information essential to making accreditation decisions, and to assist in self-assessment and the overall accreditation process. </w:t>
      </w:r>
      <w:r>
        <w:rPr>
          <w:snapToGrid w:val="0"/>
        </w:rPr>
        <w:t xml:space="preserve"> </w:t>
      </w:r>
      <w:r w:rsidRPr="001A1836">
        <w:rPr>
          <w:snapToGrid w:val="0"/>
        </w:rPr>
        <w:t xml:space="preserve">The forms are designed for use both electronically and in hard copy. </w:t>
      </w:r>
      <w:r>
        <w:rPr>
          <w:snapToGrid w:val="0"/>
        </w:rPr>
        <w:t xml:space="preserve"> </w:t>
      </w:r>
      <w:r w:rsidRPr="001A1836">
        <w:rPr>
          <w:snapToGrid w:val="0"/>
        </w:rPr>
        <w:t>Use of the electronic version of the forms is strongly recommended as they have in-built capabilities such as automatic prompts, calculations and data generation to beneﬁt users.</w:t>
      </w:r>
    </w:p>
    <w:p w14:paraId="2994D079" w14:textId="49DF51CA" w:rsidR="002D6CA1" w:rsidRDefault="002D6CA1" w:rsidP="00AB1C35">
      <w:pPr>
        <w:rPr>
          <w:snapToGrid w:val="0"/>
        </w:rPr>
      </w:pPr>
      <w:r>
        <w:rPr>
          <w:snapToGrid w:val="0"/>
        </w:rPr>
        <w:t xml:space="preserve">Please note: the </w:t>
      </w:r>
      <w:r w:rsidR="00F2596C">
        <w:rPr>
          <w:snapToGrid w:val="0"/>
        </w:rPr>
        <w:t>QI</w:t>
      </w:r>
      <w:r>
        <w:rPr>
          <w:snapToGrid w:val="0"/>
        </w:rPr>
        <w:t xml:space="preserve"> </w:t>
      </w:r>
      <w:r w:rsidR="00F2596C">
        <w:rPr>
          <w:snapToGrid w:val="0"/>
        </w:rPr>
        <w:t>p</w:t>
      </w:r>
      <w:r>
        <w:rPr>
          <w:snapToGrid w:val="0"/>
        </w:rPr>
        <w:t>lan template</w:t>
      </w:r>
      <w:r w:rsidR="00DE5A23">
        <w:rPr>
          <w:snapToGrid w:val="0"/>
        </w:rPr>
        <w:t xml:space="preserve"> (BSA006)</w:t>
      </w:r>
      <w:r>
        <w:rPr>
          <w:snapToGrid w:val="0"/>
        </w:rPr>
        <w:t xml:space="preserve"> includes</w:t>
      </w:r>
      <w:r w:rsidR="00DE3B8F">
        <w:rPr>
          <w:snapToGrid w:val="0"/>
        </w:rPr>
        <w:t>:</w:t>
      </w:r>
    </w:p>
    <w:p w14:paraId="4D0E752B" w14:textId="5AF4419C" w:rsidR="002D6CA1" w:rsidRPr="002D6CA1" w:rsidRDefault="002D6CA1" w:rsidP="002D6CA1">
      <w:pPr>
        <w:pStyle w:val="ListBullet"/>
        <w:tabs>
          <w:tab w:val="clear" w:pos="360"/>
          <w:tab w:val="num" w:pos="709"/>
        </w:tabs>
        <w:ind w:left="709" w:hanging="357"/>
      </w:pPr>
      <w:r w:rsidRPr="002D6CA1">
        <w:t>Part A:</w:t>
      </w:r>
      <w:r>
        <w:t xml:space="preserve"> is </w:t>
      </w:r>
      <w:r>
        <w:rPr>
          <w:color w:val="000000"/>
        </w:rPr>
        <w:t xml:space="preserve">confined to issues relating to unmet NAS Measures, </w:t>
      </w:r>
      <w:r>
        <w:t>or declining performance trends within the Service/SCU</w:t>
      </w:r>
      <w:r w:rsidRPr="002D6CA1">
        <w:t>; and</w:t>
      </w:r>
    </w:p>
    <w:p w14:paraId="45990111" w14:textId="2024B719" w:rsidR="002D6CA1" w:rsidRDefault="002D6CA1" w:rsidP="002D6CA1">
      <w:pPr>
        <w:pStyle w:val="ListBullet"/>
        <w:tabs>
          <w:tab w:val="clear" w:pos="360"/>
          <w:tab w:val="num" w:pos="709"/>
        </w:tabs>
        <w:ind w:left="709" w:hanging="357"/>
      </w:pPr>
      <w:r w:rsidRPr="002D6CA1">
        <w:t>Part B</w:t>
      </w:r>
      <w:r>
        <w:t xml:space="preserve">: allows for Services/SCUs to customise their response and describe all </w:t>
      </w:r>
      <w:r w:rsidR="00673EE9">
        <w:t>QI</w:t>
      </w:r>
      <w:r w:rsidR="0086261D">
        <w:t xml:space="preserve"> </w:t>
      </w:r>
      <w:r>
        <w:t>P</w:t>
      </w:r>
      <w:r w:rsidR="0086261D">
        <w:t>lan</w:t>
      </w:r>
      <w:r>
        <w:t>s in full.</w:t>
      </w:r>
      <w:r w:rsidR="00843C8D">
        <w:t xml:space="preserve">  </w:t>
      </w:r>
      <w:r w:rsidR="00D763FE">
        <w:t>Submission of Part B to the NQMC is optional.</w:t>
      </w:r>
    </w:p>
    <w:p w14:paraId="2C33082E" w14:textId="752333FC" w:rsidR="0086261D" w:rsidRPr="002D6CA1" w:rsidRDefault="0086261D" w:rsidP="0086261D">
      <w:pPr>
        <w:pStyle w:val="ListBullet"/>
        <w:numPr>
          <w:ilvl w:val="0"/>
          <w:numId w:val="0"/>
        </w:numPr>
        <w:jc w:val="both"/>
      </w:pPr>
      <w:r>
        <w:t xml:space="preserve">Where there is overlap </w:t>
      </w:r>
      <w:r w:rsidRPr="0086261D">
        <w:t xml:space="preserve">between an existing </w:t>
      </w:r>
      <w:r w:rsidR="00F2596C">
        <w:t>QI</w:t>
      </w:r>
      <w:r w:rsidRPr="0086261D">
        <w:t xml:space="preserve"> </w:t>
      </w:r>
      <w:r w:rsidR="00F2596C">
        <w:t>p</w:t>
      </w:r>
      <w:r w:rsidRPr="0086261D">
        <w:t>lan and the Response by Service form</w:t>
      </w:r>
      <w:r w:rsidR="00DE5A23">
        <w:t xml:space="preserve"> (BSA005)</w:t>
      </w:r>
      <w:r>
        <w:t>,</w:t>
      </w:r>
      <w:r w:rsidRPr="0086261D">
        <w:t xml:space="preserve"> the Response by Service form can simply refer the reader to the </w:t>
      </w:r>
      <w:r w:rsidR="00F2596C">
        <w:t>QI plan</w:t>
      </w:r>
      <w:r w:rsidR="00FB0854">
        <w:t xml:space="preserve"> as its response.</w:t>
      </w:r>
    </w:p>
    <w:p w14:paraId="10C77275" w14:textId="5183B3FC" w:rsidR="0058184C" w:rsidRPr="00380FB8" w:rsidRDefault="0082698F" w:rsidP="0008617F">
      <w:pPr>
        <w:pStyle w:val="Heading1"/>
      </w:pPr>
      <w:bookmarkStart w:id="185" w:name="_Toc517944652"/>
      <w:bookmarkStart w:id="186" w:name="_Toc66438682"/>
      <w:r>
        <w:lastRenderedPageBreak/>
        <w:t>APPLYING FOR</w:t>
      </w:r>
      <w:r w:rsidR="00107E60" w:rsidRPr="00380FB8">
        <w:t xml:space="preserve"> </w:t>
      </w:r>
      <w:r w:rsidR="0058184C" w:rsidRPr="00380FB8">
        <w:t>ACCREDITATION</w:t>
      </w:r>
      <w:bookmarkEnd w:id="185"/>
      <w:bookmarkEnd w:id="186"/>
      <w:r w:rsidR="0058184C" w:rsidRPr="00380FB8">
        <w:t xml:space="preserve"> </w:t>
      </w:r>
    </w:p>
    <w:p w14:paraId="2CCE5680" w14:textId="3AA720FC" w:rsidR="0058184C" w:rsidRPr="0048568A" w:rsidRDefault="0058184C" w:rsidP="00500310">
      <w:pPr>
        <w:pStyle w:val="Heading2"/>
      </w:pPr>
      <w:bookmarkStart w:id="187" w:name="_Toc517944653"/>
      <w:bookmarkStart w:id="188" w:name="_Toc66438683"/>
      <w:r w:rsidRPr="0048568A">
        <w:t>INTRODUCTION</w:t>
      </w:r>
      <w:bookmarkEnd w:id="187"/>
      <w:bookmarkEnd w:id="188"/>
    </w:p>
    <w:p w14:paraId="64AE664D" w14:textId="3AFF595C" w:rsidR="0058184C" w:rsidRPr="0048568A" w:rsidRDefault="0058184C" w:rsidP="00AB1C35">
      <w:pPr>
        <w:rPr>
          <w:snapToGrid w:val="0"/>
        </w:rPr>
      </w:pPr>
      <w:r w:rsidRPr="0048568A">
        <w:rPr>
          <w:snapToGrid w:val="0"/>
        </w:rPr>
        <w:t xml:space="preserve">This </w:t>
      </w:r>
      <w:r w:rsidR="001B491F">
        <w:rPr>
          <w:snapToGrid w:val="0"/>
        </w:rPr>
        <w:t>S</w:t>
      </w:r>
      <w:r w:rsidRPr="0048568A">
        <w:rPr>
          <w:snapToGrid w:val="0"/>
        </w:rPr>
        <w:t xml:space="preserve">ection summarises the steps for </w:t>
      </w:r>
      <w:r w:rsidR="00A55EEE">
        <w:rPr>
          <w:snapToGrid w:val="0"/>
        </w:rPr>
        <w:t>applying for</w:t>
      </w:r>
      <w:r w:rsidR="00FF6C65" w:rsidRPr="0048568A">
        <w:rPr>
          <w:snapToGrid w:val="0"/>
        </w:rPr>
        <w:t xml:space="preserve"> </w:t>
      </w:r>
      <w:r w:rsidRPr="0048568A">
        <w:rPr>
          <w:snapToGrid w:val="0"/>
        </w:rPr>
        <w:t>accreditation for Services</w:t>
      </w:r>
      <w:r w:rsidR="00FF6C65">
        <w:rPr>
          <w:snapToGrid w:val="0"/>
        </w:rPr>
        <w:t>/</w:t>
      </w:r>
      <w:r w:rsidR="00FF6C65" w:rsidRPr="00FF6C65">
        <w:rPr>
          <w:snapToGrid w:val="0"/>
        </w:rPr>
        <w:t xml:space="preserve"> </w:t>
      </w:r>
      <w:r w:rsidR="00FF6C65">
        <w:rPr>
          <w:snapToGrid w:val="0"/>
        </w:rPr>
        <w:t>Services and State Coordination Units (SCUs)</w:t>
      </w:r>
      <w:r w:rsidR="00FF6C65" w:rsidRPr="0048568A">
        <w:rPr>
          <w:snapToGrid w:val="0"/>
        </w:rPr>
        <w:t xml:space="preserve"> </w:t>
      </w:r>
      <w:r w:rsidRPr="0048568A">
        <w:rPr>
          <w:snapToGrid w:val="0"/>
        </w:rPr>
        <w:t>in each of the following situations:</w:t>
      </w:r>
    </w:p>
    <w:p w14:paraId="119785AC" w14:textId="77777777" w:rsidR="0058184C" w:rsidRPr="0048568A" w:rsidRDefault="00FF6C65" w:rsidP="00D11DF2">
      <w:pPr>
        <w:pStyle w:val="ListBullet"/>
        <w:rPr>
          <w:snapToGrid w:val="0"/>
        </w:rPr>
      </w:pPr>
      <w:r>
        <w:rPr>
          <w:snapToGrid w:val="0"/>
        </w:rPr>
        <w:t xml:space="preserve">new Services; </w:t>
      </w:r>
    </w:p>
    <w:p w14:paraId="7CEFDEF6" w14:textId="77777777" w:rsidR="0058184C" w:rsidRPr="0048568A" w:rsidRDefault="00FF6C65" w:rsidP="00D11DF2">
      <w:pPr>
        <w:pStyle w:val="ListBullet"/>
        <w:rPr>
          <w:snapToGrid w:val="0"/>
        </w:rPr>
      </w:pPr>
      <w:r>
        <w:rPr>
          <w:snapToGrid w:val="0"/>
        </w:rPr>
        <w:t>n</w:t>
      </w:r>
      <w:r w:rsidR="0058184C" w:rsidRPr="0048568A">
        <w:rPr>
          <w:snapToGrid w:val="0"/>
        </w:rPr>
        <w:t>ew un</w:t>
      </w:r>
      <w:r w:rsidR="003724C6">
        <w:rPr>
          <w:snapToGrid w:val="0"/>
        </w:rPr>
        <w:t>its within accredit</w:t>
      </w:r>
      <w:r>
        <w:rPr>
          <w:snapToGrid w:val="0"/>
        </w:rPr>
        <w:t>ed Services; and</w:t>
      </w:r>
    </w:p>
    <w:p w14:paraId="19498E83" w14:textId="77777777" w:rsidR="00403829" w:rsidDel="00403829" w:rsidRDefault="00FF6C65" w:rsidP="00D11DF2">
      <w:pPr>
        <w:pStyle w:val="ListBullet"/>
        <w:rPr>
          <w:snapToGrid w:val="0"/>
        </w:rPr>
      </w:pPr>
      <w:r>
        <w:rPr>
          <w:snapToGrid w:val="0"/>
        </w:rPr>
        <w:t>r</w:t>
      </w:r>
      <w:r w:rsidR="00403829">
        <w:rPr>
          <w:snapToGrid w:val="0"/>
        </w:rPr>
        <w:t xml:space="preserve">e-applying for accreditation for Services and </w:t>
      </w:r>
      <w:r w:rsidR="00643A5D">
        <w:rPr>
          <w:snapToGrid w:val="0"/>
        </w:rPr>
        <w:t>SCUs</w:t>
      </w:r>
      <w:r w:rsidR="00403829">
        <w:rPr>
          <w:snapToGrid w:val="0"/>
        </w:rPr>
        <w:t xml:space="preserve">. </w:t>
      </w:r>
    </w:p>
    <w:p w14:paraId="5EC8E86A" w14:textId="77777777" w:rsidR="005E25AA" w:rsidRDefault="0058184C" w:rsidP="00AB1C35">
      <w:pPr>
        <w:rPr>
          <w:snapToGrid w:val="0"/>
        </w:rPr>
      </w:pPr>
      <w:r w:rsidRPr="0048568A">
        <w:rPr>
          <w:snapToGrid w:val="0"/>
        </w:rPr>
        <w:t>The timeframes given are considered by the N</w:t>
      </w:r>
      <w:r w:rsidR="00643A5D">
        <w:rPr>
          <w:snapToGrid w:val="0"/>
        </w:rPr>
        <w:t xml:space="preserve">ational </w:t>
      </w:r>
      <w:r w:rsidRPr="0048568A">
        <w:rPr>
          <w:snapToGrid w:val="0"/>
        </w:rPr>
        <w:t>Q</w:t>
      </w:r>
      <w:r w:rsidR="00643A5D">
        <w:rPr>
          <w:snapToGrid w:val="0"/>
        </w:rPr>
        <w:t xml:space="preserve">uality </w:t>
      </w:r>
      <w:r w:rsidRPr="0048568A">
        <w:rPr>
          <w:snapToGrid w:val="0"/>
        </w:rPr>
        <w:t>M</w:t>
      </w:r>
      <w:r w:rsidR="00643A5D">
        <w:rPr>
          <w:snapToGrid w:val="0"/>
        </w:rPr>
        <w:t xml:space="preserve">anagement </w:t>
      </w:r>
      <w:r w:rsidRPr="0048568A">
        <w:rPr>
          <w:snapToGrid w:val="0"/>
        </w:rPr>
        <w:t>C</w:t>
      </w:r>
      <w:r w:rsidR="00643A5D">
        <w:rPr>
          <w:snapToGrid w:val="0"/>
        </w:rPr>
        <w:t>ommittee (NQMC)</w:t>
      </w:r>
      <w:r w:rsidRPr="0048568A">
        <w:rPr>
          <w:snapToGrid w:val="0"/>
        </w:rPr>
        <w:t xml:space="preserve"> to be reasonable and were determined with the goal of supporting SCUs and Services to organise their accreditation activities and submit documentation to</w:t>
      </w:r>
      <w:r w:rsidR="00BD3510">
        <w:rPr>
          <w:snapToGrid w:val="0"/>
        </w:rPr>
        <w:t xml:space="preserve"> the</w:t>
      </w:r>
      <w:r w:rsidRPr="0048568A">
        <w:rPr>
          <w:snapToGrid w:val="0"/>
        </w:rPr>
        <w:t xml:space="preserve"> NQMC in a manner most likely to support a successful outcome. </w:t>
      </w:r>
    </w:p>
    <w:p w14:paraId="446F0C20" w14:textId="77777777" w:rsidR="00247107" w:rsidRDefault="0058184C" w:rsidP="00AB1C35">
      <w:pPr>
        <w:rPr>
          <w:snapToGrid w:val="0"/>
        </w:rPr>
      </w:pPr>
      <w:r w:rsidRPr="0048568A">
        <w:rPr>
          <w:snapToGrid w:val="0"/>
        </w:rPr>
        <w:t xml:space="preserve">Commencing activities such as organisation </w:t>
      </w:r>
      <w:r w:rsidR="005E25AA">
        <w:rPr>
          <w:snapToGrid w:val="0"/>
        </w:rPr>
        <w:t xml:space="preserve">of </w:t>
      </w:r>
      <w:r w:rsidR="00C902CD">
        <w:rPr>
          <w:snapToGrid w:val="0"/>
        </w:rPr>
        <w:t>survey</w:t>
      </w:r>
      <w:r>
        <w:rPr>
          <w:snapToGrid w:val="0"/>
        </w:rPr>
        <w:t>s earlier</w:t>
      </w:r>
      <w:r w:rsidRPr="0048568A">
        <w:rPr>
          <w:snapToGrid w:val="0"/>
        </w:rPr>
        <w:t xml:space="preserve"> than the timeframes</w:t>
      </w:r>
      <w:r>
        <w:rPr>
          <w:snapToGrid w:val="0"/>
        </w:rPr>
        <w:t xml:space="preserve"> provided is an option Services</w:t>
      </w:r>
      <w:r w:rsidRPr="0048568A">
        <w:rPr>
          <w:snapToGrid w:val="0"/>
        </w:rPr>
        <w:t xml:space="preserve"> may take up at their discretion.</w:t>
      </w:r>
      <w:r>
        <w:rPr>
          <w:snapToGrid w:val="0"/>
        </w:rPr>
        <w:t xml:space="preserve"> </w:t>
      </w:r>
      <w:r w:rsidRPr="0048568A">
        <w:rPr>
          <w:snapToGrid w:val="0"/>
        </w:rPr>
        <w:t xml:space="preserve"> However, it is recommended not to undertake activities later than suggested as this could adversely impact on critical steps within the process. </w:t>
      </w:r>
      <w:r>
        <w:rPr>
          <w:snapToGrid w:val="0"/>
        </w:rPr>
        <w:t xml:space="preserve"> </w:t>
      </w:r>
    </w:p>
    <w:p w14:paraId="0BFD5AF7" w14:textId="71CF5EDD" w:rsidR="0058184C" w:rsidRPr="0048568A" w:rsidRDefault="0058184C" w:rsidP="00500310">
      <w:pPr>
        <w:pStyle w:val="Heading2"/>
      </w:pPr>
      <w:bookmarkStart w:id="189" w:name="_Toc517944654"/>
      <w:bookmarkStart w:id="190" w:name="_Toc66438684"/>
      <w:r w:rsidRPr="0048568A">
        <w:t>STEPS FOR A NEW SERVICE</w:t>
      </w:r>
      <w:bookmarkEnd w:id="189"/>
      <w:bookmarkEnd w:id="190"/>
    </w:p>
    <w:p w14:paraId="78166EA6" w14:textId="3B7735CD" w:rsidR="0058184C" w:rsidRPr="008D1AF1" w:rsidRDefault="0058184C" w:rsidP="006D2034">
      <w:pPr>
        <w:pStyle w:val="Heading3"/>
      </w:pPr>
      <w:bookmarkStart w:id="191" w:name="_Toc517944655"/>
      <w:bookmarkStart w:id="192" w:name="_Toc66438685"/>
      <w:r w:rsidRPr="008D1AF1">
        <w:t>Work with the SCU to become established as a new Service</w:t>
      </w:r>
      <w:bookmarkEnd w:id="191"/>
      <w:bookmarkEnd w:id="192"/>
    </w:p>
    <w:p w14:paraId="0F9FC62D" w14:textId="2661B59C" w:rsidR="0058184C" w:rsidRPr="003D0E0B" w:rsidRDefault="0058184C" w:rsidP="00D11DF2">
      <w:pPr>
        <w:rPr>
          <w:snapToGrid w:val="0"/>
        </w:rPr>
      </w:pPr>
      <w:r w:rsidRPr="003D0E0B">
        <w:rPr>
          <w:snapToGrid w:val="0"/>
        </w:rPr>
        <w:t>A</w:t>
      </w:r>
      <w:r w:rsidR="003F4BDF" w:rsidRPr="003D0E0B">
        <w:rPr>
          <w:snapToGrid w:val="0"/>
        </w:rPr>
        <w:t xml:space="preserve">t least </w:t>
      </w:r>
      <w:r w:rsidR="00FA5113" w:rsidRPr="003D0E0B">
        <w:rPr>
          <w:snapToGrid w:val="0"/>
        </w:rPr>
        <w:t xml:space="preserve">three </w:t>
      </w:r>
      <w:r w:rsidRPr="003D0E0B">
        <w:rPr>
          <w:snapToGrid w:val="0"/>
        </w:rPr>
        <w:t>month</w:t>
      </w:r>
      <w:r w:rsidR="00FA5113" w:rsidRPr="003D0E0B">
        <w:rPr>
          <w:snapToGrid w:val="0"/>
        </w:rPr>
        <w:t>s</w:t>
      </w:r>
      <w:r w:rsidRPr="003D0E0B">
        <w:rPr>
          <w:snapToGrid w:val="0"/>
        </w:rPr>
        <w:t xml:space="preserve"> prior to a new Service commencing screening,</w:t>
      </w:r>
      <w:r w:rsidR="00CF66E2" w:rsidRPr="003D0E0B">
        <w:rPr>
          <w:snapToGrid w:val="0"/>
        </w:rPr>
        <w:t xml:space="preserve"> the SCU</w:t>
      </w:r>
      <w:r w:rsidR="00950D00" w:rsidRPr="003D0E0B">
        <w:rPr>
          <w:snapToGrid w:val="0"/>
        </w:rPr>
        <w:t xml:space="preserve"> </w:t>
      </w:r>
      <w:r w:rsidRPr="003D0E0B">
        <w:rPr>
          <w:snapToGrid w:val="0"/>
        </w:rPr>
        <w:t xml:space="preserve">must notify the </w:t>
      </w:r>
      <w:r w:rsidR="008A242D" w:rsidRPr="003D0E0B">
        <w:rPr>
          <w:snapToGrid w:val="0"/>
        </w:rPr>
        <w:t>NQMC</w:t>
      </w:r>
      <w:r w:rsidR="00950D00" w:rsidRPr="003D0E0B">
        <w:rPr>
          <w:snapToGrid w:val="0"/>
        </w:rPr>
        <w:t xml:space="preserve"> </w:t>
      </w:r>
      <w:r w:rsidRPr="003D0E0B">
        <w:rPr>
          <w:snapToGrid w:val="0"/>
        </w:rPr>
        <w:t>using a notiﬁcation of commencement form.</w:t>
      </w:r>
      <w:r w:rsidR="00CF66E2" w:rsidRPr="003D0E0B">
        <w:rPr>
          <w:snapToGrid w:val="0"/>
        </w:rPr>
        <w:t xml:space="preserve"> </w:t>
      </w:r>
    </w:p>
    <w:p w14:paraId="48BCA6A6" w14:textId="5A1A8F38" w:rsidR="0058184C" w:rsidRPr="003D0E0B" w:rsidRDefault="00662A5B" w:rsidP="00D11DF2">
      <w:r w:rsidRPr="003D0E0B">
        <w:rPr>
          <w:rFonts w:cstheme="minorHAnsi"/>
          <w:snapToGrid w:val="0"/>
        </w:rPr>
        <w:t>Where appropriate, t</w:t>
      </w:r>
      <w:r w:rsidR="0058184C" w:rsidRPr="003D0E0B">
        <w:rPr>
          <w:rFonts w:cstheme="minorHAnsi"/>
          <w:snapToGrid w:val="0"/>
        </w:rPr>
        <w:t xml:space="preserve">he SCU ensures that a </w:t>
      </w:r>
      <w:r w:rsidR="0058184C" w:rsidRPr="003D0E0B">
        <w:t>‘N</w:t>
      </w:r>
      <w:r w:rsidR="00643A5D" w:rsidRPr="003D0E0B">
        <w:t xml:space="preserve">ational </w:t>
      </w:r>
      <w:r w:rsidR="0058184C" w:rsidRPr="003D0E0B">
        <w:t>A</w:t>
      </w:r>
      <w:r w:rsidR="00643A5D" w:rsidRPr="003D0E0B">
        <w:t xml:space="preserve">ccreditation </w:t>
      </w:r>
      <w:r w:rsidR="0058184C" w:rsidRPr="003D0E0B">
        <w:t>S</w:t>
      </w:r>
      <w:r w:rsidR="00643A5D" w:rsidRPr="003D0E0B">
        <w:t>tandards</w:t>
      </w:r>
      <w:r w:rsidR="0058184C" w:rsidRPr="003D0E0B">
        <w:t xml:space="preserve"> Accountability Framework</w:t>
      </w:r>
      <w:r w:rsidR="00643A5D" w:rsidRPr="003D0E0B">
        <w:t xml:space="preserve"> (NAF)</w:t>
      </w:r>
      <w:r w:rsidR="0058184C" w:rsidRPr="003D0E0B">
        <w:t xml:space="preserve">’ is developed in collaboration with the Service </w:t>
      </w:r>
      <w:r w:rsidR="00AE4668" w:rsidRPr="00AE4668">
        <w:t xml:space="preserve">to confirm </w:t>
      </w:r>
      <w:r w:rsidR="00C04B88">
        <w:t xml:space="preserve">for </w:t>
      </w:r>
      <w:r w:rsidR="00AE4668" w:rsidRPr="00AE4668">
        <w:t>which of the NAS measures the SCU and/or Service are responsible and accountable (see Section 2.6). The NAF will be considered by the NQMC when assessing performance against NAS Measures.</w:t>
      </w:r>
    </w:p>
    <w:p w14:paraId="17FA62FE" w14:textId="38B99CB9" w:rsidR="00253B2F" w:rsidRPr="003D0E0B" w:rsidRDefault="00B45C5D" w:rsidP="00D11DF2">
      <w:pPr>
        <w:rPr>
          <w:snapToGrid w:val="0"/>
        </w:rPr>
      </w:pPr>
      <w:r w:rsidRPr="003D0E0B">
        <w:rPr>
          <w:snapToGrid w:val="0"/>
        </w:rPr>
        <w:t>The SCU will arrange a pre-commencement survey</w:t>
      </w:r>
      <w:r w:rsidR="008A242D" w:rsidRPr="003D0E0B">
        <w:rPr>
          <w:snapToGrid w:val="0"/>
        </w:rPr>
        <w:t xml:space="preserve"> </w:t>
      </w:r>
      <w:r w:rsidR="00662A5B" w:rsidRPr="003D0E0B">
        <w:rPr>
          <w:snapToGrid w:val="0"/>
        </w:rPr>
        <w:t xml:space="preserve">which may include members from the SCU and SQC internal to the jurisdiction to </w:t>
      </w:r>
      <w:r w:rsidR="00CF66E2" w:rsidRPr="003D0E0B">
        <w:rPr>
          <w:snapToGrid w:val="0"/>
        </w:rPr>
        <w:t xml:space="preserve">ensure all necessary requirements are complied with. </w:t>
      </w:r>
      <w:r w:rsidRPr="003D0E0B">
        <w:rPr>
          <w:snapToGrid w:val="0"/>
        </w:rPr>
        <w:t xml:space="preserve">This report will outline whether the Service is satisfactory or not in demonstrating its capacity to operate as a BreastScreen Service, and may </w:t>
      </w:r>
      <w:r w:rsidR="008E2B21" w:rsidRPr="003D0E0B">
        <w:rPr>
          <w:snapToGrid w:val="0"/>
        </w:rPr>
        <w:t>include</w:t>
      </w:r>
      <w:r w:rsidRPr="003D0E0B">
        <w:rPr>
          <w:snapToGrid w:val="0"/>
        </w:rPr>
        <w:t xml:space="preserve"> recommendations.  </w:t>
      </w:r>
      <w:r w:rsidRPr="003D0E0B">
        <w:t xml:space="preserve">The SCU will provide a copy of the report to the Service for information and action as required.  </w:t>
      </w:r>
    </w:p>
    <w:p w14:paraId="7BB4592D" w14:textId="6851A7B1" w:rsidR="00E8440C" w:rsidRDefault="0058184C" w:rsidP="00D11DF2">
      <w:pPr>
        <w:rPr>
          <w:b/>
          <w:snapToGrid w:val="0"/>
          <w:color w:val="17365D" w:themeColor="text2" w:themeShade="BF"/>
        </w:rPr>
      </w:pPr>
      <w:r w:rsidRPr="003D0E0B">
        <w:rPr>
          <w:snapToGrid w:val="0"/>
        </w:rPr>
        <w:lastRenderedPageBreak/>
        <w:t>The SCU forwards the</w:t>
      </w:r>
      <w:r w:rsidR="00674796" w:rsidRPr="003D0E0B">
        <w:rPr>
          <w:snapToGrid w:val="0"/>
        </w:rPr>
        <w:t xml:space="preserve"> Notiﬁcation of C</w:t>
      </w:r>
      <w:r w:rsidRPr="003D0E0B">
        <w:rPr>
          <w:snapToGrid w:val="0"/>
        </w:rPr>
        <w:t xml:space="preserve">ommencement </w:t>
      </w:r>
      <w:r w:rsidR="00674796" w:rsidRPr="003D0E0B">
        <w:rPr>
          <w:snapToGrid w:val="0"/>
        </w:rPr>
        <w:t>of S</w:t>
      </w:r>
      <w:r w:rsidRPr="003D0E0B">
        <w:rPr>
          <w:snapToGrid w:val="0"/>
        </w:rPr>
        <w:t xml:space="preserve">ervice </w:t>
      </w:r>
      <w:r w:rsidR="00674796" w:rsidRPr="003D0E0B">
        <w:rPr>
          <w:snapToGrid w:val="0"/>
        </w:rPr>
        <w:t>F</w:t>
      </w:r>
      <w:r w:rsidRPr="003D0E0B">
        <w:rPr>
          <w:snapToGrid w:val="0"/>
        </w:rPr>
        <w:t>orm</w:t>
      </w:r>
      <w:r w:rsidR="007E038F" w:rsidRPr="003D0E0B">
        <w:rPr>
          <w:snapToGrid w:val="0"/>
        </w:rPr>
        <w:t xml:space="preserve"> and </w:t>
      </w:r>
      <w:r w:rsidR="00950D00" w:rsidRPr="003D0E0B">
        <w:rPr>
          <w:snapToGrid w:val="0"/>
        </w:rPr>
        <w:t>completed pre-c</w:t>
      </w:r>
      <w:r w:rsidR="007E038F" w:rsidRPr="003D0E0B">
        <w:rPr>
          <w:snapToGrid w:val="0"/>
        </w:rPr>
        <w:t>ommencement survey</w:t>
      </w:r>
      <w:r w:rsidR="007C4DB4" w:rsidRPr="003D0E0B">
        <w:rPr>
          <w:snapToGrid w:val="0"/>
        </w:rPr>
        <w:t>,</w:t>
      </w:r>
      <w:r w:rsidRPr="003D0E0B">
        <w:rPr>
          <w:snapToGrid w:val="0"/>
        </w:rPr>
        <w:t xml:space="preserve"> with any additional information in support of the Service becoming conditionally accredited, to the NQMC</w:t>
      </w:r>
      <w:r w:rsidR="00950D00" w:rsidRPr="003D0E0B">
        <w:rPr>
          <w:snapToGrid w:val="0"/>
        </w:rPr>
        <w:t xml:space="preserve">, within 2 weeks of the pre-commencement survey taking place, </w:t>
      </w:r>
      <w:r w:rsidRPr="003D0E0B">
        <w:rPr>
          <w:snapToGrid w:val="0"/>
        </w:rPr>
        <w:t>with its recommendation that the Service be conditionally accredited.</w:t>
      </w:r>
      <w:r w:rsidR="00317445" w:rsidRPr="003D0E0B">
        <w:rPr>
          <w:snapToGrid w:val="0"/>
        </w:rPr>
        <w:t xml:space="preserve">  </w:t>
      </w:r>
      <w:r w:rsidRPr="003D0E0B">
        <w:rPr>
          <w:snapToGrid w:val="0"/>
        </w:rPr>
        <w:t xml:space="preserve">The NQMC </w:t>
      </w:r>
      <w:r w:rsidR="00680F57" w:rsidRPr="003D0E0B">
        <w:rPr>
          <w:snapToGrid w:val="0"/>
        </w:rPr>
        <w:t>S</w:t>
      </w:r>
      <w:r w:rsidRPr="003D0E0B">
        <w:rPr>
          <w:snapToGrid w:val="0"/>
        </w:rPr>
        <w:t>ecretariat will advise the SCU in writing of conditional accreditation being approved</w:t>
      </w:r>
      <w:r w:rsidR="008E2B21" w:rsidRPr="003D0E0B">
        <w:rPr>
          <w:snapToGrid w:val="0"/>
        </w:rPr>
        <w:t xml:space="preserve"> by the NQMC</w:t>
      </w:r>
      <w:r w:rsidRPr="003D0E0B">
        <w:rPr>
          <w:snapToGrid w:val="0"/>
        </w:rPr>
        <w:t>.</w:t>
      </w:r>
    </w:p>
    <w:p w14:paraId="139E1EAB" w14:textId="30666952" w:rsidR="0058184C" w:rsidRPr="006E3889" w:rsidRDefault="0058184C" w:rsidP="006D2034">
      <w:pPr>
        <w:pStyle w:val="Heading3"/>
      </w:pPr>
      <w:bookmarkStart w:id="193" w:name="_Toc517944656"/>
      <w:bookmarkStart w:id="194" w:name="_Toc66438686"/>
      <w:r w:rsidRPr="006E3889">
        <w:t>Make an application for accreditation</w:t>
      </w:r>
      <w:bookmarkEnd w:id="193"/>
      <w:bookmarkEnd w:id="194"/>
    </w:p>
    <w:p w14:paraId="4E6FA441" w14:textId="1F9B1CAD" w:rsidR="00FF6C65" w:rsidRDefault="008E2B21" w:rsidP="00AB1C35">
      <w:pPr>
        <w:rPr>
          <w:rFonts w:eastAsia="Times New Roman"/>
          <w:b/>
          <w:bCs/>
          <w:i/>
          <w:w w:val="103"/>
        </w:rPr>
      </w:pPr>
      <w:r>
        <w:rPr>
          <w:snapToGrid w:val="0"/>
        </w:rPr>
        <w:t>O</w:t>
      </w:r>
      <w:r w:rsidRPr="00D35735">
        <w:rPr>
          <w:snapToGrid w:val="0"/>
        </w:rPr>
        <w:t xml:space="preserve">nce a new Service has achieved conditional accreditation, it can choose to apply for full accreditation after two years. </w:t>
      </w:r>
      <w:r>
        <w:rPr>
          <w:snapToGrid w:val="0"/>
        </w:rPr>
        <w:t xml:space="preserve"> </w:t>
      </w:r>
      <w:r w:rsidRPr="00D35735">
        <w:rPr>
          <w:snapToGrid w:val="0"/>
        </w:rPr>
        <w:t>This is to ensure that the new Service has sufficient time in which</w:t>
      </w:r>
      <w:r w:rsidRPr="0058713C">
        <w:rPr>
          <w:snapToGrid w:val="0"/>
        </w:rPr>
        <w:t xml:space="preserve"> to become established and to collect data to support its application for full accreditation.</w:t>
      </w:r>
      <w:r w:rsidRPr="00FD5E3F">
        <w:rPr>
          <w:snapToGrid w:val="0"/>
        </w:rPr>
        <w:t xml:space="preserve">  </w:t>
      </w:r>
    </w:p>
    <w:p w14:paraId="19807BCC" w14:textId="63E33C30" w:rsidR="00366D64" w:rsidRPr="00B514CB" w:rsidRDefault="00366D64" w:rsidP="00500310">
      <w:pPr>
        <w:pStyle w:val="Heading2"/>
      </w:pPr>
      <w:bookmarkStart w:id="195" w:name="_Toc517944657"/>
      <w:bookmarkStart w:id="196" w:name="_Toc66438687"/>
      <w:r w:rsidRPr="00B514CB">
        <w:t xml:space="preserve">STEPS FOR NEW UNITS </w:t>
      </w:r>
      <w:r w:rsidRPr="00500310">
        <w:t>WITHIN</w:t>
      </w:r>
      <w:r w:rsidRPr="00B514CB">
        <w:t xml:space="preserve"> ACCREDITED SERVICES</w:t>
      </w:r>
      <w:bookmarkEnd w:id="195"/>
      <w:bookmarkEnd w:id="196"/>
    </w:p>
    <w:p w14:paraId="0BC6104C" w14:textId="1F88EFA1" w:rsidR="00366D64" w:rsidRPr="001E0EC2" w:rsidRDefault="00366D64" w:rsidP="006D2034">
      <w:pPr>
        <w:pStyle w:val="Heading3"/>
      </w:pPr>
      <w:bookmarkStart w:id="197" w:name="_Toc517944658"/>
      <w:bookmarkStart w:id="198" w:name="_Toc66438688"/>
      <w:r w:rsidRPr="006D2034">
        <w:t>Introduction</w:t>
      </w:r>
      <w:bookmarkEnd w:id="197"/>
      <w:bookmarkEnd w:id="198"/>
    </w:p>
    <w:p w14:paraId="486BEAD5" w14:textId="77777777" w:rsidR="00366D64" w:rsidRPr="00B514CB" w:rsidRDefault="0040782E" w:rsidP="00AB1C35">
      <w:pPr>
        <w:rPr>
          <w:snapToGrid w:val="0"/>
        </w:rPr>
      </w:pPr>
      <w:r>
        <w:rPr>
          <w:snapToGrid w:val="0"/>
        </w:rPr>
        <w:t>A new unit</w:t>
      </w:r>
      <w:r w:rsidR="00DE7CB5">
        <w:rPr>
          <w:snapToGrid w:val="0"/>
        </w:rPr>
        <w:t xml:space="preserve"> within an accredited Service</w:t>
      </w:r>
      <w:r w:rsidR="00366D64">
        <w:rPr>
          <w:snapToGrid w:val="0"/>
        </w:rPr>
        <w:t xml:space="preserve">, </w:t>
      </w:r>
      <w:r w:rsidR="00366D64" w:rsidRPr="00B514CB">
        <w:rPr>
          <w:snapToGrid w:val="0"/>
        </w:rPr>
        <w:t>whether</w:t>
      </w:r>
      <w:r>
        <w:rPr>
          <w:snapToGrid w:val="0"/>
        </w:rPr>
        <w:t xml:space="preserve"> it is mobile or ﬁxed, will be</w:t>
      </w:r>
      <w:r w:rsidR="00DE7CB5">
        <w:rPr>
          <w:snapToGrid w:val="0"/>
        </w:rPr>
        <w:t xml:space="preserve"> considered for accreditation at </w:t>
      </w:r>
      <w:r w:rsidR="00366D64">
        <w:rPr>
          <w:snapToGrid w:val="0"/>
        </w:rPr>
        <w:t xml:space="preserve">the same </w:t>
      </w:r>
      <w:r w:rsidR="00927127">
        <w:rPr>
          <w:snapToGrid w:val="0"/>
        </w:rPr>
        <w:t xml:space="preserve">time as the </w:t>
      </w:r>
      <w:r w:rsidR="00DE7CB5">
        <w:rPr>
          <w:snapToGrid w:val="0"/>
        </w:rPr>
        <w:t>whole Service</w:t>
      </w:r>
      <w:r w:rsidR="00366D64">
        <w:rPr>
          <w:snapToGrid w:val="0"/>
        </w:rPr>
        <w:t xml:space="preserve">.  A new unit will not </w:t>
      </w:r>
      <w:r w:rsidR="00366D64" w:rsidRPr="00B514CB">
        <w:rPr>
          <w:snapToGrid w:val="0"/>
        </w:rPr>
        <w:t>need to under</w:t>
      </w:r>
      <w:r w:rsidR="00366D64">
        <w:rPr>
          <w:snapToGrid w:val="0"/>
        </w:rPr>
        <w:t xml:space="preserve">go the </w:t>
      </w:r>
      <w:r w:rsidR="00366D64" w:rsidRPr="00B514CB">
        <w:rPr>
          <w:snapToGrid w:val="0"/>
        </w:rPr>
        <w:t xml:space="preserve">full accreditation process separately. </w:t>
      </w:r>
      <w:r w:rsidR="00366D64">
        <w:rPr>
          <w:snapToGrid w:val="0"/>
        </w:rPr>
        <w:t xml:space="preserve"> </w:t>
      </w:r>
      <w:r w:rsidR="00366D64" w:rsidRPr="00B514CB">
        <w:rPr>
          <w:snapToGrid w:val="0"/>
        </w:rPr>
        <w:t xml:space="preserve">Instead </w:t>
      </w:r>
      <w:r w:rsidR="00366D64">
        <w:rPr>
          <w:snapToGrid w:val="0"/>
        </w:rPr>
        <w:t>it will become aligned with the accreditation process for the rest of the</w:t>
      </w:r>
      <w:r>
        <w:rPr>
          <w:snapToGrid w:val="0"/>
        </w:rPr>
        <w:t xml:space="preserve"> Service</w:t>
      </w:r>
      <w:r w:rsidR="00366D64" w:rsidRPr="00B514CB">
        <w:rPr>
          <w:snapToGrid w:val="0"/>
        </w:rPr>
        <w:t xml:space="preserve">. </w:t>
      </w:r>
      <w:r w:rsidR="00366D64">
        <w:rPr>
          <w:snapToGrid w:val="0"/>
        </w:rPr>
        <w:t xml:space="preserve"> </w:t>
      </w:r>
      <w:r w:rsidR="00366D64" w:rsidRPr="00B514CB">
        <w:rPr>
          <w:snapToGrid w:val="0"/>
        </w:rPr>
        <w:t>This i</w:t>
      </w:r>
      <w:r w:rsidR="00366D64">
        <w:rPr>
          <w:snapToGrid w:val="0"/>
        </w:rPr>
        <w:t xml:space="preserve">s because accreditation covers </w:t>
      </w:r>
      <w:r w:rsidR="00366D64" w:rsidRPr="00B514CB">
        <w:rPr>
          <w:snapToGrid w:val="0"/>
        </w:rPr>
        <w:t xml:space="preserve">an entire Service, and is based on Service level, rather </w:t>
      </w:r>
      <w:r w:rsidR="00366D64">
        <w:rPr>
          <w:snapToGrid w:val="0"/>
        </w:rPr>
        <w:t>than unit level data</w:t>
      </w:r>
      <w:r w:rsidR="00366D64" w:rsidRPr="00B514CB">
        <w:rPr>
          <w:snapToGrid w:val="0"/>
        </w:rPr>
        <w:t xml:space="preserve"> and performance information.</w:t>
      </w:r>
    </w:p>
    <w:p w14:paraId="3D52E9AE" w14:textId="1F926D16" w:rsidR="00366D64" w:rsidRPr="001E0EC2" w:rsidRDefault="00366D64" w:rsidP="006D2034">
      <w:pPr>
        <w:pStyle w:val="Heading3"/>
      </w:pPr>
      <w:bookmarkStart w:id="199" w:name="_Toc517944659"/>
      <w:bookmarkStart w:id="200" w:name="_Toc66438689"/>
      <w:r w:rsidRPr="001E0EC2">
        <w:t>Work with the SCU to establish a new unit and notify commencement</w:t>
      </w:r>
      <w:bookmarkEnd w:id="199"/>
      <w:bookmarkEnd w:id="200"/>
    </w:p>
    <w:p w14:paraId="30DB993F" w14:textId="77777777" w:rsidR="00366D64" w:rsidRDefault="00366D64" w:rsidP="00AB1C35">
      <w:pPr>
        <w:rPr>
          <w:snapToGrid w:val="0"/>
        </w:rPr>
      </w:pPr>
      <w:r w:rsidRPr="00B514CB">
        <w:rPr>
          <w:snapToGrid w:val="0"/>
        </w:rPr>
        <w:t>Before an existing Service opens</w:t>
      </w:r>
      <w:r>
        <w:rPr>
          <w:snapToGrid w:val="0"/>
        </w:rPr>
        <w:t xml:space="preserve"> a new unit, it must notify the</w:t>
      </w:r>
      <w:r w:rsidRPr="00B514CB">
        <w:rPr>
          <w:snapToGrid w:val="0"/>
        </w:rPr>
        <w:t xml:space="preserve"> SCU in writing.</w:t>
      </w:r>
      <w:r>
        <w:rPr>
          <w:snapToGrid w:val="0"/>
        </w:rPr>
        <w:t xml:space="preserve"> </w:t>
      </w:r>
      <w:r w:rsidRPr="00B514CB">
        <w:rPr>
          <w:snapToGrid w:val="0"/>
        </w:rPr>
        <w:t xml:space="preserve"> The letter to the</w:t>
      </w:r>
      <w:r>
        <w:rPr>
          <w:snapToGrid w:val="0"/>
        </w:rPr>
        <w:t xml:space="preserve"> SCU should </w:t>
      </w:r>
      <w:r w:rsidRPr="00B514CB">
        <w:rPr>
          <w:snapToGrid w:val="0"/>
        </w:rPr>
        <w:t>provide information on:</w:t>
      </w:r>
    </w:p>
    <w:p w14:paraId="7392C1FA" w14:textId="77777777" w:rsidR="00366D64" w:rsidRPr="006332EE" w:rsidRDefault="006C19BF" w:rsidP="00D11DF2">
      <w:pPr>
        <w:pStyle w:val="ListBullet"/>
        <w:rPr>
          <w:snapToGrid w:val="0"/>
        </w:rPr>
      </w:pPr>
      <w:r>
        <w:rPr>
          <w:snapToGrid w:val="0"/>
        </w:rPr>
        <w:t>t</w:t>
      </w:r>
      <w:r w:rsidR="00366D64">
        <w:rPr>
          <w:snapToGrid w:val="0"/>
        </w:rPr>
        <w:t>he</w:t>
      </w:r>
      <w:r>
        <w:rPr>
          <w:snapToGrid w:val="0"/>
        </w:rPr>
        <w:t xml:space="preserve"> size and type of unit;</w:t>
      </w:r>
    </w:p>
    <w:p w14:paraId="60288795" w14:textId="77777777" w:rsidR="00366D64" w:rsidRPr="006332EE" w:rsidRDefault="006C19BF" w:rsidP="00D11DF2">
      <w:pPr>
        <w:pStyle w:val="ListBullet"/>
        <w:rPr>
          <w:snapToGrid w:val="0"/>
        </w:rPr>
      </w:pPr>
      <w:r>
        <w:rPr>
          <w:snapToGrid w:val="0"/>
        </w:rPr>
        <w:t>t</w:t>
      </w:r>
      <w:r w:rsidR="00366D64" w:rsidRPr="006332EE">
        <w:rPr>
          <w:snapToGrid w:val="0"/>
        </w:rPr>
        <w:t xml:space="preserve">he operational relationship </w:t>
      </w:r>
      <w:r w:rsidR="00A244E5">
        <w:rPr>
          <w:snapToGrid w:val="0"/>
        </w:rPr>
        <w:t xml:space="preserve">of the unit to the rest of the </w:t>
      </w:r>
      <w:r w:rsidR="0040782E">
        <w:rPr>
          <w:snapToGrid w:val="0"/>
        </w:rPr>
        <w:t>Service</w:t>
      </w:r>
      <w:r>
        <w:rPr>
          <w:snapToGrid w:val="0"/>
        </w:rPr>
        <w:t>;</w:t>
      </w:r>
    </w:p>
    <w:p w14:paraId="0DE65166" w14:textId="77777777" w:rsidR="00366D64" w:rsidRPr="006332EE" w:rsidRDefault="006C19BF" w:rsidP="00D11DF2">
      <w:pPr>
        <w:pStyle w:val="ListBullet"/>
        <w:rPr>
          <w:snapToGrid w:val="0"/>
        </w:rPr>
      </w:pPr>
      <w:r>
        <w:rPr>
          <w:snapToGrid w:val="0"/>
        </w:rPr>
        <w:t>h</w:t>
      </w:r>
      <w:r w:rsidR="0040782E">
        <w:rPr>
          <w:snapToGrid w:val="0"/>
        </w:rPr>
        <w:t>ow the unit will be staffed, either</w:t>
      </w:r>
      <w:r w:rsidR="00366D64" w:rsidRPr="006332EE">
        <w:rPr>
          <w:snapToGrid w:val="0"/>
        </w:rPr>
        <w:t xml:space="preserve"> </w:t>
      </w:r>
      <w:r w:rsidR="0040782E">
        <w:rPr>
          <w:snapToGrid w:val="0"/>
        </w:rPr>
        <w:t>with existing</w:t>
      </w:r>
      <w:r>
        <w:rPr>
          <w:snapToGrid w:val="0"/>
        </w:rPr>
        <w:t xml:space="preserve"> or new personnel;</w:t>
      </w:r>
    </w:p>
    <w:p w14:paraId="57CD699B" w14:textId="77777777" w:rsidR="00366D64" w:rsidRPr="006332EE" w:rsidRDefault="006C19BF" w:rsidP="00D11DF2">
      <w:pPr>
        <w:pStyle w:val="ListBullet"/>
        <w:rPr>
          <w:snapToGrid w:val="0"/>
        </w:rPr>
      </w:pPr>
      <w:r>
        <w:rPr>
          <w:snapToGrid w:val="0"/>
        </w:rPr>
        <w:t>t</w:t>
      </w:r>
      <w:r w:rsidR="00366D64">
        <w:rPr>
          <w:snapToGrid w:val="0"/>
        </w:rPr>
        <w:t xml:space="preserve">he </w:t>
      </w:r>
      <w:r w:rsidR="00366D64" w:rsidRPr="006332EE">
        <w:rPr>
          <w:snapToGrid w:val="0"/>
        </w:rPr>
        <w:t xml:space="preserve">ability of the unit to meet the NAS </w:t>
      </w:r>
      <w:r w:rsidR="00230F72">
        <w:rPr>
          <w:snapToGrid w:val="0"/>
        </w:rPr>
        <w:t>Measure</w:t>
      </w:r>
      <w:r w:rsidR="00366D64" w:rsidRPr="006332EE">
        <w:rPr>
          <w:snapToGrid w:val="0"/>
        </w:rPr>
        <w:t>s to the l</w:t>
      </w:r>
      <w:r>
        <w:rPr>
          <w:snapToGrid w:val="0"/>
        </w:rPr>
        <w:t>evel of the rest of the Service;</w:t>
      </w:r>
    </w:p>
    <w:p w14:paraId="7E5937F2" w14:textId="77777777" w:rsidR="00366D64" w:rsidRPr="006332EE" w:rsidRDefault="006C19BF" w:rsidP="00D11DF2">
      <w:pPr>
        <w:pStyle w:val="ListBullet"/>
        <w:rPr>
          <w:snapToGrid w:val="0"/>
        </w:rPr>
      </w:pPr>
      <w:r>
        <w:rPr>
          <w:snapToGrid w:val="0"/>
        </w:rPr>
        <w:t>a</w:t>
      </w:r>
      <w:r w:rsidR="00366D64" w:rsidRPr="006332EE">
        <w:rPr>
          <w:snapToGrid w:val="0"/>
        </w:rPr>
        <w:t xml:space="preserve">n exception report on any NAS </w:t>
      </w:r>
      <w:r w:rsidR="00230F72">
        <w:rPr>
          <w:snapToGrid w:val="0"/>
        </w:rPr>
        <w:t>Measure</w:t>
      </w:r>
      <w:r w:rsidR="00366D64" w:rsidRPr="006332EE">
        <w:rPr>
          <w:snapToGrid w:val="0"/>
        </w:rPr>
        <w:t>s that may be unable to be met to</w:t>
      </w:r>
      <w:r w:rsidR="00366D64">
        <w:rPr>
          <w:snapToGrid w:val="0"/>
        </w:rPr>
        <w:t xml:space="preserve"> the level of the rest of the</w:t>
      </w:r>
      <w:r w:rsidR="0040782E">
        <w:rPr>
          <w:snapToGrid w:val="0"/>
        </w:rPr>
        <w:t xml:space="preserve"> Service </w:t>
      </w:r>
      <w:r w:rsidR="00366D64" w:rsidRPr="006332EE">
        <w:rPr>
          <w:snapToGrid w:val="0"/>
        </w:rPr>
        <w:t>and proposed strategies for</w:t>
      </w:r>
      <w:r w:rsidR="0040782E">
        <w:rPr>
          <w:snapToGrid w:val="0"/>
        </w:rPr>
        <w:t xml:space="preserve"> managing a</w:t>
      </w:r>
      <w:r>
        <w:rPr>
          <w:snapToGrid w:val="0"/>
        </w:rPr>
        <w:t>ny associated risks; and</w:t>
      </w:r>
    </w:p>
    <w:p w14:paraId="3FC43A8C" w14:textId="77777777" w:rsidR="00366D64" w:rsidRDefault="006C19BF" w:rsidP="00D11DF2">
      <w:pPr>
        <w:pStyle w:val="ListBullet"/>
        <w:rPr>
          <w:snapToGrid w:val="0"/>
        </w:rPr>
      </w:pPr>
      <w:r>
        <w:rPr>
          <w:snapToGrid w:val="0"/>
        </w:rPr>
        <w:t>t</w:t>
      </w:r>
      <w:r w:rsidR="00366D64" w:rsidRPr="00BF3937">
        <w:rPr>
          <w:snapToGrid w:val="0"/>
        </w:rPr>
        <w:t>he Service’s request for the SCU to a</w:t>
      </w:r>
      <w:r w:rsidR="00683490" w:rsidRPr="00BF3937">
        <w:rPr>
          <w:snapToGrid w:val="0"/>
        </w:rPr>
        <w:t>rrange a pre-commencement visit.</w:t>
      </w:r>
    </w:p>
    <w:p w14:paraId="3023C5D7" w14:textId="3A7EFBE6" w:rsidR="009E5A5E" w:rsidRDefault="00683490" w:rsidP="00D11DF2">
      <w:r w:rsidRPr="0048568A">
        <w:rPr>
          <w:snapToGrid w:val="0"/>
        </w:rPr>
        <w:t xml:space="preserve">The SCU </w:t>
      </w:r>
      <w:r>
        <w:rPr>
          <w:snapToGrid w:val="0"/>
        </w:rPr>
        <w:t>arranges</w:t>
      </w:r>
      <w:r w:rsidRPr="0048568A">
        <w:rPr>
          <w:snapToGrid w:val="0"/>
        </w:rPr>
        <w:t xml:space="preserve"> a pre-commencement</w:t>
      </w:r>
      <w:r w:rsidR="00734644">
        <w:rPr>
          <w:snapToGrid w:val="0"/>
        </w:rPr>
        <w:t xml:space="preserve"> survey</w:t>
      </w:r>
      <w:r w:rsidRPr="0048568A">
        <w:rPr>
          <w:snapToGrid w:val="0"/>
        </w:rPr>
        <w:t xml:space="preserve">.  </w:t>
      </w:r>
      <w:r>
        <w:rPr>
          <w:snapToGrid w:val="0"/>
        </w:rPr>
        <w:t xml:space="preserve">If issues are identified during the </w:t>
      </w:r>
      <w:r w:rsidRPr="0048568A">
        <w:rPr>
          <w:snapToGrid w:val="0"/>
        </w:rPr>
        <w:t>pre-commencement visit</w:t>
      </w:r>
      <w:r>
        <w:rPr>
          <w:snapToGrid w:val="0"/>
        </w:rPr>
        <w:t xml:space="preserve"> the SCU may choose to undertake a </w:t>
      </w:r>
      <w:r w:rsidR="00CF66E2">
        <w:rPr>
          <w:snapToGrid w:val="0"/>
        </w:rPr>
        <w:t xml:space="preserve">further </w:t>
      </w:r>
      <w:r>
        <w:rPr>
          <w:snapToGrid w:val="0"/>
        </w:rPr>
        <w:t xml:space="preserve">internal </w:t>
      </w:r>
      <w:r w:rsidR="00C902CD">
        <w:rPr>
          <w:snapToGrid w:val="0"/>
        </w:rPr>
        <w:t>survey</w:t>
      </w:r>
      <w:r>
        <w:rPr>
          <w:snapToGrid w:val="0"/>
        </w:rPr>
        <w:t xml:space="preserve"> once the unit has commence</w:t>
      </w:r>
      <w:r w:rsidR="005613DC">
        <w:rPr>
          <w:snapToGrid w:val="0"/>
        </w:rPr>
        <w:t>d</w:t>
      </w:r>
      <w:r>
        <w:rPr>
          <w:snapToGrid w:val="0"/>
        </w:rPr>
        <w:t xml:space="preserve"> activities</w:t>
      </w:r>
      <w:r w:rsidR="00332A24">
        <w:rPr>
          <w:snapToGrid w:val="0"/>
        </w:rPr>
        <w:t xml:space="preserve"> </w:t>
      </w:r>
      <w:r w:rsidR="00A244E5" w:rsidRPr="00787A1E">
        <w:rPr>
          <w:rFonts w:cs="Calibri"/>
        </w:rPr>
        <w:t xml:space="preserve">(see </w:t>
      </w:r>
      <w:r w:rsidR="00A244E5">
        <w:rPr>
          <w:rFonts w:cs="Calibri"/>
        </w:rPr>
        <w:t>S</w:t>
      </w:r>
      <w:r w:rsidR="00A244E5" w:rsidRPr="00787A1E">
        <w:rPr>
          <w:rFonts w:cs="Calibri"/>
        </w:rPr>
        <w:t xml:space="preserve">ection </w:t>
      </w:r>
      <w:r w:rsidR="00807712">
        <w:rPr>
          <w:rFonts w:cs="Calibri"/>
        </w:rPr>
        <w:fldChar w:fldCharType="begin"/>
      </w:r>
      <w:r w:rsidR="00807712">
        <w:rPr>
          <w:rFonts w:cs="Calibri"/>
        </w:rPr>
        <w:instrText xml:space="preserve"> REF _Ref465947803 \r \h </w:instrText>
      </w:r>
      <w:r w:rsidR="00807712">
        <w:rPr>
          <w:rFonts w:cs="Calibri"/>
        </w:rPr>
      </w:r>
      <w:r w:rsidR="00807712">
        <w:rPr>
          <w:rFonts w:cs="Calibri"/>
        </w:rPr>
        <w:fldChar w:fldCharType="separate"/>
      </w:r>
      <w:r w:rsidR="00B36BEE">
        <w:rPr>
          <w:rFonts w:cs="Calibri"/>
        </w:rPr>
        <w:t>5.5</w:t>
      </w:r>
      <w:r w:rsidR="00807712">
        <w:rPr>
          <w:rFonts w:cs="Calibri"/>
        </w:rPr>
        <w:fldChar w:fldCharType="end"/>
      </w:r>
      <w:r w:rsidR="00A244E5" w:rsidRPr="00787A1E">
        <w:rPr>
          <w:rFonts w:cs="Calibri"/>
        </w:rPr>
        <w:t>)</w:t>
      </w:r>
      <w:r w:rsidR="00A244E5" w:rsidRPr="00787A1E">
        <w:rPr>
          <w:rFonts w:cs="Calibri"/>
          <w:i/>
        </w:rPr>
        <w:t>.</w:t>
      </w:r>
      <w:r w:rsidR="00927127">
        <w:rPr>
          <w:rFonts w:cs="Calibri"/>
          <w:i/>
        </w:rPr>
        <w:t xml:space="preserve"> </w:t>
      </w:r>
      <w:r>
        <w:t>Reports on pre</w:t>
      </w:r>
      <w:r w:rsidR="005613DC">
        <w:noBreakHyphen/>
      </w:r>
      <w:r w:rsidR="00661ED1">
        <w:t xml:space="preserve"> </w:t>
      </w:r>
      <w:r>
        <w:t xml:space="preserve">commencement </w:t>
      </w:r>
      <w:r w:rsidR="00C902CD">
        <w:t>survey</w:t>
      </w:r>
      <w:r>
        <w:t xml:space="preserve">s and </w:t>
      </w:r>
      <w:r w:rsidR="0040782E">
        <w:rPr>
          <w:snapToGrid w:val="0"/>
        </w:rPr>
        <w:t xml:space="preserve">internal </w:t>
      </w:r>
      <w:r w:rsidR="00C902CD">
        <w:rPr>
          <w:snapToGrid w:val="0"/>
        </w:rPr>
        <w:t>survey</w:t>
      </w:r>
      <w:r w:rsidR="0040782E">
        <w:rPr>
          <w:snapToGrid w:val="0"/>
        </w:rPr>
        <w:t>s, if required,</w:t>
      </w:r>
      <w:r>
        <w:rPr>
          <w:snapToGrid w:val="0"/>
        </w:rPr>
        <w:t xml:space="preserve"> </w:t>
      </w:r>
      <w:r>
        <w:t xml:space="preserve">will be provided to the Service and included in the </w:t>
      </w:r>
      <w:r>
        <w:lastRenderedPageBreak/>
        <w:t xml:space="preserve">documentation for </w:t>
      </w:r>
      <w:r w:rsidR="00C902CD">
        <w:t>survey</w:t>
      </w:r>
      <w:r>
        <w:t xml:space="preserve">ors at the time of the next accreditation </w:t>
      </w:r>
      <w:r w:rsidR="00C902CD">
        <w:t>survey</w:t>
      </w:r>
      <w:r>
        <w:t>.</w:t>
      </w:r>
    </w:p>
    <w:p w14:paraId="59F63716" w14:textId="2C502969" w:rsidR="00366D64" w:rsidRPr="00B514CB" w:rsidRDefault="00366D64" w:rsidP="00AB1C35">
      <w:pPr>
        <w:rPr>
          <w:snapToGrid w:val="0"/>
        </w:rPr>
      </w:pPr>
      <w:r w:rsidRPr="00B514CB">
        <w:rPr>
          <w:snapToGrid w:val="0"/>
        </w:rPr>
        <w:t>The responsibility for managing</w:t>
      </w:r>
      <w:r w:rsidR="0040782E">
        <w:rPr>
          <w:snapToGrid w:val="0"/>
        </w:rPr>
        <w:t xml:space="preserve"> the </w:t>
      </w:r>
      <w:r w:rsidRPr="00B514CB">
        <w:rPr>
          <w:snapToGrid w:val="0"/>
        </w:rPr>
        <w:t>quality of service</w:t>
      </w:r>
      <w:r w:rsidR="0040782E">
        <w:rPr>
          <w:snapToGrid w:val="0"/>
        </w:rPr>
        <w:t>s both within usual operation</w:t>
      </w:r>
      <w:r w:rsidRPr="00B514CB">
        <w:rPr>
          <w:snapToGrid w:val="0"/>
        </w:rPr>
        <w:t xml:space="preserve"> and through chang</w:t>
      </w:r>
      <w:r>
        <w:rPr>
          <w:snapToGrid w:val="0"/>
        </w:rPr>
        <w:t>es and expansion rests with the Service</w:t>
      </w:r>
      <w:r w:rsidR="0040782E">
        <w:rPr>
          <w:snapToGrid w:val="0"/>
        </w:rPr>
        <w:t xml:space="preserve"> Director</w:t>
      </w:r>
      <w:r>
        <w:rPr>
          <w:snapToGrid w:val="0"/>
        </w:rPr>
        <w:t xml:space="preserve"> and the</w:t>
      </w:r>
      <w:r w:rsidRPr="00B514CB">
        <w:rPr>
          <w:snapToGrid w:val="0"/>
        </w:rPr>
        <w:t xml:space="preserve"> SCU</w:t>
      </w:r>
      <w:r>
        <w:rPr>
          <w:snapToGrid w:val="0"/>
        </w:rPr>
        <w:t>.</w:t>
      </w:r>
    </w:p>
    <w:p w14:paraId="48B64E91" w14:textId="5E1930DA" w:rsidR="00366D64" w:rsidRPr="001E0EC2" w:rsidRDefault="00366D64" w:rsidP="006D2034">
      <w:pPr>
        <w:pStyle w:val="Heading3"/>
      </w:pPr>
      <w:bookmarkStart w:id="201" w:name="_Toc517944660"/>
      <w:bookmarkStart w:id="202" w:name="_Toc66438690"/>
      <w:r w:rsidRPr="001E0EC2">
        <w:t>Discuss self-assessment, the pre-commenc</w:t>
      </w:r>
      <w:r w:rsidR="001E0EC2">
        <w:t>e</w:t>
      </w:r>
      <w:r w:rsidRPr="001E0EC2">
        <w:t xml:space="preserve">ment </w:t>
      </w:r>
      <w:r w:rsidR="00C96E6E">
        <w:t xml:space="preserve">survey </w:t>
      </w:r>
      <w:r w:rsidRPr="001E0EC2">
        <w:t>report and any issues with the SCU and develop a response if appropriate</w:t>
      </w:r>
      <w:bookmarkEnd w:id="201"/>
      <w:bookmarkEnd w:id="202"/>
    </w:p>
    <w:p w14:paraId="14F0E8DF" w14:textId="1A5167E1" w:rsidR="00366D64" w:rsidRPr="00F61854" w:rsidRDefault="00366D64" w:rsidP="00AB1C35">
      <w:pPr>
        <w:rPr>
          <w:snapToGrid w:val="0"/>
        </w:rPr>
      </w:pPr>
      <w:r w:rsidRPr="00F61854">
        <w:rPr>
          <w:snapToGrid w:val="0"/>
        </w:rPr>
        <w:t>In the event that a self</w:t>
      </w:r>
      <w:r w:rsidR="00231E58">
        <w:rPr>
          <w:snapToGrid w:val="0"/>
        </w:rPr>
        <w:t>-</w:t>
      </w:r>
      <w:r w:rsidRPr="00F61854">
        <w:rPr>
          <w:snapToGrid w:val="0"/>
        </w:rPr>
        <w:t xml:space="preserve">assessment, </w:t>
      </w:r>
      <w:r w:rsidR="00C902CD">
        <w:rPr>
          <w:snapToGrid w:val="0"/>
        </w:rPr>
        <w:t>survey</w:t>
      </w:r>
      <w:r w:rsidRPr="00F61854">
        <w:rPr>
          <w:snapToGrid w:val="0"/>
        </w:rPr>
        <w:t xml:space="preserve"> or any review against NAS </w:t>
      </w:r>
      <w:r w:rsidR="00230F72">
        <w:rPr>
          <w:snapToGrid w:val="0"/>
        </w:rPr>
        <w:t>Measure</w:t>
      </w:r>
      <w:r w:rsidRPr="00F61854">
        <w:rPr>
          <w:snapToGrid w:val="0"/>
        </w:rPr>
        <w:t>s identifies issues with the unit, the SCU will work with the Service to ensure quality improvement strategies are developed and implemented.  The Service</w:t>
      </w:r>
      <w:r w:rsidR="00E75165">
        <w:rPr>
          <w:snapToGrid w:val="0"/>
        </w:rPr>
        <w:t xml:space="preserve"> Director</w:t>
      </w:r>
      <w:r w:rsidRPr="00F61854">
        <w:rPr>
          <w:snapToGrid w:val="0"/>
        </w:rPr>
        <w:t xml:space="preserve"> should develop a response to the report that can be reviewed prior to the application for full accreditation of the Service.</w:t>
      </w:r>
    </w:p>
    <w:p w14:paraId="368F08EC" w14:textId="0773FAF5" w:rsidR="001E0EC2" w:rsidRPr="001E0EC2" w:rsidRDefault="001E0EC2" w:rsidP="006D2034">
      <w:pPr>
        <w:pStyle w:val="Heading3"/>
      </w:pPr>
      <w:bookmarkStart w:id="203" w:name="_Toc517944661"/>
      <w:bookmarkStart w:id="204" w:name="_Toc66438691"/>
      <w:r w:rsidRPr="001E0EC2">
        <w:t>Engage in the overall Service’s accreditation process</w:t>
      </w:r>
      <w:bookmarkEnd w:id="203"/>
      <w:bookmarkEnd w:id="204"/>
    </w:p>
    <w:p w14:paraId="28560BCB" w14:textId="77777777" w:rsidR="00692BC2" w:rsidRDefault="00366D64" w:rsidP="00AB1C35">
      <w:pPr>
        <w:rPr>
          <w:snapToGrid w:val="0"/>
        </w:rPr>
      </w:pPr>
      <w:r w:rsidRPr="00B514CB">
        <w:rPr>
          <w:snapToGrid w:val="0"/>
        </w:rPr>
        <w:t>When ac</w:t>
      </w:r>
      <w:r>
        <w:rPr>
          <w:snapToGrid w:val="0"/>
        </w:rPr>
        <w:t>creditation becomes due for the rest of the Service, the new unit</w:t>
      </w:r>
      <w:r w:rsidRPr="00B514CB">
        <w:rPr>
          <w:snapToGrid w:val="0"/>
        </w:rPr>
        <w:t xml:space="preserve"> will be included in this process. </w:t>
      </w:r>
      <w:r>
        <w:rPr>
          <w:snapToGrid w:val="0"/>
        </w:rPr>
        <w:t xml:space="preserve"> A </w:t>
      </w:r>
      <w:r w:rsidR="00C902CD">
        <w:rPr>
          <w:snapToGrid w:val="0"/>
        </w:rPr>
        <w:t>survey</w:t>
      </w:r>
      <w:r w:rsidRPr="00B514CB">
        <w:rPr>
          <w:snapToGrid w:val="0"/>
        </w:rPr>
        <w:t xml:space="preserve"> team must visit a new unit. </w:t>
      </w:r>
      <w:r>
        <w:rPr>
          <w:snapToGrid w:val="0"/>
        </w:rPr>
        <w:t xml:space="preserve"> The </w:t>
      </w:r>
      <w:r w:rsidR="00A244E5">
        <w:t xml:space="preserve">pre-commencement and </w:t>
      </w:r>
      <w:r>
        <w:rPr>
          <w:snapToGrid w:val="0"/>
        </w:rPr>
        <w:t xml:space="preserve">internal </w:t>
      </w:r>
      <w:r w:rsidR="00C902CD">
        <w:rPr>
          <w:snapToGrid w:val="0"/>
        </w:rPr>
        <w:t>survey</w:t>
      </w:r>
      <w:r w:rsidRPr="00B514CB">
        <w:rPr>
          <w:snapToGrid w:val="0"/>
        </w:rPr>
        <w:t xml:space="preserve"> repo</w:t>
      </w:r>
      <w:r>
        <w:rPr>
          <w:snapToGrid w:val="0"/>
        </w:rPr>
        <w:t>rt</w:t>
      </w:r>
      <w:r w:rsidR="00A244E5">
        <w:rPr>
          <w:snapToGrid w:val="0"/>
        </w:rPr>
        <w:t>s</w:t>
      </w:r>
      <w:r>
        <w:rPr>
          <w:snapToGrid w:val="0"/>
        </w:rPr>
        <w:t xml:space="preserve"> on a new unit will form part of the</w:t>
      </w:r>
      <w:r w:rsidRPr="00B514CB">
        <w:rPr>
          <w:snapToGrid w:val="0"/>
        </w:rPr>
        <w:t xml:space="preserve"> Service’s application for accreditation.</w:t>
      </w:r>
    </w:p>
    <w:p w14:paraId="74A0A1D2" w14:textId="076F41BA" w:rsidR="00366D64" w:rsidRPr="0063223B" w:rsidRDefault="00366D64" w:rsidP="00500310">
      <w:pPr>
        <w:pStyle w:val="Heading2"/>
      </w:pPr>
      <w:bookmarkStart w:id="205" w:name="_Toc517944662"/>
      <w:bookmarkStart w:id="206" w:name="_Toc66438692"/>
      <w:r w:rsidRPr="0063223B">
        <w:t>RE-APPLYING FOR ACCREDITATION AT THE END OF AN ACCREDITATION PERIOD</w:t>
      </w:r>
      <w:bookmarkEnd w:id="205"/>
      <w:bookmarkEnd w:id="206"/>
    </w:p>
    <w:p w14:paraId="584FBFC5" w14:textId="77777777" w:rsidR="00366D64" w:rsidRPr="0063223B" w:rsidRDefault="00366D64" w:rsidP="00AB1C35">
      <w:pPr>
        <w:rPr>
          <w:snapToGrid w:val="0"/>
        </w:rPr>
      </w:pPr>
      <w:r w:rsidRPr="0063223B">
        <w:rPr>
          <w:snapToGrid w:val="0"/>
        </w:rPr>
        <w:t xml:space="preserve">Any Service </w:t>
      </w:r>
      <w:r w:rsidR="00CF382E">
        <w:rPr>
          <w:snapToGrid w:val="0"/>
        </w:rPr>
        <w:t xml:space="preserve">and/or SCU </w:t>
      </w:r>
      <w:r w:rsidRPr="0063223B">
        <w:rPr>
          <w:snapToGrid w:val="0"/>
        </w:rPr>
        <w:t>approaching the end of an accreditation period must re-apply for accreditation before the end of its accreditation term.</w:t>
      </w:r>
    </w:p>
    <w:p w14:paraId="7B158322" w14:textId="77777777" w:rsidR="00366D64" w:rsidRPr="0063223B" w:rsidRDefault="00366D64" w:rsidP="00AB1C35">
      <w:pPr>
        <w:rPr>
          <w:snapToGrid w:val="0"/>
        </w:rPr>
      </w:pPr>
      <w:r w:rsidRPr="0063223B">
        <w:rPr>
          <w:snapToGrid w:val="0"/>
        </w:rPr>
        <w:t>The SCU will notify accredited Services eight months prior to the end of their term that an application is required.</w:t>
      </w:r>
    </w:p>
    <w:p w14:paraId="5F5634FE" w14:textId="14E5F448" w:rsidR="00366D64" w:rsidRDefault="00366D64" w:rsidP="00AB1C35">
      <w:pPr>
        <w:rPr>
          <w:snapToGrid w:val="0"/>
        </w:rPr>
      </w:pPr>
      <w:r w:rsidRPr="00C51F0E">
        <w:rPr>
          <w:snapToGrid w:val="0"/>
        </w:rPr>
        <w:t xml:space="preserve">The Service </w:t>
      </w:r>
      <w:r w:rsidR="00107E60">
        <w:rPr>
          <w:snapToGrid w:val="0"/>
        </w:rPr>
        <w:t xml:space="preserve">or SCU </w:t>
      </w:r>
      <w:r w:rsidR="0089474F">
        <w:rPr>
          <w:snapToGrid w:val="0"/>
        </w:rPr>
        <w:t xml:space="preserve">will </w:t>
      </w:r>
      <w:r w:rsidR="0089474F" w:rsidRPr="004844A5">
        <w:rPr>
          <w:snapToGrid w:val="0"/>
        </w:rPr>
        <w:t>complete</w:t>
      </w:r>
      <w:r w:rsidR="00EC4413" w:rsidRPr="004844A5">
        <w:rPr>
          <w:snapToGrid w:val="0"/>
        </w:rPr>
        <w:t xml:space="preserve"> the</w:t>
      </w:r>
      <w:r w:rsidR="0089474F" w:rsidRPr="004844A5">
        <w:rPr>
          <w:snapToGrid w:val="0"/>
        </w:rPr>
        <w:t xml:space="preserve"> </w:t>
      </w:r>
      <w:r w:rsidR="00CB269D" w:rsidRPr="004844A5">
        <w:rPr>
          <w:snapToGrid w:val="0"/>
        </w:rPr>
        <w:t>A</w:t>
      </w:r>
      <w:r w:rsidRPr="004844A5">
        <w:rPr>
          <w:snapToGrid w:val="0"/>
        </w:rPr>
        <w:t xml:space="preserve">pplication for </w:t>
      </w:r>
      <w:r w:rsidR="00CB269D" w:rsidRPr="004844A5">
        <w:rPr>
          <w:snapToGrid w:val="0"/>
        </w:rPr>
        <w:t>A</w:t>
      </w:r>
      <w:r w:rsidRPr="004844A5">
        <w:rPr>
          <w:snapToGrid w:val="0"/>
        </w:rPr>
        <w:t>ccreditation</w:t>
      </w:r>
      <w:r w:rsidRPr="004844A5">
        <w:rPr>
          <w:i/>
          <w:snapToGrid w:val="0"/>
        </w:rPr>
        <w:t xml:space="preserve"> </w:t>
      </w:r>
      <w:r w:rsidRPr="004844A5">
        <w:rPr>
          <w:snapToGrid w:val="0"/>
        </w:rPr>
        <w:t>form</w:t>
      </w:r>
      <w:r w:rsidRPr="00C51F0E">
        <w:rPr>
          <w:snapToGrid w:val="0"/>
        </w:rPr>
        <w:t xml:space="preserve"> </w:t>
      </w:r>
      <w:r w:rsidR="004844A5">
        <w:rPr>
          <w:snapToGrid w:val="0"/>
        </w:rPr>
        <w:t xml:space="preserve">(BSA001) </w:t>
      </w:r>
      <w:r w:rsidR="0089474F">
        <w:rPr>
          <w:snapToGrid w:val="0"/>
        </w:rPr>
        <w:t xml:space="preserve">and </w:t>
      </w:r>
      <w:r w:rsidRPr="00C51F0E">
        <w:rPr>
          <w:snapToGrid w:val="0"/>
        </w:rPr>
        <w:t xml:space="preserve">return it </w:t>
      </w:r>
      <w:r w:rsidR="00CF66E2">
        <w:rPr>
          <w:snapToGrid w:val="0"/>
        </w:rPr>
        <w:t xml:space="preserve">to </w:t>
      </w:r>
      <w:r w:rsidRPr="00C51F0E">
        <w:rPr>
          <w:snapToGrid w:val="0"/>
        </w:rPr>
        <w:t>the SCU with copies of supporting</w:t>
      </w:r>
      <w:r w:rsidR="001C2511">
        <w:rPr>
          <w:snapToGrid w:val="0"/>
        </w:rPr>
        <w:t xml:space="preserve"> documentation</w:t>
      </w:r>
      <w:r w:rsidR="00CF66E2">
        <w:rPr>
          <w:snapToGrid w:val="0"/>
        </w:rPr>
        <w:t xml:space="preserve"> within required timeframes for review by the SQC and submission to the survey team</w:t>
      </w:r>
      <w:r w:rsidRPr="0048568A">
        <w:rPr>
          <w:snapToGrid w:val="0"/>
        </w:rPr>
        <w:t>.</w:t>
      </w:r>
    </w:p>
    <w:p w14:paraId="4F633AB1" w14:textId="3C03F020" w:rsidR="00FD5E3F" w:rsidRDefault="00F35871" w:rsidP="00AB1C35">
      <w:pPr>
        <w:rPr>
          <w:snapToGrid w:val="0"/>
        </w:rPr>
      </w:pPr>
      <w:r w:rsidRPr="008726C2">
        <w:rPr>
          <w:snapToGrid w:val="0"/>
        </w:rPr>
        <w:t>The accreditation survey will be undertaken in line with the key</w:t>
      </w:r>
      <w:r w:rsidR="00247107">
        <w:rPr>
          <w:snapToGrid w:val="0"/>
        </w:rPr>
        <w:t xml:space="preserve"> activities outlined in Section </w:t>
      </w:r>
      <w:r w:rsidR="008726C2" w:rsidRPr="008726C2">
        <w:rPr>
          <w:snapToGrid w:val="0"/>
        </w:rPr>
        <w:t>7</w:t>
      </w:r>
      <w:r w:rsidRPr="008726C2">
        <w:rPr>
          <w:snapToGrid w:val="0"/>
        </w:rPr>
        <w:t>.</w:t>
      </w:r>
    </w:p>
    <w:p w14:paraId="046277A7" w14:textId="5F945959" w:rsidR="00366D64" w:rsidRPr="005C7DB1" w:rsidRDefault="00366D64" w:rsidP="00500310">
      <w:pPr>
        <w:pStyle w:val="Heading2"/>
      </w:pPr>
      <w:bookmarkStart w:id="207" w:name="_Toc517944663"/>
      <w:bookmarkStart w:id="208" w:name="_Toc66438693"/>
      <w:r w:rsidRPr="005C7DB1">
        <w:t>EXTENSIONS</w:t>
      </w:r>
      <w:r w:rsidR="008F03F4">
        <w:t>, UPGRADES AND EARLY APPLICATIONS</w:t>
      </w:r>
      <w:bookmarkEnd w:id="207"/>
      <w:bookmarkEnd w:id="208"/>
    </w:p>
    <w:p w14:paraId="5F08269C" w14:textId="77777777" w:rsidR="004A584B" w:rsidRPr="006D2034" w:rsidRDefault="004A584B" w:rsidP="006D2034">
      <w:pPr>
        <w:rPr>
          <w:snapToGrid w:val="0"/>
        </w:rPr>
      </w:pPr>
      <w:r w:rsidRPr="006D2034">
        <w:rPr>
          <w:snapToGrid w:val="0"/>
        </w:rPr>
        <w:t>The NQMC will consider applications from Services and/or SCUs for:</w:t>
      </w:r>
    </w:p>
    <w:p w14:paraId="56BE1360" w14:textId="77777777" w:rsidR="004A584B" w:rsidRPr="006D2034" w:rsidRDefault="004A584B" w:rsidP="004A584B">
      <w:pPr>
        <w:pStyle w:val="ListBullet"/>
        <w:rPr>
          <w:snapToGrid w:val="0"/>
        </w:rPr>
      </w:pPr>
      <w:r w:rsidRPr="006D2034">
        <w:rPr>
          <w:snapToGrid w:val="0"/>
        </w:rPr>
        <w:t>Upgrading accreditation status;</w:t>
      </w:r>
    </w:p>
    <w:p w14:paraId="54FA2882" w14:textId="77777777" w:rsidR="004A584B" w:rsidRPr="006D2034" w:rsidRDefault="004A584B" w:rsidP="004A584B">
      <w:pPr>
        <w:pStyle w:val="ListBullet"/>
        <w:rPr>
          <w:snapToGrid w:val="0"/>
        </w:rPr>
      </w:pPr>
      <w:r w:rsidRPr="006D2034">
        <w:rPr>
          <w:snapToGrid w:val="0"/>
        </w:rPr>
        <w:t>Accreditation in advance of scheduled expiry date; and</w:t>
      </w:r>
    </w:p>
    <w:p w14:paraId="1BF0ECE1" w14:textId="77777777" w:rsidR="004A584B" w:rsidRPr="006D2034" w:rsidRDefault="004A584B" w:rsidP="004A584B">
      <w:pPr>
        <w:pStyle w:val="ListBullet"/>
        <w:rPr>
          <w:snapToGrid w:val="0"/>
        </w:rPr>
      </w:pPr>
      <w:r w:rsidRPr="006D2034">
        <w:rPr>
          <w:snapToGrid w:val="0"/>
        </w:rPr>
        <w:t>Extensions to accreditation periods.</w:t>
      </w:r>
    </w:p>
    <w:p w14:paraId="41DFF327" w14:textId="77777777" w:rsidR="004A584B" w:rsidRPr="006D2034" w:rsidRDefault="004A584B" w:rsidP="006D2034">
      <w:pPr>
        <w:rPr>
          <w:snapToGrid w:val="0"/>
        </w:rPr>
      </w:pPr>
      <w:r w:rsidRPr="006D2034">
        <w:rPr>
          <w:snapToGrid w:val="0"/>
        </w:rPr>
        <w:t>For all applications under this Section:</w:t>
      </w:r>
    </w:p>
    <w:p w14:paraId="477FEFB7" w14:textId="77777777" w:rsidR="004A584B" w:rsidRPr="006D2034" w:rsidRDefault="004A584B" w:rsidP="004A584B">
      <w:pPr>
        <w:pStyle w:val="ListBullet"/>
        <w:rPr>
          <w:snapToGrid w:val="0"/>
        </w:rPr>
      </w:pPr>
      <w:r w:rsidRPr="006D2034">
        <w:rPr>
          <w:snapToGrid w:val="0"/>
        </w:rPr>
        <w:lastRenderedPageBreak/>
        <w:t>The Service and/or SCU must provide a notice of intention to the NQMC at least 3 months in advance of the meeting to which the proposed application would be submitted. This notice should be submitted through the NQMC Secretariat.</w:t>
      </w:r>
    </w:p>
    <w:p w14:paraId="121C2370" w14:textId="77777777" w:rsidR="004A584B" w:rsidRPr="006D2034" w:rsidRDefault="004A584B" w:rsidP="004A584B">
      <w:pPr>
        <w:pStyle w:val="ListBullet"/>
        <w:rPr>
          <w:snapToGrid w:val="0"/>
        </w:rPr>
      </w:pPr>
      <w:r w:rsidRPr="006D2034">
        <w:rPr>
          <w:snapToGrid w:val="0"/>
        </w:rPr>
        <w:t>A Service should develop applications in conjunction with its SCU.</w:t>
      </w:r>
    </w:p>
    <w:p w14:paraId="5C883F00" w14:textId="77777777" w:rsidR="004A584B" w:rsidRPr="006D2034" w:rsidRDefault="004A584B" w:rsidP="004A584B">
      <w:pPr>
        <w:pStyle w:val="ListBullet"/>
        <w:rPr>
          <w:snapToGrid w:val="0"/>
        </w:rPr>
      </w:pPr>
      <w:r w:rsidRPr="006D2034">
        <w:rPr>
          <w:snapToGrid w:val="0"/>
        </w:rPr>
        <w:t>Where the accreditation has been allowed to lapse, the NQMC will not consider any application under this Section (see Section 6.7).</w:t>
      </w:r>
    </w:p>
    <w:p w14:paraId="71E5CF7E" w14:textId="77777777" w:rsidR="004A584B" w:rsidRPr="006D2034" w:rsidRDefault="004A584B" w:rsidP="004A584B">
      <w:pPr>
        <w:pStyle w:val="ListBullet"/>
        <w:rPr>
          <w:snapToGrid w:val="0"/>
        </w:rPr>
      </w:pPr>
      <w:r w:rsidRPr="006D2034">
        <w:rPr>
          <w:snapToGrid w:val="0"/>
        </w:rPr>
        <w:t>The NQMC will consider the potential impact on the National Survey Plan of applications under this Section.</w:t>
      </w:r>
    </w:p>
    <w:p w14:paraId="68D5FB5F" w14:textId="30FD597C" w:rsidR="002F760A" w:rsidRDefault="002F760A" w:rsidP="006D2034">
      <w:pPr>
        <w:pStyle w:val="Heading3"/>
        <w:rPr>
          <w:lang w:eastAsia="en-AU"/>
        </w:rPr>
      </w:pPr>
      <w:bookmarkStart w:id="209" w:name="_Toc66438694"/>
      <w:r w:rsidRPr="00237E3C">
        <w:rPr>
          <w:lang w:eastAsia="en-AU"/>
        </w:rPr>
        <w:t>Upgrading accreditation status</w:t>
      </w:r>
      <w:bookmarkEnd w:id="209"/>
    </w:p>
    <w:p w14:paraId="6632E6D1" w14:textId="77777777" w:rsidR="002F760A" w:rsidRPr="008D6831" w:rsidRDefault="002F760A" w:rsidP="002F760A">
      <w:pPr>
        <w:rPr>
          <w:lang w:eastAsia="en-AU"/>
        </w:rPr>
      </w:pPr>
      <w:r w:rsidRPr="00116C51">
        <w:rPr>
          <w:lang w:eastAsia="en-AU"/>
        </w:rPr>
        <w:t>Services and/or SCUs may apply for an upgrade to their accreditation status at any time after 2 years from the original accreditation decision.</w:t>
      </w:r>
    </w:p>
    <w:p w14:paraId="49CDD3C4" w14:textId="77777777" w:rsidR="002F760A" w:rsidRPr="00116C51" w:rsidRDefault="002F760A" w:rsidP="002F760A">
      <w:pPr>
        <w:rPr>
          <w:lang w:eastAsia="en-AU"/>
        </w:rPr>
      </w:pPr>
      <w:r w:rsidRPr="00116C51">
        <w:rPr>
          <w:lang w:eastAsia="en-AU"/>
        </w:rPr>
        <w:t>As part of the application for upgrade:</w:t>
      </w:r>
    </w:p>
    <w:p w14:paraId="7841D8FF" w14:textId="77777777" w:rsidR="002F760A" w:rsidRPr="00116C51" w:rsidRDefault="002F760A" w:rsidP="002F760A">
      <w:pPr>
        <w:pStyle w:val="ListBullet"/>
        <w:rPr>
          <w:lang w:eastAsia="en-AU"/>
        </w:rPr>
      </w:pPr>
      <w:r w:rsidRPr="00116C51">
        <w:rPr>
          <w:lang w:eastAsia="en-AU"/>
        </w:rPr>
        <w:t>Information should be provided about how the Service and/or SCU has addressed identified QI issues. Data from the most recent 12-month period must also be provided at this time.</w:t>
      </w:r>
    </w:p>
    <w:p w14:paraId="112EA3D4" w14:textId="77777777" w:rsidR="002F760A" w:rsidRPr="00C713A6" w:rsidRDefault="002F760A" w:rsidP="002F760A">
      <w:pPr>
        <w:pStyle w:val="ListBullet"/>
        <w:rPr>
          <w:lang w:eastAsia="en-AU"/>
        </w:rPr>
      </w:pPr>
      <w:r w:rsidRPr="00C713A6">
        <w:rPr>
          <w:lang w:eastAsia="en-AU"/>
        </w:rPr>
        <w:t>The Service and/or SCU will be required to undertake an interim survey (see Section 5.3) unless the NQMC determines otherwise on the basis of evidence provided in the notice of intention.</w:t>
      </w:r>
    </w:p>
    <w:p w14:paraId="68634ACC" w14:textId="0A06BF05" w:rsidR="002F760A" w:rsidRPr="00116C51" w:rsidRDefault="002F760A" w:rsidP="006D2034">
      <w:pPr>
        <w:pStyle w:val="Heading3"/>
        <w:rPr>
          <w:rFonts w:cs="Arial"/>
          <w:szCs w:val="22"/>
          <w:lang w:eastAsia="en-AU"/>
        </w:rPr>
      </w:pPr>
      <w:bookmarkStart w:id="210" w:name="_Toc66438695"/>
      <w:r w:rsidRPr="00214507">
        <w:rPr>
          <w:lang w:eastAsia="en-AU"/>
        </w:rPr>
        <w:t>Early</w:t>
      </w:r>
      <w:r w:rsidRPr="00116C51">
        <w:rPr>
          <w:rFonts w:cs="Arial"/>
          <w:szCs w:val="22"/>
          <w:lang w:eastAsia="en-AU"/>
        </w:rPr>
        <w:t xml:space="preserve"> </w:t>
      </w:r>
      <w:r w:rsidRPr="00214507">
        <w:rPr>
          <w:lang w:eastAsia="en-AU"/>
        </w:rPr>
        <w:t>applications</w:t>
      </w:r>
      <w:bookmarkEnd w:id="210"/>
    </w:p>
    <w:p w14:paraId="1A66CF7B" w14:textId="77777777" w:rsidR="002F760A" w:rsidRPr="00116C51" w:rsidRDefault="002F760A" w:rsidP="002F760A">
      <w:pPr>
        <w:rPr>
          <w:lang w:eastAsia="en-AU"/>
        </w:rPr>
      </w:pPr>
      <w:r w:rsidRPr="00116C51">
        <w:rPr>
          <w:lang w:eastAsia="en-AU"/>
        </w:rPr>
        <w:t>The NQMC will consider applications no more than 6 months in advance of the scheduled expiry date.</w:t>
      </w:r>
    </w:p>
    <w:p w14:paraId="753258C1" w14:textId="77777777" w:rsidR="002F760A" w:rsidRPr="00116C51" w:rsidRDefault="002F760A" w:rsidP="002F760A">
      <w:pPr>
        <w:rPr>
          <w:lang w:eastAsia="en-AU"/>
        </w:rPr>
      </w:pPr>
      <w:r w:rsidRPr="00116C51">
        <w:rPr>
          <w:lang w:eastAsia="en-AU"/>
        </w:rPr>
        <w:t>The notice of intention should include information as to why the Service and/or SCU is seeking to submit an application for accreditation in advance of the scheduled expiry date.</w:t>
      </w:r>
    </w:p>
    <w:p w14:paraId="2783D15C" w14:textId="77777777" w:rsidR="002F760A" w:rsidRPr="00116C51" w:rsidRDefault="002F760A" w:rsidP="002F760A">
      <w:pPr>
        <w:rPr>
          <w:lang w:eastAsia="en-AU"/>
        </w:rPr>
      </w:pPr>
      <w:r w:rsidRPr="00116C51">
        <w:rPr>
          <w:lang w:eastAsia="en-AU"/>
        </w:rPr>
        <w:t>If the NQMC agrees to consider the application on the proposed new date, the Service and/or SCU should submit an application in accordance with the standard process (see Section 6.4).</w:t>
      </w:r>
    </w:p>
    <w:p w14:paraId="070389F9" w14:textId="77777777" w:rsidR="002F760A" w:rsidRPr="004828E3" w:rsidRDefault="002F760A" w:rsidP="004828E3">
      <w:pPr>
        <w:rPr>
          <w:lang w:eastAsia="en-AU"/>
        </w:rPr>
      </w:pPr>
      <w:r w:rsidRPr="004828E3">
        <w:rPr>
          <w:lang w:eastAsia="en-AU"/>
        </w:rPr>
        <w:t>The new accreditation period will commence from the date of the NQMC meeting at which the application for accreditation is considered.</w:t>
      </w:r>
    </w:p>
    <w:p w14:paraId="025EAD09" w14:textId="44857575" w:rsidR="002F760A" w:rsidRDefault="002F760A" w:rsidP="006D2034">
      <w:pPr>
        <w:pStyle w:val="Heading3"/>
        <w:rPr>
          <w:lang w:eastAsia="en-AU"/>
        </w:rPr>
      </w:pPr>
      <w:bookmarkStart w:id="211" w:name="_Toc66438696"/>
      <w:r w:rsidRPr="00E72527">
        <w:rPr>
          <w:lang w:eastAsia="en-AU"/>
        </w:rPr>
        <w:t>Applications for extensions to an accreditation period</w:t>
      </w:r>
      <w:bookmarkEnd w:id="211"/>
    </w:p>
    <w:p w14:paraId="383A2A3B" w14:textId="77777777" w:rsidR="002F760A" w:rsidRPr="006C5B32" w:rsidRDefault="002F760A" w:rsidP="002F760A">
      <w:pPr>
        <w:rPr>
          <w:lang w:eastAsia="en-AU"/>
        </w:rPr>
      </w:pPr>
      <w:r w:rsidRPr="00116C51">
        <w:rPr>
          <w:lang w:eastAsia="en-AU"/>
        </w:rPr>
        <w:t>If an extension of accreditation is sought it must be made at least six months prior to the date of the NQMC meeting for the re-application for Service accreditation. A Service should develop a request for extension in conjunction with its SCU.</w:t>
      </w:r>
    </w:p>
    <w:p w14:paraId="2A72FA64" w14:textId="7C0015C0" w:rsidR="002F760A" w:rsidRPr="005C7DB1" w:rsidRDefault="002F760A" w:rsidP="002F760A">
      <w:pPr>
        <w:rPr>
          <w:snapToGrid w:val="0"/>
        </w:rPr>
      </w:pPr>
      <w:r>
        <w:rPr>
          <w:snapToGrid w:val="0"/>
        </w:rPr>
        <w:t>O</w:t>
      </w:r>
      <w:r w:rsidRPr="005C7DB1">
        <w:rPr>
          <w:snapToGrid w:val="0"/>
        </w:rPr>
        <w:t xml:space="preserve">nly one extension of accreditation is allowed. </w:t>
      </w:r>
      <w:r>
        <w:rPr>
          <w:snapToGrid w:val="0"/>
        </w:rPr>
        <w:t xml:space="preserve"> </w:t>
      </w:r>
      <w:r w:rsidRPr="005C7DB1">
        <w:rPr>
          <w:snapToGrid w:val="0"/>
        </w:rPr>
        <w:t xml:space="preserve">The NQMC will grant extensions of no </w:t>
      </w:r>
      <w:r w:rsidRPr="005C7DB1">
        <w:rPr>
          <w:snapToGrid w:val="0"/>
        </w:rPr>
        <w:lastRenderedPageBreak/>
        <w:t xml:space="preserve">longer than nine months. </w:t>
      </w:r>
      <w:r>
        <w:rPr>
          <w:snapToGrid w:val="0"/>
        </w:rPr>
        <w:t xml:space="preserve"> Extensions will not be granted to Services </w:t>
      </w:r>
      <w:r w:rsidRPr="005C7DB1">
        <w:rPr>
          <w:snapToGrid w:val="0"/>
        </w:rPr>
        <w:t>and</w:t>
      </w:r>
      <w:r>
        <w:rPr>
          <w:snapToGrid w:val="0"/>
        </w:rPr>
        <w:t>/</w:t>
      </w:r>
      <w:r w:rsidRPr="005C7DB1">
        <w:rPr>
          <w:snapToGrid w:val="0"/>
        </w:rPr>
        <w:t xml:space="preserve">or SCUs with </w:t>
      </w:r>
      <w:r>
        <w:rPr>
          <w:snapToGrid w:val="0"/>
        </w:rPr>
        <w:t>condit</w:t>
      </w:r>
      <w:r w:rsidRPr="005C7DB1">
        <w:rPr>
          <w:snapToGrid w:val="0"/>
        </w:rPr>
        <w:t>ional accreditation.</w:t>
      </w:r>
      <w:r>
        <w:rPr>
          <w:snapToGrid w:val="0"/>
        </w:rPr>
        <w:t xml:space="preserve">  Where the</w:t>
      </w:r>
      <w:r w:rsidRPr="005C7DB1">
        <w:rPr>
          <w:snapToGrid w:val="0"/>
        </w:rPr>
        <w:t xml:space="preserve"> accreditation </w:t>
      </w:r>
      <w:r>
        <w:rPr>
          <w:snapToGrid w:val="0"/>
        </w:rPr>
        <w:t>has been allowed to lapse, the</w:t>
      </w:r>
      <w:r w:rsidRPr="005C7DB1">
        <w:rPr>
          <w:snapToGrid w:val="0"/>
        </w:rPr>
        <w:t xml:space="preserve"> </w:t>
      </w:r>
      <w:r>
        <w:rPr>
          <w:snapToGrid w:val="0"/>
        </w:rPr>
        <w:t xml:space="preserve">NQMC will not </w:t>
      </w:r>
      <w:r w:rsidRPr="005C7DB1">
        <w:rPr>
          <w:snapToGrid w:val="0"/>
        </w:rPr>
        <w:t>consider ex</w:t>
      </w:r>
      <w:r w:rsidRPr="003D573B">
        <w:rPr>
          <w:snapToGrid w:val="0"/>
        </w:rPr>
        <w:t>tensions (see Section</w:t>
      </w:r>
      <w:r w:rsidR="00AB7E75">
        <w:rPr>
          <w:snapToGrid w:val="0"/>
        </w:rPr>
        <w:t xml:space="preserve"> 6.7</w:t>
      </w:r>
      <w:r w:rsidRPr="003D573B">
        <w:rPr>
          <w:snapToGrid w:val="0"/>
        </w:rPr>
        <w:t>).</w:t>
      </w:r>
    </w:p>
    <w:p w14:paraId="17FCA9D1" w14:textId="7520DB8F" w:rsidR="002F760A" w:rsidRPr="005C7DB1" w:rsidRDefault="002F760A" w:rsidP="002F760A">
      <w:pPr>
        <w:rPr>
          <w:snapToGrid w:val="0"/>
        </w:rPr>
      </w:pPr>
      <w:r>
        <w:rPr>
          <w:snapToGrid w:val="0"/>
        </w:rPr>
        <w:t>E</w:t>
      </w:r>
      <w:r w:rsidRPr="005C7DB1">
        <w:rPr>
          <w:snapToGrid w:val="0"/>
        </w:rPr>
        <w:t>xtenuating circumstances will always be considered by the NQMC</w:t>
      </w:r>
      <w:r>
        <w:rPr>
          <w:snapToGrid w:val="0"/>
        </w:rPr>
        <w:t xml:space="preserve">. </w:t>
      </w:r>
      <w:r w:rsidRPr="005C7DB1">
        <w:rPr>
          <w:snapToGrid w:val="0"/>
        </w:rPr>
        <w:t>Extenuating circumstances include situations that are unavoidable and over which the Service and</w:t>
      </w:r>
      <w:r>
        <w:rPr>
          <w:snapToGrid w:val="0"/>
        </w:rPr>
        <w:t>/</w:t>
      </w:r>
      <w:r w:rsidRPr="005C7DB1">
        <w:rPr>
          <w:snapToGrid w:val="0"/>
        </w:rPr>
        <w:t>or SCU has little or no control, or where no reasonable solution other than an extension to accreditation could be applied.</w:t>
      </w:r>
    </w:p>
    <w:p w14:paraId="530B8872" w14:textId="00EAB1B0" w:rsidR="002F760A" w:rsidRPr="005C7DB1" w:rsidRDefault="002F760A" w:rsidP="002F760A">
      <w:pPr>
        <w:rPr>
          <w:snapToGrid w:val="0"/>
        </w:rPr>
      </w:pPr>
      <w:r>
        <w:rPr>
          <w:snapToGrid w:val="0"/>
        </w:rPr>
        <w:t>Requests for extensions should specify</w:t>
      </w:r>
      <w:r w:rsidRPr="005C7DB1">
        <w:rPr>
          <w:snapToGrid w:val="0"/>
        </w:rPr>
        <w:t xml:space="preserve"> </w:t>
      </w:r>
      <w:r>
        <w:rPr>
          <w:snapToGrid w:val="0"/>
        </w:rPr>
        <w:t>the</w:t>
      </w:r>
      <w:r w:rsidRPr="005C7DB1">
        <w:rPr>
          <w:snapToGrid w:val="0"/>
        </w:rPr>
        <w:t xml:space="preserve"> amount of time required and </w:t>
      </w:r>
      <w:r w:rsidR="00A848C2">
        <w:rPr>
          <w:snapToGrid w:val="0"/>
        </w:rPr>
        <w:t>rationale.  They should</w:t>
      </w:r>
      <w:r>
        <w:rPr>
          <w:snapToGrid w:val="0"/>
        </w:rPr>
        <w:t xml:space="preserve"> be accompanied by data from the </w:t>
      </w:r>
      <w:r w:rsidRPr="005C7DB1">
        <w:rPr>
          <w:snapToGrid w:val="0"/>
        </w:rPr>
        <w:t>most recent 12 month period.</w:t>
      </w:r>
      <w:r>
        <w:rPr>
          <w:snapToGrid w:val="0"/>
        </w:rPr>
        <w:t xml:space="preserve"> </w:t>
      </w:r>
      <w:r w:rsidRPr="005C7DB1">
        <w:rPr>
          <w:snapToGrid w:val="0"/>
        </w:rPr>
        <w:t xml:space="preserve"> A Service and</w:t>
      </w:r>
      <w:r>
        <w:rPr>
          <w:snapToGrid w:val="0"/>
        </w:rPr>
        <w:t>/</w:t>
      </w:r>
      <w:r w:rsidRPr="005C7DB1">
        <w:rPr>
          <w:snapToGrid w:val="0"/>
        </w:rPr>
        <w:t>or SCU ap</w:t>
      </w:r>
      <w:r>
        <w:rPr>
          <w:snapToGrid w:val="0"/>
        </w:rPr>
        <w:t xml:space="preserve">plying for an extension should </w:t>
      </w:r>
      <w:r w:rsidRPr="005C7DB1">
        <w:rPr>
          <w:snapToGrid w:val="0"/>
        </w:rPr>
        <w:t>provide information about activ</w:t>
      </w:r>
      <w:r>
        <w:rPr>
          <w:snapToGrid w:val="0"/>
        </w:rPr>
        <w:t>ities it has, or proposes to, put in place to address the</w:t>
      </w:r>
      <w:r w:rsidRPr="005C7DB1">
        <w:rPr>
          <w:snapToGrid w:val="0"/>
        </w:rPr>
        <w:t xml:space="preserve"> issues</w:t>
      </w:r>
      <w:r>
        <w:rPr>
          <w:snapToGrid w:val="0"/>
        </w:rPr>
        <w:t xml:space="preserve"> that have led to its inability to meet the</w:t>
      </w:r>
      <w:r w:rsidRPr="005C7DB1">
        <w:rPr>
          <w:snapToGrid w:val="0"/>
        </w:rPr>
        <w:t xml:space="preserve"> accreditation timeframe.</w:t>
      </w:r>
    </w:p>
    <w:p w14:paraId="5E5A2326" w14:textId="79D7CCCB" w:rsidR="00366D64" w:rsidRPr="005C7DB1" w:rsidRDefault="00366D64" w:rsidP="00500310">
      <w:pPr>
        <w:pStyle w:val="Heading2"/>
      </w:pPr>
      <w:bookmarkStart w:id="212" w:name="_Toc517944664"/>
      <w:bookmarkStart w:id="213" w:name="_Toc66438697"/>
      <w:r w:rsidRPr="005C7DB1">
        <w:t>CALCULATION OF THE ACCREDITATION PERIOD</w:t>
      </w:r>
      <w:bookmarkEnd w:id="212"/>
      <w:bookmarkEnd w:id="213"/>
    </w:p>
    <w:p w14:paraId="43034BB6" w14:textId="66D87032" w:rsidR="00366D64" w:rsidRPr="006C0ABF" w:rsidRDefault="00366D64" w:rsidP="006D2034">
      <w:pPr>
        <w:pStyle w:val="Heading3"/>
      </w:pPr>
      <w:bookmarkStart w:id="214" w:name="_Toc517944665"/>
      <w:bookmarkStart w:id="215" w:name="_Toc66438698"/>
      <w:r w:rsidRPr="006C0ABF">
        <w:t>For accredited Services and/or SCUs</w:t>
      </w:r>
      <w:bookmarkEnd w:id="214"/>
      <w:bookmarkEnd w:id="215"/>
    </w:p>
    <w:p w14:paraId="707C55F6" w14:textId="0649DE86" w:rsidR="00F4695B" w:rsidRDefault="00366D64" w:rsidP="00AB1C35">
      <w:pPr>
        <w:rPr>
          <w:snapToGrid w:val="0"/>
        </w:rPr>
      </w:pPr>
      <w:r w:rsidRPr="005C7DB1">
        <w:rPr>
          <w:snapToGrid w:val="0"/>
        </w:rPr>
        <w:t>A new period of accreditation is c</w:t>
      </w:r>
      <w:r>
        <w:rPr>
          <w:snapToGrid w:val="0"/>
        </w:rPr>
        <w:t>alculated to commence from the t</w:t>
      </w:r>
      <w:r w:rsidRPr="005C7DB1">
        <w:rPr>
          <w:snapToGrid w:val="0"/>
        </w:rPr>
        <w:t xml:space="preserve">ime </w:t>
      </w:r>
      <w:r w:rsidR="00A52FDE">
        <w:rPr>
          <w:snapToGrid w:val="0"/>
        </w:rPr>
        <w:t xml:space="preserve">the current </w:t>
      </w:r>
      <w:r w:rsidRPr="005C7DB1">
        <w:rPr>
          <w:snapToGrid w:val="0"/>
        </w:rPr>
        <w:t>accreditation expire</w:t>
      </w:r>
      <w:r w:rsidR="00A52FDE">
        <w:rPr>
          <w:snapToGrid w:val="0"/>
        </w:rPr>
        <w:t>s</w:t>
      </w:r>
      <w:r w:rsidRPr="005C7DB1">
        <w:rPr>
          <w:snapToGrid w:val="0"/>
        </w:rPr>
        <w:t>.</w:t>
      </w:r>
      <w:r>
        <w:rPr>
          <w:snapToGrid w:val="0"/>
        </w:rPr>
        <w:t xml:space="preserve"> </w:t>
      </w:r>
      <w:r w:rsidRPr="005C7DB1">
        <w:rPr>
          <w:snapToGrid w:val="0"/>
        </w:rPr>
        <w:t xml:space="preserve"> For example, if a Service </w:t>
      </w:r>
      <w:r>
        <w:rPr>
          <w:snapToGrid w:val="0"/>
        </w:rPr>
        <w:t xml:space="preserve">was initially accredited until </w:t>
      </w:r>
      <w:r w:rsidRPr="005C7DB1">
        <w:rPr>
          <w:snapToGrid w:val="0"/>
        </w:rPr>
        <w:t>3</w:t>
      </w:r>
      <w:r>
        <w:rPr>
          <w:snapToGrid w:val="0"/>
        </w:rPr>
        <w:t>1</w:t>
      </w:r>
      <w:r w:rsidRPr="005C7DB1">
        <w:rPr>
          <w:snapToGrid w:val="0"/>
        </w:rPr>
        <w:t xml:space="preserve"> </w:t>
      </w:r>
      <w:r>
        <w:rPr>
          <w:snapToGrid w:val="0"/>
        </w:rPr>
        <w:t>August</w:t>
      </w:r>
      <w:r w:rsidRPr="005C7DB1">
        <w:rPr>
          <w:snapToGrid w:val="0"/>
        </w:rPr>
        <w:t xml:space="preserve"> 20</w:t>
      </w:r>
      <w:r>
        <w:rPr>
          <w:snapToGrid w:val="0"/>
        </w:rPr>
        <w:t>13</w:t>
      </w:r>
      <w:r w:rsidR="008E2B21">
        <w:rPr>
          <w:snapToGrid w:val="0"/>
        </w:rPr>
        <w:t xml:space="preserve"> and</w:t>
      </w:r>
      <w:r>
        <w:rPr>
          <w:snapToGrid w:val="0"/>
        </w:rPr>
        <w:t xml:space="preserve"> received an extension until </w:t>
      </w:r>
      <w:r w:rsidRPr="005C7DB1">
        <w:rPr>
          <w:snapToGrid w:val="0"/>
        </w:rPr>
        <w:t>30 November 20</w:t>
      </w:r>
      <w:r>
        <w:rPr>
          <w:snapToGrid w:val="0"/>
        </w:rPr>
        <w:t>13</w:t>
      </w:r>
      <w:r w:rsidRPr="005C7DB1">
        <w:rPr>
          <w:snapToGrid w:val="0"/>
        </w:rPr>
        <w:t>, the period of accreditation would be granted from</w:t>
      </w:r>
      <w:r>
        <w:rPr>
          <w:snapToGrid w:val="0"/>
        </w:rPr>
        <w:t xml:space="preserve"> </w:t>
      </w:r>
      <w:r w:rsidRPr="005C7DB1">
        <w:rPr>
          <w:snapToGrid w:val="0"/>
        </w:rPr>
        <w:t>30</w:t>
      </w:r>
      <w:r w:rsidR="00590FAE">
        <w:rPr>
          <w:snapToGrid w:val="0"/>
        </w:rPr>
        <w:t> </w:t>
      </w:r>
      <w:r w:rsidRPr="005C7DB1">
        <w:rPr>
          <w:snapToGrid w:val="0"/>
        </w:rPr>
        <w:t>November 20</w:t>
      </w:r>
      <w:r>
        <w:rPr>
          <w:snapToGrid w:val="0"/>
        </w:rPr>
        <w:t>13</w:t>
      </w:r>
      <w:r w:rsidRPr="005C7DB1">
        <w:rPr>
          <w:snapToGrid w:val="0"/>
        </w:rPr>
        <w:t>.</w:t>
      </w:r>
    </w:p>
    <w:p w14:paraId="6A5F5981" w14:textId="18551019" w:rsidR="00366D64" w:rsidRPr="006C0ABF" w:rsidRDefault="00366D64" w:rsidP="006D2034">
      <w:pPr>
        <w:pStyle w:val="Heading3"/>
      </w:pPr>
      <w:bookmarkStart w:id="216" w:name="_Toc517944666"/>
      <w:bookmarkStart w:id="217" w:name="_Toc66438699"/>
      <w:r w:rsidRPr="006C0ABF">
        <w:t>For new Services or units</w:t>
      </w:r>
      <w:bookmarkEnd w:id="216"/>
      <w:bookmarkEnd w:id="217"/>
    </w:p>
    <w:p w14:paraId="395393DD" w14:textId="77777777" w:rsidR="00247107" w:rsidRDefault="00366D64" w:rsidP="00AB1C35">
      <w:pPr>
        <w:rPr>
          <w:snapToGrid w:val="0"/>
        </w:rPr>
      </w:pPr>
      <w:r w:rsidRPr="00DA6188">
        <w:rPr>
          <w:snapToGrid w:val="0"/>
        </w:rPr>
        <w:t>New accred</w:t>
      </w:r>
      <w:r>
        <w:rPr>
          <w:snapToGrid w:val="0"/>
        </w:rPr>
        <w:t>itation periods start from the date of the NQMC meeting at which the decision to accredit the</w:t>
      </w:r>
      <w:r w:rsidR="00711D4E">
        <w:rPr>
          <w:snapToGrid w:val="0"/>
        </w:rPr>
        <w:t xml:space="preserve"> Service </w:t>
      </w:r>
      <w:r w:rsidRPr="00DA6188">
        <w:rPr>
          <w:snapToGrid w:val="0"/>
        </w:rPr>
        <w:t>was made.</w:t>
      </w:r>
      <w:r>
        <w:rPr>
          <w:snapToGrid w:val="0"/>
        </w:rPr>
        <w:t xml:space="preserve"> </w:t>
      </w:r>
      <w:r w:rsidRPr="00DA6188">
        <w:rPr>
          <w:snapToGrid w:val="0"/>
        </w:rPr>
        <w:t xml:space="preserve"> </w:t>
      </w:r>
    </w:p>
    <w:p w14:paraId="1AB17759" w14:textId="565C5981" w:rsidR="00366D64" w:rsidRPr="00DA6188" w:rsidRDefault="00366D64" w:rsidP="00AB1C35">
      <w:pPr>
        <w:rPr>
          <w:snapToGrid w:val="0"/>
        </w:rPr>
      </w:pPr>
      <w:r w:rsidRPr="00DA6188">
        <w:rPr>
          <w:snapToGrid w:val="0"/>
        </w:rPr>
        <w:t xml:space="preserve">The accreditation period for new units will match that of the rest of the Service. </w:t>
      </w:r>
      <w:r>
        <w:rPr>
          <w:snapToGrid w:val="0"/>
        </w:rPr>
        <w:t xml:space="preserve"> </w:t>
      </w:r>
      <w:r w:rsidR="00D72462">
        <w:rPr>
          <w:snapToGrid w:val="0"/>
        </w:rPr>
        <w:t>A new unit does not need to undergo separate accreditation but will fit into the timeframes for the whole of Service accreditation.</w:t>
      </w:r>
    </w:p>
    <w:p w14:paraId="1505E0EA" w14:textId="18731A5E" w:rsidR="00366D64" w:rsidRPr="006C0ABF" w:rsidRDefault="00366D64" w:rsidP="006D2034">
      <w:pPr>
        <w:pStyle w:val="Heading3"/>
      </w:pPr>
      <w:bookmarkStart w:id="218" w:name="_Toc517944667"/>
      <w:bookmarkStart w:id="219" w:name="_Toc66438700"/>
      <w:r w:rsidRPr="006C0ABF">
        <w:t>End of the accreditation period</w:t>
      </w:r>
      <w:bookmarkEnd w:id="218"/>
      <w:bookmarkEnd w:id="219"/>
    </w:p>
    <w:p w14:paraId="1D923FFC" w14:textId="12DCF424" w:rsidR="00366D64" w:rsidRPr="00DA6188" w:rsidRDefault="00366D64" w:rsidP="00AB1C35">
      <w:pPr>
        <w:rPr>
          <w:snapToGrid w:val="0"/>
        </w:rPr>
      </w:pPr>
      <w:r w:rsidRPr="00DA6188">
        <w:rPr>
          <w:snapToGrid w:val="0"/>
        </w:rPr>
        <w:t xml:space="preserve">The accreditation period will end on the last day of the month </w:t>
      </w:r>
      <w:r w:rsidR="008E2B21">
        <w:rPr>
          <w:snapToGrid w:val="0"/>
        </w:rPr>
        <w:t>of the fourth anniversary of the granting of the accreditation by the NQMC. For example, if the NQMC granted accreditation at its 23 May 2014 meeting, the accreditation period would end on 31 May 2018.</w:t>
      </w:r>
    </w:p>
    <w:p w14:paraId="3323CC70" w14:textId="12C753D4" w:rsidR="00366D64" w:rsidRPr="00DA6188" w:rsidRDefault="00366D64" w:rsidP="00500310">
      <w:pPr>
        <w:pStyle w:val="Heading2"/>
      </w:pPr>
      <w:bookmarkStart w:id="220" w:name="_Ref465947384"/>
      <w:bookmarkStart w:id="221" w:name="_Ref465947847"/>
      <w:bookmarkStart w:id="222" w:name="_Toc517944668"/>
      <w:bookmarkStart w:id="223" w:name="_Toc66438701"/>
      <w:r w:rsidRPr="00DA6188">
        <w:t>LAPSED ACCREDITATION</w:t>
      </w:r>
      <w:bookmarkEnd w:id="220"/>
      <w:bookmarkEnd w:id="221"/>
      <w:bookmarkEnd w:id="222"/>
      <w:bookmarkEnd w:id="223"/>
    </w:p>
    <w:p w14:paraId="2354B678" w14:textId="77777777" w:rsidR="00366D64" w:rsidRPr="00DA6188" w:rsidRDefault="00366D64" w:rsidP="00AB1C35">
      <w:pPr>
        <w:rPr>
          <w:snapToGrid w:val="0"/>
        </w:rPr>
      </w:pPr>
      <w:r>
        <w:rPr>
          <w:snapToGrid w:val="0"/>
        </w:rPr>
        <w:t>A</w:t>
      </w:r>
      <w:r w:rsidRPr="00DA6188">
        <w:rPr>
          <w:snapToGrid w:val="0"/>
        </w:rPr>
        <w:t>ccreditati</w:t>
      </w:r>
      <w:r>
        <w:rPr>
          <w:snapToGrid w:val="0"/>
        </w:rPr>
        <w:t>on is considered to have lapsed</w:t>
      </w:r>
      <w:r w:rsidRPr="00DA6188">
        <w:rPr>
          <w:snapToGrid w:val="0"/>
        </w:rPr>
        <w:t xml:space="preserve"> if:</w:t>
      </w:r>
    </w:p>
    <w:p w14:paraId="03E8D11F" w14:textId="77777777" w:rsidR="00366D64" w:rsidRPr="00637522" w:rsidRDefault="00D94941" w:rsidP="00D11DF2">
      <w:pPr>
        <w:pStyle w:val="ListBullet"/>
        <w:rPr>
          <w:snapToGrid w:val="0"/>
        </w:rPr>
      </w:pPr>
      <w:r>
        <w:rPr>
          <w:snapToGrid w:val="0"/>
        </w:rPr>
        <w:t>a</w:t>
      </w:r>
      <w:r w:rsidR="00366D64" w:rsidRPr="00637522">
        <w:rPr>
          <w:snapToGrid w:val="0"/>
        </w:rPr>
        <w:t xml:space="preserve"> re-application for accreditation before the end of the current accreditation period has </w:t>
      </w:r>
      <w:r w:rsidR="003D573B">
        <w:rPr>
          <w:snapToGrid w:val="0"/>
        </w:rPr>
        <w:t xml:space="preserve">not </w:t>
      </w:r>
      <w:r w:rsidR="00E27CCA">
        <w:rPr>
          <w:snapToGrid w:val="0"/>
        </w:rPr>
        <w:t>been submitted</w:t>
      </w:r>
      <w:r w:rsidR="007E038F">
        <w:rPr>
          <w:snapToGrid w:val="0"/>
        </w:rPr>
        <w:t xml:space="preserve"> to the NQMC</w:t>
      </w:r>
      <w:r>
        <w:rPr>
          <w:snapToGrid w:val="0"/>
        </w:rPr>
        <w:t>; or</w:t>
      </w:r>
    </w:p>
    <w:p w14:paraId="15AB363B" w14:textId="77777777" w:rsidR="00366D64" w:rsidRPr="00637522" w:rsidRDefault="00D94941" w:rsidP="00D11DF2">
      <w:pPr>
        <w:pStyle w:val="ListBullet"/>
        <w:rPr>
          <w:snapToGrid w:val="0"/>
        </w:rPr>
      </w:pPr>
      <w:r>
        <w:rPr>
          <w:snapToGrid w:val="0"/>
        </w:rPr>
        <w:lastRenderedPageBreak/>
        <w:t>a</w:t>
      </w:r>
      <w:r w:rsidR="00366D64" w:rsidRPr="00637522">
        <w:rPr>
          <w:snapToGrid w:val="0"/>
        </w:rPr>
        <w:t>n extension of the accreditation period has</w:t>
      </w:r>
      <w:r w:rsidR="003D573B">
        <w:rPr>
          <w:snapToGrid w:val="0"/>
        </w:rPr>
        <w:t xml:space="preserve"> not</w:t>
      </w:r>
      <w:r w:rsidR="00366D64" w:rsidRPr="00637522">
        <w:rPr>
          <w:snapToGrid w:val="0"/>
        </w:rPr>
        <w:t xml:space="preserve"> been requested or granted</w:t>
      </w:r>
      <w:r w:rsidR="007E038F">
        <w:rPr>
          <w:snapToGrid w:val="0"/>
        </w:rPr>
        <w:t xml:space="preserve"> by the NQMC</w:t>
      </w:r>
      <w:r w:rsidR="00366D64" w:rsidRPr="00637522">
        <w:rPr>
          <w:snapToGrid w:val="0"/>
        </w:rPr>
        <w:t>.</w:t>
      </w:r>
    </w:p>
    <w:p w14:paraId="234731CD" w14:textId="6E02AA8D" w:rsidR="00247107" w:rsidRDefault="00366D64" w:rsidP="00AB1C35">
      <w:pPr>
        <w:rPr>
          <w:snapToGrid w:val="0"/>
        </w:rPr>
      </w:pPr>
      <w:r>
        <w:rPr>
          <w:snapToGrid w:val="0"/>
        </w:rPr>
        <w:t>A Service in either of the above</w:t>
      </w:r>
      <w:r w:rsidR="00E27CCA">
        <w:rPr>
          <w:snapToGrid w:val="0"/>
        </w:rPr>
        <w:t xml:space="preserve"> situations is categorised as</w:t>
      </w:r>
      <w:r w:rsidRPr="00637522">
        <w:rPr>
          <w:snapToGrid w:val="0"/>
        </w:rPr>
        <w:t xml:space="preserve"> non-accredited.</w:t>
      </w:r>
      <w:r>
        <w:rPr>
          <w:snapToGrid w:val="0"/>
        </w:rPr>
        <w:t xml:space="preserve"> </w:t>
      </w:r>
      <w:r w:rsidRPr="00637522">
        <w:rPr>
          <w:snapToGrid w:val="0"/>
        </w:rPr>
        <w:t xml:space="preserve"> Therefore, to become accredited it will need to apply for </w:t>
      </w:r>
      <w:r>
        <w:rPr>
          <w:snapToGrid w:val="0"/>
        </w:rPr>
        <w:t>conditional</w:t>
      </w:r>
      <w:r w:rsidRPr="00637522">
        <w:rPr>
          <w:snapToGrid w:val="0"/>
        </w:rPr>
        <w:t xml:space="preserve"> accreditation as if it were a new Service. </w:t>
      </w:r>
      <w:r>
        <w:rPr>
          <w:snapToGrid w:val="0"/>
        </w:rPr>
        <w:t xml:space="preserve"> </w:t>
      </w:r>
    </w:p>
    <w:p w14:paraId="2C49239E" w14:textId="7D4E44B5" w:rsidR="00366D64" w:rsidRPr="00637522" w:rsidRDefault="00366D64" w:rsidP="00AB1C35">
      <w:pPr>
        <w:rPr>
          <w:snapToGrid w:val="0"/>
        </w:rPr>
      </w:pPr>
      <w:r>
        <w:rPr>
          <w:snapToGrid w:val="0"/>
        </w:rPr>
        <w:t>Where</w:t>
      </w:r>
      <w:r w:rsidRPr="00637522">
        <w:rPr>
          <w:snapToGrid w:val="0"/>
        </w:rPr>
        <w:t xml:space="preserve"> accreditation </w:t>
      </w:r>
      <w:r>
        <w:rPr>
          <w:snapToGrid w:val="0"/>
        </w:rPr>
        <w:t>has lapse</w:t>
      </w:r>
      <w:r w:rsidR="00CF2EFA">
        <w:rPr>
          <w:snapToGrid w:val="0"/>
        </w:rPr>
        <w:t>d</w:t>
      </w:r>
      <w:r>
        <w:rPr>
          <w:snapToGrid w:val="0"/>
        </w:rPr>
        <w:t>, the NQMC will not</w:t>
      </w:r>
      <w:r w:rsidRPr="00637522">
        <w:rPr>
          <w:snapToGrid w:val="0"/>
        </w:rPr>
        <w:t xml:space="preserve"> consider extensions.</w:t>
      </w:r>
      <w:r>
        <w:rPr>
          <w:snapToGrid w:val="0"/>
        </w:rPr>
        <w:t xml:space="preserve">  It is the responsibility of the SCU to arrange </w:t>
      </w:r>
      <w:r w:rsidR="00BF5B21">
        <w:rPr>
          <w:snapToGrid w:val="0"/>
        </w:rPr>
        <w:t>an application be submitted to the NQMC meeting</w:t>
      </w:r>
      <w:r>
        <w:rPr>
          <w:snapToGrid w:val="0"/>
        </w:rPr>
        <w:t xml:space="preserve"> before the</w:t>
      </w:r>
      <w:r w:rsidRPr="00637522">
        <w:rPr>
          <w:snapToGrid w:val="0"/>
        </w:rPr>
        <w:t xml:space="preserve"> </w:t>
      </w:r>
      <w:r w:rsidR="00BF5B21">
        <w:rPr>
          <w:snapToGrid w:val="0"/>
        </w:rPr>
        <w:t xml:space="preserve">accreditation period </w:t>
      </w:r>
      <w:r w:rsidRPr="00637522">
        <w:rPr>
          <w:snapToGrid w:val="0"/>
        </w:rPr>
        <w:t>of</w:t>
      </w:r>
      <w:r>
        <w:rPr>
          <w:snapToGrid w:val="0"/>
        </w:rPr>
        <w:t xml:space="preserve"> the</w:t>
      </w:r>
      <w:r w:rsidR="00E27CCA">
        <w:rPr>
          <w:snapToGrid w:val="0"/>
        </w:rPr>
        <w:t xml:space="preserve"> Service/SCU</w:t>
      </w:r>
      <w:r w:rsidRPr="00637522">
        <w:rPr>
          <w:snapToGrid w:val="0"/>
        </w:rPr>
        <w:t xml:space="preserve"> </w:t>
      </w:r>
      <w:r w:rsidR="00E27CCA">
        <w:rPr>
          <w:snapToGrid w:val="0"/>
        </w:rPr>
        <w:t>lapses</w:t>
      </w:r>
      <w:r w:rsidRPr="00637522">
        <w:rPr>
          <w:snapToGrid w:val="0"/>
        </w:rPr>
        <w:t xml:space="preserve">. </w:t>
      </w:r>
    </w:p>
    <w:p w14:paraId="43A007BB" w14:textId="28CF9738" w:rsidR="00366D64" w:rsidRPr="00EE3ACB" w:rsidRDefault="00366D64" w:rsidP="00500310">
      <w:pPr>
        <w:pStyle w:val="Heading2"/>
      </w:pPr>
      <w:bookmarkStart w:id="224" w:name="_Toc517944669"/>
      <w:bookmarkStart w:id="225" w:name="_Toc66438702"/>
      <w:r w:rsidRPr="00EE3ACB">
        <w:t>ACCREDITATION AND SIGNIFICANT CHANGES TO A SERVICE</w:t>
      </w:r>
      <w:bookmarkEnd w:id="224"/>
      <w:bookmarkEnd w:id="225"/>
    </w:p>
    <w:p w14:paraId="00304824" w14:textId="77777777" w:rsidR="00366D64" w:rsidRDefault="00366D64" w:rsidP="00AB1C35">
      <w:pPr>
        <w:rPr>
          <w:snapToGrid w:val="0"/>
        </w:rPr>
      </w:pPr>
      <w:r w:rsidRPr="00637522">
        <w:rPr>
          <w:snapToGrid w:val="0"/>
        </w:rPr>
        <w:t>A Service may achieve accreditation and then undergo signiﬁcant changes, for instance, in:</w:t>
      </w:r>
    </w:p>
    <w:p w14:paraId="574C438D" w14:textId="77777777" w:rsidR="00366D64" w:rsidRPr="00637522" w:rsidRDefault="00D94941" w:rsidP="00D11DF2">
      <w:pPr>
        <w:pStyle w:val="ListBullet"/>
        <w:rPr>
          <w:snapToGrid w:val="0"/>
        </w:rPr>
      </w:pPr>
      <w:r>
        <w:rPr>
          <w:snapToGrid w:val="0"/>
        </w:rPr>
        <w:t>funding arrangements;</w:t>
      </w:r>
    </w:p>
    <w:p w14:paraId="23C85417" w14:textId="77777777" w:rsidR="00366D64" w:rsidRPr="00637522" w:rsidRDefault="00D94941" w:rsidP="00D11DF2">
      <w:pPr>
        <w:pStyle w:val="ListBullet"/>
        <w:rPr>
          <w:snapToGrid w:val="0"/>
        </w:rPr>
      </w:pPr>
      <w:r>
        <w:rPr>
          <w:snapToGrid w:val="0"/>
        </w:rPr>
        <w:t>service provider/s;</w:t>
      </w:r>
    </w:p>
    <w:p w14:paraId="0037DDA8" w14:textId="77777777" w:rsidR="00366D64" w:rsidRPr="001004E9" w:rsidRDefault="00D94941" w:rsidP="00D11DF2">
      <w:pPr>
        <w:pStyle w:val="ListBullet"/>
        <w:rPr>
          <w:snapToGrid w:val="0"/>
        </w:rPr>
      </w:pPr>
      <w:r>
        <w:rPr>
          <w:snapToGrid w:val="0"/>
        </w:rPr>
        <w:t>s</w:t>
      </w:r>
      <w:r w:rsidR="00E27CCA" w:rsidRPr="001004E9">
        <w:rPr>
          <w:snapToGrid w:val="0"/>
        </w:rPr>
        <w:t xml:space="preserve">tructure such as the amalgamation of two Services or </w:t>
      </w:r>
      <w:r w:rsidR="00366D64" w:rsidRPr="001004E9">
        <w:rPr>
          <w:snapToGrid w:val="0"/>
        </w:rPr>
        <w:t xml:space="preserve">realignment of a Service within </w:t>
      </w:r>
      <w:r w:rsidR="00E27CCA" w:rsidRPr="001004E9">
        <w:rPr>
          <w:snapToGrid w:val="0"/>
        </w:rPr>
        <w:t>the organi</w:t>
      </w:r>
      <w:r w:rsidR="007D59D3" w:rsidRPr="001004E9">
        <w:rPr>
          <w:snapToGrid w:val="0"/>
        </w:rPr>
        <w:t>s</w:t>
      </w:r>
      <w:r>
        <w:rPr>
          <w:snapToGrid w:val="0"/>
        </w:rPr>
        <w:t>ation;</w:t>
      </w:r>
    </w:p>
    <w:p w14:paraId="7A3F3664" w14:textId="77777777" w:rsidR="00366D64" w:rsidRPr="00637522" w:rsidRDefault="00D94941" w:rsidP="00D11DF2">
      <w:pPr>
        <w:pStyle w:val="ListBullet"/>
        <w:rPr>
          <w:snapToGrid w:val="0"/>
        </w:rPr>
      </w:pPr>
      <w:r>
        <w:rPr>
          <w:snapToGrid w:val="0"/>
        </w:rPr>
        <w:t>p</w:t>
      </w:r>
      <w:r w:rsidR="00366D64" w:rsidRPr="001004E9">
        <w:rPr>
          <w:snapToGrid w:val="0"/>
        </w:rPr>
        <w:t>hysical amenities a</w:t>
      </w:r>
      <w:r w:rsidR="00366D64">
        <w:rPr>
          <w:snapToGrid w:val="0"/>
        </w:rPr>
        <w:t xml:space="preserve">nd/or </w:t>
      </w:r>
      <w:r>
        <w:rPr>
          <w:snapToGrid w:val="0"/>
        </w:rPr>
        <w:t>location; or</w:t>
      </w:r>
    </w:p>
    <w:p w14:paraId="66169BA7" w14:textId="77777777" w:rsidR="00366D64" w:rsidRPr="00637522" w:rsidRDefault="00D94941" w:rsidP="00D11DF2">
      <w:pPr>
        <w:pStyle w:val="ListBullet"/>
        <w:rPr>
          <w:snapToGrid w:val="0"/>
        </w:rPr>
      </w:pPr>
      <w:r>
        <w:rPr>
          <w:snapToGrid w:val="0"/>
        </w:rPr>
        <w:t>c</w:t>
      </w:r>
      <w:r w:rsidR="00366D64">
        <w:rPr>
          <w:snapToGrid w:val="0"/>
        </w:rPr>
        <w:t xml:space="preserve">ombinations of </w:t>
      </w:r>
      <w:r w:rsidR="00E27CCA">
        <w:rPr>
          <w:snapToGrid w:val="0"/>
        </w:rPr>
        <w:t xml:space="preserve">any of </w:t>
      </w:r>
      <w:r w:rsidR="00366D64">
        <w:rPr>
          <w:snapToGrid w:val="0"/>
        </w:rPr>
        <w:t xml:space="preserve">the above </w:t>
      </w:r>
      <w:r w:rsidR="00366D64" w:rsidRPr="00637522">
        <w:rPr>
          <w:snapToGrid w:val="0"/>
        </w:rPr>
        <w:t>or other</w:t>
      </w:r>
      <w:r w:rsidR="00E27CCA">
        <w:rPr>
          <w:snapToGrid w:val="0"/>
        </w:rPr>
        <w:t xml:space="preserve"> factors</w:t>
      </w:r>
      <w:r w:rsidR="00366D64" w:rsidRPr="00637522">
        <w:rPr>
          <w:snapToGrid w:val="0"/>
        </w:rPr>
        <w:t>.</w:t>
      </w:r>
    </w:p>
    <w:p w14:paraId="196A6530" w14:textId="5AA39FFE" w:rsidR="00366D64" w:rsidRDefault="00366D64" w:rsidP="00AB1C35">
      <w:pPr>
        <w:rPr>
          <w:snapToGrid w:val="0"/>
        </w:rPr>
      </w:pPr>
      <w:r w:rsidRPr="00637522">
        <w:rPr>
          <w:snapToGrid w:val="0"/>
        </w:rPr>
        <w:t xml:space="preserve">Such changes have the capacity to impact on service provision, and therefore need to be monitored. </w:t>
      </w:r>
      <w:r w:rsidR="00921704">
        <w:rPr>
          <w:snapToGrid w:val="0"/>
        </w:rPr>
        <w:t xml:space="preserve"> </w:t>
      </w:r>
      <w:r w:rsidRPr="00637522">
        <w:rPr>
          <w:snapToGrid w:val="0"/>
        </w:rPr>
        <w:t>In the ﬁrst instance, it is the responsibility of the Service</w:t>
      </w:r>
      <w:r w:rsidR="00E27CCA">
        <w:rPr>
          <w:snapToGrid w:val="0"/>
        </w:rPr>
        <w:t xml:space="preserve"> </w:t>
      </w:r>
      <w:r w:rsidRPr="00637522">
        <w:rPr>
          <w:snapToGrid w:val="0"/>
        </w:rPr>
        <w:t xml:space="preserve">and the SCU to ensure that </w:t>
      </w:r>
      <w:r w:rsidR="004D40F2">
        <w:rPr>
          <w:snapToGrid w:val="0"/>
        </w:rPr>
        <w:t xml:space="preserve">the </w:t>
      </w:r>
      <w:r w:rsidRPr="00637522">
        <w:rPr>
          <w:snapToGrid w:val="0"/>
        </w:rPr>
        <w:t>quality of service</w:t>
      </w:r>
      <w:r w:rsidR="004D40F2">
        <w:rPr>
          <w:snapToGrid w:val="0"/>
        </w:rPr>
        <w:t>s</w:t>
      </w:r>
      <w:r w:rsidRPr="00637522">
        <w:rPr>
          <w:snapToGrid w:val="0"/>
        </w:rPr>
        <w:t xml:space="preserve"> is maintained throughout periods of change.</w:t>
      </w:r>
      <w:r w:rsidR="00921704" w:rsidRPr="00921704">
        <w:rPr>
          <w:snapToGrid w:val="0"/>
        </w:rPr>
        <w:t xml:space="preserve"> </w:t>
      </w:r>
      <w:r w:rsidR="00921704">
        <w:rPr>
          <w:snapToGrid w:val="0"/>
        </w:rPr>
        <w:t xml:space="preserve"> </w:t>
      </w:r>
      <w:r w:rsidR="00921704" w:rsidRPr="00637522">
        <w:rPr>
          <w:snapToGrid w:val="0"/>
        </w:rPr>
        <w:t xml:space="preserve">The Service needs to inform the SCU of all changes above as, or </w:t>
      </w:r>
      <w:r w:rsidR="00921704">
        <w:rPr>
          <w:snapToGrid w:val="0"/>
        </w:rPr>
        <w:t>preferably before, they occur.</w:t>
      </w:r>
    </w:p>
    <w:p w14:paraId="429DF532" w14:textId="77777777" w:rsidR="00921704" w:rsidRDefault="00921704" w:rsidP="00AB1C35">
      <w:pPr>
        <w:rPr>
          <w:snapToGrid w:val="0"/>
        </w:rPr>
      </w:pPr>
      <w:r w:rsidRPr="00637522">
        <w:rPr>
          <w:snapToGrid w:val="0"/>
        </w:rPr>
        <w:t>The S</w:t>
      </w:r>
      <w:r>
        <w:rPr>
          <w:snapToGrid w:val="0"/>
        </w:rPr>
        <w:t>CU</w:t>
      </w:r>
      <w:r w:rsidRPr="00637522">
        <w:rPr>
          <w:snapToGrid w:val="0"/>
        </w:rPr>
        <w:t xml:space="preserve"> will review data and monitor the Service’s performance and notify the NQMC in writing of signiﬁcant changes and</w:t>
      </w:r>
      <w:r w:rsidR="00526E8B">
        <w:rPr>
          <w:snapToGrid w:val="0"/>
        </w:rPr>
        <w:t>, where appropriate,</w:t>
      </w:r>
      <w:r w:rsidRPr="00637522">
        <w:rPr>
          <w:snapToGrid w:val="0"/>
        </w:rPr>
        <w:t xml:space="preserve"> provide available data, including an annual data report and any recommendations made to the Service on performance.</w:t>
      </w:r>
    </w:p>
    <w:p w14:paraId="2D280FE2" w14:textId="6ABCEC71" w:rsidR="00D11DF2" w:rsidRDefault="00366D64" w:rsidP="00AB1C35">
      <w:pPr>
        <w:rPr>
          <w:snapToGrid w:val="0"/>
        </w:rPr>
      </w:pPr>
      <w:r w:rsidRPr="00637522">
        <w:rPr>
          <w:snapToGrid w:val="0"/>
        </w:rPr>
        <w:t>Services with signiﬁcant changes will be considered by the NQMC on a case-by-case basis to determine what, if any, additional monitoring and reporting is needed.</w:t>
      </w:r>
    </w:p>
    <w:p w14:paraId="2D43FA41" w14:textId="13FEB39D" w:rsidR="004C161B" w:rsidRDefault="00AA340F" w:rsidP="0008617F">
      <w:pPr>
        <w:pStyle w:val="Heading1"/>
      </w:pPr>
      <w:bookmarkStart w:id="226" w:name="_Toc517944670"/>
      <w:bookmarkStart w:id="227" w:name="_Toc66438703"/>
      <w:r>
        <w:lastRenderedPageBreak/>
        <w:t xml:space="preserve">ACCREDITATION </w:t>
      </w:r>
      <w:r w:rsidR="00C902CD">
        <w:t>SURVEY</w:t>
      </w:r>
      <w:r w:rsidR="00B62217">
        <w:t xml:space="preserve"> - </w:t>
      </w:r>
      <w:r w:rsidR="002E1A94">
        <w:t>ACTIVITIES</w:t>
      </w:r>
      <w:bookmarkEnd w:id="226"/>
      <w:bookmarkEnd w:id="227"/>
    </w:p>
    <w:p w14:paraId="58AD3183" w14:textId="42F62ECD" w:rsidR="009F743E" w:rsidRDefault="00641FC1" w:rsidP="00500310">
      <w:pPr>
        <w:pStyle w:val="Heading2"/>
      </w:pPr>
      <w:bookmarkStart w:id="228" w:name="_Toc517944671"/>
      <w:bookmarkStart w:id="229" w:name="_Toc66438704"/>
      <w:r w:rsidRPr="00471C54">
        <w:t>PRE-</w:t>
      </w:r>
      <w:r w:rsidR="00C902CD">
        <w:t>SURVEY</w:t>
      </w:r>
      <w:r w:rsidRPr="00471C54">
        <w:t xml:space="preserve"> ACTIVITIES</w:t>
      </w:r>
      <w:bookmarkEnd w:id="228"/>
      <w:bookmarkEnd w:id="229"/>
    </w:p>
    <w:p w14:paraId="549F3245" w14:textId="002C90B5" w:rsidR="005910AC" w:rsidRDefault="00641FC1" w:rsidP="006D2034">
      <w:pPr>
        <w:pStyle w:val="Heading3"/>
      </w:pPr>
      <w:bookmarkStart w:id="230" w:name="_Toc517944672"/>
      <w:bookmarkStart w:id="231" w:name="_Toc66438705"/>
      <w:r>
        <w:t>Pre-</w:t>
      </w:r>
      <w:r w:rsidR="00C902CD">
        <w:t>survey</w:t>
      </w:r>
      <w:r>
        <w:t xml:space="preserve"> activities</w:t>
      </w:r>
      <w:r w:rsidR="00593509">
        <w:t xml:space="preserve"> </w:t>
      </w:r>
      <w:r w:rsidR="0002374D">
        <w:t xml:space="preserve">- </w:t>
      </w:r>
      <w:r w:rsidR="0002374D" w:rsidRPr="00E50A1A">
        <w:t>National Surveyor</w:t>
      </w:r>
      <w:bookmarkEnd w:id="230"/>
      <w:bookmarkEnd w:id="231"/>
    </w:p>
    <w:p w14:paraId="2BC3BB06" w14:textId="77777777" w:rsidR="00471C54" w:rsidRDefault="00471C54" w:rsidP="007742E2">
      <w:pPr>
        <w:pStyle w:val="Heading4"/>
      </w:pPr>
      <w:r w:rsidRPr="00471C54">
        <w:t xml:space="preserve">Appointment of a </w:t>
      </w:r>
      <w:r w:rsidR="00C902CD">
        <w:t>survey</w:t>
      </w:r>
      <w:r w:rsidRPr="00471C54">
        <w:t xml:space="preserve"> team</w:t>
      </w:r>
    </w:p>
    <w:p w14:paraId="5C1B4134" w14:textId="7185A92F" w:rsidR="00247107" w:rsidRDefault="00471C54" w:rsidP="00AB1C35">
      <w:pPr>
        <w:rPr>
          <w:snapToGrid w:val="0"/>
        </w:rPr>
      </w:pPr>
      <w:r w:rsidRPr="00471C54">
        <w:rPr>
          <w:snapToGrid w:val="0"/>
        </w:rPr>
        <w:t xml:space="preserve">The </w:t>
      </w:r>
      <w:r>
        <w:rPr>
          <w:snapToGrid w:val="0"/>
        </w:rPr>
        <w:t>National Surveyor</w:t>
      </w:r>
      <w:r w:rsidRPr="00471C54">
        <w:rPr>
          <w:snapToGrid w:val="0"/>
        </w:rPr>
        <w:t xml:space="preserve"> appoints </w:t>
      </w:r>
      <w:r w:rsidR="00C902CD">
        <w:rPr>
          <w:snapToGrid w:val="0"/>
        </w:rPr>
        <w:t>survey</w:t>
      </w:r>
      <w:r w:rsidRPr="00471C54">
        <w:rPr>
          <w:snapToGrid w:val="0"/>
        </w:rPr>
        <w:t xml:space="preserve"> teams from those included on the </w:t>
      </w:r>
      <w:r w:rsidR="00C902CD">
        <w:rPr>
          <w:snapToGrid w:val="0"/>
        </w:rPr>
        <w:t>survey</w:t>
      </w:r>
      <w:r w:rsidR="00B16507">
        <w:rPr>
          <w:snapToGrid w:val="0"/>
        </w:rPr>
        <w:t xml:space="preserve">or </w:t>
      </w:r>
      <w:r w:rsidRPr="00471C54">
        <w:rPr>
          <w:snapToGrid w:val="0"/>
        </w:rPr>
        <w:t>register</w:t>
      </w:r>
      <w:r w:rsidR="00B16507">
        <w:rPr>
          <w:snapToGrid w:val="0"/>
        </w:rPr>
        <w:t xml:space="preserve"> </w:t>
      </w:r>
      <w:r w:rsidR="00B16507" w:rsidRPr="00921704">
        <w:rPr>
          <w:snapToGrid w:val="0"/>
        </w:rPr>
        <w:t xml:space="preserve">(see Section </w:t>
      </w:r>
      <w:r w:rsidR="00807712">
        <w:rPr>
          <w:snapToGrid w:val="0"/>
        </w:rPr>
        <w:fldChar w:fldCharType="begin"/>
      </w:r>
      <w:r w:rsidR="00807712">
        <w:rPr>
          <w:snapToGrid w:val="0"/>
        </w:rPr>
        <w:instrText xml:space="preserve"> REF _Ref465947910 \r \h </w:instrText>
      </w:r>
      <w:r w:rsidR="00807712">
        <w:rPr>
          <w:snapToGrid w:val="0"/>
        </w:rPr>
      </w:r>
      <w:r w:rsidR="00807712">
        <w:rPr>
          <w:snapToGrid w:val="0"/>
        </w:rPr>
        <w:fldChar w:fldCharType="separate"/>
      </w:r>
      <w:r w:rsidR="00B36BEE">
        <w:rPr>
          <w:snapToGrid w:val="0"/>
        </w:rPr>
        <w:t>8.5</w:t>
      </w:r>
      <w:r w:rsidR="00807712">
        <w:rPr>
          <w:snapToGrid w:val="0"/>
        </w:rPr>
        <w:fldChar w:fldCharType="end"/>
      </w:r>
      <w:r w:rsidR="00B16507" w:rsidRPr="00921704">
        <w:rPr>
          <w:snapToGrid w:val="0"/>
        </w:rPr>
        <w:t>)</w:t>
      </w:r>
      <w:r w:rsidRPr="00921704">
        <w:rPr>
          <w:snapToGrid w:val="0"/>
        </w:rPr>
        <w:t xml:space="preserve">, upon request from the SCU. </w:t>
      </w:r>
      <w:r w:rsidR="00B0478E" w:rsidRPr="00921704">
        <w:rPr>
          <w:snapToGrid w:val="0"/>
        </w:rPr>
        <w:t xml:space="preserve"> </w:t>
      </w:r>
      <w:r w:rsidRPr="00921704">
        <w:rPr>
          <w:snapToGrid w:val="0"/>
        </w:rPr>
        <w:t xml:space="preserve">The </w:t>
      </w:r>
      <w:r w:rsidR="0014407D" w:rsidRPr="00921704">
        <w:rPr>
          <w:snapToGrid w:val="0"/>
        </w:rPr>
        <w:t>National Surveyor</w:t>
      </w:r>
      <w:r w:rsidRPr="00921704">
        <w:rPr>
          <w:snapToGrid w:val="0"/>
        </w:rPr>
        <w:t xml:space="preserve"> will notify the SCU of the</w:t>
      </w:r>
      <w:r w:rsidRPr="00471C54">
        <w:rPr>
          <w:snapToGrid w:val="0"/>
        </w:rPr>
        <w:t xml:space="preserve"> nominated </w:t>
      </w:r>
      <w:r w:rsidR="00C902CD">
        <w:rPr>
          <w:snapToGrid w:val="0"/>
        </w:rPr>
        <w:t>survey</w:t>
      </w:r>
      <w:r w:rsidRPr="00471C54">
        <w:rPr>
          <w:snapToGrid w:val="0"/>
        </w:rPr>
        <w:t xml:space="preserve">ors as soon as possible </w:t>
      </w:r>
      <w:r w:rsidR="00821184">
        <w:rPr>
          <w:snapToGrid w:val="0"/>
        </w:rPr>
        <w:t>to allow the SCU to</w:t>
      </w:r>
      <w:r w:rsidRPr="00471C54">
        <w:rPr>
          <w:snapToGrid w:val="0"/>
        </w:rPr>
        <w:t xml:space="preserve"> arrange and schedule the visit. </w:t>
      </w:r>
    </w:p>
    <w:p w14:paraId="136AD2CA" w14:textId="4D9934ED" w:rsidR="00471C54" w:rsidRDefault="00064E7A" w:rsidP="00AB1C35">
      <w:pPr>
        <w:rPr>
          <w:snapToGrid w:val="0"/>
        </w:rPr>
      </w:pPr>
      <w:r>
        <w:rPr>
          <w:snapToGrid w:val="0"/>
        </w:rPr>
        <w:t xml:space="preserve">The National Surveyor is responsible for ensuring that any potential or perceived conflict of interest with the nominated surveyors is mitigated </w:t>
      </w:r>
      <w:r w:rsidR="00807712">
        <w:rPr>
          <w:snapToGrid w:val="0"/>
        </w:rPr>
        <w:t>appropriately (see S</w:t>
      </w:r>
      <w:r w:rsidR="008726C2">
        <w:rPr>
          <w:snapToGrid w:val="0"/>
        </w:rPr>
        <w:t xml:space="preserve">ection </w:t>
      </w:r>
      <w:r w:rsidR="00807712">
        <w:rPr>
          <w:snapToGrid w:val="0"/>
        </w:rPr>
        <w:fldChar w:fldCharType="begin"/>
      </w:r>
      <w:r w:rsidR="00807712">
        <w:rPr>
          <w:snapToGrid w:val="0"/>
        </w:rPr>
        <w:instrText xml:space="preserve"> REF _Ref465947938 \r \h </w:instrText>
      </w:r>
      <w:r w:rsidR="00807712">
        <w:rPr>
          <w:snapToGrid w:val="0"/>
        </w:rPr>
      </w:r>
      <w:r w:rsidR="00807712">
        <w:rPr>
          <w:snapToGrid w:val="0"/>
        </w:rPr>
        <w:fldChar w:fldCharType="separate"/>
      </w:r>
      <w:r w:rsidR="00B36BEE">
        <w:rPr>
          <w:snapToGrid w:val="0"/>
        </w:rPr>
        <w:t>8.2.2</w:t>
      </w:r>
      <w:r w:rsidR="00807712">
        <w:rPr>
          <w:snapToGrid w:val="0"/>
        </w:rPr>
        <w:fldChar w:fldCharType="end"/>
      </w:r>
      <w:r>
        <w:rPr>
          <w:snapToGrid w:val="0"/>
        </w:rPr>
        <w:t>).</w:t>
      </w:r>
    </w:p>
    <w:p w14:paraId="24352716" w14:textId="36245292" w:rsidR="00BF5B21" w:rsidRPr="00471C54" w:rsidRDefault="00BF5B21" w:rsidP="00AB1C35">
      <w:pPr>
        <w:rPr>
          <w:snapToGrid w:val="0"/>
        </w:rPr>
      </w:pPr>
      <w:r>
        <w:rPr>
          <w:snapToGrid w:val="0"/>
        </w:rPr>
        <w:t xml:space="preserve">The SCU is responsible for payment of allowances and honorariums for eligible </w:t>
      </w:r>
      <w:r w:rsidR="0094293E">
        <w:rPr>
          <w:snapToGrid w:val="0"/>
        </w:rPr>
        <w:t>s</w:t>
      </w:r>
      <w:r>
        <w:rPr>
          <w:snapToGrid w:val="0"/>
        </w:rPr>
        <w:t xml:space="preserve">urveyors and </w:t>
      </w:r>
      <w:r w:rsidR="007B3EA4">
        <w:rPr>
          <w:snapToGrid w:val="0"/>
        </w:rPr>
        <w:t>D</w:t>
      </w:r>
      <w:r>
        <w:rPr>
          <w:snapToGrid w:val="0"/>
        </w:rPr>
        <w:t xml:space="preserve">ata </w:t>
      </w:r>
      <w:r w:rsidR="007B3EA4">
        <w:rPr>
          <w:snapToGrid w:val="0"/>
        </w:rPr>
        <w:t>A</w:t>
      </w:r>
      <w:r>
        <w:rPr>
          <w:snapToGrid w:val="0"/>
        </w:rPr>
        <w:t xml:space="preserve">ssessors in accordance with the requirements described in </w:t>
      </w:r>
      <w:hyperlink w:anchor="_Attachment_4:_Payment" w:history="1">
        <w:r w:rsidR="00B21768" w:rsidRPr="00B90F7F">
          <w:rPr>
            <w:rStyle w:val="Hyperlink"/>
            <w:snapToGrid w:val="0"/>
          </w:rPr>
          <w:t>Attachment 4</w:t>
        </w:r>
      </w:hyperlink>
      <w:r w:rsidR="00B21768">
        <w:rPr>
          <w:snapToGrid w:val="0"/>
        </w:rPr>
        <w:t>.</w:t>
      </w:r>
    </w:p>
    <w:p w14:paraId="196AF46D" w14:textId="77777777" w:rsidR="00465F36" w:rsidRDefault="00465F36" w:rsidP="007742E2">
      <w:pPr>
        <w:pStyle w:val="Heading4"/>
      </w:pPr>
      <w:r>
        <w:t xml:space="preserve">Composition of BreastScreen Australia Accreditation Survey Teams </w:t>
      </w:r>
    </w:p>
    <w:p w14:paraId="3BB35C34" w14:textId="77777777" w:rsidR="00AB3CE4" w:rsidRDefault="00AB3CE4" w:rsidP="00AB1C35">
      <w:pPr>
        <w:rPr>
          <w:snapToGrid w:val="0"/>
        </w:rPr>
      </w:pPr>
      <w:r>
        <w:rPr>
          <w:snapToGrid w:val="0"/>
        </w:rPr>
        <w:t>The survey team is required to have:</w:t>
      </w:r>
    </w:p>
    <w:p w14:paraId="6AE50B8F" w14:textId="77777777" w:rsidR="00AB3CE4" w:rsidRPr="00041C65" w:rsidRDefault="00D94941" w:rsidP="006D1945">
      <w:pPr>
        <w:pStyle w:val="ListBullet"/>
        <w:rPr>
          <w:b/>
          <w:snapToGrid w:val="0"/>
        </w:rPr>
      </w:pPr>
      <w:r>
        <w:rPr>
          <w:snapToGrid w:val="0"/>
        </w:rPr>
        <w:t>n</w:t>
      </w:r>
      <w:r w:rsidR="00AB3CE4" w:rsidRPr="00041C65">
        <w:rPr>
          <w:snapToGrid w:val="0"/>
        </w:rPr>
        <w:t>o more than</w:t>
      </w:r>
      <w:r w:rsidR="00AB3CE4">
        <w:rPr>
          <w:snapToGrid w:val="0"/>
        </w:rPr>
        <w:t xml:space="preserve"> one member of the team </w:t>
      </w:r>
      <w:r>
        <w:rPr>
          <w:snapToGrid w:val="0"/>
        </w:rPr>
        <w:t xml:space="preserve">assessing for the ﬁrst time; </w:t>
      </w:r>
      <w:r w:rsidR="00AB3CE4" w:rsidRPr="00041C65">
        <w:rPr>
          <w:snapToGrid w:val="0"/>
        </w:rPr>
        <w:t xml:space="preserve"> </w:t>
      </w:r>
    </w:p>
    <w:p w14:paraId="6FF95087" w14:textId="1D5193F3" w:rsidR="00AB3CE4" w:rsidRPr="00041C65" w:rsidRDefault="00D94941" w:rsidP="006D1945">
      <w:pPr>
        <w:pStyle w:val="ListBullet"/>
        <w:rPr>
          <w:b/>
          <w:snapToGrid w:val="0"/>
        </w:rPr>
      </w:pPr>
      <w:r>
        <w:rPr>
          <w:snapToGrid w:val="0"/>
        </w:rPr>
        <w:t>n</w:t>
      </w:r>
      <w:r w:rsidR="00AB3CE4">
        <w:rPr>
          <w:snapToGrid w:val="0"/>
        </w:rPr>
        <w:t>o member of the team</w:t>
      </w:r>
      <w:r w:rsidR="00AB3CE4" w:rsidRPr="00041C65">
        <w:rPr>
          <w:snapToGrid w:val="0"/>
        </w:rPr>
        <w:t xml:space="preserve"> from the jurisdiction being assessed</w:t>
      </w:r>
      <w:r w:rsidR="00CE1C04">
        <w:rPr>
          <w:snapToGrid w:val="0"/>
        </w:rPr>
        <w:t xml:space="preserve"> (unless in ex</w:t>
      </w:r>
      <w:r w:rsidR="00140FA6">
        <w:rPr>
          <w:snapToGrid w:val="0"/>
        </w:rPr>
        <w:t>ce</w:t>
      </w:r>
      <w:r w:rsidR="00CE1C04">
        <w:rPr>
          <w:snapToGrid w:val="0"/>
        </w:rPr>
        <w:t>ptional cases approved by the N</w:t>
      </w:r>
      <w:r w:rsidR="00485CA2">
        <w:rPr>
          <w:snapToGrid w:val="0"/>
        </w:rPr>
        <w:t xml:space="preserve">ational </w:t>
      </w:r>
      <w:r w:rsidR="00CE1C04">
        <w:rPr>
          <w:snapToGrid w:val="0"/>
        </w:rPr>
        <w:t>Q</w:t>
      </w:r>
      <w:r w:rsidR="00485CA2">
        <w:rPr>
          <w:snapToGrid w:val="0"/>
        </w:rPr>
        <w:t xml:space="preserve">uality </w:t>
      </w:r>
      <w:r w:rsidR="00CE1C04">
        <w:rPr>
          <w:snapToGrid w:val="0"/>
        </w:rPr>
        <w:t>M</w:t>
      </w:r>
      <w:r w:rsidR="00485CA2">
        <w:rPr>
          <w:snapToGrid w:val="0"/>
        </w:rPr>
        <w:t xml:space="preserve">anagement </w:t>
      </w:r>
      <w:r w:rsidR="00CE1C04">
        <w:rPr>
          <w:snapToGrid w:val="0"/>
        </w:rPr>
        <w:t>C</w:t>
      </w:r>
      <w:r w:rsidR="00485CA2">
        <w:rPr>
          <w:snapToGrid w:val="0"/>
        </w:rPr>
        <w:t>ommittee (NQMC)</w:t>
      </w:r>
      <w:r w:rsidR="00CE1C04">
        <w:rPr>
          <w:snapToGrid w:val="0"/>
        </w:rPr>
        <w:t xml:space="preserve"> Chair</w:t>
      </w:r>
      <w:r w:rsidR="00485CA2">
        <w:rPr>
          <w:snapToGrid w:val="0"/>
        </w:rPr>
        <w:t>)</w:t>
      </w:r>
      <w:r>
        <w:rPr>
          <w:snapToGrid w:val="0"/>
        </w:rPr>
        <w:t>; and</w:t>
      </w:r>
    </w:p>
    <w:p w14:paraId="4A933451" w14:textId="77777777" w:rsidR="00AB3CE4" w:rsidRPr="00041C65" w:rsidRDefault="00D94941" w:rsidP="006D1945">
      <w:pPr>
        <w:pStyle w:val="ListBullet"/>
        <w:rPr>
          <w:b/>
          <w:snapToGrid w:val="0"/>
        </w:rPr>
      </w:pPr>
      <w:r>
        <w:rPr>
          <w:snapToGrid w:val="0"/>
        </w:rPr>
        <w:t>t</w:t>
      </w:r>
      <w:r w:rsidR="00AB3CE4" w:rsidRPr="00041C65">
        <w:rPr>
          <w:snapToGrid w:val="0"/>
        </w:rPr>
        <w:t>he National Surveyor</w:t>
      </w:r>
      <w:r w:rsidR="00AB3CE4">
        <w:rPr>
          <w:snapToGrid w:val="0"/>
        </w:rPr>
        <w:t xml:space="preserve"> </w:t>
      </w:r>
      <w:r w:rsidR="00AB3CE4" w:rsidRPr="00041C65">
        <w:rPr>
          <w:snapToGrid w:val="0"/>
        </w:rPr>
        <w:t xml:space="preserve">chair the </w:t>
      </w:r>
      <w:r w:rsidR="00AB3CE4">
        <w:rPr>
          <w:snapToGrid w:val="0"/>
        </w:rPr>
        <w:t>survey</w:t>
      </w:r>
      <w:r w:rsidR="00AB3CE4" w:rsidRPr="00041C65">
        <w:rPr>
          <w:snapToGrid w:val="0"/>
        </w:rPr>
        <w:t xml:space="preserve"> team. </w:t>
      </w:r>
    </w:p>
    <w:p w14:paraId="30E171AB" w14:textId="77777777" w:rsidR="001320C3" w:rsidRDefault="00BE725E" w:rsidP="006D1945">
      <w:r>
        <w:rPr>
          <w:rFonts w:cstheme="minorHAnsi"/>
          <w:snapToGrid w:val="0"/>
        </w:rPr>
        <w:t>In addition to the Data Assessor, t</w:t>
      </w:r>
      <w:r w:rsidR="00E867AF" w:rsidRPr="00333668">
        <w:rPr>
          <w:rFonts w:cs="Calibri"/>
        </w:rPr>
        <w:t xml:space="preserve">he </w:t>
      </w:r>
      <w:r w:rsidR="002975D0">
        <w:t>accreditation s</w:t>
      </w:r>
      <w:r w:rsidR="00C902CD">
        <w:t>urvey</w:t>
      </w:r>
      <w:r w:rsidR="001320C3">
        <w:t xml:space="preserve"> team should have</w:t>
      </w:r>
      <w:r w:rsidR="00BC7A85" w:rsidRPr="00BC7A85">
        <w:t xml:space="preserve"> a minimum of three individuals. </w:t>
      </w:r>
      <w:r w:rsidR="00BC7A85">
        <w:t xml:space="preserve"> </w:t>
      </w:r>
      <w:r w:rsidR="00BC7A85" w:rsidRPr="00BC7A85">
        <w:t>The team should be expertise based, with corporate and clinical governance skills, specific to the need</w:t>
      </w:r>
      <w:r w:rsidR="00A253F5">
        <w:t>s of the specific Service</w:t>
      </w:r>
      <w:r w:rsidR="001320C3">
        <w:t xml:space="preserve"> </w:t>
      </w:r>
      <w:r w:rsidR="00C902CD">
        <w:t>survey</w:t>
      </w:r>
      <w:r w:rsidR="001320C3">
        <w:t>.</w:t>
      </w:r>
    </w:p>
    <w:p w14:paraId="4C45F76C" w14:textId="77777777" w:rsidR="00E867AF" w:rsidRDefault="00BE725E" w:rsidP="006D1945">
      <w:r>
        <w:t>In addition to the Data Assessor, t</w:t>
      </w:r>
      <w:r w:rsidR="00BC7A85">
        <w:t>he</w:t>
      </w:r>
      <w:r w:rsidR="00BC7A85" w:rsidRPr="00BC7A85">
        <w:t xml:space="preserve"> </w:t>
      </w:r>
      <w:r w:rsidR="001320C3">
        <w:t>Service</w:t>
      </w:r>
      <w:r w:rsidR="001320C3" w:rsidRPr="00333668">
        <w:rPr>
          <w:rFonts w:cs="Calibri"/>
        </w:rPr>
        <w:t xml:space="preserve"> </w:t>
      </w:r>
      <w:r w:rsidR="00C902CD">
        <w:t>survey</w:t>
      </w:r>
      <w:r w:rsidR="00BC7A85" w:rsidRPr="00BC7A85">
        <w:t xml:space="preserve"> team should include at a minimum</w:t>
      </w:r>
      <w:r w:rsidR="00BC7A85">
        <w:t>:</w:t>
      </w:r>
    </w:p>
    <w:p w14:paraId="3331C054" w14:textId="77777777" w:rsidR="00BC7A85" w:rsidRDefault="00FE5D6B" w:rsidP="006D1945">
      <w:pPr>
        <w:pStyle w:val="ListBullet"/>
        <w:rPr>
          <w:snapToGrid w:val="0"/>
        </w:rPr>
      </w:pPr>
      <w:r w:rsidRPr="00D94941">
        <w:rPr>
          <w:snapToGrid w:val="0"/>
        </w:rPr>
        <w:t>N</w:t>
      </w:r>
      <w:r w:rsidR="00E867AF" w:rsidRPr="00D94941">
        <w:rPr>
          <w:snapToGrid w:val="0"/>
        </w:rPr>
        <w:t xml:space="preserve">ational </w:t>
      </w:r>
      <w:r w:rsidRPr="00D94941">
        <w:rPr>
          <w:snapToGrid w:val="0"/>
        </w:rPr>
        <w:t>S</w:t>
      </w:r>
      <w:r w:rsidR="00821184" w:rsidRPr="00D94941">
        <w:rPr>
          <w:snapToGrid w:val="0"/>
        </w:rPr>
        <w:t>urveyor</w:t>
      </w:r>
      <w:r w:rsidR="00075142" w:rsidRPr="00D94941">
        <w:rPr>
          <w:snapToGrid w:val="0"/>
        </w:rPr>
        <w:t>;</w:t>
      </w:r>
    </w:p>
    <w:p w14:paraId="4F180B3A" w14:textId="6E40CA8D" w:rsidR="00A52FDE" w:rsidRPr="00D94941" w:rsidRDefault="00A52FDE" w:rsidP="006D1945">
      <w:pPr>
        <w:pStyle w:val="ListBullet"/>
        <w:rPr>
          <w:snapToGrid w:val="0"/>
        </w:rPr>
      </w:pPr>
      <w:r>
        <w:rPr>
          <w:snapToGrid w:val="0"/>
        </w:rPr>
        <w:t>Service Director or Program Manager</w:t>
      </w:r>
    </w:p>
    <w:p w14:paraId="6515D842" w14:textId="70029D22" w:rsidR="00E867AF" w:rsidRPr="00D94941" w:rsidRDefault="00A52FDE" w:rsidP="006D1945">
      <w:pPr>
        <w:pStyle w:val="ListBullet"/>
        <w:rPr>
          <w:snapToGrid w:val="0"/>
        </w:rPr>
      </w:pPr>
      <w:r>
        <w:rPr>
          <w:snapToGrid w:val="0"/>
        </w:rPr>
        <w:t>a minimum of one</w:t>
      </w:r>
      <w:r w:rsidR="00E867AF" w:rsidRPr="00D94941">
        <w:rPr>
          <w:snapToGrid w:val="0"/>
        </w:rPr>
        <w:t xml:space="preserve"> clinician,</w:t>
      </w:r>
      <w:r>
        <w:rPr>
          <w:snapToGrid w:val="0"/>
        </w:rPr>
        <w:t xml:space="preserve"> identified by the Service/SCU or NQMC</w:t>
      </w:r>
      <w:r w:rsidR="00E867AF" w:rsidRPr="00D94941">
        <w:rPr>
          <w:snapToGrid w:val="0"/>
        </w:rPr>
        <w:t xml:space="preserve"> who will be determined on a cas</w:t>
      </w:r>
      <w:r w:rsidR="00041C65" w:rsidRPr="00D94941">
        <w:rPr>
          <w:snapToGrid w:val="0"/>
        </w:rPr>
        <w:t xml:space="preserve">e by case basis according to any </w:t>
      </w:r>
      <w:r w:rsidR="00E867AF" w:rsidRPr="00D94941">
        <w:rPr>
          <w:snapToGrid w:val="0"/>
        </w:rPr>
        <w:t>issues identified</w:t>
      </w:r>
      <w:r w:rsidR="00BF5B21" w:rsidRPr="00D94941">
        <w:rPr>
          <w:snapToGrid w:val="0"/>
        </w:rPr>
        <w:t xml:space="preserve"> by the Service and/or SCU/NQMC</w:t>
      </w:r>
      <w:r w:rsidR="00E867AF" w:rsidRPr="00D94941">
        <w:rPr>
          <w:snapToGrid w:val="0"/>
        </w:rPr>
        <w:t>.</w:t>
      </w:r>
    </w:p>
    <w:p w14:paraId="7A4EF6C2" w14:textId="7101C599" w:rsidR="00BC7A85" w:rsidRPr="00BC7A85" w:rsidRDefault="007E21D9" w:rsidP="00AB1C35">
      <w:pPr>
        <w:rPr>
          <w:lang w:val="en-GB"/>
        </w:rPr>
      </w:pPr>
      <w:r>
        <w:t>O</w:t>
      </w:r>
      <w:r w:rsidR="00BC7A85" w:rsidRPr="00BC7A85">
        <w:t xml:space="preserve">ptional members of the </w:t>
      </w:r>
      <w:r w:rsidR="00C902CD">
        <w:t>survey</w:t>
      </w:r>
      <w:r w:rsidR="00BC7A85" w:rsidRPr="00BC7A85">
        <w:t xml:space="preserve"> team may include a health professional w</w:t>
      </w:r>
      <w:r w:rsidR="00BC7A85">
        <w:t xml:space="preserve">ith breast </w:t>
      </w:r>
      <w:r w:rsidR="00041C65">
        <w:t xml:space="preserve">cancer </w:t>
      </w:r>
      <w:r w:rsidR="00BC7A85">
        <w:lastRenderedPageBreak/>
        <w:t xml:space="preserve">screening expertise </w:t>
      </w:r>
      <w:r w:rsidR="00041C65">
        <w:t>such as a</w:t>
      </w:r>
      <w:r w:rsidR="00BC7A85" w:rsidRPr="00BC7A85">
        <w:t xml:space="preserve"> breast </w:t>
      </w:r>
      <w:r w:rsidR="00041C65">
        <w:t xml:space="preserve">care </w:t>
      </w:r>
      <w:r w:rsidR="00BC7A85" w:rsidRPr="00BC7A85">
        <w:t xml:space="preserve">nurse, </w:t>
      </w:r>
      <w:r w:rsidR="00A52FDE">
        <w:t xml:space="preserve">radiologist, </w:t>
      </w:r>
      <w:r w:rsidR="00BC7A85" w:rsidRPr="00BC7A85">
        <w:t>radiographer, pathologist, breast physician</w:t>
      </w:r>
      <w:r>
        <w:t>,</w:t>
      </w:r>
      <w:r w:rsidR="00BC7A85" w:rsidRPr="00BC7A85">
        <w:t xml:space="preserve"> surgeon </w:t>
      </w:r>
      <w:r w:rsidR="001320C3">
        <w:t>and/</w:t>
      </w:r>
      <w:r w:rsidRPr="00BC7A85">
        <w:t xml:space="preserve">or </w:t>
      </w:r>
      <w:r w:rsidR="00BC7A85" w:rsidRPr="00BC7A85">
        <w:t>a consumer</w:t>
      </w:r>
      <w:r w:rsidR="007E038F">
        <w:t>, as determined by the National Surveyor.</w:t>
      </w:r>
      <w:r w:rsidR="00A52FDE">
        <w:t xml:space="preserve"> </w:t>
      </w:r>
    </w:p>
    <w:p w14:paraId="12D01662" w14:textId="77777777" w:rsidR="00EE0E12" w:rsidRDefault="00E867AF" w:rsidP="006D1945">
      <w:r>
        <w:t xml:space="preserve">In addition, </w:t>
      </w:r>
      <w:r w:rsidR="00EE0E12">
        <w:t>for multi-service jurisdictions:</w:t>
      </w:r>
    </w:p>
    <w:p w14:paraId="53F759CF" w14:textId="77777777" w:rsidR="00EE0E12" w:rsidRDefault="00E867AF" w:rsidP="006D1945">
      <w:pPr>
        <w:pStyle w:val="ListBullet"/>
      </w:pPr>
      <w:r>
        <w:t>a</w:t>
      </w:r>
      <w:r w:rsidRPr="00333668">
        <w:t xml:space="preserve"> senior representative from the SCU must be in attendance</w:t>
      </w:r>
      <w:r w:rsidR="00B90391">
        <w:t xml:space="preserve"> (or available via tele/video conference)</w:t>
      </w:r>
      <w:r w:rsidRPr="00333668">
        <w:t xml:space="preserve"> for </w:t>
      </w:r>
      <w:r w:rsidR="001320C3">
        <w:t>Service</w:t>
      </w:r>
      <w:r w:rsidRPr="00333668">
        <w:t xml:space="preserve"> </w:t>
      </w:r>
      <w:r w:rsidR="00C902CD">
        <w:t>survey</w:t>
      </w:r>
      <w:r w:rsidRPr="00333668">
        <w:t>s</w:t>
      </w:r>
      <w:r w:rsidR="00EE0E12">
        <w:t xml:space="preserve">; and </w:t>
      </w:r>
    </w:p>
    <w:p w14:paraId="533D3A7B" w14:textId="6121A7C5" w:rsidR="00EE0E12" w:rsidRDefault="00820BB0" w:rsidP="006D1945">
      <w:pPr>
        <w:pStyle w:val="ListBullet"/>
      </w:pPr>
      <w:r>
        <w:t>Surveyors may request to speak with Service Directors via tele/vid</w:t>
      </w:r>
      <w:r w:rsidR="00064E7A">
        <w:t>e</w:t>
      </w:r>
      <w:r>
        <w:t xml:space="preserve">o conference, if required, for SCU surveys. </w:t>
      </w:r>
    </w:p>
    <w:p w14:paraId="716B5D52" w14:textId="77777777" w:rsidR="00BF5B21" w:rsidRDefault="00BF5B21" w:rsidP="00AB1C35">
      <w:r>
        <w:t>These additional members are to act as observers only.</w:t>
      </w:r>
    </w:p>
    <w:p w14:paraId="2F6096BE" w14:textId="77777777" w:rsidR="00247107" w:rsidRDefault="00E867AF" w:rsidP="00AB1C35">
      <w:r w:rsidRPr="00EE0E12">
        <w:t xml:space="preserve">As a result of the delineation of responsibilities of </w:t>
      </w:r>
      <w:r w:rsidR="007534CE" w:rsidRPr="00EE0E12">
        <w:t>Service</w:t>
      </w:r>
      <w:r w:rsidRPr="00EE0E12">
        <w:t xml:space="preserve">s and SCUs with respect to the accreditation </w:t>
      </w:r>
      <w:r w:rsidR="002F3EE4">
        <w:t>Measure</w:t>
      </w:r>
      <w:r w:rsidRPr="00EE0E12">
        <w:t xml:space="preserve">s as per the </w:t>
      </w:r>
      <w:r w:rsidR="00E15078" w:rsidRPr="00EE0E12">
        <w:t>NAS Accountability Framework</w:t>
      </w:r>
      <w:r w:rsidR="002F3EE4">
        <w:t xml:space="preserve"> (NAF)</w:t>
      </w:r>
      <w:r w:rsidRPr="00EE0E12">
        <w:t>, the</w:t>
      </w:r>
      <w:r w:rsidR="00F3536B">
        <w:t>se</w:t>
      </w:r>
      <w:r w:rsidRPr="00EE0E12">
        <w:t xml:space="preserve"> representative</w:t>
      </w:r>
      <w:r w:rsidR="00F3536B">
        <w:t>s</w:t>
      </w:r>
      <w:r w:rsidRPr="00EE0E12">
        <w:t xml:space="preserve"> will be required to answer any questions the </w:t>
      </w:r>
      <w:r w:rsidR="00C902CD" w:rsidRPr="00EE0E12">
        <w:t>survey</w:t>
      </w:r>
      <w:r w:rsidRPr="00EE0E12">
        <w:t xml:space="preserve"> te</w:t>
      </w:r>
      <w:r w:rsidR="00041C65" w:rsidRPr="00EE0E12">
        <w:t>am may have about the operation</w:t>
      </w:r>
      <w:r w:rsidRPr="00EE0E12">
        <w:t xml:space="preserve"> of the </w:t>
      </w:r>
      <w:r w:rsidR="00F3536B">
        <w:t xml:space="preserve">Service and/or </w:t>
      </w:r>
      <w:r w:rsidRPr="00EE0E12">
        <w:t>SCU which impact on the performance</w:t>
      </w:r>
      <w:r w:rsidR="00F3536B">
        <w:t xml:space="preserve"> of the Service and/or SCU being assessed</w:t>
      </w:r>
      <w:r w:rsidRPr="00EE0E12">
        <w:t>.</w:t>
      </w:r>
      <w:r w:rsidR="002157D8" w:rsidRPr="00EE0E12">
        <w:t xml:space="preserve">  </w:t>
      </w:r>
    </w:p>
    <w:p w14:paraId="7135C72F" w14:textId="2783B5F7" w:rsidR="0014407D" w:rsidRDefault="0014407D" w:rsidP="00AB1C35">
      <w:pPr>
        <w:rPr>
          <w:b/>
          <w:snapToGrid w:val="0"/>
        </w:rPr>
      </w:pPr>
      <w:r>
        <w:rPr>
          <w:snapToGrid w:val="0"/>
        </w:rPr>
        <w:t xml:space="preserve">The </w:t>
      </w:r>
      <w:r w:rsidR="00C902CD">
        <w:rPr>
          <w:snapToGrid w:val="0"/>
        </w:rPr>
        <w:t>survey</w:t>
      </w:r>
      <w:r w:rsidRPr="007C0A0C">
        <w:rPr>
          <w:snapToGrid w:val="0"/>
        </w:rPr>
        <w:t xml:space="preserve"> team </w:t>
      </w:r>
      <w:r>
        <w:rPr>
          <w:snapToGrid w:val="0"/>
        </w:rPr>
        <w:t>should</w:t>
      </w:r>
      <w:r w:rsidRPr="007C0A0C">
        <w:rPr>
          <w:snapToGrid w:val="0"/>
        </w:rPr>
        <w:t xml:space="preserve"> meet </w:t>
      </w:r>
      <w:r w:rsidR="00041C65">
        <w:rPr>
          <w:snapToGrid w:val="0"/>
        </w:rPr>
        <w:t xml:space="preserve">in person </w:t>
      </w:r>
      <w:r>
        <w:rPr>
          <w:snapToGrid w:val="0"/>
        </w:rPr>
        <w:t xml:space="preserve">or </w:t>
      </w:r>
      <w:r w:rsidR="00041C65">
        <w:rPr>
          <w:snapToGrid w:val="0"/>
        </w:rPr>
        <w:t xml:space="preserve">by </w:t>
      </w:r>
      <w:r>
        <w:rPr>
          <w:snapToGrid w:val="0"/>
        </w:rPr>
        <w:t xml:space="preserve">teleconference before a </w:t>
      </w:r>
      <w:r w:rsidR="00C902CD">
        <w:rPr>
          <w:snapToGrid w:val="0"/>
        </w:rPr>
        <w:t>survey</w:t>
      </w:r>
      <w:r w:rsidRPr="007C0A0C">
        <w:rPr>
          <w:snapToGrid w:val="0"/>
        </w:rPr>
        <w:t xml:space="preserve"> to discuss any issues</w:t>
      </w:r>
      <w:r>
        <w:rPr>
          <w:snapToGrid w:val="0"/>
        </w:rPr>
        <w:t xml:space="preserve"> and receive a brieﬁng from the</w:t>
      </w:r>
      <w:r w:rsidRPr="007C0A0C">
        <w:rPr>
          <w:snapToGrid w:val="0"/>
        </w:rPr>
        <w:t xml:space="preserve"> SCU. </w:t>
      </w:r>
      <w:r>
        <w:rPr>
          <w:snapToGrid w:val="0"/>
        </w:rPr>
        <w:t xml:space="preserve"> </w:t>
      </w:r>
      <w:r w:rsidRPr="007C0A0C">
        <w:rPr>
          <w:snapToGrid w:val="0"/>
        </w:rPr>
        <w:t xml:space="preserve">If a teleconference is the preferred option, it </w:t>
      </w:r>
      <w:r w:rsidR="007E21D9">
        <w:rPr>
          <w:snapToGrid w:val="0"/>
        </w:rPr>
        <w:t>will be</w:t>
      </w:r>
      <w:r w:rsidRPr="007C0A0C">
        <w:rPr>
          <w:snapToGrid w:val="0"/>
        </w:rPr>
        <w:t xml:space="preserve"> arranged by the </w:t>
      </w:r>
      <w:r w:rsidR="007A3A28">
        <w:rPr>
          <w:snapToGrid w:val="0"/>
        </w:rPr>
        <w:t xml:space="preserve">National Surveyor in consultation with the </w:t>
      </w:r>
      <w:r w:rsidRPr="007C0A0C">
        <w:rPr>
          <w:snapToGrid w:val="0"/>
        </w:rPr>
        <w:t>SCU to take place once all documentation has been received by the team</w:t>
      </w:r>
      <w:r w:rsidR="007A3A28">
        <w:rPr>
          <w:snapToGrid w:val="0"/>
        </w:rPr>
        <w:t>, preferably,</w:t>
      </w:r>
      <w:r w:rsidRPr="007C0A0C">
        <w:rPr>
          <w:snapToGrid w:val="0"/>
        </w:rPr>
        <w:t xml:space="preserve"> in the week before</w:t>
      </w:r>
      <w:r>
        <w:rPr>
          <w:snapToGrid w:val="0"/>
        </w:rPr>
        <w:t xml:space="preserve"> </w:t>
      </w:r>
      <w:r w:rsidRPr="007C0A0C">
        <w:rPr>
          <w:snapToGrid w:val="0"/>
        </w:rPr>
        <w:t xml:space="preserve">the visit. </w:t>
      </w:r>
      <w:r>
        <w:rPr>
          <w:snapToGrid w:val="0"/>
        </w:rPr>
        <w:t xml:space="preserve"> </w:t>
      </w:r>
    </w:p>
    <w:p w14:paraId="37273B9A" w14:textId="66948E62" w:rsidR="0002374D" w:rsidRDefault="00641FC1" w:rsidP="006D2034">
      <w:pPr>
        <w:pStyle w:val="Heading3"/>
      </w:pPr>
      <w:bookmarkStart w:id="232" w:name="_Toc517944673"/>
      <w:bookmarkStart w:id="233" w:name="_Toc66438706"/>
      <w:r>
        <w:t>Pre-</w:t>
      </w:r>
      <w:r w:rsidR="00C902CD">
        <w:t>survey</w:t>
      </w:r>
      <w:r>
        <w:t xml:space="preserve"> activities </w:t>
      </w:r>
      <w:r w:rsidR="0002374D">
        <w:t xml:space="preserve">- </w:t>
      </w:r>
      <w:r w:rsidR="0002374D" w:rsidRPr="00EA1085">
        <w:t>The SCU</w:t>
      </w:r>
      <w:bookmarkEnd w:id="232"/>
      <w:bookmarkEnd w:id="233"/>
    </w:p>
    <w:p w14:paraId="167A546B" w14:textId="77777777" w:rsidR="00EA1085" w:rsidRPr="00EA1085" w:rsidRDefault="00EA1085" w:rsidP="007742E2">
      <w:pPr>
        <w:pStyle w:val="Heading4"/>
      </w:pPr>
      <w:r w:rsidRPr="00EA1085">
        <w:t xml:space="preserve">Provide material to the </w:t>
      </w:r>
      <w:r w:rsidR="00C902CD">
        <w:t>survey</w:t>
      </w:r>
      <w:r w:rsidRPr="00EA1085">
        <w:t xml:space="preserve"> team members</w:t>
      </w:r>
    </w:p>
    <w:p w14:paraId="6E0544D7" w14:textId="3A607F2E" w:rsidR="00E50A1A" w:rsidRDefault="00EA1085" w:rsidP="00AB1C35">
      <w:pPr>
        <w:rPr>
          <w:snapToGrid w:val="0"/>
        </w:rPr>
      </w:pPr>
      <w:r w:rsidRPr="00641FC1">
        <w:rPr>
          <w:snapToGrid w:val="0"/>
        </w:rPr>
        <w:t xml:space="preserve">The SCU </w:t>
      </w:r>
      <w:r w:rsidR="00BF5B21">
        <w:rPr>
          <w:snapToGrid w:val="0"/>
        </w:rPr>
        <w:t xml:space="preserve">must </w:t>
      </w:r>
      <w:r w:rsidRPr="00641FC1">
        <w:rPr>
          <w:snapToGrid w:val="0"/>
        </w:rPr>
        <w:t xml:space="preserve">provide each member of the </w:t>
      </w:r>
      <w:r w:rsidR="00C902CD">
        <w:rPr>
          <w:snapToGrid w:val="0"/>
        </w:rPr>
        <w:t>survey</w:t>
      </w:r>
      <w:r w:rsidRPr="00641FC1">
        <w:rPr>
          <w:snapToGrid w:val="0"/>
        </w:rPr>
        <w:t xml:space="preserve"> te</w:t>
      </w:r>
      <w:r w:rsidR="00041C65">
        <w:rPr>
          <w:snapToGrid w:val="0"/>
        </w:rPr>
        <w:t xml:space="preserve">am with copies of the </w:t>
      </w:r>
      <w:r w:rsidR="002873C8">
        <w:rPr>
          <w:snapToGrid w:val="0"/>
        </w:rPr>
        <w:t xml:space="preserve">accreditation </w:t>
      </w:r>
      <w:r w:rsidR="00041C65">
        <w:rPr>
          <w:snapToGrid w:val="0"/>
        </w:rPr>
        <w:t>documents</w:t>
      </w:r>
      <w:r w:rsidRPr="00641FC1">
        <w:rPr>
          <w:snapToGrid w:val="0"/>
        </w:rPr>
        <w:t xml:space="preserve"> no less than thre</w:t>
      </w:r>
      <w:r w:rsidR="00A9671A">
        <w:rPr>
          <w:snapToGrid w:val="0"/>
        </w:rPr>
        <w:t xml:space="preserve">e weeks prior to the </w:t>
      </w:r>
      <w:r w:rsidR="00C902CD">
        <w:rPr>
          <w:snapToGrid w:val="0"/>
        </w:rPr>
        <w:t>survey</w:t>
      </w:r>
      <w:r w:rsidR="00197D51">
        <w:rPr>
          <w:snapToGrid w:val="0"/>
        </w:rPr>
        <w:t>. This is</w:t>
      </w:r>
      <w:r w:rsidR="00E50A1A" w:rsidRPr="00E50A1A">
        <w:rPr>
          <w:snapToGrid w:val="0"/>
        </w:rPr>
        <w:t xml:space="preserve"> </w:t>
      </w:r>
      <w:r w:rsidR="00E50A1A">
        <w:rPr>
          <w:snapToGrid w:val="0"/>
        </w:rPr>
        <w:t>to</w:t>
      </w:r>
      <w:r w:rsidR="00E50A1A" w:rsidRPr="00641FC1">
        <w:rPr>
          <w:snapToGrid w:val="0"/>
        </w:rPr>
        <w:t xml:space="preserve"> allow team members sufﬁcient time to examine the forms and supporting material and to decide on </w:t>
      </w:r>
      <w:r w:rsidR="00041C65">
        <w:rPr>
          <w:snapToGrid w:val="0"/>
        </w:rPr>
        <w:t xml:space="preserve">any </w:t>
      </w:r>
      <w:r w:rsidR="00E50A1A" w:rsidRPr="00641FC1">
        <w:rPr>
          <w:snapToGrid w:val="0"/>
        </w:rPr>
        <w:t>aspects needing further information or follow-up</w:t>
      </w:r>
      <w:r w:rsidR="00041C65">
        <w:rPr>
          <w:snapToGrid w:val="0"/>
        </w:rPr>
        <w:t xml:space="preserve">. The documents </w:t>
      </w:r>
      <w:r w:rsidR="009B3DC0">
        <w:rPr>
          <w:snapToGrid w:val="0"/>
        </w:rPr>
        <w:t>should include but not be limited to</w:t>
      </w:r>
      <w:r w:rsidR="00041C65">
        <w:rPr>
          <w:snapToGrid w:val="0"/>
        </w:rPr>
        <w:t>:</w:t>
      </w:r>
    </w:p>
    <w:p w14:paraId="5B2EE03E" w14:textId="77777777" w:rsidR="00EA1085" w:rsidRPr="00D26483" w:rsidRDefault="00D94941" w:rsidP="006D1945">
      <w:pPr>
        <w:pStyle w:val="ListBullet"/>
        <w:rPr>
          <w:snapToGrid w:val="0"/>
        </w:rPr>
      </w:pPr>
      <w:r>
        <w:rPr>
          <w:snapToGrid w:val="0"/>
        </w:rPr>
        <w:t>t</w:t>
      </w:r>
      <w:r w:rsidR="002873C8">
        <w:rPr>
          <w:snapToGrid w:val="0"/>
        </w:rPr>
        <w:t xml:space="preserve">he </w:t>
      </w:r>
      <w:r w:rsidR="00E50A1A" w:rsidRPr="00D26483">
        <w:rPr>
          <w:snapToGrid w:val="0"/>
        </w:rPr>
        <w:t xml:space="preserve">completed </w:t>
      </w:r>
      <w:r w:rsidR="001320C3">
        <w:rPr>
          <w:snapToGrid w:val="0"/>
        </w:rPr>
        <w:t>a</w:t>
      </w:r>
      <w:r w:rsidR="00E50A1A" w:rsidRPr="00D26483">
        <w:rPr>
          <w:snapToGrid w:val="0"/>
        </w:rPr>
        <w:t xml:space="preserve">pplication for </w:t>
      </w:r>
      <w:r w:rsidR="001320C3">
        <w:rPr>
          <w:snapToGrid w:val="0"/>
        </w:rPr>
        <w:t>a</w:t>
      </w:r>
      <w:r w:rsidR="002873C8">
        <w:rPr>
          <w:snapToGrid w:val="0"/>
        </w:rPr>
        <w:t>ccreditation</w:t>
      </w:r>
      <w:r>
        <w:rPr>
          <w:snapToGrid w:val="0"/>
        </w:rPr>
        <w:t xml:space="preserve"> form;</w:t>
      </w:r>
    </w:p>
    <w:p w14:paraId="4BE347DC" w14:textId="77777777" w:rsidR="00820BB0" w:rsidRDefault="00D94941" w:rsidP="006D1945">
      <w:pPr>
        <w:pStyle w:val="ListBullet"/>
        <w:rPr>
          <w:snapToGrid w:val="0"/>
        </w:rPr>
      </w:pPr>
      <w:r>
        <w:rPr>
          <w:snapToGrid w:val="0"/>
        </w:rPr>
        <w:t>p</w:t>
      </w:r>
      <w:r w:rsidR="00E50A1A" w:rsidRPr="00D26483">
        <w:rPr>
          <w:snapToGrid w:val="0"/>
        </w:rPr>
        <w:t xml:space="preserve">revious </w:t>
      </w:r>
      <w:r w:rsidR="00C902CD">
        <w:rPr>
          <w:snapToGrid w:val="0"/>
        </w:rPr>
        <w:t>survey</w:t>
      </w:r>
      <w:r w:rsidR="002873C8">
        <w:rPr>
          <w:snapToGrid w:val="0"/>
        </w:rPr>
        <w:t xml:space="preserve"> report if applicable</w:t>
      </w:r>
      <w:r>
        <w:rPr>
          <w:snapToGrid w:val="0"/>
        </w:rPr>
        <w:t>;</w:t>
      </w:r>
    </w:p>
    <w:p w14:paraId="088A2D4B" w14:textId="6948A959" w:rsidR="00820BB0" w:rsidRPr="00D26483" w:rsidRDefault="00820BB0" w:rsidP="006D1945">
      <w:pPr>
        <w:pStyle w:val="ListBullet"/>
        <w:rPr>
          <w:snapToGrid w:val="0"/>
        </w:rPr>
      </w:pPr>
      <w:r w:rsidRPr="00820BB0">
        <w:rPr>
          <w:snapToGrid w:val="0"/>
        </w:rPr>
        <w:t xml:space="preserve"> </w:t>
      </w:r>
      <w:r>
        <w:rPr>
          <w:snapToGrid w:val="0"/>
        </w:rPr>
        <w:t>the last NQMC accreditation and outcome report letters, and any other relevant correspondence from the NQMC;</w:t>
      </w:r>
    </w:p>
    <w:p w14:paraId="11D09140" w14:textId="77777777" w:rsidR="00E50A1A" w:rsidRPr="00D26483" w:rsidRDefault="00D94941" w:rsidP="006D1945">
      <w:pPr>
        <w:pStyle w:val="ListBullet"/>
        <w:rPr>
          <w:snapToGrid w:val="0"/>
        </w:rPr>
      </w:pPr>
      <w:r>
        <w:rPr>
          <w:snapToGrid w:val="0"/>
        </w:rPr>
        <w:t>i</w:t>
      </w:r>
      <w:r w:rsidR="00E50A1A" w:rsidRPr="00D26483">
        <w:rPr>
          <w:snapToGrid w:val="0"/>
        </w:rPr>
        <w:t xml:space="preserve">nterim </w:t>
      </w:r>
      <w:r w:rsidR="002873C8">
        <w:rPr>
          <w:snapToGrid w:val="0"/>
        </w:rPr>
        <w:t xml:space="preserve">or internal </w:t>
      </w:r>
      <w:r w:rsidR="00C902CD">
        <w:rPr>
          <w:snapToGrid w:val="0"/>
        </w:rPr>
        <w:t>survey</w:t>
      </w:r>
      <w:r w:rsidR="002873C8">
        <w:rPr>
          <w:snapToGrid w:val="0"/>
        </w:rPr>
        <w:t xml:space="preserve"> reports if applicable</w:t>
      </w:r>
      <w:r>
        <w:rPr>
          <w:snapToGrid w:val="0"/>
        </w:rPr>
        <w:t>;</w:t>
      </w:r>
    </w:p>
    <w:p w14:paraId="5A0992ED" w14:textId="77777777" w:rsidR="00820BB0" w:rsidRDefault="00D94941" w:rsidP="006D1945">
      <w:pPr>
        <w:pStyle w:val="ListBullet"/>
        <w:rPr>
          <w:snapToGrid w:val="0"/>
        </w:rPr>
      </w:pPr>
      <w:r>
        <w:rPr>
          <w:snapToGrid w:val="0"/>
        </w:rPr>
        <w:t>a</w:t>
      </w:r>
      <w:r w:rsidR="00E50A1A" w:rsidRPr="00D26483">
        <w:rPr>
          <w:snapToGrid w:val="0"/>
        </w:rPr>
        <w:t>nnual data report w</w:t>
      </w:r>
      <w:r w:rsidR="002873C8">
        <w:rPr>
          <w:snapToGrid w:val="0"/>
        </w:rPr>
        <w:t>ith responses to unmet measures</w:t>
      </w:r>
      <w:r>
        <w:rPr>
          <w:snapToGrid w:val="0"/>
        </w:rPr>
        <w:t>;</w:t>
      </w:r>
      <w:r w:rsidR="00820BB0">
        <w:rPr>
          <w:snapToGrid w:val="0"/>
        </w:rPr>
        <w:t xml:space="preserve"> </w:t>
      </w:r>
    </w:p>
    <w:p w14:paraId="67883230" w14:textId="20291919" w:rsidR="007E038F" w:rsidRDefault="007E038F" w:rsidP="006D1945">
      <w:pPr>
        <w:pStyle w:val="ListBullet"/>
        <w:rPr>
          <w:snapToGrid w:val="0"/>
        </w:rPr>
      </w:pPr>
      <w:r>
        <w:rPr>
          <w:snapToGrid w:val="0"/>
        </w:rPr>
        <w:t>NAF and Service/SCU QI plan</w:t>
      </w:r>
      <w:r w:rsidR="00D94941">
        <w:rPr>
          <w:snapToGrid w:val="0"/>
        </w:rPr>
        <w:t>;</w:t>
      </w:r>
    </w:p>
    <w:p w14:paraId="6EFA58F1" w14:textId="77777777" w:rsidR="007E038F" w:rsidRDefault="00D94941" w:rsidP="006D1945">
      <w:pPr>
        <w:pStyle w:val="ListBullet"/>
        <w:rPr>
          <w:snapToGrid w:val="0"/>
        </w:rPr>
      </w:pPr>
      <w:r>
        <w:rPr>
          <w:snapToGrid w:val="0"/>
        </w:rPr>
        <w:t>a</w:t>
      </w:r>
      <w:r w:rsidR="007E038F">
        <w:rPr>
          <w:snapToGrid w:val="0"/>
        </w:rPr>
        <w:t>ny trend data available</w:t>
      </w:r>
      <w:r>
        <w:rPr>
          <w:snapToGrid w:val="0"/>
        </w:rPr>
        <w:t>;</w:t>
      </w:r>
    </w:p>
    <w:p w14:paraId="5F83B0B9" w14:textId="77777777" w:rsidR="00E50A1A" w:rsidRDefault="00D94941" w:rsidP="006D1945">
      <w:pPr>
        <w:pStyle w:val="ListBullet"/>
        <w:rPr>
          <w:snapToGrid w:val="0"/>
        </w:rPr>
      </w:pPr>
      <w:r>
        <w:rPr>
          <w:snapToGrid w:val="0"/>
        </w:rPr>
        <w:t>r</w:t>
      </w:r>
      <w:r w:rsidR="009B3DC0">
        <w:rPr>
          <w:snapToGrid w:val="0"/>
        </w:rPr>
        <w:t xml:space="preserve">elevant </w:t>
      </w:r>
      <w:r w:rsidR="00E50A1A" w:rsidRPr="00D26483">
        <w:rPr>
          <w:snapToGrid w:val="0"/>
        </w:rPr>
        <w:t xml:space="preserve">correspondence between the SCU and the NQMC </w:t>
      </w:r>
      <w:r>
        <w:rPr>
          <w:snapToGrid w:val="0"/>
        </w:rPr>
        <w:t>during the accreditation period; and</w:t>
      </w:r>
    </w:p>
    <w:p w14:paraId="5A1F9E3E" w14:textId="77777777" w:rsidR="007E038F" w:rsidRPr="00D26483" w:rsidRDefault="00D94941" w:rsidP="006D1945">
      <w:pPr>
        <w:pStyle w:val="ListBullet"/>
        <w:rPr>
          <w:snapToGrid w:val="0"/>
        </w:rPr>
      </w:pPr>
      <w:r>
        <w:rPr>
          <w:snapToGrid w:val="0"/>
        </w:rPr>
        <w:lastRenderedPageBreak/>
        <w:t>o</w:t>
      </w:r>
      <w:r w:rsidR="007E038F" w:rsidRPr="00D26483">
        <w:rPr>
          <w:snapToGrid w:val="0"/>
        </w:rPr>
        <w:t>ther relevant doc</w:t>
      </w:r>
      <w:r w:rsidR="007E038F">
        <w:rPr>
          <w:snapToGrid w:val="0"/>
        </w:rPr>
        <w:t>umentation.</w:t>
      </w:r>
    </w:p>
    <w:p w14:paraId="3C1E739B" w14:textId="77777777" w:rsidR="00791EF3" w:rsidRDefault="00A9671A" w:rsidP="00AB1C35">
      <w:pPr>
        <w:rPr>
          <w:snapToGrid w:val="0"/>
        </w:rPr>
      </w:pPr>
      <w:r w:rsidRPr="00A9671A">
        <w:rPr>
          <w:snapToGrid w:val="0"/>
        </w:rPr>
        <w:t>Accreditation documentation should be marked '</w:t>
      </w:r>
      <w:r w:rsidR="003C5670">
        <w:rPr>
          <w:snapToGrid w:val="0"/>
        </w:rPr>
        <w:t>c</w:t>
      </w:r>
      <w:r w:rsidRPr="00A9671A">
        <w:rPr>
          <w:snapToGrid w:val="0"/>
        </w:rPr>
        <w:t>onﬁdential' and transported securely.</w:t>
      </w:r>
    </w:p>
    <w:p w14:paraId="4F598271" w14:textId="77777777" w:rsidR="00593509" w:rsidRDefault="00791EF3" w:rsidP="007742E2">
      <w:pPr>
        <w:pStyle w:val="Heading4"/>
      </w:pPr>
      <w:r w:rsidRPr="00791EF3">
        <w:t>Travel and accommodation</w:t>
      </w:r>
    </w:p>
    <w:p w14:paraId="37EDF64D" w14:textId="54D17A9B" w:rsidR="00791EF3" w:rsidRDefault="00791EF3" w:rsidP="00AB1C35">
      <w:r>
        <w:t xml:space="preserve">The SCU should consult with the </w:t>
      </w:r>
      <w:r w:rsidR="00C902CD">
        <w:t>survey</w:t>
      </w:r>
      <w:r>
        <w:t>ors</w:t>
      </w:r>
      <w:r w:rsidR="00BF5B21">
        <w:t xml:space="preserve"> and the </w:t>
      </w:r>
      <w:r w:rsidR="007B3EA4">
        <w:t>D</w:t>
      </w:r>
      <w:r w:rsidR="00BF5B21">
        <w:t xml:space="preserve">ata </w:t>
      </w:r>
      <w:r w:rsidR="007B3EA4">
        <w:t>A</w:t>
      </w:r>
      <w:r w:rsidR="00BF5B21">
        <w:t>ssessor</w:t>
      </w:r>
      <w:r>
        <w:t xml:space="preserve"> to ensure appropriate travel and accommodation arrangements are made</w:t>
      </w:r>
      <w:r w:rsidR="008A6F22">
        <w:t xml:space="preserve"> in accordance with the </w:t>
      </w:r>
      <w:r w:rsidR="00541435">
        <w:t xml:space="preserve">requirements </w:t>
      </w:r>
      <w:r w:rsidR="00541435" w:rsidRPr="00730635">
        <w:t xml:space="preserve">described in </w:t>
      </w:r>
      <w:hyperlink w:anchor="_Attachment_4:_Payment" w:history="1">
        <w:r w:rsidR="00F31229" w:rsidRPr="00B90F7F">
          <w:rPr>
            <w:rStyle w:val="Hyperlink"/>
          </w:rPr>
          <w:t xml:space="preserve">Attachment </w:t>
        </w:r>
        <w:r w:rsidR="00730635" w:rsidRPr="00B90F7F">
          <w:rPr>
            <w:rStyle w:val="Hyperlink"/>
          </w:rPr>
          <w:t>4</w:t>
        </w:r>
      </w:hyperlink>
      <w:r w:rsidR="00F31229">
        <w:t xml:space="preserve"> </w:t>
      </w:r>
      <w:r w:rsidR="00541435">
        <w:t>of th</w:t>
      </w:r>
      <w:r w:rsidR="00F31229">
        <w:t>is</w:t>
      </w:r>
      <w:r w:rsidR="00541435">
        <w:t xml:space="preserve"> Handbook</w:t>
      </w:r>
      <w:r>
        <w:t>.</w:t>
      </w:r>
    </w:p>
    <w:p w14:paraId="35BDA842" w14:textId="77777777" w:rsidR="00EA1085" w:rsidRPr="00EA1085" w:rsidRDefault="00DD36D9" w:rsidP="007742E2">
      <w:pPr>
        <w:pStyle w:val="Heading4"/>
      </w:pPr>
      <w:r>
        <w:t>Prepare p</w:t>
      </w:r>
      <w:r w:rsidR="00EA1085" w:rsidRPr="00EA1085">
        <w:t xml:space="preserve">rogram for the </w:t>
      </w:r>
      <w:r w:rsidR="00C902CD">
        <w:t>survey</w:t>
      </w:r>
    </w:p>
    <w:p w14:paraId="47ECC7FD" w14:textId="77777777" w:rsidR="00DD36D9" w:rsidRPr="00EA1085" w:rsidRDefault="00DD36D9" w:rsidP="00AB1C35">
      <w:pPr>
        <w:rPr>
          <w:snapToGrid w:val="0"/>
        </w:rPr>
      </w:pPr>
      <w:r>
        <w:rPr>
          <w:snapToGrid w:val="0"/>
        </w:rPr>
        <w:t xml:space="preserve">A program for the </w:t>
      </w:r>
      <w:r w:rsidR="00C902CD">
        <w:rPr>
          <w:snapToGrid w:val="0"/>
        </w:rPr>
        <w:t>survey</w:t>
      </w:r>
      <w:r>
        <w:rPr>
          <w:snapToGrid w:val="0"/>
        </w:rPr>
        <w:t xml:space="preserve"> must be developed early</w:t>
      </w:r>
      <w:r w:rsidR="007F007F">
        <w:rPr>
          <w:snapToGrid w:val="0"/>
        </w:rPr>
        <w:t xml:space="preserve"> to </w:t>
      </w:r>
      <w:r w:rsidR="007F007F" w:rsidRPr="00EA1085">
        <w:rPr>
          <w:snapToGrid w:val="0"/>
        </w:rPr>
        <w:t>ensure availability of appropriate staff at agreed times, and that optimum use is made of limited time</w:t>
      </w:r>
      <w:r w:rsidR="007F007F">
        <w:rPr>
          <w:snapToGrid w:val="0"/>
        </w:rPr>
        <w:t xml:space="preserve">.  </w:t>
      </w:r>
      <w:r>
        <w:rPr>
          <w:snapToGrid w:val="0"/>
        </w:rPr>
        <w:t xml:space="preserve">Essential </w:t>
      </w:r>
      <w:r w:rsidR="00246CC9">
        <w:rPr>
          <w:snapToGrid w:val="0"/>
        </w:rPr>
        <w:t>components</w:t>
      </w:r>
      <w:r>
        <w:rPr>
          <w:snapToGrid w:val="0"/>
        </w:rPr>
        <w:t xml:space="preserve"> of the </w:t>
      </w:r>
      <w:r w:rsidR="00C902CD">
        <w:rPr>
          <w:snapToGrid w:val="0"/>
        </w:rPr>
        <w:t>survey</w:t>
      </w:r>
      <w:r w:rsidRPr="00EA1085">
        <w:rPr>
          <w:snapToGrid w:val="0"/>
        </w:rPr>
        <w:t xml:space="preserve"> program include:</w:t>
      </w:r>
    </w:p>
    <w:p w14:paraId="77AE3D1E" w14:textId="77777777" w:rsidR="00820BB0" w:rsidRDefault="00820BB0" w:rsidP="00032FF6">
      <w:pPr>
        <w:pStyle w:val="ListBullet"/>
        <w:rPr>
          <w:snapToGrid w:val="0"/>
        </w:rPr>
      </w:pPr>
      <w:r>
        <w:rPr>
          <w:snapToGrid w:val="0"/>
        </w:rPr>
        <w:t>meetings with the Service Director and other relevant staff;</w:t>
      </w:r>
    </w:p>
    <w:p w14:paraId="5CF165F4" w14:textId="6171869E" w:rsidR="00820BB0" w:rsidRDefault="00820BB0" w:rsidP="00032FF6">
      <w:pPr>
        <w:pStyle w:val="ListBullet"/>
        <w:rPr>
          <w:snapToGrid w:val="0"/>
        </w:rPr>
      </w:pPr>
      <w:r>
        <w:rPr>
          <w:snapToGrid w:val="0"/>
        </w:rPr>
        <w:t>Chair of the SQC;</w:t>
      </w:r>
    </w:p>
    <w:p w14:paraId="33E13315" w14:textId="5FAC2A46" w:rsidR="00820BB0" w:rsidRDefault="00820BB0" w:rsidP="00032FF6">
      <w:pPr>
        <w:pStyle w:val="ListBullet"/>
        <w:rPr>
          <w:snapToGrid w:val="0"/>
        </w:rPr>
      </w:pPr>
      <w:r>
        <w:rPr>
          <w:snapToGrid w:val="0"/>
        </w:rPr>
        <w:t>visits to screening units;</w:t>
      </w:r>
    </w:p>
    <w:p w14:paraId="61C110D8" w14:textId="726BB0B7" w:rsidR="00DD36D9" w:rsidRPr="00D26483" w:rsidRDefault="00820BB0" w:rsidP="00032FF6">
      <w:pPr>
        <w:pStyle w:val="ListBullet"/>
        <w:rPr>
          <w:snapToGrid w:val="0"/>
        </w:rPr>
      </w:pPr>
      <w:r>
        <w:rPr>
          <w:snapToGrid w:val="0"/>
        </w:rPr>
        <w:t xml:space="preserve"> </w:t>
      </w:r>
      <w:r w:rsidR="00F31229">
        <w:rPr>
          <w:snapToGrid w:val="0"/>
        </w:rPr>
        <w:t>a</w:t>
      </w:r>
      <w:r w:rsidR="002873C8">
        <w:rPr>
          <w:snapToGrid w:val="0"/>
        </w:rPr>
        <w:t xml:space="preserve"> meeting for </w:t>
      </w:r>
      <w:r w:rsidR="00DD36D9" w:rsidRPr="00D26483">
        <w:rPr>
          <w:snapToGrid w:val="0"/>
        </w:rPr>
        <w:t xml:space="preserve">the </w:t>
      </w:r>
      <w:r w:rsidR="00C902CD">
        <w:rPr>
          <w:snapToGrid w:val="0"/>
        </w:rPr>
        <w:t>survey</w:t>
      </w:r>
      <w:r w:rsidR="00DD36D9" w:rsidRPr="00D26483">
        <w:rPr>
          <w:snapToGrid w:val="0"/>
        </w:rPr>
        <w:t xml:space="preserve"> team to plan</w:t>
      </w:r>
      <w:r w:rsidR="00F31229">
        <w:rPr>
          <w:snapToGrid w:val="0"/>
        </w:rPr>
        <w:t xml:space="preserve"> their activities for the visit;</w:t>
      </w:r>
    </w:p>
    <w:p w14:paraId="46B029CD" w14:textId="77777777" w:rsidR="00DD36D9" w:rsidRPr="00D26483" w:rsidRDefault="00F31229" w:rsidP="00032FF6">
      <w:pPr>
        <w:pStyle w:val="ListBullet"/>
        <w:rPr>
          <w:snapToGrid w:val="0"/>
        </w:rPr>
      </w:pPr>
      <w:r>
        <w:rPr>
          <w:snapToGrid w:val="0"/>
        </w:rPr>
        <w:t>a</w:t>
      </w:r>
      <w:r w:rsidR="00DD36D9" w:rsidRPr="00D26483">
        <w:rPr>
          <w:snapToGrid w:val="0"/>
        </w:rPr>
        <w:t xml:space="preserve"> meeting with sta</w:t>
      </w:r>
      <w:r>
        <w:rPr>
          <w:snapToGrid w:val="0"/>
        </w:rPr>
        <w:t>ff for introductions to be made;</w:t>
      </w:r>
    </w:p>
    <w:p w14:paraId="6F40768F" w14:textId="77777777" w:rsidR="00DD36D9" w:rsidRPr="00D26483" w:rsidRDefault="00F31229" w:rsidP="00032FF6">
      <w:pPr>
        <w:pStyle w:val="ListBullet"/>
        <w:rPr>
          <w:snapToGrid w:val="0"/>
        </w:rPr>
      </w:pPr>
      <w:r>
        <w:rPr>
          <w:snapToGrid w:val="0"/>
        </w:rPr>
        <w:t>t</w:t>
      </w:r>
      <w:r w:rsidR="00DD36D9" w:rsidRPr="00D26483">
        <w:rPr>
          <w:snapToGrid w:val="0"/>
        </w:rPr>
        <w:t xml:space="preserve">ime for clinicians to </w:t>
      </w:r>
      <w:r>
        <w:rPr>
          <w:snapToGrid w:val="0"/>
        </w:rPr>
        <w:t>meet with clinical specialists; and</w:t>
      </w:r>
    </w:p>
    <w:p w14:paraId="17114B08" w14:textId="77777777" w:rsidR="00DD36D9" w:rsidRDefault="00F31229" w:rsidP="00032FF6">
      <w:pPr>
        <w:pStyle w:val="ListBullet"/>
        <w:rPr>
          <w:snapToGrid w:val="0"/>
        </w:rPr>
      </w:pPr>
      <w:r>
        <w:rPr>
          <w:snapToGrid w:val="0"/>
        </w:rPr>
        <w:t>t</w:t>
      </w:r>
      <w:r w:rsidR="00DD36D9" w:rsidRPr="00D26483">
        <w:rPr>
          <w:snapToGrid w:val="0"/>
        </w:rPr>
        <w:t xml:space="preserve">ime for the </w:t>
      </w:r>
      <w:r w:rsidR="00C902CD">
        <w:rPr>
          <w:snapToGrid w:val="0"/>
        </w:rPr>
        <w:t>survey</w:t>
      </w:r>
      <w:r w:rsidR="00DD36D9" w:rsidRPr="00D26483">
        <w:rPr>
          <w:snapToGrid w:val="0"/>
        </w:rPr>
        <w:t xml:space="preserve"> team to meet for conﬁdential discussions and work on the </w:t>
      </w:r>
      <w:r w:rsidR="00C902CD">
        <w:rPr>
          <w:snapToGrid w:val="0"/>
        </w:rPr>
        <w:t>survey</w:t>
      </w:r>
      <w:r w:rsidR="00DD36D9" w:rsidRPr="00D26483">
        <w:rPr>
          <w:snapToGrid w:val="0"/>
        </w:rPr>
        <w:t xml:space="preserve"> report towards the end of the visit and before verbal feedback is provided to staff.</w:t>
      </w:r>
    </w:p>
    <w:p w14:paraId="559AEE22" w14:textId="326EF30C" w:rsidR="00EA1085" w:rsidRPr="00D26483" w:rsidRDefault="00DD36D9" w:rsidP="00AB1C35">
      <w:pPr>
        <w:rPr>
          <w:snapToGrid w:val="0"/>
        </w:rPr>
      </w:pPr>
      <w:r w:rsidRPr="00D26483">
        <w:rPr>
          <w:snapToGrid w:val="0"/>
        </w:rPr>
        <w:t xml:space="preserve">For </w:t>
      </w:r>
      <w:r w:rsidR="00C902CD">
        <w:rPr>
          <w:snapToGrid w:val="0"/>
        </w:rPr>
        <w:t>survey</w:t>
      </w:r>
      <w:r w:rsidRPr="00D26483">
        <w:rPr>
          <w:snapToGrid w:val="0"/>
        </w:rPr>
        <w:t xml:space="preserve">s </w:t>
      </w:r>
      <w:r w:rsidR="00BF5B21">
        <w:rPr>
          <w:snapToGrid w:val="0"/>
        </w:rPr>
        <w:t xml:space="preserve">of </w:t>
      </w:r>
      <w:r w:rsidRPr="00D26483">
        <w:rPr>
          <w:snapToGrid w:val="0"/>
        </w:rPr>
        <w:t>Services, th</w:t>
      </w:r>
      <w:r w:rsidR="00EA1085" w:rsidRPr="00D26483">
        <w:rPr>
          <w:snapToGrid w:val="0"/>
        </w:rPr>
        <w:t xml:space="preserve">e SCU works </w:t>
      </w:r>
      <w:r w:rsidR="007F007F" w:rsidRPr="00D26483">
        <w:rPr>
          <w:snapToGrid w:val="0"/>
        </w:rPr>
        <w:t xml:space="preserve">in collaboration with the </w:t>
      </w:r>
      <w:r w:rsidR="00EA1085" w:rsidRPr="00D26483">
        <w:rPr>
          <w:snapToGrid w:val="0"/>
        </w:rPr>
        <w:t>Service</w:t>
      </w:r>
      <w:r w:rsidRPr="00D26483">
        <w:rPr>
          <w:snapToGrid w:val="0"/>
        </w:rPr>
        <w:t xml:space="preserve"> to develop a ﬂexible program for the </w:t>
      </w:r>
      <w:r w:rsidR="00C902CD">
        <w:rPr>
          <w:snapToGrid w:val="0"/>
        </w:rPr>
        <w:t>survey</w:t>
      </w:r>
      <w:r w:rsidR="00EA1085" w:rsidRPr="00D26483">
        <w:rPr>
          <w:snapToGrid w:val="0"/>
        </w:rPr>
        <w:t>.</w:t>
      </w:r>
      <w:r w:rsidRPr="00D26483">
        <w:rPr>
          <w:snapToGrid w:val="0"/>
        </w:rPr>
        <w:t xml:space="preserve"> </w:t>
      </w:r>
      <w:r w:rsidR="00EA1085" w:rsidRPr="00D26483">
        <w:rPr>
          <w:snapToGrid w:val="0"/>
        </w:rPr>
        <w:t xml:space="preserve"> The </w:t>
      </w:r>
      <w:r w:rsidR="00C902CD">
        <w:rPr>
          <w:snapToGrid w:val="0"/>
        </w:rPr>
        <w:t>survey</w:t>
      </w:r>
      <w:r w:rsidR="00EA1085" w:rsidRPr="00D26483">
        <w:rPr>
          <w:snapToGrid w:val="0"/>
        </w:rPr>
        <w:t xml:space="preserve"> team can </w:t>
      </w:r>
      <w:r w:rsidR="007F007F" w:rsidRPr="00D26483">
        <w:rPr>
          <w:snapToGrid w:val="0"/>
        </w:rPr>
        <w:t xml:space="preserve">request to </w:t>
      </w:r>
      <w:r w:rsidR="00EA1085" w:rsidRPr="00D26483">
        <w:rPr>
          <w:snapToGrid w:val="0"/>
        </w:rPr>
        <w:t xml:space="preserve">change the schedule in consultation with the Service to ensure the aims of the </w:t>
      </w:r>
      <w:r w:rsidR="00C902CD">
        <w:rPr>
          <w:snapToGrid w:val="0"/>
        </w:rPr>
        <w:t>survey</w:t>
      </w:r>
      <w:r w:rsidR="00EA1085" w:rsidRPr="00D26483">
        <w:rPr>
          <w:snapToGrid w:val="0"/>
        </w:rPr>
        <w:t xml:space="preserve"> are best met.</w:t>
      </w:r>
    </w:p>
    <w:p w14:paraId="480A8D01" w14:textId="0B9C7564" w:rsidR="0002374D" w:rsidRPr="00D26483" w:rsidRDefault="00641FC1" w:rsidP="006D2034">
      <w:pPr>
        <w:pStyle w:val="Heading3"/>
      </w:pPr>
      <w:bookmarkStart w:id="234" w:name="_Toc517944674"/>
      <w:bookmarkStart w:id="235" w:name="_Toc66438707"/>
      <w:r w:rsidRPr="00D26483">
        <w:t>Pre-</w:t>
      </w:r>
      <w:r w:rsidR="00C902CD">
        <w:t>survey</w:t>
      </w:r>
      <w:r w:rsidRPr="00D26483">
        <w:t xml:space="preserve"> activities </w:t>
      </w:r>
      <w:r w:rsidR="0002374D" w:rsidRPr="00D26483">
        <w:t>- The Service</w:t>
      </w:r>
      <w:bookmarkEnd w:id="234"/>
      <w:bookmarkEnd w:id="235"/>
    </w:p>
    <w:p w14:paraId="686EE5BC" w14:textId="77777777" w:rsidR="00A70C24" w:rsidRPr="00A70C24" w:rsidRDefault="00A70C24" w:rsidP="007742E2">
      <w:pPr>
        <w:pStyle w:val="Heading4"/>
      </w:pPr>
      <w:r w:rsidRPr="00A70C24">
        <w:t xml:space="preserve">Preparation </w:t>
      </w:r>
      <w:r w:rsidR="00D7733B">
        <w:t>of</w:t>
      </w:r>
      <w:r w:rsidRPr="00A70C24">
        <w:t xml:space="preserve"> the Service</w:t>
      </w:r>
      <w:r w:rsidR="00D7733B">
        <w:t xml:space="preserve"> for accreditation</w:t>
      </w:r>
    </w:p>
    <w:p w14:paraId="017053C3" w14:textId="77777777" w:rsidR="00A70C24" w:rsidRPr="00A70C24" w:rsidRDefault="00A70C24" w:rsidP="00AB1C35">
      <w:pPr>
        <w:rPr>
          <w:snapToGrid w:val="0"/>
        </w:rPr>
      </w:pPr>
      <w:r w:rsidRPr="00A70C24">
        <w:rPr>
          <w:snapToGrid w:val="0"/>
        </w:rPr>
        <w:t xml:space="preserve">Prior to the </w:t>
      </w:r>
      <w:r w:rsidR="00C902CD">
        <w:rPr>
          <w:snapToGrid w:val="0"/>
        </w:rPr>
        <w:t>survey</w:t>
      </w:r>
      <w:r w:rsidRPr="00A70C24">
        <w:rPr>
          <w:snapToGrid w:val="0"/>
        </w:rPr>
        <w:t xml:space="preserve"> the Service must:</w:t>
      </w:r>
    </w:p>
    <w:p w14:paraId="4D4A19FC" w14:textId="77777777" w:rsidR="00A70C24" w:rsidRPr="008B4877" w:rsidRDefault="00F31229" w:rsidP="00032FF6">
      <w:pPr>
        <w:pStyle w:val="ListBullet"/>
        <w:rPr>
          <w:snapToGrid w:val="0"/>
        </w:rPr>
      </w:pPr>
      <w:r>
        <w:rPr>
          <w:snapToGrid w:val="0"/>
        </w:rPr>
        <w:t>e</w:t>
      </w:r>
      <w:r w:rsidR="00A70C24" w:rsidRPr="008B4877">
        <w:rPr>
          <w:snapToGrid w:val="0"/>
        </w:rPr>
        <w:t xml:space="preserve">nsure there is a current </w:t>
      </w:r>
      <w:r w:rsidR="00A70C24" w:rsidRPr="00F31229">
        <w:rPr>
          <w:snapToGrid w:val="0"/>
        </w:rPr>
        <w:t>NA</w:t>
      </w:r>
      <w:r w:rsidR="002F3EE4" w:rsidRPr="00F31229">
        <w:rPr>
          <w:snapToGrid w:val="0"/>
        </w:rPr>
        <w:t>F</w:t>
      </w:r>
      <w:r w:rsidR="00A70C24" w:rsidRPr="008B4877">
        <w:rPr>
          <w:snapToGrid w:val="0"/>
        </w:rPr>
        <w:t xml:space="preserve"> in place that clearly </w:t>
      </w:r>
      <w:r w:rsidR="00A70C24">
        <w:rPr>
          <w:snapToGrid w:val="0"/>
        </w:rPr>
        <w:t>identifies</w:t>
      </w:r>
      <w:r w:rsidR="00A70C24" w:rsidRPr="008B4877">
        <w:rPr>
          <w:snapToGrid w:val="0"/>
        </w:rPr>
        <w:t xml:space="preserve"> </w:t>
      </w:r>
      <w:r w:rsidR="00A70C24" w:rsidRPr="00F31229">
        <w:rPr>
          <w:snapToGrid w:val="0"/>
        </w:rPr>
        <w:t xml:space="preserve">those accreditation </w:t>
      </w:r>
      <w:r w:rsidR="007F6BCE" w:rsidRPr="00F31229">
        <w:rPr>
          <w:snapToGrid w:val="0"/>
        </w:rPr>
        <w:t>Measure</w:t>
      </w:r>
      <w:r w:rsidR="00A70C24" w:rsidRPr="00F31229">
        <w:rPr>
          <w:snapToGrid w:val="0"/>
        </w:rPr>
        <w:t>s for which they are responsible</w:t>
      </w:r>
      <w:r>
        <w:rPr>
          <w:snapToGrid w:val="0"/>
        </w:rPr>
        <w:t>;</w:t>
      </w:r>
    </w:p>
    <w:p w14:paraId="2ED3B097" w14:textId="77777777" w:rsidR="00A70C24" w:rsidRPr="008B4877" w:rsidRDefault="00F31229" w:rsidP="00032FF6">
      <w:pPr>
        <w:pStyle w:val="ListBullet"/>
        <w:rPr>
          <w:snapToGrid w:val="0"/>
        </w:rPr>
      </w:pPr>
      <w:r>
        <w:rPr>
          <w:snapToGrid w:val="0"/>
        </w:rPr>
        <w:t>u</w:t>
      </w:r>
      <w:r w:rsidR="00A70C24" w:rsidRPr="008B4877">
        <w:rPr>
          <w:snapToGrid w:val="0"/>
        </w:rPr>
        <w:t>ndertake a self</w:t>
      </w:r>
      <w:r w:rsidR="00091B57">
        <w:rPr>
          <w:snapToGrid w:val="0"/>
        </w:rPr>
        <w:t>-</w:t>
      </w:r>
      <w:r w:rsidR="00A70C24" w:rsidRPr="008B4877">
        <w:rPr>
          <w:snapToGrid w:val="0"/>
        </w:rPr>
        <w:t xml:space="preserve">assessment against the NAS </w:t>
      </w:r>
      <w:r w:rsidR="006D0B68">
        <w:rPr>
          <w:snapToGrid w:val="0"/>
        </w:rPr>
        <w:t>Measure</w:t>
      </w:r>
      <w:r w:rsidR="00A70C24" w:rsidRPr="008B4877">
        <w:rPr>
          <w:snapToGrid w:val="0"/>
        </w:rPr>
        <w:t>s as part of the application for accreditation</w:t>
      </w:r>
      <w:r>
        <w:rPr>
          <w:snapToGrid w:val="0"/>
        </w:rPr>
        <w:t>; and</w:t>
      </w:r>
    </w:p>
    <w:p w14:paraId="0A2A6035" w14:textId="77777777" w:rsidR="00A70C24" w:rsidRPr="008B4877" w:rsidRDefault="00F31229" w:rsidP="00032FF6">
      <w:pPr>
        <w:pStyle w:val="ListBullet"/>
        <w:rPr>
          <w:snapToGrid w:val="0"/>
        </w:rPr>
      </w:pPr>
      <w:r>
        <w:rPr>
          <w:snapToGrid w:val="0"/>
        </w:rPr>
        <w:t>e</w:t>
      </w:r>
      <w:r w:rsidR="00A70C24" w:rsidRPr="008B4877">
        <w:rPr>
          <w:snapToGrid w:val="0"/>
        </w:rPr>
        <w:t xml:space="preserve">nsure that the completed application forms and supporting documentation are submitted to </w:t>
      </w:r>
      <w:r w:rsidR="00F24448">
        <w:rPr>
          <w:snapToGrid w:val="0"/>
        </w:rPr>
        <w:t>the SCU</w:t>
      </w:r>
      <w:r w:rsidR="00091B57">
        <w:rPr>
          <w:snapToGrid w:val="0"/>
        </w:rPr>
        <w:t xml:space="preserve"> in the required timeframe.</w:t>
      </w:r>
    </w:p>
    <w:p w14:paraId="6833D3F0" w14:textId="77777777" w:rsidR="003960A0" w:rsidRDefault="003960A0" w:rsidP="007742E2">
      <w:pPr>
        <w:pStyle w:val="Heading4"/>
      </w:pPr>
      <w:r w:rsidRPr="00D26483">
        <w:lastRenderedPageBreak/>
        <w:t>Decide upon the best way to operate the Service during the visit</w:t>
      </w:r>
    </w:p>
    <w:p w14:paraId="275684B1" w14:textId="1F375204" w:rsidR="007C0A0C" w:rsidRPr="007C0A0C" w:rsidRDefault="007C0A0C" w:rsidP="00AB1C35">
      <w:pPr>
        <w:rPr>
          <w:snapToGrid w:val="0"/>
        </w:rPr>
      </w:pPr>
      <w:r w:rsidRPr="00D26483">
        <w:rPr>
          <w:snapToGrid w:val="0"/>
        </w:rPr>
        <w:t>It is probably best to not</w:t>
      </w:r>
      <w:r w:rsidR="002B1B6D" w:rsidRPr="00D26483">
        <w:rPr>
          <w:snapToGrid w:val="0"/>
        </w:rPr>
        <w:t xml:space="preserve"> operate at full</w:t>
      </w:r>
      <w:r w:rsidR="00091B57">
        <w:rPr>
          <w:snapToGrid w:val="0"/>
        </w:rPr>
        <w:t xml:space="preserve"> capacity </w:t>
      </w:r>
      <w:r w:rsidRPr="00D26483">
        <w:rPr>
          <w:snapToGrid w:val="0"/>
        </w:rPr>
        <w:t xml:space="preserve">particularly in the </w:t>
      </w:r>
      <w:r w:rsidR="002B1B6D" w:rsidRPr="00D26483">
        <w:rPr>
          <w:snapToGrid w:val="0"/>
        </w:rPr>
        <w:t xml:space="preserve">case of </w:t>
      </w:r>
      <w:r w:rsidR="003B2F69">
        <w:rPr>
          <w:snapToGrid w:val="0"/>
        </w:rPr>
        <w:t xml:space="preserve">assessment clinics </w:t>
      </w:r>
      <w:r>
        <w:rPr>
          <w:snapToGrid w:val="0"/>
        </w:rPr>
        <w:t>on the day</w:t>
      </w:r>
      <w:r w:rsidR="00F24448">
        <w:rPr>
          <w:snapToGrid w:val="0"/>
        </w:rPr>
        <w:t>s</w:t>
      </w:r>
      <w:r>
        <w:rPr>
          <w:snapToGrid w:val="0"/>
        </w:rPr>
        <w:t xml:space="preserve"> a </w:t>
      </w:r>
      <w:r w:rsidR="00C902CD">
        <w:rPr>
          <w:snapToGrid w:val="0"/>
        </w:rPr>
        <w:t>survey</w:t>
      </w:r>
      <w:r w:rsidR="002B1B6D" w:rsidRPr="007C0A0C">
        <w:rPr>
          <w:snapToGrid w:val="0"/>
        </w:rPr>
        <w:t xml:space="preserve"> is scheduled.</w:t>
      </w:r>
      <w:r>
        <w:rPr>
          <w:snapToGrid w:val="0"/>
        </w:rPr>
        <w:t xml:space="preserve"> </w:t>
      </w:r>
      <w:r w:rsidRPr="007C0A0C">
        <w:rPr>
          <w:snapToGrid w:val="0"/>
        </w:rPr>
        <w:t xml:space="preserve"> </w:t>
      </w:r>
      <w:r>
        <w:rPr>
          <w:snapToGrid w:val="0"/>
        </w:rPr>
        <w:t>It is highly desirable to schedule an assessment clinic</w:t>
      </w:r>
      <w:r w:rsidR="003B2F69">
        <w:rPr>
          <w:snapToGrid w:val="0"/>
        </w:rPr>
        <w:t xml:space="preserve"> during a survey </w:t>
      </w:r>
      <w:r>
        <w:rPr>
          <w:snapToGrid w:val="0"/>
        </w:rPr>
        <w:t xml:space="preserve">to </w:t>
      </w:r>
      <w:r w:rsidR="00F24448">
        <w:rPr>
          <w:snapToGrid w:val="0"/>
        </w:rPr>
        <w:t xml:space="preserve">allow </w:t>
      </w:r>
      <w:r w:rsidR="00C902CD">
        <w:rPr>
          <w:snapToGrid w:val="0"/>
        </w:rPr>
        <w:t>survey</w:t>
      </w:r>
      <w:r>
        <w:rPr>
          <w:snapToGrid w:val="0"/>
        </w:rPr>
        <w:t>ors</w:t>
      </w:r>
      <w:r w:rsidR="003B2F69">
        <w:rPr>
          <w:snapToGrid w:val="0"/>
        </w:rPr>
        <w:t xml:space="preserve"> observe the operations of the assessment clinic</w:t>
      </w:r>
      <w:r>
        <w:rPr>
          <w:snapToGrid w:val="0"/>
        </w:rPr>
        <w:t>.</w:t>
      </w:r>
    </w:p>
    <w:p w14:paraId="0C0ADCE5" w14:textId="33CD4130" w:rsidR="002B1B6D" w:rsidRDefault="007C0A0C" w:rsidP="00AB1C35">
      <w:pPr>
        <w:rPr>
          <w:snapToGrid w:val="0"/>
        </w:rPr>
      </w:pPr>
      <w:r>
        <w:rPr>
          <w:snapToGrid w:val="0"/>
        </w:rPr>
        <w:t xml:space="preserve">If possible, the Service should </w:t>
      </w:r>
      <w:r w:rsidR="002B1B6D" w:rsidRPr="007C0A0C">
        <w:rPr>
          <w:snapToGrid w:val="0"/>
        </w:rPr>
        <w:t>scale down screening an</w:t>
      </w:r>
      <w:r>
        <w:rPr>
          <w:snapToGrid w:val="0"/>
        </w:rPr>
        <w:t xml:space="preserve">d assessment operations, to allow the </w:t>
      </w:r>
      <w:r w:rsidR="00C902CD">
        <w:rPr>
          <w:snapToGrid w:val="0"/>
        </w:rPr>
        <w:t>survey</w:t>
      </w:r>
      <w:r>
        <w:rPr>
          <w:snapToGrid w:val="0"/>
        </w:rPr>
        <w:t xml:space="preserve"> team to see the unit</w:t>
      </w:r>
      <w:r w:rsidR="002B1B6D" w:rsidRPr="007C0A0C">
        <w:rPr>
          <w:snapToGrid w:val="0"/>
        </w:rPr>
        <w:t xml:space="preserve"> in operation, and to speak with key staff with minimal disruption to </w:t>
      </w:r>
      <w:r w:rsidR="00091B57">
        <w:rPr>
          <w:snapToGrid w:val="0"/>
        </w:rPr>
        <w:t xml:space="preserve">service </w:t>
      </w:r>
      <w:r w:rsidR="002B1B6D" w:rsidRPr="007C0A0C">
        <w:rPr>
          <w:snapToGrid w:val="0"/>
        </w:rPr>
        <w:t>provision and clients.</w:t>
      </w:r>
      <w:r>
        <w:rPr>
          <w:snapToGrid w:val="0"/>
        </w:rPr>
        <w:t xml:space="preserve">  </w:t>
      </w:r>
      <w:r w:rsidR="002B1B6D" w:rsidRPr="007C0A0C">
        <w:rPr>
          <w:snapToGrid w:val="0"/>
        </w:rPr>
        <w:t>Ano</w:t>
      </w:r>
      <w:r>
        <w:rPr>
          <w:snapToGrid w:val="0"/>
        </w:rPr>
        <w:t>ther option is to roster backup</w:t>
      </w:r>
      <w:r w:rsidR="002B1B6D" w:rsidRPr="007C0A0C">
        <w:rPr>
          <w:snapToGrid w:val="0"/>
        </w:rPr>
        <w:t xml:space="preserve"> </w:t>
      </w:r>
      <w:r w:rsidR="00091B57">
        <w:rPr>
          <w:snapToGrid w:val="0"/>
        </w:rPr>
        <w:t xml:space="preserve">staff </w:t>
      </w:r>
      <w:r w:rsidR="002B1B6D" w:rsidRPr="007C0A0C">
        <w:rPr>
          <w:snapToGrid w:val="0"/>
        </w:rPr>
        <w:t>f</w:t>
      </w:r>
      <w:r>
        <w:rPr>
          <w:snapToGrid w:val="0"/>
        </w:rPr>
        <w:t>or designated positions for the</w:t>
      </w:r>
      <w:r w:rsidR="002B1B6D" w:rsidRPr="007C0A0C">
        <w:rPr>
          <w:snapToGrid w:val="0"/>
        </w:rPr>
        <w:t xml:space="preserve"> </w:t>
      </w:r>
      <w:r w:rsidR="003B2F69">
        <w:rPr>
          <w:snapToGrid w:val="0"/>
        </w:rPr>
        <w:t>survey</w:t>
      </w:r>
      <w:r w:rsidR="002B1B6D" w:rsidRPr="007C0A0C">
        <w:rPr>
          <w:snapToGrid w:val="0"/>
        </w:rPr>
        <w:t xml:space="preserve"> to free up staff time during clinics,</w:t>
      </w:r>
      <w:r>
        <w:rPr>
          <w:snapToGrid w:val="0"/>
        </w:rPr>
        <w:t xml:space="preserve"> allowing </w:t>
      </w:r>
      <w:r w:rsidR="00BF5B21">
        <w:rPr>
          <w:snapToGrid w:val="0"/>
        </w:rPr>
        <w:t xml:space="preserve">key staff to </w:t>
      </w:r>
      <w:r>
        <w:rPr>
          <w:snapToGrid w:val="0"/>
        </w:rPr>
        <w:t xml:space="preserve">interact with the </w:t>
      </w:r>
      <w:r w:rsidR="00C902CD">
        <w:rPr>
          <w:snapToGrid w:val="0"/>
        </w:rPr>
        <w:t>survey</w:t>
      </w:r>
      <w:r w:rsidR="00BF5B21">
        <w:rPr>
          <w:snapToGrid w:val="0"/>
        </w:rPr>
        <w:t xml:space="preserve"> team</w:t>
      </w:r>
      <w:r w:rsidR="002B1B6D" w:rsidRPr="007C0A0C">
        <w:rPr>
          <w:snapToGrid w:val="0"/>
        </w:rPr>
        <w:t>.</w:t>
      </w:r>
    </w:p>
    <w:p w14:paraId="14C54AC7" w14:textId="77777777" w:rsidR="002B1B6D" w:rsidRPr="007C0A0C" w:rsidRDefault="002B1B6D" w:rsidP="007742E2">
      <w:pPr>
        <w:pStyle w:val="Heading4"/>
      </w:pPr>
      <w:r w:rsidRPr="007C0A0C">
        <w:t xml:space="preserve">Organise support for the </w:t>
      </w:r>
      <w:r w:rsidR="00C902CD">
        <w:t>survey</w:t>
      </w:r>
      <w:r w:rsidRPr="007C0A0C">
        <w:t xml:space="preserve"> team</w:t>
      </w:r>
    </w:p>
    <w:p w14:paraId="6FD262AC" w14:textId="77777777" w:rsidR="002B1B6D" w:rsidRDefault="00C902CD" w:rsidP="00AB1C35">
      <w:pPr>
        <w:rPr>
          <w:snapToGrid w:val="0"/>
        </w:rPr>
      </w:pPr>
      <w:r>
        <w:rPr>
          <w:snapToGrid w:val="0"/>
        </w:rPr>
        <w:t>Survey</w:t>
      </w:r>
      <w:r w:rsidR="007C0A0C">
        <w:rPr>
          <w:snapToGrid w:val="0"/>
        </w:rPr>
        <w:t>ors should</w:t>
      </w:r>
      <w:r w:rsidR="002B1B6D" w:rsidRPr="007C0A0C">
        <w:rPr>
          <w:snapToGrid w:val="0"/>
        </w:rPr>
        <w:t xml:space="preserve"> have access to:</w:t>
      </w:r>
    </w:p>
    <w:p w14:paraId="75204B08" w14:textId="77777777" w:rsidR="002B1B6D" w:rsidRPr="0014407D" w:rsidRDefault="00F31229" w:rsidP="00032FF6">
      <w:pPr>
        <w:pStyle w:val="ListBullet"/>
        <w:rPr>
          <w:snapToGrid w:val="0"/>
        </w:rPr>
      </w:pPr>
      <w:r>
        <w:rPr>
          <w:snapToGrid w:val="0"/>
        </w:rPr>
        <w:t>a</w:t>
      </w:r>
      <w:r w:rsidR="007C0A0C" w:rsidRPr="0014407D">
        <w:rPr>
          <w:snapToGrid w:val="0"/>
        </w:rPr>
        <w:t xml:space="preserve"> room</w:t>
      </w:r>
      <w:r w:rsidR="002B1B6D" w:rsidRPr="0014407D">
        <w:rPr>
          <w:snapToGrid w:val="0"/>
        </w:rPr>
        <w:t xml:space="preserve"> for</w:t>
      </w:r>
      <w:r w:rsidR="007C0A0C" w:rsidRPr="0014407D">
        <w:rPr>
          <w:snapToGrid w:val="0"/>
        </w:rPr>
        <w:t xml:space="preserve"> their exclusive use during the </w:t>
      </w:r>
      <w:r w:rsidR="00C902CD">
        <w:rPr>
          <w:snapToGrid w:val="0"/>
        </w:rPr>
        <w:t>survey</w:t>
      </w:r>
      <w:r>
        <w:rPr>
          <w:snapToGrid w:val="0"/>
        </w:rPr>
        <w:t>;</w:t>
      </w:r>
    </w:p>
    <w:p w14:paraId="72EB5722" w14:textId="1E8B4473" w:rsidR="002B1B6D" w:rsidRPr="0014407D" w:rsidRDefault="002B1B6D" w:rsidP="00032FF6">
      <w:pPr>
        <w:pStyle w:val="ListBullet"/>
        <w:rPr>
          <w:snapToGrid w:val="0"/>
        </w:rPr>
      </w:pPr>
      <w:r w:rsidRPr="0014407D">
        <w:rPr>
          <w:snapToGrid w:val="0"/>
        </w:rPr>
        <w:t xml:space="preserve">a laptop or other computer with the relevant </w:t>
      </w:r>
      <w:r w:rsidR="003B2F69">
        <w:rPr>
          <w:snapToGrid w:val="0"/>
        </w:rPr>
        <w:t xml:space="preserve">pre-filled </w:t>
      </w:r>
      <w:r w:rsidRPr="0014407D">
        <w:rPr>
          <w:snapToGrid w:val="0"/>
        </w:rPr>
        <w:t xml:space="preserve">electronic </w:t>
      </w:r>
      <w:r w:rsidR="00F31229">
        <w:rPr>
          <w:snapToGrid w:val="0"/>
        </w:rPr>
        <w:t>templates loaded, and a printer;</w:t>
      </w:r>
    </w:p>
    <w:p w14:paraId="497A9C7A" w14:textId="77777777" w:rsidR="002B1B6D" w:rsidRPr="0014407D" w:rsidRDefault="00F31229" w:rsidP="00032FF6">
      <w:pPr>
        <w:pStyle w:val="ListBullet"/>
        <w:rPr>
          <w:snapToGrid w:val="0"/>
        </w:rPr>
      </w:pPr>
      <w:r>
        <w:rPr>
          <w:snapToGrid w:val="0"/>
        </w:rPr>
        <w:t>a</w:t>
      </w:r>
      <w:r w:rsidR="002B1B6D" w:rsidRPr="0014407D">
        <w:rPr>
          <w:snapToGrid w:val="0"/>
        </w:rPr>
        <w:t xml:space="preserve"> </w:t>
      </w:r>
      <w:r w:rsidR="00091B57">
        <w:rPr>
          <w:snapToGrid w:val="0"/>
        </w:rPr>
        <w:t>telephone</w:t>
      </w:r>
      <w:r>
        <w:rPr>
          <w:snapToGrid w:val="0"/>
        </w:rPr>
        <w:t>; and</w:t>
      </w:r>
      <w:r w:rsidR="00091B57">
        <w:rPr>
          <w:snapToGrid w:val="0"/>
        </w:rPr>
        <w:t xml:space="preserve"> </w:t>
      </w:r>
    </w:p>
    <w:p w14:paraId="7FD1C829" w14:textId="77777777" w:rsidR="002B1B6D" w:rsidRPr="0014407D" w:rsidRDefault="00F31229" w:rsidP="00032FF6">
      <w:pPr>
        <w:pStyle w:val="ListBullet"/>
        <w:rPr>
          <w:snapToGrid w:val="0"/>
        </w:rPr>
      </w:pPr>
      <w:r>
        <w:rPr>
          <w:snapToGrid w:val="0"/>
        </w:rPr>
        <w:t>r</w:t>
      </w:r>
      <w:r w:rsidR="002B1B6D" w:rsidRPr="0014407D">
        <w:rPr>
          <w:snapToGrid w:val="0"/>
        </w:rPr>
        <w:t>efreshments.</w:t>
      </w:r>
    </w:p>
    <w:p w14:paraId="0E4DF9ED" w14:textId="75E2BCB5" w:rsidR="007A3A28" w:rsidRPr="005326D2" w:rsidRDefault="007A3A28" w:rsidP="00500310">
      <w:pPr>
        <w:pStyle w:val="Heading2"/>
      </w:pPr>
      <w:bookmarkStart w:id="236" w:name="_Toc517944675"/>
      <w:bookmarkStart w:id="237" w:name="_Toc66438708"/>
      <w:r w:rsidRPr="005326D2">
        <w:t xml:space="preserve">DURING THE </w:t>
      </w:r>
      <w:r w:rsidR="00C902CD">
        <w:t>SURVEY</w:t>
      </w:r>
      <w:bookmarkEnd w:id="236"/>
      <w:bookmarkEnd w:id="237"/>
    </w:p>
    <w:p w14:paraId="357FA4DA" w14:textId="62B36795" w:rsidR="007A3A28" w:rsidRPr="005326D2" w:rsidRDefault="007A3A28" w:rsidP="00AB1C35">
      <w:pPr>
        <w:rPr>
          <w:snapToGrid w:val="0"/>
        </w:rPr>
      </w:pPr>
      <w:r w:rsidRPr="005326D2">
        <w:rPr>
          <w:snapToGrid w:val="0"/>
        </w:rPr>
        <w:t>The Service</w:t>
      </w:r>
      <w:r w:rsidR="00DD7453">
        <w:rPr>
          <w:snapToGrid w:val="0"/>
        </w:rPr>
        <w:t xml:space="preserve"> Director</w:t>
      </w:r>
      <w:r w:rsidRPr="005326D2">
        <w:rPr>
          <w:snapToGrid w:val="0"/>
        </w:rPr>
        <w:t xml:space="preserve"> and other relevant staff will meet with the </w:t>
      </w:r>
      <w:r w:rsidR="00C902CD">
        <w:rPr>
          <w:snapToGrid w:val="0"/>
        </w:rPr>
        <w:t>survey</w:t>
      </w:r>
      <w:r w:rsidRPr="005326D2">
        <w:rPr>
          <w:snapToGrid w:val="0"/>
        </w:rPr>
        <w:t xml:space="preserve"> team at the commencement of the </w:t>
      </w:r>
      <w:r w:rsidR="00C902CD">
        <w:rPr>
          <w:snapToGrid w:val="0"/>
        </w:rPr>
        <w:t>survey</w:t>
      </w:r>
      <w:r w:rsidRPr="005326D2">
        <w:rPr>
          <w:snapToGrid w:val="0"/>
        </w:rPr>
        <w:t xml:space="preserve"> to give the team an overview of the Service, its background and structure, stafﬁng, session times and review meetings. </w:t>
      </w:r>
      <w:r w:rsidR="005326D2">
        <w:rPr>
          <w:snapToGrid w:val="0"/>
        </w:rPr>
        <w:t xml:space="preserve"> </w:t>
      </w:r>
      <w:r w:rsidRPr="005326D2">
        <w:rPr>
          <w:snapToGrid w:val="0"/>
        </w:rPr>
        <w:t>The Service may then wish</w:t>
      </w:r>
      <w:r w:rsidR="005326D2">
        <w:rPr>
          <w:snapToGrid w:val="0"/>
        </w:rPr>
        <w:t xml:space="preserve"> </w:t>
      </w:r>
      <w:r w:rsidRPr="005326D2">
        <w:rPr>
          <w:snapToGrid w:val="0"/>
        </w:rPr>
        <w:t xml:space="preserve">to discuss its self-assessment against the NAS </w:t>
      </w:r>
      <w:r w:rsidR="006D0B68">
        <w:rPr>
          <w:snapToGrid w:val="0"/>
        </w:rPr>
        <w:t>Measure</w:t>
      </w:r>
      <w:r w:rsidR="005326D2">
        <w:rPr>
          <w:snapToGrid w:val="0"/>
        </w:rPr>
        <w:t xml:space="preserve">s </w:t>
      </w:r>
      <w:r w:rsidR="00481769">
        <w:rPr>
          <w:snapToGrid w:val="0"/>
        </w:rPr>
        <w:t>and decision-</w:t>
      </w:r>
      <w:r w:rsidRPr="005326D2">
        <w:rPr>
          <w:snapToGrid w:val="0"/>
        </w:rPr>
        <w:t>making tool, and its quality improvement plan.</w:t>
      </w:r>
      <w:r w:rsidR="005326D2">
        <w:rPr>
          <w:snapToGrid w:val="0"/>
        </w:rPr>
        <w:t xml:space="preserve"> </w:t>
      </w:r>
      <w:r w:rsidRPr="005326D2">
        <w:rPr>
          <w:snapToGrid w:val="0"/>
        </w:rPr>
        <w:t xml:space="preserve"> It may also respond to issues raised in the previous </w:t>
      </w:r>
      <w:r w:rsidR="00C902CD">
        <w:rPr>
          <w:snapToGrid w:val="0"/>
        </w:rPr>
        <w:t>survey</w:t>
      </w:r>
      <w:r w:rsidRPr="005326D2">
        <w:rPr>
          <w:snapToGrid w:val="0"/>
        </w:rPr>
        <w:t xml:space="preserve"> report.</w:t>
      </w:r>
    </w:p>
    <w:p w14:paraId="562B39BC" w14:textId="2F530395" w:rsidR="00D7733B" w:rsidRDefault="007A3A28" w:rsidP="00AB1C35">
      <w:pPr>
        <w:rPr>
          <w:snapToGrid w:val="0"/>
        </w:rPr>
      </w:pPr>
      <w:r w:rsidRPr="005326D2">
        <w:rPr>
          <w:snapToGrid w:val="0"/>
        </w:rPr>
        <w:t xml:space="preserve">The </w:t>
      </w:r>
      <w:r w:rsidR="00C902CD">
        <w:rPr>
          <w:snapToGrid w:val="0"/>
        </w:rPr>
        <w:t>survey</w:t>
      </w:r>
      <w:r w:rsidRPr="005326D2">
        <w:rPr>
          <w:snapToGrid w:val="0"/>
        </w:rPr>
        <w:t xml:space="preserve"> team should have access to all relevant Service documentation for </w:t>
      </w:r>
      <w:r w:rsidR="0080217B">
        <w:rPr>
          <w:snapToGrid w:val="0"/>
        </w:rPr>
        <w:t>their review</w:t>
      </w:r>
      <w:r w:rsidRPr="005326D2">
        <w:rPr>
          <w:snapToGrid w:val="0"/>
        </w:rPr>
        <w:t xml:space="preserve">. </w:t>
      </w:r>
      <w:r w:rsidR="005326D2">
        <w:rPr>
          <w:snapToGrid w:val="0"/>
        </w:rPr>
        <w:t xml:space="preserve"> </w:t>
      </w:r>
      <w:r w:rsidRPr="005326D2">
        <w:rPr>
          <w:snapToGrid w:val="0"/>
        </w:rPr>
        <w:t xml:space="preserve">This includes </w:t>
      </w:r>
      <w:r w:rsidR="005326D2">
        <w:rPr>
          <w:snapToGrid w:val="0"/>
        </w:rPr>
        <w:t>images</w:t>
      </w:r>
      <w:r w:rsidRPr="005326D2">
        <w:rPr>
          <w:snapToGrid w:val="0"/>
        </w:rPr>
        <w:t xml:space="preserve"> and performance data from each unit, especially trend data where </w:t>
      </w:r>
      <w:r w:rsidR="007F6BCE">
        <w:rPr>
          <w:snapToGrid w:val="0"/>
        </w:rPr>
        <w:t>Measure</w:t>
      </w:r>
      <w:r w:rsidR="005326D2">
        <w:rPr>
          <w:snapToGrid w:val="0"/>
        </w:rPr>
        <w:t>s</w:t>
      </w:r>
      <w:r w:rsidRPr="005326D2">
        <w:rPr>
          <w:snapToGrid w:val="0"/>
        </w:rPr>
        <w:t xml:space="preserve"> are not met, policies </w:t>
      </w:r>
      <w:r w:rsidR="00BD0595">
        <w:rPr>
          <w:snapToGrid w:val="0"/>
        </w:rPr>
        <w:t>and procedures manuals</w:t>
      </w:r>
      <w:r w:rsidR="00DD7453">
        <w:rPr>
          <w:snapToGrid w:val="0"/>
        </w:rPr>
        <w:t>, quality assurance and professional development and training records</w:t>
      </w:r>
      <w:r w:rsidR="00D7733B">
        <w:rPr>
          <w:snapToGrid w:val="0"/>
        </w:rPr>
        <w:t>.</w:t>
      </w:r>
    </w:p>
    <w:p w14:paraId="26F08A40" w14:textId="77777777" w:rsidR="007A3A28" w:rsidRPr="005326D2" w:rsidRDefault="007A3A28" w:rsidP="00AB1C35">
      <w:pPr>
        <w:rPr>
          <w:snapToGrid w:val="0"/>
        </w:rPr>
      </w:pPr>
      <w:r w:rsidRPr="005326D2">
        <w:rPr>
          <w:snapToGrid w:val="0"/>
        </w:rPr>
        <w:t xml:space="preserve">Information gained during the </w:t>
      </w:r>
      <w:r w:rsidR="00C902CD">
        <w:rPr>
          <w:snapToGrid w:val="0"/>
        </w:rPr>
        <w:t>survey</w:t>
      </w:r>
      <w:r w:rsidR="00D7733B">
        <w:rPr>
          <w:snapToGrid w:val="0"/>
        </w:rPr>
        <w:t xml:space="preserve"> and included in the report</w:t>
      </w:r>
      <w:r w:rsidRPr="005326D2">
        <w:rPr>
          <w:snapToGrid w:val="0"/>
        </w:rPr>
        <w:t xml:space="preserve"> will enable the NQMC</w:t>
      </w:r>
      <w:r w:rsidR="00BD0595">
        <w:rPr>
          <w:snapToGrid w:val="0"/>
        </w:rPr>
        <w:t xml:space="preserve"> to be</w:t>
      </w:r>
      <w:r w:rsidRPr="005326D2">
        <w:rPr>
          <w:snapToGrid w:val="0"/>
        </w:rPr>
        <w:t xml:space="preserve"> </w:t>
      </w:r>
      <w:r w:rsidR="00BD0595" w:rsidRPr="005326D2">
        <w:rPr>
          <w:snapToGrid w:val="0"/>
        </w:rPr>
        <w:t xml:space="preserve">fully informed </w:t>
      </w:r>
      <w:r w:rsidR="00DD7453">
        <w:rPr>
          <w:snapToGrid w:val="0"/>
        </w:rPr>
        <w:t>of</w:t>
      </w:r>
      <w:r w:rsidR="00BD0595">
        <w:rPr>
          <w:snapToGrid w:val="0"/>
        </w:rPr>
        <w:t xml:space="preserve"> all aspects relevant to</w:t>
      </w:r>
      <w:r w:rsidRPr="005326D2">
        <w:rPr>
          <w:snapToGrid w:val="0"/>
        </w:rPr>
        <w:t xml:space="preserve"> </w:t>
      </w:r>
      <w:r w:rsidR="00BD0595">
        <w:rPr>
          <w:snapToGrid w:val="0"/>
        </w:rPr>
        <w:t xml:space="preserve">accreditation of the </w:t>
      </w:r>
      <w:r w:rsidRPr="005326D2">
        <w:rPr>
          <w:snapToGrid w:val="0"/>
        </w:rPr>
        <w:t>Service.</w:t>
      </w:r>
    </w:p>
    <w:p w14:paraId="65CCEA40" w14:textId="77777777" w:rsidR="007A3A28" w:rsidRPr="005326D2" w:rsidRDefault="007A3A28" w:rsidP="00AB1C35">
      <w:pPr>
        <w:rPr>
          <w:snapToGrid w:val="0"/>
        </w:rPr>
      </w:pPr>
      <w:r w:rsidRPr="005326D2">
        <w:rPr>
          <w:snapToGrid w:val="0"/>
        </w:rPr>
        <w:t xml:space="preserve">The </w:t>
      </w:r>
      <w:r w:rsidR="00C902CD">
        <w:rPr>
          <w:snapToGrid w:val="0"/>
        </w:rPr>
        <w:t>survey</w:t>
      </w:r>
      <w:r w:rsidRPr="005326D2">
        <w:rPr>
          <w:snapToGrid w:val="0"/>
        </w:rPr>
        <w:t>ors may also request a random selection of screening and assessment client ﬁles be made available to them for audit purposes during the visit.</w:t>
      </w:r>
    </w:p>
    <w:p w14:paraId="159CF445" w14:textId="3359AD3F" w:rsidR="007A3A28" w:rsidRDefault="007D0FFD" w:rsidP="00AB1C35">
      <w:pPr>
        <w:rPr>
          <w:snapToGrid w:val="0"/>
        </w:rPr>
      </w:pPr>
      <w:r w:rsidRPr="00172103">
        <w:rPr>
          <w:snapToGrid w:val="0"/>
        </w:rPr>
        <w:t xml:space="preserve">While there is no speciﬁc </w:t>
      </w:r>
      <w:r w:rsidR="007A3A28" w:rsidRPr="00172103">
        <w:rPr>
          <w:snapToGrid w:val="0"/>
        </w:rPr>
        <w:t xml:space="preserve">requirement for client consultation during a </w:t>
      </w:r>
      <w:r w:rsidR="00C902CD">
        <w:rPr>
          <w:snapToGrid w:val="0"/>
        </w:rPr>
        <w:t>survey</w:t>
      </w:r>
      <w:r w:rsidR="007A3A28" w:rsidRPr="00172103">
        <w:rPr>
          <w:snapToGrid w:val="0"/>
        </w:rPr>
        <w:t>, client consultation may be undertaken.</w:t>
      </w:r>
      <w:r w:rsidR="007F272F" w:rsidRPr="00172103">
        <w:rPr>
          <w:snapToGrid w:val="0"/>
        </w:rPr>
        <w:t xml:space="preserve"> </w:t>
      </w:r>
      <w:r w:rsidR="007A3A28" w:rsidRPr="00172103">
        <w:rPr>
          <w:snapToGrid w:val="0"/>
        </w:rPr>
        <w:t xml:space="preserve"> The </w:t>
      </w:r>
      <w:r w:rsidR="00C902CD">
        <w:rPr>
          <w:snapToGrid w:val="0"/>
        </w:rPr>
        <w:t>survey</w:t>
      </w:r>
      <w:r w:rsidR="007A3A28" w:rsidRPr="00172103">
        <w:rPr>
          <w:snapToGrid w:val="0"/>
        </w:rPr>
        <w:t xml:space="preserve"> team will need to attain informed consent and to consider a range of issues such as privacy and appropriateness. </w:t>
      </w:r>
      <w:r w:rsidR="007F272F" w:rsidRPr="00172103">
        <w:rPr>
          <w:snapToGrid w:val="0"/>
        </w:rPr>
        <w:t xml:space="preserve"> </w:t>
      </w:r>
      <w:r w:rsidR="00172103" w:rsidRPr="00172103">
        <w:rPr>
          <w:snapToGrid w:val="0"/>
        </w:rPr>
        <w:t>I</w:t>
      </w:r>
      <w:r w:rsidR="007A3A28" w:rsidRPr="00172103">
        <w:rPr>
          <w:snapToGrid w:val="0"/>
        </w:rPr>
        <w:t xml:space="preserve">t may </w:t>
      </w:r>
      <w:r w:rsidR="00172103" w:rsidRPr="00172103">
        <w:rPr>
          <w:snapToGrid w:val="0"/>
        </w:rPr>
        <w:t xml:space="preserve">also </w:t>
      </w:r>
      <w:r w:rsidR="007A3A28" w:rsidRPr="00172103">
        <w:rPr>
          <w:snapToGrid w:val="0"/>
        </w:rPr>
        <w:t xml:space="preserve">be </w:t>
      </w:r>
      <w:r w:rsidR="00172103" w:rsidRPr="00172103">
        <w:rPr>
          <w:snapToGrid w:val="0"/>
        </w:rPr>
        <w:t>possible</w:t>
      </w:r>
      <w:r w:rsidR="007A3A28" w:rsidRPr="00172103">
        <w:rPr>
          <w:snapToGrid w:val="0"/>
        </w:rPr>
        <w:t xml:space="preserve"> to speak to consumers outside of clinic times or to consumer volunteers.</w:t>
      </w:r>
    </w:p>
    <w:p w14:paraId="42D4A23D" w14:textId="77777777" w:rsidR="00474783" w:rsidRDefault="00206AA5" w:rsidP="00AB1C35">
      <w:pPr>
        <w:rPr>
          <w:rFonts w:cstheme="minorHAnsi"/>
          <w:snapToGrid w:val="0"/>
        </w:rPr>
      </w:pPr>
      <w:r>
        <w:rPr>
          <w:rFonts w:cstheme="minorHAnsi"/>
          <w:snapToGrid w:val="0"/>
        </w:rPr>
        <w:lastRenderedPageBreak/>
        <w:t>One of the key objectives of the BreastScreen Australia Program is to</w:t>
      </w:r>
      <w:r w:rsidRPr="00206AA5">
        <w:rPr>
          <w:rFonts w:cstheme="minorHAnsi"/>
          <w:snapToGrid w:val="0"/>
        </w:rPr>
        <w:t xml:space="preserve"> </w:t>
      </w:r>
      <w:r>
        <w:rPr>
          <w:rFonts w:cstheme="minorHAnsi"/>
          <w:snapToGrid w:val="0"/>
        </w:rPr>
        <w:t>'</w:t>
      </w:r>
      <w:r w:rsidRPr="00206AA5">
        <w:t>Provide high quality services that are acceptable and appropriate to the needs of the population</w:t>
      </w:r>
      <w:r>
        <w:t xml:space="preserve"> and equally accessible....'  </w:t>
      </w:r>
      <w:r w:rsidR="00844106" w:rsidRPr="00844106">
        <w:t>With this in mind, a</w:t>
      </w:r>
      <w:r w:rsidR="007A3A28" w:rsidRPr="00844106">
        <w:rPr>
          <w:rFonts w:cstheme="minorHAnsi"/>
          <w:snapToGrid w:val="0"/>
        </w:rPr>
        <w:t>ll</w:t>
      </w:r>
      <w:r w:rsidR="007A3A28" w:rsidRPr="00172103">
        <w:rPr>
          <w:rFonts w:cstheme="minorHAnsi"/>
          <w:snapToGrid w:val="0"/>
        </w:rPr>
        <w:t xml:space="preserve"> members of a </w:t>
      </w:r>
      <w:r w:rsidR="00C902CD">
        <w:rPr>
          <w:rFonts w:cstheme="minorHAnsi"/>
          <w:snapToGrid w:val="0"/>
        </w:rPr>
        <w:t>survey</w:t>
      </w:r>
      <w:r w:rsidR="007A3A28" w:rsidRPr="00172103">
        <w:rPr>
          <w:rFonts w:cstheme="minorHAnsi"/>
          <w:snapToGrid w:val="0"/>
        </w:rPr>
        <w:t xml:space="preserve"> team, including any consumer representative, are encouraged to consider the consumers’ perspective when undertaking a </w:t>
      </w:r>
      <w:r w:rsidR="00C902CD">
        <w:rPr>
          <w:rFonts w:cstheme="minorHAnsi"/>
          <w:snapToGrid w:val="0"/>
        </w:rPr>
        <w:t>survey</w:t>
      </w:r>
      <w:r w:rsidR="007A3A28" w:rsidRPr="00172103">
        <w:rPr>
          <w:rFonts w:cstheme="minorHAnsi"/>
          <w:snapToGrid w:val="0"/>
        </w:rPr>
        <w:t>.</w:t>
      </w:r>
    </w:p>
    <w:p w14:paraId="0779731E" w14:textId="6CD55B34" w:rsidR="00D7733B" w:rsidRDefault="00D7733B" w:rsidP="00AB1C35">
      <w:pPr>
        <w:rPr>
          <w:snapToGrid w:val="0"/>
        </w:rPr>
      </w:pPr>
      <w:r w:rsidRPr="005E6E68">
        <w:rPr>
          <w:snapToGrid w:val="0"/>
        </w:rPr>
        <w:t>The National Surveyor</w:t>
      </w:r>
      <w:r>
        <w:rPr>
          <w:snapToGrid w:val="0"/>
        </w:rPr>
        <w:t xml:space="preserve">, as chair of the </w:t>
      </w:r>
      <w:r w:rsidR="00C902CD">
        <w:rPr>
          <w:snapToGrid w:val="0"/>
        </w:rPr>
        <w:t>survey</w:t>
      </w:r>
      <w:r w:rsidRPr="005E6E68">
        <w:rPr>
          <w:snapToGrid w:val="0"/>
        </w:rPr>
        <w:t xml:space="preserve"> team</w:t>
      </w:r>
      <w:r>
        <w:rPr>
          <w:snapToGrid w:val="0"/>
        </w:rPr>
        <w:t>,</w:t>
      </w:r>
      <w:r w:rsidRPr="00BD0595">
        <w:rPr>
          <w:snapToGrid w:val="0"/>
        </w:rPr>
        <w:t xml:space="preserve"> will encourage all team members to contribute to every aspect of the </w:t>
      </w:r>
      <w:r w:rsidR="00C902CD">
        <w:rPr>
          <w:snapToGrid w:val="0"/>
        </w:rPr>
        <w:t>survey</w:t>
      </w:r>
      <w:r w:rsidRPr="00BD0595">
        <w:rPr>
          <w:snapToGrid w:val="0"/>
        </w:rPr>
        <w:t xml:space="preserve">, and facilitate the </w:t>
      </w:r>
      <w:r w:rsidR="00C902CD">
        <w:rPr>
          <w:snapToGrid w:val="0"/>
        </w:rPr>
        <w:t>survey</w:t>
      </w:r>
      <w:r w:rsidRPr="00BD0595">
        <w:rPr>
          <w:snapToGrid w:val="0"/>
        </w:rPr>
        <w:t xml:space="preserve"> team to reach a consensus in summing up the </w:t>
      </w:r>
      <w:r w:rsidR="00C902CD">
        <w:rPr>
          <w:snapToGrid w:val="0"/>
        </w:rPr>
        <w:t>survey</w:t>
      </w:r>
      <w:r w:rsidR="0080217B">
        <w:rPr>
          <w:snapToGrid w:val="0"/>
        </w:rPr>
        <w:t>’s findings</w:t>
      </w:r>
      <w:r w:rsidRPr="00BD0595">
        <w:rPr>
          <w:snapToGrid w:val="0"/>
        </w:rPr>
        <w:t>.</w:t>
      </w:r>
      <w:r>
        <w:rPr>
          <w:snapToGrid w:val="0"/>
        </w:rPr>
        <w:t xml:space="preserve"> </w:t>
      </w:r>
      <w:r w:rsidRPr="00BD0595">
        <w:rPr>
          <w:snapToGrid w:val="0"/>
        </w:rPr>
        <w:t xml:space="preserve"> The chair will also coordinate the report writing relating to the</w:t>
      </w:r>
      <w:r>
        <w:rPr>
          <w:snapToGrid w:val="0"/>
        </w:rPr>
        <w:t xml:space="preserve"> </w:t>
      </w:r>
      <w:r w:rsidRPr="00BD0595">
        <w:rPr>
          <w:snapToGrid w:val="0"/>
        </w:rPr>
        <w:t xml:space="preserve">ﬁndings at the </w:t>
      </w:r>
      <w:r w:rsidR="00C902CD">
        <w:rPr>
          <w:snapToGrid w:val="0"/>
        </w:rPr>
        <w:t>survey</w:t>
      </w:r>
      <w:r w:rsidRPr="00BD0595">
        <w:rPr>
          <w:snapToGrid w:val="0"/>
        </w:rPr>
        <w:t xml:space="preserve"> in consultation with the other </w:t>
      </w:r>
      <w:r w:rsidR="00C902CD">
        <w:rPr>
          <w:snapToGrid w:val="0"/>
        </w:rPr>
        <w:t>survey</w:t>
      </w:r>
      <w:r w:rsidRPr="00BD0595">
        <w:rPr>
          <w:snapToGrid w:val="0"/>
        </w:rPr>
        <w:t xml:space="preserve"> team members.</w:t>
      </w:r>
    </w:p>
    <w:p w14:paraId="521174AB" w14:textId="4B279A51" w:rsidR="007A3A28" w:rsidRDefault="007A3A28" w:rsidP="00AB1C35">
      <w:pPr>
        <w:rPr>
          <w:snapToGrid w:val="0"/>
        </w:rPr>
      </w:pPr>
      <w:r w:rsidRPr="00AB2EC8">
        <w:rPr>
          <w:snapToGrid w:val="0"/>
        </w:rPr>
        <w:t xml:space="preserve">It is vital that plenty of time is allowed for the </w:t>
      </w:r>
      <w:r w:rsidR="00C902CD">
        <w:rPr>
          <w:snapToGrid w:val="0"/>
        </w:rPr>
        <w:t>survey</w:t>
      </w:r>
      <w:r w:rsidRPr="00AB2EC8">
        <w:rPr>
          <w:snapToGrid w:val="0"/>
        </w:rPr>
        <w:t xml:space="preserve"> team to meet at the beginning and end of the visit to </w:t>
      </w:r>
      <w:r w:rsidR="0080217B">
        <w:rPr>
          <w:snapToGrid w:val="0"/>
        </w:rPr>
        <w:t>identify issues and areas of outstanding performance</w:t>
      </w:r>
      <w:r w:rsidR="007821C0">
        <w:rPr>
          <w:snapToGrid w:val="0"/>
        </w:rPr>
        <w:t xml:space="preserve"> for completion of the survey report form.</w:t>
      </w:r>
      <w:r w:rsidR="0080217B">
        <w:rPr>
          <w:snapToGrid w:val="0"/>
        </w:rPr>
        <w:t xml:space="preserve"> </w:t>
      </w:r>
    </w:p>
    <w:p w14:paraId="0DC7290A" w14:textId="3F33DC8C" w:rsidR="00D60101" w:rsidRPr="00B85DA9" w:rsidRDefault="00D60101" w:rsidP="00AB1C35">
      <w:pPr>
        <w:rPr>
          <w:snapToGrid w:val="0"/>
        </w:rPr>
      </w:pPr>
      <w:r w:rsidRPr="00B85DA9">
        <w:rPr>
          <w:snapToGrid w:val="0"/>
        </w:rPr>
        <w:t>E</w:t>
      </w:r>
      <w:r>
        <w:rPr>
          <w:snapToGrid w:val="0"/>
        </w:rPr>
        <w:t>ach member of the team should sight the ﬁnal survey</w:t>
      </w:r>
      <w:r w:rsidRPr="00B85DA9">
        <w:rPr>
          <w:snapToGrid w:val="0"/>
        </w:rPr>
        <w:t xml:space="preserve"> report and have time to c</w:t>
      </w:r>
      <w:r>
        <w:rPr>
          <w:snapToGrid w:val="0"/>
        </w:rPr>
        <w:t xml:space="preserve">onsider it before they </w:t>
      </w:r>
      <w:r w:rsidR="007821C0">
        <w:rPr>
          <w:snapToGrid w:val="0"/>
        </w:rPr>
        <w:t>endorse</w:t>
      </w:r>
      <w:r>
        <w:rPr>
          <w:snapToGrid w:val="0"/>
        </w:rPr>
        <w:t xml:space="preserve"> the</w:t>
      </w:r>
      <w:r w:rsidRPr="00B85DA9">
        <w:rPr>
          <w:snapToGrid w:val="0"/>
        </w:rPr>
        <w:t xml:space="preserve"> document. </w:t>
      </w:r>
      <w:r>
        <w:rPr>
          <w:snapToGrid w:val="0"/>
        </w:rPr>
        <w:t xml:space="preserve"> </w:t>
      </w:r>
      <w:r w:rsidR="007F57E9">
        <w:rPr>
          <w:snapToGrid w:val="0"/>
        </w:rPr>
        <w:t>Extra</w:t>
      </w:r>
      <w:r w:rsidRPr="00B85DA9">
        <w:rPr>
          <w:snapToGrid w:val="0"/>
        </w:rPr>
        <w:t xml:space="preserve"> time may be required to ﬁnalise the report, it is appropriate for the document to be distributed </w:t>
      </w:r>
      <w:r>
        <w:rPr>
          <w:snapToGrid w:val="0"/>
        </w:rPr>
        <w:t xml:space="preserve">following the survey to members of the </w:t>
      </w:r>
      <w:r w:rsidRPr="00B85DA9">
        <w:rPr>
          <w:snapToGrid w:val="0"/>
        </w:rPr>
        <w:t xml:space="preserve">team for signature, with </w:t>
      </w:r>
      <w:r>
        <w:rPr>
          <w:snapToGrid w:val="0"/>
        </w:rPr>
        <w:t>due consideration of</w:t>
      </w:r>
      <w:r w:rsidRPr="00B85DA9">
        <w:rPr>
          <w:snapToGrid w:val="0"/>
        </w:rPr>
        <w:t xml:space="preserve"> conﬁdentiality requirements.</w:t>
      </w:r>
      <w:r w:rsidR="007821C0">
        <w:rPr>
          <w:snapToGrid w:val="0"/>
        </w:rPr>
        <w:t xml:space="preserve"> </w:t>
      </w:r>
    </w:p>
    <w:p w14:paraId="39FE18C8" w14:textId="77777777" w:rsidR="00247107" w:rsidRDefault="00D60101" w:rsidP="00AB1C35">
      <w:pPr>
        <w:rPr>
          <w:snapToGrid w:val="0"/>
        </w:rPr>
      </w:pPr>
      <w:r>
        <w:rPr>
          <w:snapToGrid w:val="0"/>
        </w:rPr>
        <w:t xml:space="preserve">The National Surveyor forwards the </w:t>
      </w:r>
      <w:r w:rsidRPr="00B85DA9">
        <w:rPr>
          <w:snapToGrid w:val="0"/>
        </w:rPr>
        <w:t>report to the S</w:t>
      </w:r>
      <w:r>
        <w:rPr>
          <w:snapToGrid w:val="0"/>
        </w:rPr>
        <w:t xml:space="preserve">tate </w:t>
      </w:r>
      <w:r w:rsidRPr="00B85DA9">
        <w:rPr>
          <w:snapToGrid w:val="0"/>
        </w:rPr>
        <w:t>C</w:t>
      </w:r>
      <w:r>
        <w:rPr>
          <w:snapToGrid w:val="0"/>
        </w:rPr>
        <w:t xml:space="preserve">oordination </w:t>
      </w:r>
      <w:r w:rsidRPr="00B85DA9">
        <w:rPr>
          <w:snapToGrid w:val="0"/>
        </w:rPr>
        <w:t>U</w:t>
      </w:r>
      <w:r>
        <w:rPr>
          <w:snapToGrid w:val="0"/>
        </w:rPr>
        <w:t>nit (SCU)</w:t>
      </w:r>
      <w:r w:rsidRPr="00B85DA9">
        <w:rPr>
          <w:snapToGrid w:val="0"/>
        </w:rPr>
        <w:t xml:space="preserve"> within two weeks of the visit, for provision to the Service</w:t>
      </w:r>
      <w:r>
        <w:rPr>
          <w:snapToGrid w:val="0"/>
        </w:rPr>
        <w:t xml:space="preserve"> (if applicable)</w:t>
      </w:r>
      <w:r w:rsidRPr="00B85DA9">
        <w:rPr>
          <w:snapToGrid w:val="0"/>
        </w:rPr>
        <w:t xml:space="preserve">. </w:t>
      </w:r>
      <w:r>
        <w:rPr>
          <w:snapToGrid w:val="0"/>
        </w:rPr>
        <w:t xml:space="preserve"> </w:t>
      </w:r>
    </w:p>
    <w:p w14:paraId="52A6552D" w14:textId="166E6524" w:rsidR="003722AD" w:rsidRPr="003722AD" w:rsidRDefault="00D606C2" w:rsidP="00500310">
      <w:pPr>
        <w:pStyle w:val="Heading2"/>
      </w:pPr>
      <w:bookmarkStart w:id="238" w:name="_Toc517944676"/>
      <w:bookmarkStart w:id="239" w:name="_Toc66438709"/>
      <w:r>
        <w:t xml:space="preserve">CLOSING MEETING WITH THE </w:t>
      </w:r>
      <w:r w:rsidR="00E02685" w:rsidRPr="003722AD">
        <w:t>SERVICE</w:t>
      </w:r>
      <w:r w:rsidR="00EA00EF">
        <w:t>/SCU</w:t>
      </w:r>
      <w:bookmarkEnd w:id="238"/>
      <w:bookmarkEnd w:id="239"/>
    </w:p>
    <w:p w14:paraId="167A2FCD" w14:textId="77777777" w:rsidR="00247107" w:rsidRDefault="003722AD" w:rsidP="00AB1C35">
      <w:pPr>
        <w:rPr>
          <w:snapToGrid w:val="0"/>
        </w:rPr>
      </w:pPr>
      <w:r w:rsidRPr="00AB2EC8">
        <w:rPr>
          <w:snapToGrid w:val="0"/>
        </w:rPr>
        <w:t xml:space="preserve">At the close of the visit, </w:t>
      </w:r>
      <w:r>
        <w:rPr>
          <w:snapToGrid w:val="0"/>
        </w:rPr>
        <w:t>t</w:t>
      </w:r>
      <w:r w:rsidRPr="003722AD">
        <w:rPr>
          <w:snapToGrid w:val="0"/>
        </w:rPr>
        <w:t xml:space="preserve">he </w:t>
      </w:r>
      <w:r w:rsidR="00C902CD">
        <w:rPr>
          <w:snapToGrid w:val="0"/>
        </w:rPr>
        <w:t>survey</w:t>
      </w:r>
      <w:r w:rsidRPr="003722AD">
        <w:rPr>
          <w:snapToGrid w:val="0"/>
        </w:rPr>
        <w:t xml:space="preserve"> team </w:t>
      </w:r>
      <w:r>
        <w:rPr>
          <w:snapToGrid w:val="0"/>
        </w:rPr>
        <w:t>will meet</w:t>
      </w:r>
      <w:r w:rsidRPr="003722AD">
        <w:rPr>
          <w:snapToGrid w:val="0"/>
        </w:rPr>
        <w:t xml:space="preserve"> with Service</w:t>
      </w:r>
      <w:r w:rsidR="00EA00EF">
        <w:rPr>
          <w:snapToGrid w:val="0"/>
        </w:rPr>
        <w:t xml:space="preserve"> and/or SCU</w:t>
      </w:r>
      <w:r w:rsidRPr="003722AD">
        <w:rPr>
          <w:snapToGrid w:val="0"/>
        </w:rPr>
        <w:t xml:space="preserve"> staff for a debrieﬁng of the </w:t>
      </w:r>
      <w:r w:rsidR="00C902CD">
        <w:rPr>
          <w:snapToGrid w:val="0"/>
        </w:rPr>
        <w:t>survey</w:t>
      </w:r>
      <w:r w:rsidRPr="003722AD">
        <w:rPr>
          <w:snapToGrid w:val="0"/>
        </w:rPr>
        <w:t xml:space="preserve">. </w:t>
      </w:r>
    </w:p>
    <w:p w14:paraId="59FED0BA" w14:textId="688892A7" w:rsidR="00AB2EC8" w:rsidRPr="003722AD" w:rsidRDefault="00AB2EC8" w:rsidP="00AB1C35">
      <w:pPr>
        <w:rPr>
          <w:snapToGrid w:val="0"/>
        </w:rPr>
      </w:pPr>
      <w:r w:rsidRPr="003722AD">
        <w:rPr>
          <w:snapToGrid w:val="0"/>
        </w:rPr>
        <w:t xml:space="preserve">The </w:t>
      </w:r>
      <w:r w:rsidR="00C902CD">
        <w:rPr>
          <w:snapToGrid w:val="0"/>
        </w:rPr>
        <w:t>survey</w:t>
      </w:r>
      <w:r w:rsidRPr="003722AD">
        <w:rPr>
          <w:snapToGrid w:val="0"/>
        </w:rPr>
        <w:t xml:space="preserve"> team cannot discuss accreditation levels or give any recommendation as to the Service’s likely accreditation outcome. </w:t>
      </w:r>
      <w:r w:rsidR="003722AD">
        <w:rPr>
          <w:snapToGrid w:val="0"/>
        </w:rPr>
        <w:t xml:space="preserve"> </w:t>
      </w:r>
      <w:r w:rsidRPr="003722AD">
        <w:rPr>
          <w:snapToGrid w:val="0"/>
        </w:rPr>
        <w:t>It can provide an overall</w:t>
      </w:r>
      <w:r w:rsidR="003722AD">
        <w:rPr>
          <w:snapToGrid w:val="0"/>
        </w:rPr>
        <w:t xml:space="preserve"> </w:t>
      </w:r>
      <w:r w:rsidRPr="003722AD">
        <w:rPr>
          <w:snapToGrid w:val="0"/>
        </w:rPr>
        <w:t xml:space="preserve">impression of the Service’s performance gained during the </w:t>
      </w:r>
      <w:r w:rsidR="00C902CD">
        <w:rPr>
          <w:snapToGrid w:val="0"/>
        </w:rPr>
        <w:t>survey</w:t>
      </w:r>
      <w:r w:rsidRPr="003722AD">
        <w:rPr>
          <w:snapToGrid w:val="0"/>
        </w:rPr>
        <w:t xml:space="preserve">, and discuss the process and any highlights and issues.  </w:t>
      </w:r>
      <w:r w:rsidR="00CC4FC8">
        <w:rPr>
          <w:snapToGrid w:val="0"/>
        </w:rPr>
        <w:t>Survey</w:t>
      </w:r>
      <w:r w:rsidR="00CC4FC8" w:rsidRPr="003722AD">
        <w:rPr>
          <w:snapToGrid w:val="0"/>
        </w:rPr>
        <w:t xml:space="preserve"> </w:t>
      </w:r>
      <w:r w:rsidRPr="003722AD">
        <w:rPr>
          <w:snapToGrid w:val="0"/>
        </w:rPr>
        <w:t>team members may wish to comment on ﬁndings that are relevant to their area/s of expertise.</w:t>
      </w:r>
      <w:r w:rsidR="003722AD">
        <w:rPr>
          <w:snapToGrid w:val="0"/>
        </w:rPr>
        <w:t xml:space="preserve"> </w:t>
      </w:r>
      <w:r w:rsidRPr="003722AD">
        <w:rPr>
          <w:snapToGrid w:val="0"/>
        </w:rPr>
        <w:t xml:space="preserve"> The debrief should ensure that the Service</w:t>
      </w:r>
      <w:r w:rsidR="00D60101">
        <w:rPr>
          <w:snapToGrid w:val="0"/>
        </w:rPr>
        <w:t xml:space="preserve"> has</w:t>
      </w:r>
      <w:r w:rsidRPr="003722AD">
        <w:rPr>
          <w:snapToGrid w:val="0"/>
        </w:rPr>
        <w:t xml:space="preserve"> a realistic understanding of the </w:t>
      </w:r>
      <w:r w:rsidR="00C902CD">
        <w:rPr>
          <w:snapToGrid w:val="0"/>
        </w:rPr>
        <w:t>survey</w:t>
      </w:r>
      <w:r w:rsidRPr="003722AD">
        <w:rPr>
          <w:snapToGrid w:val="0"/>
        </w:rPr>
        <w:t xml:space="preserve"> team’s ﬁndings and therefore will not be surprised upon receiving the written report.</w:t>
      </w:r>
    </w:p>
    <w:p w14:paraId="7F019BAA" w14:textId="77777777" w:rsidR="003C5670" w:rsidRPr="003C5670" w:rsidRDefault="003C5670" w:rsidP="00AB1C35">
      <w:pPr>
        <w:rPr>
          <w:snapToGrid w:val="0"/>
        </w:rPr>
      </w:pPr>
      <w:r w:rsidRPr="003C5670">
        <w:rPr>
          <w:snapToGrid w:val="0"/>
        </w:rPr>
        <w:t>Accreditation documentation should be treated with conﬁdentiality at all stages of the process.</w:t>
      </w:r>
      <w:r>
        <w:rPr>
          <w:snapToGrid w:val="0"/>
        </w:rPr>
        <w:t xml:space="preserve">  </w:t>
      </w:r>
      <w:r w:rsidRPr="003C5670">
        <w:rPr>
          <w:snapToGrid w:val="0"/>
        </w:rPr>
        <w:t xml:space="preserve">Information gathered during the </w:t>
      </w:r>
      <w:r w:rsidR="00C902CD">
        <w:rPr>
          <w:snapToGrid w:val="0"/>
        </w:rPr>
        <w:t>survey</w:t>
      </w:r>
      <w:r w:rsidRPr="003C5670">
        <w:rPr>
          <w:snapToGrid w:val="0"/>
        </w:rPr>
        <w:t xml:space="preserve"> should not be discussed outside the </w:t>
      </w:r>
      <w:r w:rsidR="00C902CD">
        <w:rPr>
          <w:snapToGrid w:val="0"/>
        </w:rPr>
        <w:t>survey</w:t>
      </w:r>
      <w:r w:rsidRPr="003C5670">
        <w:rPr>
          <w:snapToGrid w:val="0"/>
        </w:rPr>
        <w:t xml:space="preserve"> team, apart from reasons relating directly to accreditation.  For instance, the SCU could contact the National Surveyor to seek clariﬁcation of a matter in the </w:t>
      </w:r>
      <w:r w:rsidR="00C902CD">
        <w:rPr>
          <w:snapToGrid w:val="0"/>
        </w:rPr>
        <w:t>survey</w:t>
      </w:r>
      <w:r w:rsidRPr="003C5670">
        <w:rPr>
          <w:snapToGrid w:val="0"/>
        </w:rPr>
        <w:t xml:space="preserve"> report.</w:t>
      </w:r>
    </w:p>
    <w:p w14:paraId="3971C6F2" w14:textId="7F91B95C" w:rsidR="00934993" w:rsidRDefault="00C902CD" w:rsidP="00AB1C35">
      <w:pPr>
        <w:rPr>
          <w:snapToGrid w:val="0"/>
        </w:rPr>
      </w:pPr>
      <w:r>
        <w:rPr>
          <w:snapToGrid w:val="0"/>
        </w:rPr>
        <w:t>Survey</w:t>
      </w:r>
      <w:r w:rsidR="003C5670" w:rsidRPr="003C5670">
        <w:rPr>
          <w:snapToGrid w:val="0"/>
        </w:rPr>
        <w:t xml:space="preserve">ors should keep copies of their notes for six months after a </w:t>
      </w:r>
      <w:r>
        <w:rPr>
          <w:snapToGrid w:val="0"/>
        </w:rPr>
        <w:t>survey</w:t>
      </w:r>
      <w:r w:rsidR="003C5670" w:rsidRPr="003C5670">
        <w:rPr>
          <w:snapToGrid w:val="0"/>
        </w:rPr>
        <w:t xml:space="preserve"> in case of an appeal.  After that, all documentation created as part of the </w:t>
      </w:r>
      <w:r>
        <w:rPr>
          <w:snapToGrid w:val="0"/>
        </w:rPr>
        <w:t>survey</w:t>
      </w:r>
      <w:r w:rsidR="003C5670" w:rsidRPr="003C5670">
        <w:rPr>
          <w:snapToGrid w:val="0"/>
        </w:rPr>
        <w:t xml:space="preserve"> process, including notes of the </w:t>
      </w:r>
      <w:r>
        <w:rPr>
          <w:snapToGrid w:val="0"/>
        </w:rPr>
        <w:t>survey</w:t>
      </w:r>
      <w:r w:rsidR="003C5670" w:rsidRPr="003C5670">
        <w:rPr>
          <w:snapToGrid w:val="0"/>
        </w:rPr>
        <w:t xml:space="preserve"> team, should be destroyed.  Documentation provided by the </w:t>
      </w:r>
      <w:r w:rsidR="007534CE">
        <w:rPr>
          <w:snapToGrid w:val="0"/>
        </w:rPr>
        <w:t>Service and/or SCU</w:t>
      </w:r>
      <w:r w:rsidR="003C5670" w:rsidRPr="003C5670">
        <w:rPr>
          <w:snapToGrid w:val="0"/>
        </w:rPr>
        <w:t xml:space="preserve">, such as manuals, </w:t>
      </w:r>
      <w:r w:rsidR="00DD7453">
        <w:rPr>
          <w:snapToGrid w:val="0"/>
        </w:rPr>
        <w:t xml:space="preserve">organisational </w:t>
      </w:r>
      <w:r w:rsidR="003C5670" w:rsidRPr="003C5670">
        <w:rPr>
          <w:snapToGrid w:val="0"/>
        </w:rPr>
        <w:t xml:space="preserve">structure charts, and reports, should be returned at the end of the </w:t>
      </w:r>
      <w:r>
        <w:rPr>
          <w:snapToGrid w:val="0"/>
        </w:rPr>
        <w:t>survey</w:t>
      </w:r>
      <w:r w:rsidR="003C5670" w:rsidRPr="003C5670">
        <w:rPr>
          <w:snapToGrid w:val="0"/>
        </w:rPr>
        <w:t xml:space="preserve">.  Documents should be destroyed if they contain annotations made by </w:t>
      </w:r>
      <w:r w:rsidR="003C5670" w:rsidRPr="003C5670">
        <w:rPr>
          <w:snapToGrid w:val="0"/>
        </w:rPr>
        <w:lastRenderedPageBreak/>
        <w:t xml:space="preserve">the </w:t>
      </w:r>
      <w:r>
        <w:rPr>
          <w:snapToGrid w:val="0"/>
        </w:rPr>
        <w:t>survey</w:t>
      </w:r>
      <w:r w:rsidR="003C5670" w:rsidRPr="003C5670">
        <w:rPr>
          <w:snapToGrid w:val="0"/>
        </w:rPr>
        <w:t xml:space="preserve"> team that could be considered sensitive.  Alternatively, such annotations may be removed or obscured before return of the documents.</w:t>
      </w:r>
      <w:r w:rsidR="001D552D">
        <w:rPr>
          <w:snapToGrid w:val="0"/>
        </w:rPr>
        <w:t xml:space="preserve"> Surveyors may take copies of any ne</w:t>
      </w:r>
      <w:r w:rsidR="007F57E9">
        <w:rPr>
          <w:snapToGrid w:val="0"/>
        </w:rPr>
        <w:t>cessary documentation in order to</w:t>
      </w:r>
      <w:r w:rsidR="001D552D">
        <w:rPr>
          <w:snapToGrid w:val="0"/>
        </w:rPr>
        <w:t xml:space="preserve"> finalise the survey report</w:t>
      </w:r>
      <w:r w:rsidR="003C5670" w:rsidRPr="003C5670">
        <w:rPr>
          <w:snapToGrid w:val="0"/>
        </w:rPr>
        <w:t xml:space="preserve">.  </w:t>
      </w:r>
      <w:r w:rsidR="001D552D">
        <w:rPr>
          <w:snapToGrid w:val="0"/>
        </w:rPr>
        <w:t xml:space="preserve">These documents should be returned to the SCU or destroyed once the report is complete. </w:t>
      </w:r>
    </w:p>
    <w:p w14:paraId="1AFCAF56" w14:textId="242AD372" w:rsidR="00D606C2" w:rsidRPr="000868FB" w:rsidRDefault="00D606C2" w:rsidP="00500310">
      <w:pPr>
        <w:pStyle w:val="Heading2"/>
      </w:pPr>
      <w:bookmarkStart w:id="240" w:name="_Ref465948237"/>
      <w:bookmarkStart w:id="241" w:name="_Toc517944677"/>
      <w:bookmarkStart w:id="242" w:name="_Toc66438710"/>
      <w:r>
        <w:t>PROVISIO</w:t>
      </w:r>
      <w:r w:rsidR="00FA2BA7">
        <w:t>N OF FEEDBACK FOR SERVICES, S</w:t>
      </w:r>
      <w:r w:rsidR="007B5763">
        <w:t xml:space="preserve">TATE </w:t>
      </w:r>
      <w:r w:rsidR="00FA2BA7">
        <w:t>C</w:t>
      </w:r>
      <w:r w:rsidR="007B5763">
        <w:t xml:space="preserve">OORDINATION </w:t>
      </w:r>
      <w:r w:rsidR="00FA2BA7">
        <w:t>U</w:t>
      </w:r>
      <w:r w:rsidR="007B5763">
        <w:t>NITS</w:t>
      </w:r>
      <w:r>
        <w:t xml:space="preserve"> AND </w:t>
      </w:r>
      <w:r w:rsidR="00FA2BA7">
        <w:t>SURVEYORS</w:t>
      </w:r>
      <w:bookmarkEnd w:id="240"/>
      <w:bookmarkEnd w:id="241"/>
      <w:bookmarkEnd w:id="242"/>
    </w:p>
    <w:p w14:paraId="1301D376" w14:textId="625C8A4A" w:rsidR="00D606C2" w:rsidRDefault="00D606C2" w:rsidP="00AB1C35">
      <w:r>
        <w:t>A number of feedback forms have been developed i</w:t>
      </w:r>
      <w:r w:rsidRPr="00361593">
        <w:t xml:space="preserve">n order to complete the feedback loop and integrate continuous quality improvement into the </w:t>
      </w:r>
      <w:r>
        <w:t xml:space="preserve">accreditation </w:t>
      </w:r>
      <w:r w:rsidRPr="00361593">
        <w:t>process</w:t>
      </w:r>
      <w:r w:rsidR="007D0251">
        <w:rPr>
          <w:rStyle w:val="FootnoteReference"/>
        </w:rPr>
        <w:footnoteReference w:id="9"/>
      </w:r>
      <w:r w:rsidRPr="00361593">
        <w:t>.</w:t>
      </w:r>
      <w:r>
        <w:t xml:space="preserve"> </w:t>
      </w:r>
      <w:r w:rsidRPr="00361593">
        <w:t xml:space="preserve"> These tools will allow</w:t>
      </w:r>
      <w:r w:rsidRPr="00361593">
        <w:rPr>
          <w:b/>
        </w:rPr>
        <w:t xml:space="preserve"> </w:t>
      </w:r>
      <w:r w:rsidR="00FA2BA7">
        <w:t>surveyors</w:t>
      </w:r>
      <w:r w:rsidRPr="00041332">
        <w:t>, Services, SCUs and the NQMC</w:t>
      </w:r>
      <w:r w:rsidRPr="00361593">
        <w:t xml:space="preserve"> to provide constructive feedback on the:</w:t>
      </w:r>
    </w:p>
    <w:p w14:paraId="481A0CA4" w14:textId="77777777" w:rsidR="00D606C2" w:rsidRPr="00361593" w:rsidRDefault="00D94941" w:rsidP="00032FF6">
      <w:pPr>
        <w:pStyle w:val="ListBullet"/>
        <w:rPr>
          <w:rFonts w:cstheme="minorHAnsi"/>
          <w:b/>
          <w:snapToGrid w:val="0"/>
        </w:rPr>
      </w:pPr>
      <w:r>
        <w:t>p</w:t>
      </w:r>
      <w:r w:rsidR="00D606C2" w:rsidRPr="00361593">
        <w:t xml:space="preserve">erformance of the </w:t>
      </w:r>
      <w:r w:rsidR="00FA2BA7">
        <w:t xml:space="preserve">survey </w:t>
      </w:r>
      <w:r w:rsidR="00D606C2" w:rsidRPr="00361593">
        <w:t>team and individual</w:t>
      </w:r>
      <w:r w:rsidR="00FA2BA7">
        <w:t xml:space="preserve"> surveyors</w:t>
      </w:r>
      <w:r>
        <w:t>;</w:t>
      </w:r>
    </w:p>
    <w:p w14:paraId="2A63C0F4" w14:textId="1EBD4A11" w:rsidR="00D606C2" w:rsidRPr="00361593" w:rsidRDefault="00D94941" w:rsidP="00032FF6">
      <w:pPr>
        <w:pStyle w:val="ListBullet"/>
        <w:rPr>
          <w:rFonts w:cstheme="minorHAnsi"/>
          <w:b/>
          <w:snapToGrid w:val="0"/>
        </w:rPr>
      </w:pPr>
      <w:r>
        <w:t>a</w:t>
      </w:r>
      <w:r w:rsidR="00D606C2" w:rsidRPr="00361593">
        <w:t>dministration and coordi</w:t>
      </w:r>
      <w:r>
        <w:t xml:space="preserve">nation of the survey process; </w:t>
      </w:r>
      <w:r w:rsidR="007647B1">
        <w:t xml:space="preserve">and </w:t>
      </w:r>
    </w:p>
    <w:p w14:paraId="4FEE0E28" w14:textId="77777777" w:rsidR="00D606C2" w:rsidRPr="00361593" w:rsidRDefault="00D94941" w:rsidP="00032FF6">
      <w:pPr>
        <w:pStyle w:val="ListBullet"/>
        <w:rPr>
          <w:rFonts w:cstheme="minorHAnsi"/>
          <w:b/>
          <w:snapToGrid w:val="0"/>
        </w:rPr>
      </w:pPr>
      <w:r>
        <w:t>q</w:t>
      </w:r>
      <w:r w:rsidR="00D606C2" w:rsidRPr="00361593">
        <w:t xml:space="preserve">uality of reporting from the </w:t>
      </w:r>
      <w:r w:rsidR="00AE0E0F">
        <w:t xml:space="preserve">survey </w:t>
      </w:r>
      <w:r w:rsidR="00D606C2" w:rsidRPr="00361593">
        <w:t>team in assisting the NQMC’s deliberations.</w:t>
      </w:r>
    </w:p>
    <w:p w14:paraId="31FD5BC7" w14:textId="77777777" w:rsidR="00D606C2" w:rsidRDefault="00D606C2" w:rsidP="00AB1C35">
      <w:r>
        <w:t xml:space="preserve">The </w:t>
      </w:r>
      <w:r w:rsidR="00F31229">
        <w:t xml:space="preserve">range of </w:t>
      </w:r>
      <w:r>
        <w:t xml:space="preserve">feedback forms </w:t>
      </w:r>
      <w:r w:rsidR="00F31229">
        <w:t>is outlined below.</w:t>
      </w:r>
    </w:p>
    <w:p w14:paraId="00415883" w14:textId="7A60FDA4" w:rsidR="00835DAB" w:rsidRDefault="00D606C2" w:rsidP="006D2034">
      <w:pPr>
        <w:pStyle w:val="Heading3"/>
      </w:pPr>
      <w:bookmarkStart w:id="243" w:name="_Toc517944678"/>
      <w:bookmarkStart w:id="244" w:name="_Toc66438711"/>
      <w:r w:rsidRPr="00361593">
        <w:t xml:space="preserve">A </w:t>
      </w:r>
      <w:r w:rsidR="008C5695">
        <w:t>'</w:t>
      </w:r>
      <w:r w:rsidR="008C5695" w:rsidRPr="00361593">
        <w:t>S</w:t>
      </w:r>
      <w:r w:rsidR="008C5695">
        <w:t>urvey</w:t>
      </w:r>
      <w:r w:rsidR="008C5695" w:rsidRPr="00361593">
        <w:t xml:space="preserve"> </w:t>
      </w:r>
      <w:r w:rsidRPr="00361593">
        <w:t>Evaluation Tool</w:t>
      </w:r>
      <w:r>
        <w:t>' (</w:t>
      </w:r>
      <w:r w:rsidR="008C5695" w:rsidRPr="006576CD">
        <w:t>BSA009</w:t>
      </w:r>
      <w:r w:rsidRPr="006576CD">
        <w:t>)</w:t>
      </w:r>
      <w:bookmarkEnd w:id="243"/>
      <w:bookmarkEnd w:id="244"/>
      <w:r w:rsidRPr="00361593">
        <w:t xml:space="preserve"> </w:t>
      </w:r>
    </w:p>
    <w:p w14:paraId="65ED3C21" w14:textId="77777777" w:rsidR="00D606C2" w:rsidRDefault="00835DAB" w:rsidP="00032FF6">
      <w:pPr>
        <w:pStyle w:val="ListBullet"/>
      </w:pPr>
      <w:r>
        <w:t xml:space="preserve">This form is to be completed by the </w:t>
      </w:r>
      <w:r w:rsidR="00D606C2" w:rsidRPr="00835DAB">
        <w:t>Service and/or SCU undergoing accreditation.</w:t>
      </w:r>
    </w:p>
    <w:p w14:paraId="5928B413" w14:textId="77777777" w:rsidR="00D606C2" w:rsidRDefault="00D606C2" w:rsidP="00032FF6">
      <w:pPr>
        <w:pStyle w:val="ListBullet"/>
      </w:pPr>
      <w:r w:rsidRPr="00361593">
        <w:t xml:space="preserve">This will enable </w:t>
      </w:r>
      <w:r w:rsidRPr="007534CE">
        <w:t>Service</w:t>
      </w:r>
      <w:r>
        <w:t>s</w:t>
      </w:r>
      <w:r w:rsidRPr="007534CE">
        <w:t xml:space="preserve"> and/or SCU</w:t>
      </w:r>
      <w:r>
        <w:t xml:space="preserve">s </w:t>
      </w:r>
      <w:r w:rsidRPr="00361593">
        <w:t xml:space="preserve">to </w:t>
      </w:r>
      <w:r w:rsidR="00835DAB">
        <w:t>provide feedback on</w:t>
      </w:r>
      <w:r w:rsidRPr="00361593">
        <w:t xml:space="preserve"> the performance of the </w:t>
      </w:r>
      <w:r w:rsidR="00DC054C">
        <w:t xml:space="preserve">survey </w:t>
      </w:r>
      <w:r w:rsidRPr="00361593">
        <w:t>team</w:t>
      </w:r>
      <w:r w:rsidR="00835DAB">
        <w:t>, including the National Surveyor</w:t>
      </w:r>
      <w:r w:rsidRPr="00361593">
        <w:t>.</w:t>
      </w:r>
    </w:p>
    <w:p w14:paraId="001F1E00" w14:textId="77777777" w:rsidR="007F57E9" w:rsidRDefault="00DC054C" w:rsidP="00032FF6">
      <w:pPr>
        <w:pStyle w:val="ListBullet"/>
      </w:pPr>
      <w:r w:rsidRPr="00DC054C">
        <w:t>The feedback will be collected by the NQMC Secretariat. Confidential and de-identified information will be provided to the National Surveyor for provision to individual survey members and the Service and/or SCU.</w:t>
      </w:r>
      <w:r w:rsidR="007F57E9" w:rsidRPr="007F57E9">
        <w:t xml:space="preserve"> </w:t>
      </w:r>
    </w:p>
    <w:p w14:paraId="6773ED9C" w14:textId="7D3C597F" w:rsidR="007F57E9" w:rsidRPr="00DC054C" w:rsidRDefault="007F57E9" w:rsidP="00032FF6">
      <w:pPr>
        <w:pStyle w:val="ListBullet"/>
      </w:pPr>
      <w:r>
        <w:t xml:space="preserve">Where possible, the completed form should be provided </w:t>
      </w:r>
      <w:r w:rsidR="003E0287">
        <w:t xml:space="preserve">to the NQMC secretariat </w:t>
      </w:r>
      <w:r>
        <w:t xml:space="preserve">within 2 weeks of the </w:t>
      </w:r>
      <w:r w:rsidR="0013147F">
        <w:t>survey</w:t>
      </w:r>
      <w:r>
        <w:t xml:space="preserve">. </w:t>
      </w:r>
    </w:p>
    <w:p w14:paraId="47BF3B62" w14:textId="0F426223" w:rsidR="00D606C2" w:rsidRPr="00361593" w:rsidRDefault="00D606C2" w:rsidP="006D2034">
      <w:pPr>
        <w:pStyle w:val="Heading3"/>
      </w:pPr>
      <w:bookmarkStart w:id="245" w:name="_Toc517944679"/>
      <w:bookmarkStart w:id="246" w:name="_Toc66438712"/>
      <w:r>
        <w:t>A '</w:t>
      </w:r>
      <w:r w:rsidRPr="003F1046">
        <w:t>R</w:t>
      </w:r>
      <w:r>
        <w:t xml:space="preserve">eport Evaluation </w:t>
      </w:r>
      <w:r w:rsidRPr="006576CD">
        <w:t>Tool'</w:t>
      </w:r>
      <w:r w:rsidR="00710A6C" w:rsidRPr="006576CD">
        <w:t xml:space="preserve"> (</w:t>
      </w:r>
      <w:r w:rsidR="008C5695" w:rsidRPr="006576CD">
        <w:t>BSA008</w:t>
      </w:r>
      <w:r w:rsidR="00710A6C" w:rsidRPr="006576CD">
        <w:t>)</w:t>
      </w:r>
      <w:r w:rsidRPr="006576CD">
        <w:t>,</w:t>
      </w:r>
      <w:bookmarkEnd w:id="245"/>
      <w:bookmarkEnd w:id="246"/>
    </w:p>
    <w:p w14:paraId="0E5602EF" w14:textId="77777777" w:rsidR="00710A6C" w:rsidRDefault="00710A6C" w:rsidP="00032FF6">
      <w:pPr>
        <w:pStyle w:val="ListBullet"/>
      </w:pPr>
      <w:r>
        <w:t xml:space="preserve">This form is </w:t>
      </w:r>
      <w:r w:rsidRPr="00361593">
        <w:t xml:space="preserve">to be completed by an NQMC representative reviewing the </w:t>
      </w:r>
      <w:r>
        <w:t xml:space="preserve">survey </w:t>
      </w:r>
      <w:r w:rsidRPr="00361593">
        <w:t>report.</w:t>
      </w:r>
    </w:p>
    <w:p w14:paraId="14BB469F" w14:textId="77777777" w:rsidR="00D606C2" w:rsidRDefault="00D606C2" w:rsidP="00032FF6">
      <w:pPr>
        <w:pStyle w:val="ListBullet"/>
      </w:pPr>
      <w:r w:rsidRPr="00361593">
        <w:t xml:space="preserve">This will provide constructive feedback to the National Surveyor and </w:t>
      </w:r>
      <w:r w:rsidR="000D569F">
        <w:t xml:space="preserve">surveyors </w:t>
      </w:r>
      <w:r w:rsidRPr="00361593">
        <w:t>on the quality of the report in assisting the NQMC’s determination regarding the application for accreditation and recommendations for quality improvement.</w:t>
      </w:r>
    </w:p>
    <w:p w14:paraId="6F90F349" w14:textId="77777777" w:rsidR="008A43C4" w:rsidRDefault="008A43C4" w:rsidP="00032FF6">
      <w:pPr>
        <w:pStyle w:val="ListBullet"/>
      </w:pPr>
      <w:r>
        <w:t>The NQMC Secretariat will provide de-identified fe</w:t>
      </w:r>
      <w:r w:rsidR="009C03EC">
        <w:t>edback to the National Surveyor.</w:t>
      </w:r>
    </w:p>
    <w:p w14:paraId="77FC923A" w14:textId="5B2A8907" w:rsidR="003E0287" w:rsidRDefault="003E0287" w:rsidP="00032FF6">
      <w:pPr>
        <w:pStyle w:val="ListBullet"/>
      </w:pPr>
      <w:r>
        <w:lastRenderedPageBreak/>
        <w:t xml:space="preserve">Where possible, the completed form should be provided </w:t>
      </w:r>
      <w:r w:rsidR="00D7742F">
        <w:t>to the NQMC secretariat within 1</w:t>
      </w:r>
      <w:r>
        <w:t xml:space="preserve"> week of the next NQMC meeting. </w:t>
      </w:r>
    </w:p>
    <w:p w14:paraId="7EAB7E21" w14:textId="77777777" w:rsidR="003B4888" w:rsidRDefault="003B4888" w:rsidP="006D2034">
      <w:pPr>
        <w:pStyle w:val="Heading3"/>
      </w:pPr>
      <w:bookmarkStart w:id="247" w:name="_Toc517944680"/>
      <w:bookmarkStart w:id="248" w:name="_Toc66438713"/>
      <w:r w:rsidRPr="00361593">
        <w:t xml:space="preserve">A </w:t>
      </w:r>
      <w:r>
        <w:t xml:space="preserve">‘Surveyor Evaluation </w:t>
      </w:r>
      <w:r w:rsidRPr="006576CD">
        <w:t>Tool' (BSA010)</w:t>
      </w:r>
      <w:bookmarkEnd w:id="247"/>
      <w:bookmarkEnd w:id="248"/>
    </w:p>
    <w:p w14:paraId="1F89261C" w14:textId="77777777" w:rsidR="003B4888" w:rsidRDefault="003B4888" w:rsidP="003B4888">
      <w:pPr>
        <w:pStyle w:val="ListBullet"/>
        <w:pBdr>
          <w:top w:val="single" w:sz="4" w:space="1" w:color="auto"/>
          <w:left w:val="single" w:sz="4" w:space="4" w:color="auto"/>
          <w:bottom w:val="single" w:sz="4" w:space="1" w:color="auto"/>
          <w:right w:val="single" w:sz="4" w:space="4" w:color="auto"/>
        </w:pBdr>
      </w:pPr>
      <w:r>
        <w:t>This form is to be completed by the surveyors conducting the accreditation survey.</w:t>
      </w:r>
    </w:p>
    <w:p w14:paraId="6B87B3A5" w14:textId="77777777" w:rsidR="003B4888" w:rsidRDefault="003B4888" w:rsidP="003B4888">
      <w:pPr>
        <w:pStyle w:val="ListBullet"/>
        <w:pBdr>
          <w:top w:val="single" w:sz="4" w:space="1" w:color="auto"/>
          <w:left w:val="single" w:sz="4" w:space="4" w:color="auto"/>
          <w:bottom w:val="single" w:sz="4" w:space="1" w:color="auto"/>
          <w:right w:val="single" w:sz="4" w:space="4" w:color="auto"/>
        </w:pBdr>
      </w:pPr>
      <w:r>
        <w:t xml:space="preserve">This will enable surveyors to provide constructive feedback to the Service and/or SCU on the administration and coordination of the accreditation process. </w:t>
      </w:r>
    </w:p>
    <w:p w14:paraId="5003B8FA" w14:textId="77777777" w:rsidR="003B4888" w:rsidRDefault="003B4888" w:rsidP="003B4888">
      <w:pPr>
        <w:pStyle w:val="ListBullet"/>
        <w:pBdr>
          <w:top w:val="single" w:sz="4" w:space="1" w:color="auto"/>
          <w:left w:val="single" w:sz="4" w:space="4" w:color="auto"/>
          <w:bottom w:val="single" w:sz="4" w:space="1" w:color="auto"/>
          <w:right w:val="single" w:sz="4" w:space="4" w:color="auto"/>
        </w:pBdr>
      </w:pPr>
      <w:r>
        <w:t xml:space="preserve">The feedback will be collected by the NQMC Secretariat. Confidential and de-identified information will be provided to the National Surveyor for provision to individual survey members and the Service and/or SCU.  </w:t>
      </w:r>
    </w:p>
    <w:p w14:paraId="39DC2836" w14:textId="77777777" w:rsidR="003B4888" w:rsidRDefault="003B4888" w:rsidP="003B4888">
      <w:pPr>
        <w:pStyle w:val="ListBullet"/>
        <w:pBdr>
          <w:top w:val="single" w:sz="4" w:space="1" w:color="auto"/>
          <w:left w:val="single" w:sz="4" w:space="4" w:color="auto"/>
          <w:bottom w:val="single" w:sz="4" w:space="1" w:color="auto"/>
          <w:right w:val="single" w:sz="4" w:space="4" w:color="auto"/>
        </w:pBdr>
      </w:pPr>
      <w:r>
        <w:t xml:space="preserve">Where possible, the completed form should be provided to the NQMC secretariat within 2 weeks of the survey. </w:t>
      </w:r>
    </w:p>
    <w:p w14:paraId="4BA2A3EB" w14:textId="4DFF6DD8" w:rsidR="003B4888" w:rsidRDefault="003B4888" w:rsidP="003B4888">
      <w:pPr>
        <w:pStyle w:val="ListBullet"/>
        <w:numPr>
          <w:ilvl w:val="0"/>
          <w:numId w:val="0"/>
        </w:numPr>
        <w:pBdr>
          <w:top w:val="single" w:sz="4" w:space="1" w:color="auto"/>
          <w:left w:val="single" w:sz="4" w:space="4" w:color="auto"/>
          <w:bottom w:val="single" w:sz="4" w:space="1" w:color="auto"/>
          <w:right w:val="single" w:sz="4" w:space="4" w:color="auto"/>
        </w:pBdr>
        <w:ind w:left="360" w:hanging="360"/>
      </w:pPr>
      <w:r>
        <w:t>Following consultations with the National Surveyor and discussions with the NQMC Chair, the implementation of the Surveyor Evaluation Tool has been postponed, pending further consideration of the best means of assessing Surveyor performance.</w:t>
      </w:r>
    </w:p>
    <w:p w14:paraId="6A0F619C" w14:textId="4198F457" w:rsidR="00F31229" w:rsidRDefault="00D606C2" w:rsidP="006D2034">
      <w:pPr>
        <w:pStyle w:val="Heading3"/>
      </w:pPr>
      <w:bookmarkStart w:id="249" w:name="_Toc517944681"/>
      <w:bookmarkStart w:id="250" w:name="_Toc66438714"/>
      <w:r>
        <w:t>An 'Accreditation Outcome Letter',</w:t>
      </w:r>
      <w:bookmarkEnd w:id="249"/>
      <w:bookmarkEnd w:id="250"/>
      <w:r w:rsidRPr="00361593">
        <w:t xml:space="preserve"> </w:t>
      </w:r>
    </w:p>
    <w:p w14:paraId="6B208884" w14:textId="5EB7E6EF" w:rsidR="00D606C2" w:rsidRDefault="00F31229" w:rsidP="00032FF6">
      <w:pPr>
        <w:pStyle w:val="ListBullet"/>
      </w:pPr>
      <w:r>
        <w:t xml:space="preserve">This form </w:t>
      </w:r>
      <w:r w:rsidR="00D606C2" w:rsidRPr="00361593">
        <w:t xml:space="preserve">will be used </w:t>
      </w:r>
      <w:r w:rsidR="0041700D">
        <w:t xml:space="preserve">by the NQMC Secretariat </w:t>
      </w:r>
      <w:r w:rsidR="00D606C2" w:rsidRPr="00361593">
        <w:t xml:space="preserve">to </w:t>
      </w:r>
      <w:r w:rsidR="00D60101">
        <w:t>inform</w:t>
      </w:r>
      <w:r w:rsidR="00D606C2" w:rsidRPr="00361593">
        <w:t xml:space="preserve"> </w:t>
      </w:r>
      <w:r w:rsidR="00D606C2">
        <w:t xml:space="preserve">the Service and/or SCU, </w:t>
      </w:r>
      <w:r w:rsidR="005A20DF">
        <w:t xml:space="preserve">surveyors </w:t>
      </w:r>
      <w:r w:rsidR="00D606C2">
        <w:t>and State or Territory Department of Health</w:t>
      </w:r>
      <w:r w:rsidR="00D60101">
        <w:t xml:space="preserve"> of</w:t>
      </w:r>
      <w:r w:rsidR="00D606C2" w:rsidRPr="00361593">
        <w:t xml:space="preserve"> the </w:t>
      </w:r>
      <w:r w:rsidR="00D606C2">
        <w:t>NQMC</w:t>
      </w:r>
      <w:r w:rsidR="00D60101">
        <w:t>’s accreditation decision</w:t>
      </w:r>
      <w:r w:rsidR="00D606C2" w:rsidRPr="00361593">
        <w:t>.</w:t>
      </w:r>
    </w:p>
    <w:p w14:paraId="515E14E3" w14:textId="7EA00986" w:rsidR="00934993" w:rsidRPr="000868FB" w:rsidRDefault="00C876F1" w:rsidP="00500310">
      <w:pPr>
        <w:pStyle w:val="Heading2"/>
      </w:pPr>
      <w:bookmarkStart w:id="251" w:name="_Toc517944682"/>
      <w:bookmarkStart w:id="252" w:name="_Toc66438715"/>
      <w:r w:rsidRPr="00215D82">
        <w:t>THE S</w:t>
      </w:r>
      <w:r w:rsidR="007A69F2">
        <w:t xml:space="preserve">TATE </w:t>
      </w:r>
      <w:r w:rsidRPr="00215D82">
        <w:t>C</w:t>
      </w:r>
      <w:r w:rsidR="007A69F2">
        <w:t xml:space="preserve">OORDINATION </w:t>
      </w:r>
      <w:r w:rsidRPr="00215D82">
        <w:t>U</w:t>
      </w:r>
      <w:r w:rsidR="007A69F2">
        <w:t>NIT</w:t>
      </w:r>
      <w:r>
        <w:t xml:space="preserve"> - ACCREDITATION DOCUMENTATION TO NQMC</w:t>
      </w:r>
      <w:bookmarkEnd w:id="251"/>
      <w:bookmarkEnd w:id="252"/>
    </w:p>
    <w:p w14:paraId="0848800F" w14:textId="001C485E" w:rsidR="00C36027" w:rsidRDefault="006D4CA1" w:rsidP="00AB1C35">
      <w:pPr>
        <w:rPr>
          <w:snapToGrid w:val="0"/>
        </w:rPr>
      </w:pPr>
      <w:r>
        <w:rPr>
          <w:snapToGrid w:val="0"/>
        </w:rPr>
        <w:t>The S</w:t>
      </w:r>
      <w:r w:rsidR="007A69F2">
        <w:rPr>
          <w:snapToGrid w:val="0"/>
        </w:rPr>
        <w:t xml:space="preserve">tate </w:t>
      </w:r>
      <w:r>
        <w:rPr>
          <w:snapToGrid w:val="0"/>
        </w:rPr>
        <w:t>C</w:t>
      </w:r>
      <w:r w:rsidR="007A69F2">
        <w:rPr>
          <w:snapToGrid w:val="0"/>
        </w:rPr>
        <w:t xml:space="preserve">oordination </w:t>
      </w:r>
      <w:r>
        <w:rPr>
          <w:snapToGrid w:val="0"/>
        </w:rPr>
        <w:t>U</w:t>
      </w:r>
      <w:r w:rsidR="007A69F2">
        <w:rPr>
          <w:snapToGrid w:val="0"/>
        </w:rPr>
        <w:t>nit (SCU)</w:t>
      </w:r>
      <w:r>
        <w:rPr>
          <w:snapToGrid w:val="0"/>
        </w:rPr>
        <w:t xml:space="preserve"> must </w:t>
      </w:r>
      <w:r w:rsidR="001F039C">
        <w:rPr>
          <w:snapToGrid w:val="0"/>
        </w:rPr>
        <w:t xml:space="preserve">check </w:t>
      </w:r>
      <w:r w:rsidR="00031F03">
        <w:rPr>
          <w:snapToGrid w:val="0"/>
        </w:rPr>
        <w:t xml:space="preserve">the accreditation </w:t>
      </w:r>
      <w:r w:rsidR="003F0388">
        <w:rPr>
          <w:snapToGrid w:val="0"/>
        </w:rPr>
        <w:t xml:space="preserve">submission </w:t>
      </w:r>
      <w:r w:rsidR="00130631">
        <w:rPr>
          <w:snapToGrid w:val="0"/>
        </w:rPr>
        <w:t xml:space="preserve">against the checklist at </w:t>
      </w:r>
      <w:hyperlink w:anchor="_Attachment_3:_National" w:history="1">
        <w:r w:rsidR="00130631" w:rsidRPr="00B90F7F">
          <w:rPr>
            <w:rStyle w:val="Hyperlink"/>
            <w:snapToGrid w:val="0"/>
          </w:rPr>
          <w:t>Attachment 3</w:t>
        </w:r>
      </w:hyperlink>
      <w:r w:rsidR="00130631" w:rsidRPr="00C76371">
        <w:rPr>
          <w:snapToGrid w:val="0"/>
        </w:rPr>
        <w:t xml:space="preserve">, </w:t>
      </w:r>
      <w:r w:rsidR="00AD7AAE" w:rsidRPr="00C76371">
        <w:rPr>
          <w:snapToGrid w:val="0"/>
        </w:rPr>
        <w:t>prior</w:t>
      </w:r>
      <w:r w:rsidR="00AD7AAE">
        <w:rPr>
          <w:snapToGrid w:val="0"/>
        </w:rPr>
        <w:t xml:space="preserve"> to </w:t>
      </w:r>
      <w:r w:rsidR="000868FB" w:rsidRPr="000868FB">
        <w:rPr>
          <w:snapToGrid w:val="0"/>
        </w:rPr>
        <w:t>forward</w:t>
      </w:r>
      <w:r w:rsidR="00AD7AAE">
        <w:rPr>
          <w:snapToGrid w:val="0"/>
        </w:rPr>
        <w:t>ing</w:t>
      </w:r>
      <w:r w:rsidR="000868FB" w:rsidRPr="000868FB">
        <w:rPr>
          <w:snapToGrid w:val="0"/>
        </w:rPr>
        <w:t xml:space="preserve"> </w:t>
      </w:r>
      <w:r>
        <w:rPr>
          <w:snapToGrid w:val="0"/>
        </w:rPr>
        <w:t xml:space="preserve">to </w:t>
      </w:r>
      <w:r w:rsidR="000868FB" w:rsidRPr="000868FB">
        <w:rPr>
          <w:snapToGrid w:val="0"/>
        </w:rPr>
        <w:t>the N</w:t>
      </w:r>
      <w:r w:rsidR="00643A5D">
        <w:rPr>
          <w:snapToGrid w:val="0"/>
        </w:rPr>
        <w:t xml:space="preserve">ational </w:t>
      </w:r>
      <w:r w:rsidR="000868FB" w:rsidRPr="000868FB">
        <w:rPr>
          <w:snapToGrid w:val="0"/>
        </w:rPr>
        <w:t>Q</w:t>
      </w:r>
      <w:r w:rsidR="00643A5D">
        <w:rPr>
          <w:snapToGrid w:val="0"/>
        </w:rPr>
        <w:t xml:space="preserve">uality </w:t>
      </w:r>
      <w:r w:rsidR="000868FB" w:rsidRPr="000868FB">
        <w:rPr>
          <w:snapToGrid w:val="0"/>
        </w:rPr>
        <w:t>M</w:t>
      </w:r>
      <w:r w:rsidR="00643A5D">
        <w:rPr>
          <w:snapToGrid w:val="0"/>
        </w:rPr>
        <w:t>anagement Committee (NQMC)</w:t>
      </w:r>
      <w:r w:rsidR="000868FB" w:rsidRPr="000868FB">
        <w:rPr>
          <w:snapToGrid w:val="0"/>
        </w:rPr>
        <w:t xml:space="preserve"> </w:t>
      </w:r>
      <w:r w:rsidR="00680F57">
        <w:rPr>
          <w:snapToGrid w:val="0"/>
        </w:rPr>
        <w:t>S</w:t>
      </w:r>
      <w:r w:rsidR="000868FB" w:rsidRPr="000868FB">
        <w:rPr>
          <w:snapToGrid w:val="0"/>
        </w:rPr>
        <w:t>ecretariat</w:t>
      </w:r>
      <w:r w:rsidR="00737C51">
        <w:rPr>
          <w:snapToGrid w:val="0"/>
        </w:rPr>
        <w:t xml:space="preserve"> and the SQC</w:t>
      </w:r>
      <w:r w:rsidR="000868FB" w:rsidRPr="000868FB">
        <w:rPr>
          <w:snapToGrid w:val="0"/>
        </w:rPr>
        <w:t xml:space="preserve"> </w:t>
      </w:r>
      <w:r w:rsidR="00AD7AAE">
        <w:rPr>
          <w:snapToGrid w:val="0"/>
        </w:rPr>
        <w:t xml:space="preserve">at least two weeks before the </w:t>
      </w:r>
      <w:r w:rsidR="000868FB" w:rsidRPr="000868FB">
        <w:rPr>
          <w:snapToGrid w:val="0"/>
        </w:rPr>
        <w:t>NQMC meeting</w:t>
      </w:r>
      <w:r w:rsidR="006530E6">
        <w:rPr>
          <w:snapToGrid w:val="0"/>
        </w:rPr>
        <w:t>.</w:t>
      </w:r>
      <w:r w:rsidR="00737C51">
        <w:rPr>
          <w:snapToGrid w:val="0"/>
        </w:rPr>
        <w:t xml:space="preserve"> </w:t>
      </w:r>
      <w:r w:rsidR="006530E6">
        <w:rPr>
          <w:snapToGrid w:val="0"/>
        </w:rPr>
        <w:t xml:space="preserve"> </w:t>
      </w:r>
      <w:r w:rsidR="00135178">
        <w:rPr>
          <w:snapToGrid w:val="0"/>
        </w:rPr>
        <w:t>The SCU may choose to enclose a covering letter</w:t>
      </w:r>
      <w:r w:rsidR="00737C51">
        <w:rPr>
          <w:snapToGrid w:val="0"/>
        </w:rPr>
        <w:t xml:space="preserve">, drafted in consultation with </w:t>
      </w:r>
      <w:r w:rsidR="00066AD9">
        <w:rPr>
          <w:snapToGrid w:val="0"/>
        </w:rPr>
        <w:t xml:space="preserve">the </w:t>
      </w:r>
      <w:r w:rsidR="00737C51">
        <w:rPr>
          <w:snapToGrid w:val="0"/>
        </w:rPr>
        <w:t xml:space="preserve">SQC, </w:t>
      </w:r>
      <w:r w:rsidR="00135178">
        <w:rPr>
          <w:snapToGrid w:val="0"/>
        </w:rPr>
        <w:t xml:space="preserve">to accompany the accreditation documentation, however this must not include </w:t>
      </w:r>
      <w:r w:rsidR="003E064E">
        <w:rPr>
          <w:snapToGrid w:val="0"/>
        </w:rPr>
        <w:t xml:space="preserve">an </w:t>
      </w:r>
      <w:r w:rsidR="00135178">
        <w:rPr>
          <w:snapToGrid w:val="0"/>
        </w:rPr>
        <w:t xml:space="preserve">assessment of the application, nor a recommendation to the NQMC. </w:t>
      </w:r>
      <w:r w:rsidR="00215D82" w:rsidRPr="00D12B22">
        <w:rPr>
          <w:snapToGrid w:val="0"/>
        </w:rPr>
        <w:t xml:space="preserve">Accreditation documentation should be marked 'conﬁdential' and </w:t>
      </w:r>
      <w:r>
        <w:rPr>
          <w:snapToGrid w:val="0"/>
        </w:rPr>
        <w:t xml:space="preserve">submitted to the NQMC Secretariat </w:t>
      </w:r>
      <w:r w:rsidR="00215D82" w:rsidRPr="00D12B22">
        <w:rPr>
          <w:snapToGrid w:val="0"/>
        </w:rPr>
        <w:t>securely</w:t>
      </w:r>
      <w:r w:rsidR="00D7742F">
        <w:rPr>
          <w:snapToGrid w:val="0"/>
        </w:rPr>
        <w:t>.</w:t>
      </w:r>
    </w:p>
    <w:p w14:paraId="229397FE" w14:textId="77777777" w:rsidR="00593509" w:rsidRDefault="00C902CD" w:rsidP="0008617F">
      <w:pPr>
        <w:pStyle w:val="Heading1"/>
      </w:pPr>
      <w:bookmarkStart w:id="253" w:name="_Toc517944683"/>
      <w:bookmarkStart w:id="254" w:name="_Toc66438716"/>
      <w:r>
        <w:rPr>
          <w:w w:val="97"/>
        </w:rPr>
        <w:lastRenderedPageBreak/>
        <w:t>SURVEY</w:t>
      </w:r>
      <w:r w:rsidR="00065CD8" w:rsidRPr="00404724">
        <w:rPr>
          <w:w w:val="97"/>
        </w:rPr>
        <w:t>ORS</w:t>
      </w:r>
      <w:r w:rsidR="00092039">
        <w:rPr>
          <w:w w:val="97"/>
        </w:rPr>
        <w:t xml:space="preserve"> </w:t>
      </w:r>
      <w:r w:rsidR="00065CD8" w:rsidRPr="00404724">
        <w:t>AND</w:t>
      </w:r>
      <w:r w:rsidR="00065CD8" w:rsidRPr="00404724">
        <w:rPr>
          <w:w w:val="107"/>
        </w:rPr>
        <w:t xml:space="preserve"> D</w:t>
      </w:r>
      <w:r w:rsidR="00065CD8" w:rsidRPr="00404724">
        <w:rPr>
          <w:spacing w:val="-19"/>
          <w:w w:val="107"/>
        </w:rPr>
        <w:t>A</w:t>
      </w:r>
      <w:r w:rsidR="00065CD8" w:rsidRPr="00404724">
        <w:rPr>
          <w:spacing w:val="-21"/>
          <w:w w:val="83"/>
        </w:rPr>
        <w:t>T</w:t>
      </w:r>
      <w:r w:rsidR="00065CD8" w:rsidRPr="00404724">
        <w:rPr>
          <w:w w:val="107"/>
        </w:rPr>
        <w:t>A</w:t>
      </w:r>
      <w:r w:rsidR="00065CD8" w:rsidRPr="0004254C">
        <w:rPr>
          <w:spacing w:val="16"/>
        </w:rPr>
        <w:t xml:space="preserve"> </w:t>
      </w:r>
      <w:r w:rsidR="00280B2E">
        <w:t>ASSESSORS</w:t>
      </w:r>
      <w:bookmarkEnd w:id="253"/>
      <w:bookmarkEnd w:id="254"/>
    </w:p>
    <w:p w14:paraId="6654BD93" w14:textId="291DBD59" w:rsidR="007E01B4" w:rsidRDefault="007E01B4" w:rsidP="00500310">
      <w:pPr>
        <w:pStyle w:val="Heading2"/>
      </w:pPr>
      <w:bookmarkStart w:id="255" w:name="_Toc517944684"/>
      <w:bookmarkStart w:id="256" w:name="_Toc66438717"/>
      <w:r>
        <w:t>ROLE</w:t>
      </w:r>
      <w:r w:rsidR="00594778">
        <w:t>S</w:t>
      </w:r>
      <w:r>
        <w:t xml:space="preserve"> AND RESPONSIBILITIES OF THE </w:t>
      </w:r>
      <w:r w:rsidR="00761719">
        <w:t xml:space="preserve">NATIONAL </w:t>
      </w:r>
      <w:r>
        <w:t>SURVEY</w:t>
      </w:r>
      <w:r w:rsidR="00761719">
        <w:t>OR</w:t>
      </w:r>
      <w:bookmarkEnd w:id="255"/>
      <w:bookmarkEnd w:id="256"/>
    </w:p>
    <w:p w14:paraId="0F55FCE8" w14:textId="77777777" w:rsidR="007E01B4" w:rsidRPr="00D40684" w:rsidDel="00987693" w:rsidRDefault="007E01B4" w:rsidP="00AB1C35">
      <w:r w:rsidRPr="00D40684" w:rsidDel="00987693">
        <w:t xml:space="preserve">The National Surveyor </w:t>
      </w:r>
      <w:r w:rsidR="003D016F" w:rsidRPr="00D40684" w:rsidDel="00987693">
        <w:t xml:space="preserve">function </w:t>
      </w:r>
      <w:r w:rsidRPr="00D40684" w:rsidDel="00987693">
        <w:t>has been established to enhance the national consistency, objectivity and quality of BreastScreen Australia surveys.  The BreastScreen Australia National Surveyor will support continuous quality improvement of the Program by providing high quality and centralised coordination, oversight and management of the accreditation survey process for all BreastScreen Australia S</w:t>
      </w:r>
      <w:r w:rsidR="001D2A28" w:rsidRPr="00D40684" w:rsidDel="00987693">
        <w:t xml:space="preserve">tate </w:t>
      </w:r>
      <w:r w:rsidRPr="00D40684" w:rsidDel="00987693">
        <w:t>C</w:t>
      </w:r>
      <w:r w:rsidR="001D2A28" w:rsidRPr="00D40684" w:rsidDel="00987693">
        <w:t xml:space="preserve">oordination </w:t>
      </w:r>
      <w:r w:rsidRPr="00D40684" w:rsidDel="00987693">
        <w:t>U</w:t>
      </w:r>
      <w:r w:rsidR="001D2A28" w:rsidRPr="00D40684" w:rsidDel="00987693">
        <w:t>nit</w:t>
      </w:r>
      <w:r w:rsidRPr="00D40684" w:rsidDel="00987693">
        <w:t>s</w:t>
      </w:r>
      <w:r w:rsidR="001D2A28" w:rsidRPr="00D40684" w:rsidDel="00987693">
        <w:t xml:space="preserve"> (SCUs)</w:t>
      </w:r>
      <w:r w:rsidRPr="00D40684" w:rsidDel="00987693">
        <w:t xml:space="preserve"> and Services. </w:t>
      </w:r>
    </w:p>
    <w:p w14:paraId="102280D8" w14:textId="4D0A419E" w:rsidR="00122584" w:rsidRPr="003E0287" w:rsidDel="00987693" w:rsidRDefault="007E01B4" w:rsidP="00AB1C35">
      <w:r w:rsidRPr="00D40684" w:rsidDel="00987693">
        <w:t xml:space="preserve">The National Surveyor is the central point of contact for all issues relating to accreditation surveys. This includes, selecting and appointing all survey teams, chairing all survey teams, managing the recruitment, training and professional development requirements of BreastScreen surveyors and reporting the findings of all BreastScreen surveys to the </w:t>
      </w:r>
      <w:r w:rsidR="00633D7F" w:rsidRPr="00D40684" w:rsidDel="00987693">
        <w:t>N</w:t>
      </w:r>
      <w:r w:rsidR="00B6511C" w:rsidRPr="00D40684" w:rsidDel="00987693">
        <w:t xml:space="preserve">ational </w:t>
      </w:r>
      <w:r w:rsidR="00633D7F" w:rsidRPr="00D40684" w:rsidDel="00987693">
        <w:t>Q</w:t>
      </w:r>
      <w:r w:rsidR="00B6511C" w:rsidRPr="00D40684" w:rsidDel="00987693">
        <w:t xml:space="preserve">uality </w:t>
      </w:r>
      <w:r w:rsidR="00633D7F" w:rsidRPr="00D40684" w:rsidDel="00987693">
        <w:t>M</w:t>
      </w:r>
      <w:r w:rsidR="00B6511C" w:rsidRPr="00D40684" w:rsidDel="00987693">
        <w:t xml:space="preserve">anagement </w:t>
      </w:r>
      <w:r w:rsidR="00633D7F" w:rsidRPr="00D40684" w:rsidDel="00987693">
        <w:t>C</w:t>
      </w:r>
      <w:r w:rsidR="00B6511C" w:rsidRPr="00D40684" w:rsidDel="00987693">
        <w:t>ommittee (NQMC)</w:t>
      </w:r>
      <w:r w:rsidR="00122584" w:rsidRPr="00D40684" w:rsidDel="00987693">
        <w:rPr>
          <w:rFonts w:ascii="Calibri" w:hAnsi="Calibri"/>
        </w:rPr>
        <w:t xml:space="preserve">, with support from the SCUs (where </w:t>
      </w:r>
      <w:r w:rsidR="00122584" w:rsidRPr="003E0287" w:rsidDel="00987693">
        <w:rPr>
          <w:rFonts w:ascii="Calibri" w:hAnsi="Calibri"/>
        </w:rPr>
        <w:t>appropriate).</w:t>
      </w:r>
      <w:r w:rsidR="00122584" w:rsidRPr="003E0287" w:rsidDel="00987693">
        <w:t xml:space="preserve"> </w:t>
      </w:r>
    </w:p>
    <w:p w14:paraId="4D0ED535" w14:textId="73B8DA0D" w:rsidR="007E01B4" w:rsidRPr="003E0287" w:rsidRDefault="00F06A8A" w:rsidP="00AB1C35">
      <w:r>
        <w:t>The National Surveyor reports to the NQMC Chair and has four key responsibilities as outlined below.</w:t>
      </w:r>
      <w:r w:rsidR="00233AFB" w:rsidRPr="003E0287">
        <w:t xml:space="preserve">  Should the National Surveyor function </w:t>
      </w:r>
      <w:r w:rsidR="003E0287" w:rsidRPr="003E0287">
        <w:t>no longer be filled,</w:t>
      </w:r>
      <w:r w:rsidR="00233AFB" w:rsidRPr="003E0287">
        <w:t xml:space="preserve"> it is anticipated that the responsibilities of the National Surveyor would be delegated to the NQMC Secretariat and the Chair of the survey team. This would be negotiated in consultation with the NQMC Secretariat and accreditation managers within each jurisdiction. </w:t>
      </w:r>
    </w:p>
    <w:p w14:paraId="69470820" w14:textId="164022AB" w:rsidR="007E01B4" w:rsidRPr="002F4B84" w:rsidRDefault="007E01B4" w:rsidP="006D2034">
      <w:pPr>
        <w:pStyle w:val="Heading3"/>
      </w:pPr>
      <w:bookmarkStart w:id="257" w:name="_Toc517944685"/>
      <w:bookmarkStart w:id="258" w:name="_Toc66438718"/>
      <w:r w:rsidRPr="003E0287">
        <w:t>Planning and Coordination</w:t>
      </w:r>
      <w:bookmarkEnd w:id="257"/>
      <w:bookmarkEnd w:id="258"/>
    </w:p>
    <w:p w14:paraId="650FAE21" w14:textId="77777777" w:rsidR="007E01B4" w:rsidRPr="00737A2F" w:rsidRDefault="007E01B4" w:rsidP="00032FF6">
      <w:pPr>
        <w:pStyle w:val="ListBullet"/>
      </w:pPr>
      <w:r w:rsidRPr="00737A2F">
        <w:t>Manage the recruitment, orientation, training and performance review of surveyors according to agreed selection criteria.</w:t>
      </w:r>
    </w:p>
    <w:p w14:paraId="25982785" w14:textId="49273DFF" w:rsidR="007E01B4" w:rsidRPr="00737A2F" w:rsidRDefault="007E01B4" w:rsidP="00032FF6">
      <w:pPr>
        <w:pStyle w:val="ListBullet"/>
      </w:pPr>
      <w:r w:rsidRPr="00737A2F">
        <w:t xml:space="preserve">Maintain the national register of BreastScreen Australia surveyors and </w:t>
      </w:r>
      <w:r w:rsidR="007B3EA4">
        <w:t>D</w:t>
      </w:r>
      <w:r w:rsidRPr="00737A2F">
        <w:t xml:space="preserve">ata </w:t>
      </w:r>
      <w:r w:rsidR="007B3EA4">
        <w:t>A</w:t>
      </w:r>
      <w:r w:rsidRPr="00737A2F">
        <w:t>ssessors.</w:t>
      </w:r>
    </w:p>
    <w:p w14:paraId="5930D2A3" w14:textId="77777777" w:rsidR="007E01B4" w:rsidRPr="00737A2F" w:rsidRDefault="007E01B4" w:rsidP="00032FF6">
      <w:pPr>
        <w:pStyle w:val="ListBullet"/>
      </w:pPr>
      <w:r w:rsidRPr="00737A2F">
        <w:t xml:space="preserve">Select survey teams to undertake accreditation surveys </w:t>
      </w:r>
      <w:r w:rsidR="00111E2D">
        <w:t xml:space="preserve">(including data governance and management assessments) </w:t>
      </w:r>
      <w:r w:rsidRPr="00737A2F">
        <w:t>across BreastScreen Australia Services and SCUs from those included on the register.</w:t>
      </w:r>
    </w:p>
    <w:p w14:paraId="410D8F55" w14:textId="77777777" w:rsidR="007E01B4" w:rsidRPr="00737A2F" w:rsidRDefault="007E01B4" w:rsidP="00032FF6">
      <w:pPr>
        <w:pStyle w:val="ListBullet"/>
      </w:pPr>
      <w:r w:rsidRPr="00737A2F">
        <w:t>Arrange the pre-survey briefing/teleconference with the survey team.</w:t>
      </w:r>
    </w:p>
    <w:p w14:paraId="40407ABC" w14:textId="7A06A475" w:rsidR="007E01B4" w:rsidRPr="00737A2F" w:rsidRDefault="007E01B4" w:rsidP="00032FF6">
      <w:pPr>
        <w:pStyle w:val="ListBullet"/>
      </w:pPr>
      <w:r w:rsidRPr="00737A2F">
        <w:t xml:space="preserve">Ensure all surveyors and </w:t>
      </w:r>
      <w:r w:rsidR="007B3EA4">
        <w:t>D</w:t>
      </w:r>
      <w:r w:rsidRPr="00737A2F">
        <w:t xml:space="preserve">ata </w:t>
      </w:r>
      <w:r w:rsidR="007B3EA4">
        <w:t>A</w:t>
      </w:r>
      <w:r w:rsidRPr="00737A2F">
        <w:t xml:space="preserve">ssessors have signed appropriate confidentiality and declaration of interests form, and maintain a copy of the signed forms. </w:t>
      </w:r>
    </w:p>
    <w:p w14:paraId="04B14362" w14:textId="6BE015D0" w:rsidR="00737A2F" w:rsidRPr="00737A2F" w:rsidRDefault="00737A2F" w:rsidP="00032FF6">
      <w:pPr>
        <w:pStyle w:val="ListBullet"/>
      </w:pPr>
      <w:r w:rsidRPr="00737A2F">
        <w:t xml:space="preserve">Work with the NQMC </w:t>
      </w:r>
      <w:r w:rsidR="00111E2D">
        <w:t>S</w:t>
      </w:r>
      <w:r w:rsidRPr="00737A2F">
        <w:t>ecretariat and SCUs to maintain the accreditation schedule for all services.</w:t>
      </w:r>
    </w:p>
    <w:p w14:paraId="121103A5" w14:textId="357EB9E3" w:rsidR="007E01B4" w:rsidRPr="00592C77" w:rsidRDefault="007E01B4" w:rsidP="006D2034">
      <w:pPr>
        <w:pStyle w:val="Heading3"/>
      </w:pPr>
      <w:bookmarkStart w:id="259" w:name="_Toc517944686"/>
      <w:bookmarkStart w:id="260" w:name="_Toc66438719"/>
      <w:r w:rsidRPr="00C94063">
        <w:lastRenderedPageBreak/>
        <w:t xml:space="preserve">Leading accreditation </w:t>
      </w:r>
      <w:r w:rsidRPr="00930574">
        <w:t>surveys</w:t>
      </w:r>
      <w:bookmarkEnd w:id="259"/>
      <w:bookmarkEnd w:id="260"/>
      <w:r w:rsidRPr="00930574">
        <w:t xml:space="preserve"> </w:t>
      </w:r>
    </w:p>
    <w:p w14:paraId="31C5841E" w14:textId="10AD2533" w:rsidR="00111E2D" w:rsidRPr="00B62217" w:rsidRDefault="00111E2D" w:rsidP="00032FF6">
      <w:pPr>
        <w:pStyle w:val="ListBullet"/>
      </w:pPr>
      <w:r w:rsidRPr="00B62217">
        <w:t xml:space="preserve">Chair all BreastScreen Australia accreditation surveys, ensuring </w:t>
      </w:r>
      <w:r w:rsidR="00066AD9">
        <w:t xml:space="preserve">quality and </w:t>
      </w:r>
      <w:r w:rsidRPr="00B62217">
        <w:t>consistency across survey teams nationally.</w:t>
      </w:r>
    </w:p>
    <w:p w14:paraId="016A4F10" w14:textId="77777777" w:rsidR="007E01B4" w:rsidRPr="00B62217" w:rsidRDefault="007E01B4" w:rsidP="00032FF6">
      <w:pPr>
        <w:pStyle w:val="ListBullet"/>
      </w:pPr>
      <w:r w:rsidRPr="00B62217">
        <w:t>Verify the self-assessment, and evaluate the performance of BreastScreen Australia Services and SCUs against the National Accreditation Standards</w:t>
      </w:r>
      <w:r w:rsidR="00F01794" w:rsidRPr="00B62217">
        <w:t xml:space="preserve"> (NAS)</w:t>
      </w:r>
      <w:r w:rsidR="00111E2D" w:rsidRPr="00B62217">
        <w:t>, along with the other survey team members</w:t>
      </w:r>
      <w:r w:rsidRPr="00B62217">
        <w:t>.</w:t>
      </w:r>
      <w:r w:rsidR="00111E2D" w:rsidRPr="00B62217">
        <w:t xml:space="preserve"> </w:t>
      </w:r>
      <w:r w:rsidRPr="00B62217">
        <w:t xml:space="preserve"> </w:t>
      </w:r>
    </w:p>
    <w:p w14:paraId="397C28E1" w14:textId="4AE01F93" w:rsidR="007E01B4" w:rsidRPr="00B62217" w:rsidRDefault="007E01B4" w:rsidP="00032FF6">
      <w:pPr>
        <w:pStyle w:val="ListBullet"/>
      </w:pPr>
      <w:r w:rsidRPr="00B62217">
        <w:t xml:space="preserve">Upon appointment to an accreditation task, remind surveyors and </w:t>
      </w:r>
      <w:r w:rsidR="007B3EA4" w:rsidRPr="00B62217">
        <w:t>D</w:t>
      </w:r>
      <w:r w:rsidRPr="00B62217">
        <w:t xml:space="preserve">ata </w:t>
      </w:r>
      <w:r w:rsidR="007B3EA4" w:rsidRPr="00B62217">
        <w:t>A</w:t>
      </w:r>
      <w:r w:rsidRPr="00B62217">
        <w:t>ssessors of their obligations relating to confidentiality/conflict of interest, and monitor adherence to these provisions throughout the duration of the survey.</w:t>
      </w:r>
    </w:p>
    <w:p w14:paraId="0A4EE0A7" w14:textId="374488D8" w:rsidR="007E01B4" w:rsidRPr="002F4B84" w:rsidRDefault="007E01B4" w:rsidP="006D2034">
      <w:pPr>
        <w:pStyle w:val="Heading3"/>
      </w:pPr>
      <w:bookmarkStart w:id="261" w:name="_Toc517944687"/>
      <w:bookmarkStart w:id="262" w:name="_Toc66438720"/>
      <w:r w:rsidRPr="002F4B84">
        <w:t>Performance appraisal/Review and Training</w:t>
      </w:r>
      <w:bookmarkEnd w:id="261"/>
      <w:bookmarkEnd w:id="262"/>
    </w:p>
    <w:p w14:paraId="0F0D2F6D" w14:textId="3A74D76F" w:rsidR="00737A2F" w:rsidRPr="00737A2F" w:rsidRDefault="00066AD9" w:rsidP="00032FF6">
      <w:pPr>
        <w:pStyle w:val="ListBullet"/>
      </w:pPr>
      <w:r>
        <w:t>O</w:t>
      </w:r>
      <w:r w:rsidRPr="00737A2F">
        <w:t xml:space="preserve">versee </w:t>
      </w:r>
      <w:r w:rsidR="00737A2F" w:rsidRPr="00737A2F">
        <w:t xml:space="preserve">training of BreastScreen Australia surveyors including BreastScreen Service </w:t>
      </w:r>
      <w:r w:rsidR="007F57E9">
        <w:t>directors,</w:t>
      </w:r>
      <w:r w:rsidR="00737A2F" w:rsidRPr="00737A2F">
        <w:t xml:space="preserve"> clinicians and consumers.</w:t>
      </w:r>
    </w:p>
    <w:p w14:paraId="07E12A63" w14:textId="1A629347" w:rsidR="00737A2F" w:rsidRPr="00B62217" w:rsidRDefault="00737A2F" w:rsidP="00032FF6">
      <w:pPr>
        <w:pStyle w:val="ListBullet"/>
      </w:pPr>
      <w:r w:rsidRPr="00737A2F">
        <w:t>Provide feedback to individual surveyors on their performance following accreditation surveys</w:t>
      </w:r>
      <w:r w:rsidR="00111E2D">
        <w:t xml:space="preserve"> to maintain and improve the quality of accreditation surveys and surveyors. </w:t>
      </w:r>
    </w:p>
    <w:p w14:paraId="4F039FE8" w14:textId="48066585" w:rsidR="007E01B4" w:rsidRPr="002F4B84" w:rsidRDefault="007E01B4" w:rsidP="006D2034">
      <w:pPr>
        <w:pStyle w:val="Heading3"/>
      </w:pPr>
      <w:bookmarkStart w:id="263" w:name="_Toc517944688"/>
      <w:bookmarkStart w:id="264" w:name="_Toc66438721"/>
      <w:r w:rsidRPr="002F4B84">
        <w:t>Reporting and Analysis</w:t>
      </w:r>
      <w:bookmarkEnd w:id="263"/>
      <w:bookmarkEnd w:id="264"/>
      <w:r w:rsidRPr="002F4B84">
        <w:t xml:space="preserve"> </w:t>
      </w:r>
    </w:p>
    <w:p w14:paraId="591A76B3" w14:textId="77777777" w:rsidR="007E01B4" w:rsidRPr="00737A2F" w:rsidRDefault="007E01B4" w:rsidP="00032FF6">
      <w:pPr>
        <w:pStyle w:val="ListBullet"/>
      </w:pPr>
      <w:r w:rsidRPr="006C284F">
        <w:t xml:space="preserve">Write the </w:t>
      </w:r>
      <w:r>
        <w:t xml:space="preserve">survey </w:t>
      </w:r>
      <w:r w:rsidRPr="006C284F">
        <w:t>report,</w:t>
      </w:r>
      <w:r>
        <w:t xml:space="preserve"> with input from the survey team,</w:t>
      </w:r>
      <w:r w:rsidRPr="006C284F">
        <w:t xml:space="preserve"> outlining the findings of the </w:t>
      </w:r>
      <w:r>
        <w:t xml:space="preserve">accreditation survey and provide the report to the SCU within two weeks of the survey, for </w:t>
      </w:r>
      <w:r w:rsidRPr="00737A2F">
        <w:t>provision to the Service (if applicable).</w:t>
      </w:r>
    </w:p>
    <w:p w14:paraId="67488EB0" w14:textId="066CB30F" w:rsidR="007E01B4" w:rsidRPr="00737A2F" w:rsidRDefault="007E01B4" w:rsidP="00032FF6">
      <w:pPr>
        <w:pStyle w:val="ListBullet"/>
      </w:pPr>
      <w:r w:rsidRPr="00737A2F">
        <w:t>Attend all NQMC meetings (held quarterly) and report to the NQMC about the outcomes of the accreditation survey for the Service and/or SCU being accredited.</w:t>
      </w:r>
      <w:r w:rsidR="00066AD9">
        <w:t xml:space="preserve"> </w:t>
      </w:r>
    </w:p>
    <w:p w14:paraId="6596D1B9" w14:textId="7E24179E" w:rsidR="00737A2F" w:rsidRPr="00737A2F" w:rsidRDefault="00A04B9C" w:rsidP="00032FF6">
      <w:pPr>
        <w:pStyle w:val="ListBullet"/>
      </w:pPr>
      <w:r>
        <w:t>Assist</w:t>
      </w:r>
      <w:r w:rsidR="00737A2F" w:rsidRPr="00737A2F">
        <w:t xml:space="preserve"> the NQMC secretariat in analysing information obtained through accreditation surveys to identify trends in performance and service delivery at a service, jurisdiction and national level. </w:t>
      </w:r>
    </w:p>
    <w:p w14:paraId="65F8939A" w14:textId="1964D5AF" w:rsidR="007E01B4" w:rsidRPr="00737A2F" w:rsidRDefault="007E01B4" w:rsidP="00032FF6">
      <w:pPr>
        <w:pStyle w:val="ListBullet"/>
        <w:rPr>
          <w:rFonts w:cstheme="minorHAnsi"/>
          <w:b/>
          <w:snapToGrid w:val="0"/>
        </w:rPr>
      </w:pPr>
      <w:r w:rsidRPr="00737A2F">
        <w:t>Provide reports to the NQMC regarding incident analysis and performance trends identified within</w:t>
      </w:r>
      <w:r w:rsidR="00066AD9">
        <w:t xml:space="preserve"> and across </w:t>
      </w:r>
      <w:r w:rsidRPr="00737A2F">
        <w:t xml:space="preserve">the </w:t>
      </w:r>
      <w:r w:rsidR="00DF7B3C">
        <w:t>P</w:t>
      </w:r>
      <w:r w:rsidRPr="00737A2F">
        <w:t>rogram.</w:t>
      </w:r>
    </w:p>
    <w:p w14:paraId="0C435C48" w14:textId="77777777" w:rsidR="00AD331D" w:rsidRPr="00AD331D" w:rsidRDefault="00AD331D" w:rsidP="00AB1C35">
      <w:r w:rsidRPr="00AD331D">
        <w:t xml:space="preserve">The specific activities to be undertaken </w:t>
      </w:r>
      <w:r w:rsidR="00111E2D">
        <w:t xml:space="preserve">or coordinated </w:t>
      </w:r>
      <w:r w:rsidRPr="00AD331D">
        <w:t xml:space="preserve">by the National Surveyor will be outlined </w:t>
      </w:r>
      <w:r w:rsidR="00111E2D">
        <w:t xml:space="preserve">in </w:t>
      </w:r>
      <w:r w:rsidRPr="00AD331D">
        <w:t xml:space="preserve">a Work Plan that will be: </w:t>
      </w:r>
    </w:p>
    <w:p w14:paraId="0F37E7C3" w14:textId="77777777" w:rsidR="00AD331D" w:rsidRPr="00AD331D" w:rsidRDefault="00AD331D" w:rsidP="00032FF6">
      <w:pPr>
        <w:pStyle w:val="ListBullet"/>
      </w:pPr>
      <w:r w:rsidRPr="00AD331D">
        <w:t xml:space="preserve">developed in consultation with the states and territories; </w:t>
      </w:r>
    </w:p>
    <w:p w14:paraId="6EC2E0C1" w14:textId="77777777" w:rsidR="00AD331D" w:rsidRPr="00AD331D" w:rsidRDefault="00AD331D" w:rsidP="00032FF6">
      <w:pPr>
        <w:pStyle w:val="ListBullet"/>
      </w:pPr>
      <w:r w:rsidRPr="00AD331D">
        <w:t xml:space="preserve">submitted to the NQMC for approval; and </w:t>
      </w:r>
    </w:p>
    <w:p w14:paraId="45353FCD" w14:textId="77777777" w:rsidR="00AD331D" w:rsidRPr="00AD331D" w:rsidRDefault="00AD331D" w:rsidP="00032FF6">
      <w:pPr>
        <w:pStyle w:val="ListBullet"/>
      </w:pPr>
      <w:r w:rsidRPr="00AD331D">
        <w:t>reported against and reviewed at each NQMC meeting.</w:t>
      </w:r>
    </w:p>
    <w:p w14:paraId="1B8531BC" w14:textId="362DEE5A" w:rsidR="007E01B4" w:rsidRDefault="00761719" w:rsidP="00500310">
      <w:pPr>
        <w:pStyle w:val="Heading2"/>
      </w:pPr>
      <w:bookmarkStart w:id="265" w:name="_Toc517944689"/>
      <w:bookmarkStart w:id="266" w:name="_Toc66438722"/>
      <w:r>
        <w:lastRenderedPageBreak/>
        <w:t xml:space="preserve">COMMITMENT AND RESPONSIBILITIES – SURVEYORS </w:t>
      </w:r>
      <w:r w:rsidR="00AB6A02">
        <w:t>AND DATA ASSESSORS</w:t>
      </w:r>
      <w:bookmarkEnd w:id="265"/>
      <w:bookmarkEnd w:id="266"/>
    </w:p>
    <w:p w14:paraId="0A3FB535" w14:textId="1B1DBEC0" w:rsidR="00761719" w:rsidRPr="005B0007" w:rsidRDefault="00A87FEA" w:rsidP="006D2034">
      <w:pPr>
        <w:pStyle w:val="Heading3"/>
      </w:pPr>
      <w:bookmarkStart w:id="267" w:name="_Toc517944690"/>
      <w:bookmarkStart w:id="268" w:name="_Toc66438723"/>
      <w:r>
        <w:t>BreastScreen Australia Surveyor Roles/Responsibilities</w:t>
      </w:r>
      <w:bookmarkEnd w:id="267"/>
      <w:bookmarkEnd w:id="268"/>
    </w:p>
    <w:p w14:paraId="4917729E" w14:textId="77777777" w:rsidR="00761719" w:rsidRDefault="00761719" w:rsidP="00AB1C35">
      <w:pPr>
        <w:rPr>
          <w:snapToGrid w:val="0"/>
        </w:rPr>
      </w:pPr>
      <w:r>
        <w:rPr>
          <w:snapToGrid w:val="0"/>
        </w:rPr>
        <w:t xml:space="preserve">BreastScreen Australia surveyors (including Data Assessors) play a major role in monitoring and improving the high quality of the screening services delivered by BreastScreen SCUs and Services. </w:t>
      </w:r>
    </w:p>
    <w:p w14:paraId="2422A0E5" w14:textId="77777777" w:rsidR="00761719" w:rsidRDefault="00761719" w:rsidP="00AB1C35">
      <w:pPr>
        <w:rPr>
          <w:snapToGrid w:val="0"/>
        </w:rPr>
      </w:pPr>
      <w:r>
        <w:rPr>
          <w:snapToGrid w:val="0"/>
        </w:rPr>
        <w:t>There are two key functions BreastScreen Australia surveyors are expected to fulfill, including:</w:t>
      </w:r>
    </w:p>
    <w:p w14:paraId="5F833320" w14:textId="77777777" w:rsidR="00761719" w:rsidRDefault="00B62217" w:rsidP="00032FF6">
      <w:pPr>
        <w:pStyle w:val="ListBullet"/>
        <w:rPr>
          <w:snapToGrid w:val="0"/>
        </w:rPr>
      </w:pPr>
      <w:r>
        <w:rPr>
          <w:snapToGrid w:val="0"/>
        </w:rPr>
        <w:t>v</w:t>
      </w:r>
      <w:r w:rsidR="00761719">
        <w:rPr>
          <w:snapToGrid w:val="0"/>
        </w:rPr>
        <w:t xml:space="preserve">alidating the self-assessment of BreastScreen Services and SCUs; and </w:t>
      </w:r>
    </w:p>
    <w:p w14:paraId="474D4CD5" w14:textId="77777777" w:rsidR="00761719" w:rsidRDefault="00B62217" w:rsidP="00032FF6">
      <w:pPr>
        <w:pStyle w:val="ListBullet"/>
        <w:rPr>
          <w:snapToGrid w:val="0"/>
        </w:rPr>
      </w:pPr>
      <w:r>
        <w:rPr>
          <w:snapToGrid w:val="0"/>
        </w:rPr>
        <w:t>p</w:t>
      </w:r>
      <w:r w:rsidR="00761719">
        <w:rPr>
          <w:snapToGrid w:val="0"/>
        </w:rPr>
        <w:t>roviding educative and learning opportunities to facilitate continuous quality improvement for the Service and/or SCU.</w:t>
      </w:r>
    </w:p>
    <w:p w14:paraId="61DC0212" w14:textId="77777777" w:rsidR="00761719" w:rsidRPr="00DF3A2A" w:rsidRDefault="00761719" w:rsidP="00AB1C35">
      <w:pPr>
        <w:rPr>
          <w:snapToGrid w:val="0"/>
        </w:rPr>
      </w:pPr>
      <w:r>
        <w:rPr>
          <w:snapToGrid w:val="0"/>
        </w:rPr>
        <w:t>Being a surveyor also p</w:t>
      </w:r>
      <w:r w:rsidRPr="00DF3A2A">
        <w:rPr>
          <w:snapToGrid w:val="0"/>
        </w:rPr>
        <w:t>rovid</w:t>
      </w:r>
      <w:r>
        <w:rPr>
          <w:snapToGrid w:val="0"/>
        </w:rPr>
        <w:t xml:space="preserve">es </w:t>
      </w:r>
      <w:r w:rsidRPr="00DF3A2A">
        <w:rPr>
          <w:snapToGrid w:val="0"/>
        </w:rPr>
        <w:t xml:space="preserve">opportunities for personal and professional development. </w:t>
      </w:r>
    </w:p>
    <w:p w14:paraId="0507CC22" w14:textId="4C6655EB" w:rsidR="00761719" w:rsidRDefault="00761719" w:rsidP="00AB1C35">
      <w:pPr>
        <w:rPr>
          <w:snapToGrid w:val="0"/>
        </w:rPr>
      </w:pPr>
      <w:r>
        <w:rPr>
          <w:snapToGrid w:val="0"/>
        </w:rPr>
        <w:t xml:space="preserve">When undertaking a survey, BreastScreen surveyors are ambassadors for BreastScreen Australia and should uphold the aims of the </w:t>
      </w:r>
      <w:r w:rsidR="00DF7B3C">
        <w:rPr>
          <w:snapToGrid w:val="0"/>
        </w:rPr>
        <w:t>P</w:t>
      </w:r>
      <w:r>
        <w:rPr>
          <w:snapToGrid w:val="0"/>
        </w:rPr>
        <w:t xml:space="preserve">rogram to ensure the delivery of safe, high quality breast screening services. </w:t>
      </w:r>
    </w:p>
    <w:p w14:paraId="7AA0A2CB" w14:textId="7FDC135E" w:rsidR="00761719" w:rsidRDefault="00761719" w:rsidP="00AB1C35">
      <w:pPr>
        <w:rPr>
          <w:snapToGrid w:val="0"/>
        </w:rPr>
      </w:pPr>
      <w:r>
        <w:rPr>
          <w:snapToGrid w:val="0"/>
        </w:rPr>
        <w:t>During the accreditation survey, BreastScreen surveyors may offer respectful and constructive feedback</w:t>
      </w:r>
      <w:r w:rsidR="00111E2D">
        <w:rPr>
          <w:snapToGrid w:val="0"/>
        </w:rPr>
        <w:t xml:space="preserve"> to Service and/or SCU staff</w:t>
      </w:r>
      <w:r>
        <w:rPr>
          <w:snapToGrid w:val="0"/>
        </w:rPr>
        <w:t xml:space="preserve"> to help identify and address issues specific to the Service and/or SCU. This informal, on-site education should assist the Service and/or SCU to anticipate and mitigate future problems and drive continuous quality improvement. </w:t>
      </w:r>
    </w:p>
    <w:p w14:paraId="26A12EE9" w14:textId="77777777" w:rsidR="00761719" w:rsidRDefault="00761719" w:rsidP="00AB1C35">
      <w:pPr>
        <w:rPr>
          <w:snapToGrid w:val="0"/>
        </w:rPr>
      </w:pPr>
      <w:r>
        <w:rPr>
          <w:snapToGrid w:val="0"/>
        </w:rPr>
        <w:t xml:space="preserve">Surveyors also have a responsibility to ensure they maintain and update their skills so they can carry out their role as an effective evaluator and educator. Another role of surveyors is to act as a sounding board and collaborative team member to their colleagues. While individual surveyors may have expertise in a particular area, all surveyors are expected to have a sound understanding of population based screening principles and objectives of the BreastScreen Australia accreditation system. This knowledge will enable surveyors to undertake a high quality evaluation of BreastScreen Australia Services and/or SCUs and to provide constructive feedback to improve quality of service delivery. </w:t>
      </w:r>
    </w:p>
    <w:p w14:paraId="3426A5FC" w14:textId="5209C74E" w:rsidR="00761719" w:rsidRPr="005B4112" w:rsidRDefault="005B4112" w:rsidP="006D2034">
      <w:pPr>
        <w:pStyle w:val="Heading3"/>
      </w:pPr>
      <w:bookmarkStart w:id="269" w:name="_Ref465947938"/>
      <w:bookmarkStart w:id="270" w:name="_Toc517944691"/>
      <w:bookmarkStart w:id="271" w:name="_Toc66438724"/>
      <w:r>
        <w:t>B</w:t>
      </w:r>
      <w:r w:rsidRPr="005B4112">
        <w:t>reast</w:t>
      </w:r>
      <w:r>
        <w:t>S</w:t>
      </w:r>
      <w:r w:rsidRPr="005B4112">
        <w:t xml:space="preserve">creen </w:t>
      </w:r>
      <w:r>
        <w:t>A</w:t>
      </w:r>
      <w:r w:rsidRPr="005B4112">
        <w:t xml:space="preserve">ustralia </w:t>
      </w:r>
      <w:r>
        <w:t>S</w:t>
      </w:r>
      <w:r w:rsidRPr="005B4112">
        <w:t xml:space="preserve">urveyor </w:t>
      </w:r>
      <w:r>
        <w:t>C</w:t>
      </w:r>
      <w:r w:rsidRPr="005B4112">
        <w:t>ommitments</w:t>
      </w:r>
      <w:bookmarkEnd w:id="269"/>
      <w:bookmarkEnd w:id="270"/>
      <w:bookmarkEnd w:id="271"/>
    </w:p>
    <w:p w14:paraId="49BA7E80" w14:textId="77777777" w:rsidR="00761719" w:rsidRDefault="00761719" w:rsidP="00AB1C35">
      <w:pPr>
        <w:rPr>
          <w:snapToGrid w:val="0"/>
        </w:rPr>
      </w:pPr>
      <w:r>
        <w:rPr>
          <w:snapToGrid w:val="0"/>
        </w:rPr>
        <w:t xml:space="preserve">BreastScreen Australia recognises that surveyors are committed to performing their duties to a high standard. </w:t>
      </w:r>
    </w:p>
    <w:p w14:paraId="4CFABEC9" w14:textId="77777777" w:rsidR="00761719" w:rsidRDefault="00761719" w:rsidP="00AB1C35">
      <w:pPr>
        <w:rPr>
          <w:snapToGrid w:val="0"/>
        </w:rPr>
      </w:pPr>
      <w:r>
        <w:rPr>
          <w:snapToGrid w:val="0"/>
        </w:rPr>
        <w:t>Surveyors should acknowledge their responsibilities to BreastScreen Australia and that their conduct will reflect on BreastScreen Australia. Surveyors should demonstrate this by:</w:t>
      </w:r>
    </w:p>
    <w:p w14:paraId="4A75F08C" w14:textId="77777777" w:rsidR="00761719" w:rsidRDefault="00D94941" w:rsidP="00032FF6">
      <w:pPr>
        <w:pStyle w:val="ListBullet"/>
        <w:rPr>
          <w:snapToGrid w:val="0"/>
        </w:rPr>
      </w:pPr>
      <w:r>
        <w:rPr>
          <w:snapToGrid w:val="0"/>
        </w:rPr>
        <w:t>b</w:t>
      </w:r>
      <w:r w:rsidR="00761719">
        <w:rPr>
          <w:snapToGrid w:val="0"/>
        </w:rPr>
        <w:t>ehaving appropriately, professionally and providing constructive advice;</w:t>
      </w:r>
    </w:p>
    <w:p w14:paraId="299A084C" w14:textId="77777777" w:rsidR="00761719" w:rsidRDefault="00D94941" w:rsidP="00032FF6">
      <w:pPr>
        <w:pStyle w:val="ListBullet"/>
        <w:rPr>
          <w:snapToGrid w:val="0"/>
        </w:rPr>
      </w:pPr>
      <w:r>
        <w:rPr>
          <w:snapToGrid w:val="0"/>
        </w:rPr>
        <w:t>b</w:t>
      </w:r>
      <w:r w:rsidR="00761719">
        <w:rPr>
          <w:snapToGrid w:val="0"/>
        </w:rPr>
        <w:t xml:space="preserve">eing courteous and diplomatic; </w:t>
      </w:r>
    </w:p>
    <w:p w14:paraId="153D127F" w14:textId="77777777" w:rsidR="00761719" w:rsidRDefault="00D94941" w:rsidP="00032FF6">
      <w:pPr>
        <w:pStyle w:val="ListBullet"/>
        <w:rPr>
          <w:snapToGrid w:val="0"/>
        </w:rPr>
      </w:pPr>
      <w:r>
        <w:rPr>
          <w:snapToGrid w:val="0"/>
        </w:rPr>
        <w:lastRenderedPageBreak/>
        <w:t>b</w:t>
      </w:r>
      <w:r w:rsidR="00761719">
        <w:rPr>
          <w:snapToGrid w:val="0"/>
        </w:rPr>
        <w:t>eing impartial, fair, objective and accountable;</w:t>
      </w:r>
    </w:p>
    <w:p w14:paraId="62FB3F2B" w14:textId="77777777" w:rsidR="00761719" w:rsidRPr="007F1730" w:rsidRDefault="00D94941" w:rsidP="00032FF6">
      <w:pPr>
        <w:pStyle w:val="ListBullet"/>
        <w:rPr>
          <w:snapToGrid w:val="0"/>
        </w:rPr>
      </w:pPr>
      <w:r>
        <w:rPr>
          <w:snapToGrid w:val="0"/>
        </w:rPr>
        <w:t>u</w:t>
      </w:r>
      <w:r w:rsidR="00761719">
        <w:rPr>
          <w:snapToGrid w:val="0"/>
        </w:rPr>
        <w:t xml:space="preserve">pdating and maintaining their </w:t>
      </w:r>
      <w:r w:rsidR="00761719" w:rsidRPr="007F1730">
        <w:rPr>
          <w:snapToGrid w:val="0"/>
        </w:rPr>
        <w:t xml:space="preserve">skills </w:t>
      </w:r>
      <w:r w:rsidR="00761719">
        <w:rPr>
          <w:snapToGrid w:val="0"/>
        </w:rPr>
        <w:t xml:space="preserve">and knowledge of the BreastScreen Australia NAS, accreditation system, screening technologies and equipment, quality improvement activities and other relevant topics </w:t>
      </w:r>
      <w:r w:rsidR="00761719" w:rsidRPr="007F1730">
        <w:rPr>
          <w:snapToGrid w:val="0"/>
        </w:rPr>
        <w:t>up to date;</w:t>
      </w:r>
    </w:p>
    <w:p w14:paraId="5BB334D4" w14:textId="1D8425E3" w:rsidR="00761719" w:rsidRPr="007F1730" w:rsidRDefault="00A04B9C" w:rsidP="00032FF6">
      <w:pPr>
        <w:pStyle w:val="ListBullet"/>
        <w:rPr>
          <w:snapToGrid w:val="0"/>
        </w:rPr>
      </w:pPr>
      <w:r>
        <w:rPr>
          <w:snapToGrid w:val="0"/>
        </w:rPr>
        <w:t xml:space="preserve">acknowledge their responsibilities and </w:t>
      </w:r>
      <w:r w:rsidR="00D94941">
        <w:rPr>
          <w:snapToGrid w:val="0"/>
        </w:rPr>
        <w:t>a</w:t>
      </w:r>
      <w:r w:rsidR="00761719">
        <w:rPr>
          <w:snapToGrid w:val="0"/>
        </w:rPr>
        <w:t>biding by confidentiality requirements</w:t>
      </w:r>
      <w:r w:rsidR="000F67EF">
        <w:rPr>
          <w:snapToGrid w:val="0"/>
        </w:rPr>
        <w:t xml:space="preserve">, </w:t>
      </w:r>
      <w:r>
        <w:rPr>
          <w:snapToGrid w:val="0"/>
        </w:rPr>
        <w:t xml:space="preserve">by signing </w:t>
      </w:r>
      <w:r w:rsidR="000F67EF">
        <w:rPr>
          <w:snapToGrid w:val="0"/>
        </w:rPr>
        <w:t xml:space="preserve">the confidentiality and conflict of interest </w:t>
      </w:r>
      <w:r w:rsidR="000F67EF" w:rsidRPr="006576CD">
        <w:rPr>
          <w:snapToGrid w:val="0"/>
        </w:rPr>
        <w:t>deed poll</w:t>
      </w:r>
      <w:r w:rsidRPr="006576CD">
        <w:rPr>
          <w:snapToGrid w:val="0"/>
        </w:rPr>
        <w:t xml:space="preserve"> (BSA</w:t>
      </w:r>
      <w:r w:rsidR="00C756CD" w:rsidRPr="006576CD">
        <w:rPr>
          <w:snapToGrid w:val="0"/>
        </w:rPr>
        <w:t>501</w:t>
      </w:r>
      <w:r w:rsidRPr="006576CD">
        <w:rPr>
          <w:snapToGrid w:val="0"/>
        </w:rPr>
        <w:t>)</w:t>
      </w:r>
      <w:r w:rsidR="00761719" w:rsidRPr="006576CD">
        <w:rPr>
          <w:snapToGrid w:val="0"/>
        </w:rPr>
        <w:t>;</w:t>
      </w:r>
    </w:p>
    <w:p w14:paraId="04FE8B8D" w14:textId="77777777" w:rsidR="00761719" w:rsidRDefault="00D94941" w:rsidP="00032FF6">
      <w:pPr>
        <w:pStyle w:val="ListBullet"/>
        <w:rPr>
          <w:snapToGrid w:val="0"/>
        </w:rPr>
      </w:pPr>
      <w:r>
        <w:rPr>
          <w:snapToGrid w:val="0"/>
        </w:rPr>
        <w:t>n</w:t>
      </w:r>
      <w:r w:rsidR="00761719" w:rsidRPr="007F1730">
        <w:rPr>
          <w:snapToGrid w:val="0"/>
        </w:rPr>
        <w:t>otify</w:t>
      </w:r>
      <w:r w:rsidR="00761719">
        <w:rPr>
          <w:snapToGrid w:val="0"/>
        </w:rPr>
        <w:t>ing</w:t>
      </w:r>
      <w:r w:rsidR="00761719" w:rsidRPr="007F1730">
        <w:rPr>
          <w:snapToGrid w:val="0"/>
        </w:rPr>
        <w:t xml:space="preserve"> the National Surveyor </w:t>
      </w:r>
      <w:r w:rsidR="00761719">
        <w:rPr>
          <w:snapToGrid w:val="0"/>
        </w:rPr>
        <w:t xml:space="preserve">of any potential or perceived </w:t>
      </w:r>
      <w:r w:rsidR="00761719" w:rsidRPr="007F1730">
        <w:rPr>
          <w:snapToGrid w:val="0"/>
        </w:rPr>
        <w:t xml:space="preserve">conﬂict of interest </w:t>
      </w:r>
      <w:r w:rsidR="00761719">
        <w:rPr>
          <w:snapToGrid w:val="0"/>
        </w:rPr>
        <w:t>which include:</w:t>
      </w:r>
    </w:p>
    <w:p w14:paraId="343C4E3B" w14:textId="77777777" w:rsidR="00761719" w:rsidRPr="00C65469" w:rsidRDefault="00761719" w:rsidP="00032FF6">
      <w:pPr>
        <w:pStyle w:val="ListBullet2"/>
        <w:rPr>
          <w:snapToGrid w:val="0"/>
        </w:rPr>
      </w:pPr>
      <w:r w:rsidRPr="00C65469">
        <w:rPr>
          <w:snapToGrid w:val="0"/>
        </w:rPr>
        <w:t>Relationships with organisations contracted to the Service and/or SCU;</w:t>
      </w:r>
    </w:p>
    <w:p w14:paraId="0891F525" w14:textId="77777777" w:rsidR="00761719" w:rsidRPr="00C65469" w:rsidRDefault="00761719" w:rsidP="00032FF6">
      <w:pPr>
        <w:pStyle w:val="ListBullet2"/>
        <w:rPr>
          <w:snapToGrid w:val="0"/>
        </w:rPr>
      </w:pPr>
      <w:r w:rsidRPr="00C65469">
        <w:rPr>
          <w:snapToGrid w:val="0"/>
        </w:rPr>
        <w:t>Relationships with key people within the Service and/or SCU;</w:t>
      </w:r>
    </w:p>
    <w:p w14:paraId="62763966" w14:textId="77777777" w:rsidR="00761719" w:rsidRPr="00C65469" w:rsidRDefault="00761719" w:rsidP="00032FF6">
      <w:pPr>
        <w:pStyle w:val="ListBullet2"/>
        <w:rPr>
          <w:snapToGrid w:val="0"/>
        </w:rPr>
      </w:pPr>
      <w:r w:rsidRPr="00C65469">
        <w:rPr>
          <w:snapToGrid w:val="0"/>
        </w:rPr>
        <w:t xml:space="preserve">Previous </w:t>
      </w:r>
      <w:r>
        <w:rPr>
          <w:snapToGrid w:val="0"/>
        </w:rPr>
        <w:t xml:space="preserve">or current </w:t>
      </w:r>
      <w:r w:rsidRPr="00C65469">
        <w:rPr>
          <w:snapToGrid w:val="0"/>
        </w:rPr>
        <w:t>employment with</w:t>
      </w:r>
      <w:r>
        <w:rPr>
          <w:snapToGrid w:val="0"/>
        </w:rPr>
        <w:t>in</w:t>
      </w:r>
      <w:r w:rsidRPr="00C65469">
        <w:rPr>
          <w:snapToGrid w:val="0"/>
        </w:rPr>
        <w:t xml:space="preserve"> the</w:t>
      </w:r>
      <w:r>
        <w:rPr>
          <w:snapToGrid w:val="0"/>
        </w:rPr>
        <w:t xml:space="preserve"> jurisdiction, </w:t>
      </w:r>
      <w:r w:rsidRPr="00C65469">
        <w:rPr>
          <w:snapToGrid w:val="0"/>
        </w:rPr>
        <w:t>Service and/or SCU;</w:t>
      </w:r>
    </w:p>
    <w:p w14:paraId="6C84D74B" w14:textId="77777777" w:rsidR="00761719" w:rsidRDefault="00761719" w:rsidP="00032FF6">
      <w:pPr>
        <w:pStyle w:val="ListBullet2"/>
        <w:rPr>
          <w:snapToGrid w:val="0"/>
        </w:rPr>
      </w:pPr>
      <w:r w:rsidRPr="00C65469">
        <w:rPr>
          <w:snapToGrid w:val="0"/>
        </w:rPr>
        <w:t>Ethical factors;</w:t>
      </w:r>
    </w:p>
    <w:p w14:paraId="3F443EE6" w14:textId="77777777" w:rsidR="00761719" w:rsidRPr="00C65469" w:rsidRDefault="00761719" w:rsidP="00032FF6">
      <w:pPr>
        <w:pStyle w:val="ListBullet2"/>
        <w:rPr>
          <w:snapToGrid w:val="0"/>
        </w:rPr>
      </w:pPr>
      <w:r>
        <w:rPr>
          <w:snapToGrid w:val="0"/>
        </w:rPr>
        <w:t>Any other circumstances which may result in a perceived or actual conflict of interest.</w:t>
      </w:r>
    </w:p>
    <w:p w14:paraId="382DD1B3" w14:textId="77777777" w:rsidR="00761719" w:rsidRPr="007F1730" w:rsidRDefault="00D94941" w:rsidP="00032FF6">
      <w:pPr>
        <w:pStyle w:val="ListBullet"/>
        <w:rPr>
          <w:snapToGrid w:val="0"/>
        </w:rPr>
      </w:pPr>
      <w:r>
        <w:rPr>
          <w:snapToGrid w:val="0"/>
        </w:rPr>
        <w:t>u</w:t>
      </w:r>
      <w:r w:rsidR="00761719" w:rsidRPr="007F1730">
        <w:rPr>
          <w:snapToGrid w:val="0"/>
        </w:rPr>
        <w:t>ndertak</w:t>
      </w:r>
      <w:r w:rsidR="00761719">
        <w:rPr>
          <w:snapToGrid w:val="0"/>
        </w:rPr>
        <w:t>ing</w:t>
      </w:r>
      <w:r w:rsidR="00761719" w:rsidRPr="007F1730">
        <w:rPr>
          <w:snapToGrid w:val="0"/>
        </w:rPr>
        <w:t xml:space="preserve"> all the components of a </w:t>
      </w:r>
      <w:r w:rsidR="00761719">
        <w:rPr>
          <w:snapToGrid w:val="0"/>
        </w:rPr>
        <w:t>survey</w:t>
      </w:r>
      <w:r w:rsidR="00761719" w:rsidRPr="007F1730">
        <w:rPr>
          <w:snapToGrid w:val="0"/>
        </w:rPr>
        <w:t xml:space="preserve">, including reading of documentation and engaging in a preliminary team meeting or teleconference, the actual </w:t>
      </w:r>
      <w:r w:rsidR="00761719">
        <w:rPr>
          <w:snapToGrid w:val="0"/>
        </w:rPr>
        <w:t>survey</w:t>
      </w:r>
      <w:r w:rsidR="00761719" w:rsidRPr="007F1730">
        <w:rPr>
          <w:snapToGrid w:val="0"/>
        </w:rPr>
        <w:t xml:space="preserve">, and any activities to ﬁnalise the </w:t>
      </w:r>
      <w:r w:rsidR="00761719">
        <w:rPr>
          <w:snapToGrid w:val="0"/>
        </w:rPr>
        <w:t>survey</w:t>
      </w:r>
      <w:r w:rsidR="00761719" w:rsidRPr="007F1730">
        <w:rPr>
          <w:snapToGrid w:val="0"/>
        </w:rPr>
        <w:t>, including completion and sign off of the report and providing feedback to the NQMC if required</w:t>
      </w:r>
      <w:r w:rsidR="00761719">
        <w:rPr>
          <w:snapToGrid w:val="0"/>
        </w:rPr>
        <w:t>;</w:t>
      </w:r>
    </w:p>
    <w:p w14:paraId="50D29931" w14:textId="58438620" w:rsidR="00761719" w:rsidRDefault="00D94941" w:rsidP="00032FF6">
      <w:pPr>
        <w:pStyle w:val="ListBullet"/>
        <w:rPr>
          <w:snapToGrid w:val="0"/>
        </w:rPr>
      </w:pPr>
      <w:r>
        <w:rPr>
          <w:snapToGrid w:val="0"/>
        </w:rPr>
        <w:t>c</w:t>
      </w:r>
      <w:r w:rsidR="00761719">
        <w:rPr>
          <w:snapToGrid w:val="0"/>
        </w:rPr>
        <w:t xml:space="preserve">ompleting the </w:t>
      </w:r>
      <w:r w:rsidR="0013147F">
        <w:rPr>
          <w:snapToGrid w:val="0"/>
        </w:rPr>
        <w:t>Survey</w:t>
      </w:r>
      <w:r w:rsidR="00D41380">
        <w:rPr>
          <w:snapToGrid w:val="0"/>
        </w:rPr>
        <w:t>or</w:t>
      </w:r>
      <w:r w:rsidR="00761719" w:rsidRPr="00042C3E">
        <w:rPr>
          <w:snapToGrid w:val="0"/>
        </w:rPr>
        <w:t xml:space="preserve"> Evaluation Tool (</w:t>
      </w:r>
      <w:r w:rsidR="00127978" w:rsidRPr="00B62217">
        <w:rPr>
          <w:snapToGrid w:val="0"/>
        </w:rPr>
        <w:t>BSA</w:t>
      </w:r>
      <w:r w:rsidR="00127978">
        <w:rPr>
          <w:snapToGrid w:val="0"/>
        </w:rPr>
        <w:t>010</w:t>
      </w:r>
      <w:r w:rsidR="00761719" w:rsidRPr="00042C3E">
        <w:rPr>
          <w:snapToGrid w:val="0"/>
        </w:rPr>
        <w:t>)</w:t>
      </w:r>
      <w:r w:rsidR="00761719">
        <w:rPr>
          <w:snapToGrid w:val="0"/>
        </w:rPr>
        <w:t xml:space="preserve"> and submitting it to the NQMC Secretariat within </w:t>
      </w:r>
      <w:r w:rsidR="00697BD1">
        <w:rPr>
          <w:snapToGrid w:val="0"/>
        </w:rPr>
        <w:t xml:space="preserve">two weeks of </w:t>
      </w:r>
      <w:r w:rsidR="00761719">
        <w:rPr>
          <w:snapToGrid w:val="0"/>
        </w:rPr>
        <w:t>the conclusion of the survey;</w:t>
      </w:r>
    </w:p>
    <w:p w14:paraId="3A4BCC7C" w14:textId="77777777" w:rsidR="00761719" w:rsidRDefault="00D94941" w:rsidP="00032FF6">
      <w:pPr>
        <w:pStyle w:val="ListBullet"/>
        <w:rPr>
          <w:snapToGrid w:val="0"/>
        </w:rPr>
      </w:pPr>
      <w:r>
        <w:rPr>
          <w:snapToGrid w:val="0"/>
        </w:rPr>
        <w:t>p</w:t>
      </w:r>
      <w:r w:rsidR="00761719">
        <w:rPr>
          <w:snapToGrid w:val="0"/>
        </w:rPr>
        <w:t>articipating in ongoing surveyor training and professional development; and</w:t>
      </w:r>
    </w:p>
    <w:p w14:paraId="08F0892B" w14:textId="77777777" w:rsidR="00111E2D" w:rsidRDefault="00D94941" w:rsidP="00032FF6">
      <w:pPr>
        <w:pStyle w:val="ListBullet"/>
        <w:rPr>
          <w:snapToGrid w:val="0"/>
        </w:rPr>
      </w:pPr>
      <w:r>
        <w:rPr>
          <w:snapToGrid w:val="0"/>
        </w:rPr>
        <w:t>m</w:t>
      </w:r>
      <w:r w:rsidR="00761719" w:rsidRPr="00D53F59">
        <w:rPr>
          <w:snapToGrid w:val="0"/>
        </w:rPr>
        <w:t>aintaining effective lines of communication with the National Surveyor and other survey team members.</w:t>
      </w:r>
    </w:p>
    <w:p w14:paraId="1744AC9F" w14:textId="1893ACBF" w:rsidR="0074240C" w:rsidRPr="00C36027" w:rsidRDefault="0074240C" w:rsidP="00500310">
      <w:pPr>
        <w:pStyle w:val="Heading2"/>
      </w:pPr>
      <w:bookmarkStart w:id="272" w:name="_Toc517944692"/>
      <w:bookmarkStart w:id="273" w:name="_Toc66438725"/>
      <w:r w:rsidRPr="00C36027">
        <w:t xml:space="preserve">SELECTION CRITERIA AND COMPETENCIES FOR NEW </w:t>
      </w:r>
      <w:r>
        <w:t>SURVEY</w:t>
      </w:r>
      <w:r w:rsidRPr="00C36027">
        <w:t xml:space="preserve">ORS OR DATA </w:t>
      </w:r>
      <w:r w:rsidR="00AD2738">
        <w:t>ASSESSORS</w:t>
      </w:r>
      <w:bookmarkEnd w:id="272"/>
      <w:bookmarkEnd w:id="273"/>
    </w:p>
    <w:p w14:paraId="79362438" w14:textId="0D0D0612" w:rsidR="005214A4" w:rsidRDefault="0074240C" w:rsidP="00AB1C35">
      <w:r>
        <w:rPr>
          <w:snapToGrid w:val="0"/>
        </w:rPr>
        <w:t xml:space="preserve">The National Surveyor is responsible for developing the selection criteria and competencies for BreastScreen Australia </w:t>
      </w:r>
      <w:r w:rsidR="0094293E">
        <w:rPr>
          <w:snapToGrid w:val="0"/>
        </w:rPr>
        <w:t>s</w:t>
      </w:r>
      <w:r>
        <w:rPr>
          <w:snapToGrid w:val="0"/>
        </w:rPr>
        <w:t>urve</w:t>
      </w:r>
      <w:r w:rsidR="0011492A">
        <w:rPr>
          <w:snapToGrid w:val="0"/>
        </w:rPr>
        <w:t>yors and Data Assessors. T</w:t>
      </w:r>
      <w:r>
        <w:rPr>
          <w:snapToGrid w:val="0"/>
        </w:rPr>
        <w:t>he</w:t>
      </w:r>
      <w:r w:rsidR="0011492A">
        <w:rPr>
          <w:snapToGrid w:val="0"/>
        </w:rPr>
        <w:t>se</w:t>
      </w:r>
      <w:r>
        <w:rPr>
          <w:snapToGrid w:val="0"/>
        </w:rPr>
        <w:t xml:space="preserve"> selection criteria will be made publicly available via the Department of Health’s </w:t>
      </w:r>
      <w:hyperlink r:id="rId20" w:history="1">
        <w:r w:rsidRPr="00D02100">
          <w:rPr>
            <w:rStyle w:val="Hyperlink"/>
            <w:rFonts w:cstheme="minorHAnsi"/>
            <w:snapToGrid w:val="0"/>
          </w:rPr>
          <w:t>cancer screening</w:t>
        </w:r>
      </w:hyperlink>
      <w:r>
        <w:rPr>
          <w:snapToGrid w:val="0"/>
        </w:rPr>
        <w:t xml:space="preserve"> website</w:t>
      </w:r>
      <w:r w:rsidR="0017165E">
        <w:rPr>
          <w:snapToGrid w:val="0"/>
        </w:rPr>
        <w:t>.</w:t>
      </w:r>
      <w:r>
        <w:rPr>
          <w:snapToGrid w:val="0"/>
        </w:rPr>
        <w:t xml:space="preserve"> </w:t>
      </w:r>
    </w:p>
    <w:p w14:paraId="793AC4DC" w14:textId="7456D42E" w:rsidR="00065CD8" w:rsidRPr="00C36027" w:rsidRDefault="00761719" w:rsidP="00500310">
      <w:pPr>
        <w:pStyle w:val="Heading2"/>
      </w:pPr>
      <w:bookmarkStart w:id="274" w:name="_Toc517944693"/>
      <w:bookmarkStart w:id="275" w:name="_Toc66438726"/>
      <w:r>
        <w:t xml:space="preserve">SURVEYOR AND DATA ASSESSOR </w:t>
      </w:r>
      <w:r w:rsidR="00065CD8" w:rsidRPr="00C36027">
        <w:t>APPLICATION PROCESS</w:t>
      </w:r>
      <w:bookmarkEnd w:id="274"/>
      <w:bookmarkEnd w:id="275"/>
    </w:p>
    <w:p w14:paraId="1813FFEA" w14:textId="5ECF26F8" w:rsidR="00065CD8" w:rsidRPr="00C36027" w:rsidRDefault="00065CD8" w:rsidP="00AB1C35">
      <w:pPr>
        <w:rPr>
          <w:snapToGrid w:val="0"/>
        </w:rPr>
      </w:pPr>
      <w:r w:rsidRPr="00C36027">
        <w:rPr>
          <w:snapToGrid w:val="0"/>
        </w:rPr>
        <w:t xml:space="preserve">Applications to be </w:t>
      </w:r>
      <w:r w:rsidR="00D5661D">
        <w:rPr>
          <w:snapToGrid w:val="0"/>
        </w:rPr>
        <w:t xml:space="preserve">a BreastScreen </w:t>
      </w:r>
      <w:r w:rsidR="0094293E">
        <w:rPr>
          <w:snapToGrid w:val="0"/>
        </w:rPr>
        <w:t>s</w:t>
      </w:r>
      <w:r w:rsidR="00C902CD">
        <w:rPr>
          <w:snapToGrid w:val="0"/>
        </w:rPr>
        <w:t>urvey</w:t>
      </w:r>
      <w:r w:rsidRPr="00C36027">
        <w:rPr>
          <w:snapToGrid w:val="0"/>
        </w:rPr>
        <w:t xml:space="preserve">or </w:t>
      </w:r>
      <w:r w:rsidR="00D5661D">
        <w:rPr>
          <w:snapToGrid w:val="0"/>
        </w:rPr>
        <w:t>or</w:t>
      </w:r>
      <w:r w:rsidR="005E4B3A">
        <w:rPr>
          <w:snapToGrid w:val="0"/>
        </w:rPr>
        <w:t xml:space="preserve"> </w:t>
      </w:r>
      <w:r w:rsidR="005517A6">
        <w:rPr>
          <w:snapToGrid w:val="0"/>
        </w:rPr>
        <w:t>D</w:t>
      </w:r>
      <w:r w:rsidRPr="00C36027">
        <w:rPr>
          <w:snapToGrid w:val="0"/>
        </w:rPr>
        <w:t xml:space="preserve">ata </w:t>
      </w:r>
      <w:r w:rsidR="005517A6">
        <w:rPr>
          <w:snapToGrid w:val="0"/>
        </w:rPr>
        <w:t>A</w:t>
      </w:r>
      <w:r w:rsidR="007E7FAC">
        <w:rPr>
          <w:snapToGrid w:val="0"/>
        </w:rPr>
        <w:t>s</w:t>
      </w:r>
      <w:r w:rsidR="00D5661D">
        <w:rPr>
          <w:snapToGrid w:val="0"/>
        </w:rPr>
        <w:t>sessor</w:t>
      </w:r>
      <w:r w:rsidR="00342B6A">
        <w:rPr>
          <w:snapToGrid w:val="0"/>
        </w:rPr>
        <w:t xml:space="preserve"> </w:t>
      </w:r>
      <w:r w:rsidRPr="00C36027">
        <w:rPr>
          <w:snapToGrid w:val="0"/>
        </w:rPr>
        <w:t xml:space="preserve">should be made to the </w:t>
      </w:r>
      <w:r w:rsidR="0033184D" w:rsidRPr="00C36027">
        <w:rPr>
          <w:snapToGrid w:val="0"/>
        </w:rPr>
        <w:t xml:space="preserve">National Surveyor </w:t>
      </w:r>
      <w:r w:rsidRPr="00C36027">
        <w:rPr>
          <w:snapToGrid w:val="0"/>
        </w:rPr>
        <w:t>for consideration and approval.  The application will provide the information</w:t>
      </w:r>
      <w:r w:rsidR="005339A9">
        <w:rPr>
          <w:snapToGrid w:val="0"/>
        </w:rPr>
        <w:t xml:space="preserve"> which</w:t>
      </w:r>
      <w:r w:rsidRPr="00C36027">
        <w:rPr>
          <w:snapToGrid w:val="0"/>
        </w:rPr>
        <w:t xml:space="preserve"> address</w:t>
      </w:r>
      <w:r w:rsidR="005339A9">
        <w:rPr>
          <w:snapToGrid w:val="0"/>
        </w:rPr>
        <w:t>es</w:t>
      </w:r>
      <w:r w:rsidRPr="00C36027">
        <w:rPr>
          <w:snapToGrid w:val="0"/>
        </w:rPr>
        <w:t xml:space="preserve"> the selection criteria outlined </w:t>
      </w:r>
      <w:r w:rsidR="005466B5">
        <w:rPr>
          <w:snapToGrid w:val="0"/>
        </w:rPr>
        <w:t>on the Department of Health’s cancer screening website</w:t>
      </w:r>
      <w:r w:rsidR="00051405">
        <w:rPr>
          <w:snapToGrid w:val="0"/>
        </w:rPr>
        <w:t>.</w:t>
      </w:r>
    </w:p>
    <w:p w14:paraId="7F9325B0" w14:textId="77777777" w:rsidR="00065CD8" w:rsidRPr="00C36027" w:rsidRDefault="00065CD8" w:rsidP="00AB1C35">
      <w:pPr>
        <w:rPr>
          <w:snapToGrid w:val="0"/>
        </w:rPr>
      </w:pPr>
      <w:r w:rsidRPr="00C36027">
        <w:rPr>
          <w:snapToGrid w:val="0"/>
        </w:rPr>
        <w:lastRenderedPageBreak/>
        <w:t xml:space="preserve">The </w:t>
      </w:r>
      <w:r w:rsidR="001817FA" w:rsidRPr="00C36027">
        <w:rPr>
          <w:snapToGrid w:val="0"/>
        </w:rPr>
        <w:t>National Surveyor</w:t>
      </w:r>
      <w:r w:rsidRPr="00C36027">
        <w:rPr>
          <w:snapToGrid w:val="0"/>
        </w:rPr>
        <w:t xml:space="preserve"> will advise applicants in writing of the outcome of </w:t>
      </w:r>
      <w:r w:rsidR="009E335D">
        <w:rPr>
          <w:snapToGrid w:val="0"/>
        </w:rPr>
        <w:t xml:space="preserve">the </w:t>
      </w:r>
      <w:r w:rsidRPr="00C36027">
        <w:rPr>
          <w:snapToGrid w:val="0"/>
        </w:rPr>
        <w:t>selection processes</w:t>
      </w:r>
      <w:r w:rsidR="0033184D" w:rsidRPr="00C36027">
        <w:rPr>
          <w:snapToGrid w:val="0"/>
        </w:rPr>
        <w:t xml:space="preserve"> and will update the register accordingly</w:t>
      </w:r>
      <w:r w:rsidRPr="00C36027">
        <w:rPr>
          <w:snapToGrid w:val="0"/>
        </w:rPr>
        <w:t>.</w:t>
      </w:r>
    </w:p>
    <w:p w14:paraId="38764408" w14:textId="4216E847" w:rsidR="00065CD8" w:rsidRPr="00C36027" w:rsidRDefault="00065CD8" w:rsidP="00500310">
      <w:pPr>
        <w:pStyle w:val="Heading2"/>
      </w:pPr>
      <w:bookmarkStart w:id="276" w:name="_Ref465947910"/>
      <w:bookmarkStart w:id="277" w:name="_Toc517944694"/>
      <w:bookmarkStart w:id="278" w:name="_Toc66438727"/>
      <w:r w:rsidRPr="00C36027">
        <w:t xml:space="preserve">REGISTER OF </w:t>
      </w:r>
      <w:r w:rsidR="00C902CD">
        <w:t>SURVEY</w:t>
      </w:r>
      <w:r w:rsidRPr="00C36027">
        <w:t xml:space="preserve">ORS AND DATA </w:t>
      </w:r>
      <w:r w:rsidR="00542F82" w:rsidRPr="00C36027">
        <w:t>ASSESSORS</w:t>
      </w:r>
      <w:bookmarkEnd w:id="276"/>
      <w:bookmarkEnd w:id="277"/>
      <w:bookmarkEnd w:id="278"/>
    </w:p>
    <w:p w14:paraId="62FEF4E1" w14:textId="4C0C3866" w:rsidR="008E42E1" w:rsidRDefault="00072CCB" w:rsidP="00AB1C35">
      <w:pPr>
        <w:rPr>
          <w:snapToGrid w:val="0"/>
        </w:rPr>
      </w:pPr>
      <w:r>
        <w:rPr>
          <w:snapToGrid w:val="0"/>
        </w:rPr>
        <w:t xml:space="preserve">Following successful appointment to the position of a surveyor or </w:t>
      </w:r>
      <w:r w:rsidR="0094293E">
        <w:rPr>
          <w:snapToGrid w:val="0"/>
        </w:rPr>
        <w:t>D</w:t>
      </w:r>
      <w:r>
        <w:rPr>
          <w:snapToGrid w:val="0"/>
        </w:rPr>
        <w:t xml:space="preserve">ata </w:t>
      </w:r>
      <w:r w:rsidR="0094293E">
        <w:rPr>
          <w:snapToGrid w:val="0"/>
        </w:rPr>
        <w:t>A</w:t>
      </w:r>
      <w:r>
        <w:rPr>
          <w:snapToGrid w:val="0"/>
        </w:rPr>
        <w:t xml:space="preserve">ssessor, the National Surveyor will include the details of </w:t>
      </w:r>
      <w:r w:rsidR="00232840">
        <w:rPr>
          <w:snapToGrid w:val="0"/>
        </w:rPr>
        <w:t xml:space="preserve">the </w:t>
      </w:r>
      <w:r>
        <w:rPr>
          <w:snapToGrid w:val="0"/>
        </w:rPr>
        <w:t xml:space="preserve">individual on the national </w:t>
      </w:r>
      <w:r w:rsidR="008E42E1">
        <w:rPr>
          <w:snapToGrid w:val="0"/>
        </w:rPr>
        <w:t xml:space="preserve">register of </w:t>
      </w:r>
      <w:r w:rsidR="005319A7" w:rsidRPr="00C36027">
        <w:rPr>
          <w:snapToGrid w:val="0"/>
        </w:rPr>
        <w:t>BreastScreen Australia</w:t>
      </w:r>
      <w:r w:rsidR="00065CD8" w:rsidRPr="00C36027">
        <w:rPr>
          <w:snapToGrid w:val="0"/>
        </w:rPr>
        <w:t xml:space="preserve"> </w:t>
      </w:r>
      <w:r w:rsidR="0094293E">
        <w:rPr>
          <w:snapToGrid w:val="0"/>
        </w:rPr>
        <w:t>s</w:t>
      </w:r>
      <w:r w:rsidR="00C902CD">
        <w:rPr>
          <w:snapToGrid w:val="0"/>
        </w:rPr>
        <w:t>urvey</w:t>
      </w:r>
      <w:r w:rsidR="0033184D" w:rsidRPr="00C36027">
        <w:rPr>
          <w:snapToGrid w:val="0"/>
        </w:rPr>
        <w:t xml:space="preserve">ors and </w:t>
      </w:r>
      <w:r w:rsidR="005517A6">
        <w:rPr>
          <w:snapToGrid w:val="0"/>
        </w:rPr>
        <w:t>D</w:t>
      </w:r>
      <w:r w:rsidR="0033184D" w:rsidRPr="00C36027">
        <w:rPr>
          <w:snapToGrid w:val="0"/>
        </w:rPr>
        <w:t xml:space="preserve">ata </w:t>
      </w:r>
      <w:r w:rsidR="005517A6">
        <w:rPr>
          <w:snapToGrid w:val="0"/>
        </w:rPr>
        <w:t>A</w:t>
      </w:r>
      <w:r w:rsidR="00B67820" w:rsidRPr="00C36027">
        <w:rPr>
          <w:snapToGrid w:val="0"/>
        </w:rPr>
        <w:t>ssessors</w:t>
      </w:r>
      <w:r>
        <w:rPr>
          <w:snapToGrid w:val="0"/>
        </w:rPr>
        <w:t xml:space="preserve">. </w:t>
      </w:r>
    </w:p>
    <w:p w14:paraId="692C6F2A" w14:textId="0BDC90A0" w:rsidR="00065CD8" w:rsidRPr="009A34DF" w:rsidRDefault="00065CD8" w:rsidP="00AB1C35">
      <w:pPr>
        <w:rPr>
          <w:snapToGrid w:val="0"/>
        </w:rPr>
      </w:pPr>
      <w:r w:rsidRPr="00C36027">
        <w:rPr>
          <w:snapToGrid w:val="0"/>
        </w:rPr>
        <w:t xml:space="preserve">The information on the register will allow the </w:t>
      </w:r>
      <w:r w:rsidR="0033184D" w:rsidRPr="00C36027">
        <w:rPr>
          <w:snapToGrid w:val="0"/>
        </w:rPr>
        <w:t xml:space="preserve">National Surveyor </w:t>
      </w:r>
      <w:r w:rsidRPr="00C36027">
        <w:rPr>
          <w:snapToGrid w:val="0"/>
        </w:rPr>
        <w:t xml:space="preserve">to consider the best available mix of skills and experience when assembling a </w:t>
      </w:r>
      <w:r w:rsidR="00C902CD">
        <w:rPr>
          <w:snapToGrid w:val="0"/>
        </w:rPr>
        <w:t>survey</w:t>
      </w:r>
      <w:r w:rsidRPr="00C36027">
        <w:rPr>
          <w:snapToGrid w:val="0"/>
        </w:rPr>
        <w:t xml:space="preserve"> team.  It will also assist in managing the workloads of appointees, as details of </w:t>
      </w:r>
      <w:r w:rsidR="00C902CD">
        <w:rPr>
          <w:snapToGrid w:val="0"/>
        </w:rPr>
        <w:t>survey</w:t>
      </w:r>
      <w:r w:rsidR="0033184D" w:rsidRPr="00C36027">
        <w:rPr>
          <w:snapToGrid w:val="0"/>
        </w:rPr>
        <w:t xml:space="preserve"> history and </w:t>
      </w:r>
      <w:r w:rsidR="008E42E1">
        <w:rPr>
          <w:snapToGrid w:val="0"/>
        </w:rPr>
        <w:t>D</w:t>
      </w:r>
      <w:r w:rsidRPr="00C36027">
        <w:rPr>
          <w:snapToGrid w:val="0"/>
        </w:rPr>
        <w:t xml:space="preserve">ata </w:t>
      </w:r>
      <w:r w:rsidR="008E42E1">
        <w:rPr>
          <w:snapToGrid w:val="0"/>
        </w:rPr>
        <w:t xml:space="preserve">Governance and Management Assessments </w:t>
      </w:r>
      <w:r w:rsidRPr="00C36027">
        <w:rPr>
          <w:snapToGrid w:val="0"/>
        </w:rPr>
        <w:t xml:space="preserve">will be available.  The register </w:t>
      </w:r>
      <w:r w:rsidR="0033184D" w:rsidRPr="00C36027">
        <w:rPr>
          <w:snapToGrid w:val="0"/>
        </w:rPr>
        <w:t>should</w:t>
      </w:r>
      <w:r w:rsidRPr="00C36027">
        <w:rPr>
          <w:snapToGrid w:val="0"/>
        </w:rPr>
        <w:t xml:space="preserve"> contain details of no less than 40 suitably qualiﬁed </w:t>
      </w:r>
      <w:r w:rsidR="00D0285B">
        <w:rPr>
          <w:snapToGrid w:val="0"/>
        </w:rPr>
        <w:t xml:space="preserve">and trained </w:t>
      </w:r>
      <w:r w:rsidRPr="00C36027">
        <w:rPr>
          <w:snapToGrid w:val="0"/>
        </w:rPr>
        <w:t xml:space="preserve">professional </w:t>
      </w:r>
      <w:r w:rsidR="0094293E">
        <w:rPr>
          <w:snapToGrid w:val="0"/>
        </w:rPr>
        <w:t>s</w:t>
      </w:r>
      <w:r w:rsidR="00C902CD">
        <w:rPr>
          <w:snapToGrid w:val="0"/>
        </w:rPr>
        <w:t>urvey</w:t>
      </w:r>
      <w:r w:rsidRPr="00C36027">
        <w:rPr>
          <w:snapToGrid w:val="0"/>
        </w:rPr>
        <w:t xml:space="preserve">ors and no less than eight </w:t>
      </w:r>
      <w:r w:rsidR="005517A6">
        <w:rPr>
          <w:snapToGrid w:val="0"/>
        </w:rPr>
        <w:t>D</w:t>
      </w:r>
      <w:r w:rsidRPr="00C36027">
        <w:rPr>
          <w:snapToGrid w:val="0"/>
        </w:rPr>
        <w:t xml:space="preserve">ata </w:t>
      </w:r>
      <w:r w:rsidR="005517A6">
        <w:rPr>
          <w:snapToGrid w:val="0"/>
        </w:rPr>
        <w:t>A</w:t>
      </w:r>
      <w:r w:rsidR="00B67820" w:rsidRPr="00C36027">
        <w:rPr>
          <w:snapToGrid w:val="0"/>
        </w:rPr>
        <w:t>ssessors</w:t>
      </w:r>
      <w:r w:rsidRPr="00C36027">
        <w:rPr>
          <w:snapToGrid w:val="0"/>
        </w:rPr>
        <w:t>.</w:t>
      </w:r>
    </w:p>
    <w:p w14:paraId="7BB244BE" w14:textId="27A50F5C" w:rsidR="00065CD8" w:rsidRPr="00C36027" w:rsidRDefault="00065CD8" w:rsidP="00AB1C35">
      <w:pPr>
        <w:rPr>
          <w:snapToGrid w:val="0"/>
        </w:rPr>
      </w:pPr>
      <w:r w:rsidRPr="00C36027">
        <w:rPr>
          <w:snapToGrid w:val="0"/>
        </w:rPr>
        <w:t xml:space="preserve">All information provided for and kept on the register will be treated in a conﬁdential manner.  This information will be used for the purposes of managing training and ensuring that </w:t>
      </w:r>
      <w:r w:rsidR="0094293E">
        <w:rPr>
          <w:snapToGrid w:val="0"/>
        </w:rPr>
        <w:t>s</w:t>
      </w:r>
      <w:r w:rsidR="00C902CD">
        <w:rPr>
          <w:snapToGrid w:val="0"/>
        </w:rPr>
        <w:t>urvey</w:t>
      </w:r>
      <w:r w:rsidRPr="00C36027">
        <w:rPr>
          <w:snapToGrid w:val="0"/>
        </w:rPr>
        <w:t xml:space="preserve">ors and </w:t>
      </w:r>
      <w:r w:rsidR="005517A6">
        <w:rPr>
          <w:snapToGrid w:val="0"/>
        </w:rPr>
        <w:t>D</w:t>
      </w:r>
      <w:r w:rsidRPr="00C36027">
        <w:rPr>
          <w:snapToGrid w:val="0"/>
        </w:rPr>
        <w:t xml:space="preserve">ata </w:t>
      </w:r>
      <w:r w:rsidR="005517A6">
        <w:rPr>
          <w:snapToGrid w:val="0"/>
        </w:rPr>
        <w:t>A</w:t>
      </w:r>
      <w:r w:rsidR="00542F82" w:rsidRPr="00C36027">
        <w:rPr>
          <w:snapToGrid w:val="0"/>
        </w:rPr>
        <w:t xml:space="preserve">ssessors </w:t>
      </w:r>
      <w:r w:rsidRPr="00C36027">
        <w:rPr>
          <w:snapToGrid w:val="0"/>
        </w:rPr>
        <w:t xml:space="preserve">are assigned according to Program requirements.  The Program reserves the right to access contact details of </w:t>
      </w:r>
      <w:r w:rsidR="0094293E">
        <w:rPr>
          <w:snapToGrid w:val="0"/>
        </w:rPr>
        <w:t>s</w:t>
      </w:r>
      <w:r w:rsidR="00C902CD">
        <w:rPr>
          <w:snapToGrid w:val="0"/>
        </w:rPr>
        <w:t>urvey</w:t>
      </w:r>
      <w:r w:rsidRPr="00C36027">
        <w:rPr>
          <w:snapToGrid w:val="0"/>
        </w:rPr>
        <w:t xml:space="preserve">ors and </w:t>
      </w:r>
      <w:r w:rsidR="005517A6">
        <w:rPr>
          <w:snapToGrid w:val="0"/>
        </w:rPr>
        <w:t>D</w:t>
      </w:r>
      <w:r w:rsidRPr="00C36027">
        <w:rPr>
          <w:snapToGrid w:val="0"/>
        </w:rPr>
        <w:t xml:space="preserve">ata </w:t>
      </w:r>
      <w:r w:rsidR="005517A6">
        <w:rPr>
          <w:snapToGrid w:val="0"/>
        </w:rPr>
        <w:t>A</w:t>
      </w:r>
      <w:r w:rsidR="00542F82" w:rsidRPr="00C36027">
        <w:rPr>
          <w:snapToGrid w:val="0"/>
        </w:rPr>
        <w:t xml:space="preserve">ssessors </w:t>
      </w:r>
      <w:r w:rsidRPr="00C36027">
        <w:rPr>
          <w:snapToGrid w:val="0"/>
        </w:rPr>
        <w:t>for purposes relating to the Program, such as to invite people to participate in training or consultative opportunities.</w:t>
      </w:r>
    </w:p>
    <w:p w14:paraId="1650D261" w14:textId="77777777" w:rsidR="00065CD8" w:rsidRPr="00C36027" w:rsidRDefault="00072CCB" w:rsidP="00AB1C35">
      <w:pPr>
        <w:rPr>
          <w:snapToGrid w:val="0"/>
        </w:rPr>
      </w:pPr>
      <w:r>
        <w:rPr>
          <w:snapToGrid w:val="0"/>
        </w:rPr>
        <w:t>W</w:t>
      </w:r>
      <w:r w:rsidR="00065CD8" w:rsidRPr="00C36027">
        <w:rPr>
          <w:snapToGrid w:val="0"/>
        </w:rPr>
        <w:t xml:space="preserve">hen agreeing to be included on the register, it is expected appointees will make a commitment to be available to undertake a minimum of three </w:t>
      </w:r>
      <w:r w:rsidR="00C902CD">
        <w:rPr>
          <w:snapToGrid w:val="0"/>
        </w:rPr>
        <w:t>survey</w:t>
      </w:r>
      <w:r w:rsidR="00065CD8" w:rsidRPr="00C36027">
        <w:rPr>
          <w:snapToGrid w:val="0"/>
        </w:rPr>
        <w:t xml:space="preserve">s or </w:t>
      </w:r>
      <w:r w:rsidR="00AA6F1F" w:rsidRPr="00C36027">
        <w:rPr>
          <w:snapToGrid w:val="0"/>
        </w:rPr>
        <w:t>data governance and management assessments</w:t>
      </w:r>
      <w:r w:rsidR="00FD5236" w:rsidRPr="00C36027">
        <w:rPr>
          <w:snapToGrid w:val="0"/>
        </w:rPr>
        <w:t xml:space="preserve"> </w:t>
      </w:r>
      <w:r w:rsidR="00065CD8" w:rsidRPr="00C36027">
        <w:rPr>
          <w:snapToGrid w:val="0"/>
        </w:rPr>
        <w:t>over each two year period.</w:t>
      </w:r>
    </w:p>
    <w:p w14:paraId="5C3AA5C0" w14:textId="62143CB6" w:rsidR="002520DC" w:rsidRDefault="00065CD8" w:rsidP="00AB1C35">
      <w:pPr>
        <w:rPr>
          <w:rFonts w:cstheme="minorHAnsi"/>
          <w:snapToGrid w:val="0"/>
        </w:rPr>
      </w:pPr>
      <w:r w:rsidRPr="00C36027">
        <w:t xml:space="preserve">Appointment to the register is for an indefinite period.  Should an individual resign from the Program the individual can remain on the register and conduct </w:t>
      </w:r>
      <w:r w:rsidR="00C902CD">
        <w:t>survey</w:t>
      </w:r>
      <w:r w:rsidRPr="00C36027">
        <w:t xml:space="preserve">s up to 2 years after leaving the </w:t>
      </w:r>
      <w:r w:rsidR="002520DC">
        <w:t>P</w:t>
      </w:r>
      <w:r w:rsidRPr="00C36027">
        <w:t xml:space="preserve">rogram.  This will be at the discretion of, and require agreement by the Chair of the NQMC.  </w:t>
      </w:r>
      <w:r w:rsidR="00800ABC">
        <w:rPr>
          <w:rFonts w:cstheme="minorHAnsi"/>
          <w:snapToGrid w:val="0"/>
        </w:rPr>
        <w:t xml:space="preserve">For </w:t>
      </w:r>
      <w:r w:rsidR="007B3EA4">
        <w:rPr>
          <w:rFonts w:cstheme="minorHAnsi"/>
          <w:snapToGrid w:val="0"/>
        </w:rPr>
        <w:t>D</w:t>
      </w:r>
      <w:r w:rsidR="00800ABC">
        <w:rPr>
          <w:rFonts w:cstheme="minorHAnsi"/>
          <w:snapToGrid w:val="0"/>
        </w:rPr>
        <w:t xml:space="preserve">ata </w:t>
      </w:r>
      <w:r w:rsidR="007B3EA4">
        <w:rPr>
          <w:rFonts w:cstheme="minorHAnsi"/>
          <w:snapToGrid w:val="0"/>
        </w:rPr>
        <w:t>A</w:t>
      </w:r>
      <w:r w:rsidR="00800ABC">
        <w:rPr>
          <w:rFonts w:cstheme="minorHAnsi"/>
          <w:snapToGrid w:val="0"/>
        </w:rPr>
        <w:t>sses</w:t>
      </w:r>
      <w:r w:rsidRPr="00C36027">
        <w:rPr>
          <w:rFonts w:cstheme="minorHAnsi"/>
          <w:snapToGrid w:val="0"/>
        </w:rPr>
        <w:t>s</w:t>
      </w:r>
      <w:r w:rsidR="00800ABC">
        <w:rPr>
          <w:rFonts w:cstheme="minorHAnsi"/>
          <w:snapToGrid w:val="0"/>
        </w:rPr>
        <w:t>ors</w:t>
      </w:r>
      <w:r w:rsidRPr="00C36027">
        <w:rPr>
          <w:rFonts w:cstheme="minorHAnsi"/>
          <w:snapToGrid w:val="0"/>
        </w:rPr>
        <w:t xml:space="preserve"> transferred or promoted to a position within the Program that has no relationship to data management, their appointment to the register will lapse three months from that time. </w:t>
      </w:r>
    </w:p>
    <w:p w14:paraId="782E9D39" w14:textId="77777777" w:rsidR="00065CD8" w:rsidRPr="00C36027" w:rsidRDefault="00065CD8" w:rsidP="00AB1C35">
      <w:pPr>
        <w:rPr>
          <w:snapToGrid w:val="0"/>
        </w:rPr>
      </w:pPr>
      <w:r w:rsidRPr="00C36027">
        <w:rPr>
          <w:snapToGrid w:val="0"/>
        </w:rPr>
        <w:t xml:space="preserve">Appointees may resign from the register at any time by informing the NQMC through </w:t>
      </w:r>
      <w:r w:rsidR="00DA0C91" w:rsidRPr="00C36027">
        <w:rPr>
          <w:snapToGrid w:val="0"/>
        </w:rPr>
        <w:t>the National Surveyor</w:t>
      </w:r>
      <w:r w:rsidRPr="00C36027">
        <w:rPr>
          <w:snapToGrid w:val="0"/>
        </w:rPr>
        <w:t xml:space="preserve"> in writing of their decision.</w:t>
      </w:r>
    </w:p>
    <w:p w14:paraId="0B9CDF04" w14:textId="4EF6F003" w:rsidR="00DA0C91" w:rsidRDefault="00065CD8" w:rsidP="00AB1C35">
      <w:pPr>
        <w:rPr>
          <w:snapToGrid w:val="0"/>
        </w:rPr>
      </w:pPr>
      <w:r w:rsidRPr="00C36027">
        <w:rPr>
          <w:snapToGrid w:val="0"/>
        </w:rPr>
        <w:t>The NQMC may review the appointment</w:t>
      </w:r>
      <w:r w:rsidR="00800ABC">
        <w:rPr>
          <w:snapToGrid w:val="0"/>
        </w:rPr>
        <w:t xml:space="preserve"> of </w:t>
      </w:r>
      <w:r w:rsidR="00C902CD">
        <w:rPr>
          <w:snapToGrid w:val="0"/>
        </w:rPr>
        <w:t>survey</w:t>
      </w:r>
      <w:r w:rsidR="00800ABC">
        <w:rPr>
          <w:snapToGrid w:val="0"/>
        </w:rPr>
        <w:t xml:space="preserve">ors and </w:t>
      </w:r>
      <w:r w:rsidR="007B3EA4">
        <w:rPr>
          <w:snapToGrid w:val="0"/>
        </w:rPr>
        <w:t>D</w:t>
      </w:r>
      <w:r w:rsidR="00800ABC">
        <w:rPr>
          <w:snapToGrid w:val="0"/>
        </w:rPr>
        <w:t xml:space="preserve">ata </w:t>
      </w:r>
      <w:r w:rsidR="007B3EA4">
        <w:rPr>
          <w:snapToGrid w:val="0"/>
        </w:rPr>
        <w:t>A</w:t>
      </w:r>
      <w:r w:rsidR="00800ABC">
        <w:rPr>
          <w:snapToGrid w:val="0"/>
        </w:rPr>
        <w:t>ssess</w:t>
      </w:r>
      <w:r w:rsidRPr="00C36027">
        <w:rPr>
          <w:snapToGrid w:val="0"/>
        </w:rPr>
        <w:t xml:space="preserve">ors to the register.  It has the authority to remove the name and details </w:t>
      </w:r>
      <w:r w:rsidR="00800ABC">
        <w:rPr>
          <w:snapToGrid w:val="0"/>
        </w:rPr>
        <w:t xml:space="preserve">of a </w:t>
      </w:r>
      <w:r w:rsidR="0094293E">
        <w:rPr>
          <w:snapToGrid w:val="0"/>
        </w:rPr>
        <w:t>s</w:t>
      </w:r>
      <w:r w:rsidR="00C902CD">
        <w:rPr>
          <w:snapToGrid w:val="0"/>
        </w:rPr>
        <w:t>urvey</w:t>
      </w:r>
      <w:r w:rsidR="00800ABC">
        <w:rPr>
          <w:snapToGrid w:val="0"/>
        </w:rPr>
        <w:t xml:space="preserve">or or </w:t>
      </w:r>
      <w:r w:rsidR="005517A6">
        <w:rPr>
          <w:snapToGrid w:val="0"/>
        </w:rPr>
        <w:t>D</w:t>
      </w:r>
      <w:r w:rsidR="00800ABC">
        <w:rPr>
          <w:snapToGrid w:val="0"/>
        </w:rPr>
        <w:t xml:space="preserve">ata </w:t>
      </w:r>
      <w:r w:rsidR="005517A6">
        <w:rPr>
          <w:snapToGrid w:val="0"/>
        </w:rPr>
        <w:t>A</w:t>
      </w:r>
      <w:r w:rsidR="00800ABC">
        <w:rPr>
          <w:snapToGrid w:val="0"/>
        </w:rPr>
        <w:t>ssesso</w:t>
      </w:r>
      <w:r w:rsidRPr="00C36027">
        <w:rPr>
          <w:snapToGrid w:val="0"/>
        </w:rPr>
        <w:t xml:space="preserve">r from the register for reasons such as unsatisfactory performance, breach of conduct, or at the request of the </w:t>
      </w:r>
      <w:r w:rsidR="0094293E">
        <w:rPr>
          <w:snapToGrid w:val="0"/>
        </w:rPr>
        <w:t>s</w:t>
      </w:r>
      <w:r w:rsidR="00C902CD">
        <w:rPr>
          <w:snapToGrid w:val="0"/>
        </w:rPr>
        <w:t>urvey</w:t>
      </w:r>
      <w:r w:rsidRPr="00C36027">
        <w:rPr>
          <w:snapToGrid w:val="0"/>
        </w:rPr>
        <w:t xml:space="preserve">or or </w:t>
      </w:r>
      <w:r w:rsidR="009E4A81">
        <w:rPr>
          <w:snapToGrid w:val="0"/>
        </w:rPr>
        <w:t>D</w:t>
      </w:r>
      <w:r w:rsidRPr="00C36027">
        <w:rPr>
          <w:snapToGrid w:val="0"/>
        </w:rPr>
        <w:t xml:space="preserve">ata </w:t>
      </w:r>
      <w:r w:rsidR="009E4A81">
        <w:rPr>
          <w:snapToGrid w:val="0"/>
        </w:rPr>
        <w:t>A</w:t>
      </w:r>
      <w:r w:rsidR="00E66834" w:rsidRPr="00C36027">
        <w:rPr>
          <w:snapToGrid w:val="0"/>
        </w:rPr>
        <w:t>ssessor</w:t>
      </w:r>
      <w:r w:rsidRPr="00C36027">
        <w:rPr>
          <w:snapToGrid w:val="0"/>
        </w:rPr>
        <w:t>.</w:t>
      </w:r>
      <w:r w:rsidR="000F569F">
        <w:rPr>
          <w:snapToGrid w:val="0"/>
        </w:rPr>
        <w:t xml:space="preserve"> </w:t>
      </w:r>
    </w:p>
    <w:p w14:paraId="39713FBE" w14:textId="03D9BBE5" w:rsidR="00065CD8" w:rsidRPr="009A34DF" w:rsidRDefault="00065CD8" w:rsidP="00500310">
      <w:pPr>
        <w:pStyle w:val="Heading2"/>
      </w:pPr>
      <w:bookmarkStart w:id="279" w:name="_Toc517944695"/>
      <w:bookmarkStart w:id="280" w:name="_Toc66438728"/>
      <w:r w:rsidRPr="009A34DF">
        <w:t>TRAINING</w:t>
      </w:r>
      <w:bookmarkEnd w:id="279"/>
      <w:bookmarkEnd w:id="280"/>
    </w:p>
    <w:p w14:paraId="52F80360" w14:textId="45E6235D" w:rsidR="00065CD8" w:rsidRPr="009A34DF" w:rsidRDefault="00065CD8" w:rsidP="00AB1C35">
      <w:pPr>
        <w:rPr>
          <w:snapToGrid w:val="0"/>
        </w:rPr>
      </w:pPr>
      <w:r w:rsidRPr="009A34DF">
        <w:rPr>
          <w:snapToGrid w:val="0"/>
        </w:rPr>
        <w:t xml:space="preserve">All </w:t>
      </w:r>
      <w:r w:rsidR="0094293E">
        <w:rPr>
          <w:snapToGrid w:val="0"/>
        </w:rPr>
        <w:t>s</w:t>
      </w:r>
      <w:r w:rsidR="00C902CD">
        <w:rPr>
          <w:snapToGrid w:val="0"/>
        </w:rPr>
        <w:t>urvey</w:t>
      </w:r>
      <w:r w:rsidRPr="009A34DF">
        <w:rPr>
          <w:snapToGrid w:val="0"/>
        </w:rPr>
        <w:t>ors</w:t>
      </w:r>
      <w:r w:rsidR="00C36027">
        <w:rPr>
          <w:snapToGrid w:val="0"/>
        </w:rPr>
        <w:t xml:space="preserve">, including </w:t>
      </w:r>
      <w:r w:rsidR="00D946D6">
        <w:rPr>
          <w:snapToGrid w:val="0"/>
        </w:rPr>
        <w:t>D</w:t>
      </w:r>
      <w:r w:rsidR="00C36027">
        <w:rPr>
          <w:snapToGrid w:val="0"/>
        </w:rPr>
        <w:t xml:space="preserve">ata </w:t>
      </w:r>
      <w:r w:rsidR="00D946D6">
        <w:rPr>
          <w:snapToGrid w:val="0"/>
        </w:rPr>
        <w:t>A</w:t>
      </w:r>
      <w:r w:rsidR="00C36027">
        <w:rPr>
          <w:snapToGrid w:val="0"/>
        </w:rPr>
        <w:t>ssessors,</w:t>
      </w:r>
      <w:r w:rsidRPr="009A34DF">
        <w:rPr>
          <w:snapToGrid w:val="0"/>
        </w:rPr>
        <w:t xml:space="preserve"> must complete the BreastScreen Australia </w:t>
      </w:r>
      <w:r w:rsidR="00C902CD">
        <w:rPr>
          <w:snapToGrid w:val="0"/>
        </w:rPr>
        <w:t>survey</w:t>
      </w:r>
      <w:r w:rsidRPr="009A34DF">
        <w:rPr>
          <w:snapToGrid w:val="0"/>
        </w:rPr>
        <w:t xml:space="preserve">ors’ training program, and any relevant updates, whether they are experienced </w:t>
      </w:r>
      <w:r w:rsidR="00C902CD">
        <w:rPr>
          <w:snapToGrid w:val="0"/>
        </w:rPr>
        <w:t>survey</w:t>
      </w:r>
      <w:r w:rsidRPr="009A34DF">
        <w:rPr>
          <w:snapToGrid w:val="0"/>
        </w:rPr>
        <w:t xml:space="preserve">ors or </w:t>
      </w:r>
      <w:r w:rsidRPr="009A34DF">
        <w:rPr>
          <w:snapToGrid w:val="0"/>
        </w:rPr>
        <w:lastRenderedPageBreak/>
        <w:t>new to the role.</w:t>
      </w:r>
      <w:r>
        <w:rPr>
          <w:snapToGrid w:val="0"/>
        </w:rPr>
        <w:t xml:space="preserve"> </w:t>
      </w:r>
      <w:r w:rsidRPr="009A34DF">
        <w:rPr>
          <w:snapToGrid w:val="0"/>
        </w:rPr>
        <w:t xml:space="preserve"> </w:t>
      </w:r>
      <w:r w:rsidR="00251E58">
        <w:rPr>
          <w:snapToGrid w:val="0"/>
        </w:rPr>
        <w:t xml:space="preserve">It is </w:t>
      </w:r>
      <w:r w:rsidR="00F95211">
        <w:rPr>
          <w:snapToGrid w:val="0"/>
        </w:rPr>
        <w:t>desirable</w:t>
      </w:r>
      <w:r w:rsidR="005C217B">
        <w:rPr>
          <w:snapToGrid w:val="0"/>
        </w:rPr>
        <w:t xml:space="preserve"> that</w:t>
      </w:r>
      <w:r w:rsidR="00251E58">
        <w:rPr>
          <w:snapToGrid w:val="0"/>
        </w:rPr>
        <w:t xml:space="preserve"> SQC and SCU members who undertake interim surveys also undertake this training. </w:t>
      </w:r>
    </w:p>
    <w:p w14:paraId="7EF9D634" w14:textId="5269C201" w:rsidR="00DA0C91" w:rsidRPr="009A34DF" w:rsidRDefault="00DA0C91" w:rsidP="00AB1C35">
      <w:pPr>
        <w:rPr>
          <w:snapToGrid w:val="0"/>
        </w:rPr>
      </w:pPr>
      <w:r w:rsidRPr="009A34DF">
        <w:rPr>
          <w:snapToGrid w:val="0"/>
        </w:rPr>
        <w:t xml:space="preserve">The </w:t>
      </w:r>
      <w:r>
        <w:rPr>
          <w:snapToGrid w:val="0"/>
        </w:rPr>
        <w:t>National Surveyor</w:t>
      </w:r>
      <w:r w:rsidRPr="009A34DF">
        <w:rPr>
          <w:snapToGrid w:val="0"/>
        </w:rPr>
        <w:t xml:space="preserve"> will ensure that all appointees to the register, including consumer representatives, have completed the relevant training and updates.</w:t>
      </w:r>
    </w:p>
    <w:p w14:paraId="56DE8FC7" w14:textId="77777777" w:rsidR="00DA0C91" w:rsidRPr="009A34DF" w:rsidRDefault="00DA0C91" w:rsidP="00AB1C35">
      <w:pPr>
        <w:rPr>
          <w:snapToGrid w:val="0"/>
        </w:rPr>
      </w:pPr>
      <w:r w:rsidRPr="009A34DF">
        <w:rPr>
          <w:snapToGrid w:val="0"/>
        </w:rPr>
        <w:t xml:space="preserve">It is recommended that jurisdictions consider the role of observers on </w:t>
      </w:r>
      <w:r w:rsidR="00C902CD">
        <w:rPr>
          <w:snapToGrid w:val="0"/>
        </w:rPr>
        <w:t>survey</w:t>
      </w:r>
      <w:r w:rsidRPr="009A34DF">
        <w:rPr>
          <w:snapToGrid w:val="0"/>
        </w:rPr>
        <w:t xml:space="preserve">s. </w:t>
      </w:r>
      <w:r>
        <w:rPr>
          <w:snapToGrid w:val="0"/>
        </w:rPr>
        <w:t xml:space="preserve"> </w:t>
      </w:r>
      <w:r w:rsidRPr="009A34DF">
        <w:rPr>
          <w:snapToGrid w:val="0"/>
        </w:rPr>
        <w:t xml:space="preserve">For instance, observation of a </w:t>
      </w:r>
      <w:r w:rsidR="00C902CD">
        <w:rPr>
          <w:snapToGrid w:val="0"/>
        </w:rPr>
        <w:t>survey</w:t>
      </w:r>
      <w:r w:rsidRPr="009A34DF">
        <w:rPr>
          <w:snapToGrid w:val="0"/>
        </w:rPr>
        <w:t xml:space="preserve"> could be undertaken prior to formal training to give novices to</w:t>
      </w:r>
      <w:r>
        <w:rPr>
          <w:snapToGrid w:val="0"/>
        </w:rPr>
        <w:t xml:space="preserve"> </w:t>
      </w:r>
      <w:r w:rsidRPr="009A34DF">
        <w:rPr>
          <w:snapToGrid w:val="0"/>
        </w:rPr>
        <w:t xml:space="preserve">the Program an understanding of the context. </w:t>
      </w:r>
      <w:r>
        <w:rPr>
          <w:snapToGrid w:val="0"/>
        </w:rPr>
        <w:t xml:space="preserve"> </w:t>
      </w:r>
      <w:r w:rsidRPr="009A34DF">
        <w:rPr>
          <w:snapToGrid w:val="0"/>
        </w:rPr>
        <w:t xml:space="preserve">To minimise cost, observations could be done on a local basis, as the observer would be supernumerary to the </w:t>
      </w:r>
      <w:r w:rsidR="00C902CD">
        <w:rPr>
          <w:snapToGrid w:val="0"/>
        </w:rPr>
        <w:t>survey</w:t>
      </w:r>
      <w:r w:rsidRPr="009A34DF">
        <w:rPr>
          <w:snapToGrid w:val="0"/>
        </w:rPr>
        <w:t xml:space="preserve"> team. </w:t>
      </w:r>
      <w:r>
        <w:rPr>
          <w:snapToGrid w:val="0"/>
        </w:rPr>
        <w:t xml:space="preserve"> </w:t>
      </w:r>
      <w:r w:rsidRPr="009A34DF">
        <w:rPr>
          <w:snapToGrid w:val="0"/>
        </w:rPr>
        <w:t xml:space="preserve">The same conﬁdentiality provisions affecting the rest of the team apply to observers. </w:t>
      </w:r>
      <w:r>
        <w:rPr>
          <w:snapToGrid w:val="0"/>
        </w:rPr>
        <w:t xml:space="preserve"> </w:t>
      </w:r>
      <w:r w:rsidRPr="009A34DF">
        <w:rPr>
          <w:snapToGrid w:val="0"/>
        </w:rPr>
        <w:t xml:space="preserve">Agreement by all members of the </w:t>
      </w:r>
      <w:r w:rsidR="00C902CD">
        <w:rPr>
          <w:snapToGrid w:val="0"/>
        </w:rPr>
        <w:t>survey</w:t>
      </w:r>
      <w:r w:rsidRPr="009A34DF">
        <w:rPr>
          <w:snapToGrid w:val="0"/>
        </w:rPr>
        <w:t xml:space="preserve"> team is required before an observer is given approval to attend.</w:t>
      </w:r>
    </w:p>
    <w:p w14:paraId="0634B877" w14:textId="3E449374" w:rsidR="00DA0C91" w:rsidRPr="009A34DF" w:rsidRDefault="00DA0C91" w:rsidP="00AB1C35">
      <w:pPr>
        <w:rPr>
          <w:rFonts w:eastAsia="Times New Roman"/>
          <w:w w:val="109"/>
        </w:rPr>
      </w:pPr>
      <w:r w:rsidRPr="009A34DF">
        <w:rPr>
          <w:snapToGrid w:val="0"/>
        </w:rPr>
        <w:t xml:space="preserve">The </w:t>
      </w:r>
      <w:r w:rsidR="00C902CD">
        <w:rPr>
          <w:snapToGrid w:val="0"/>
        </w:rPr>
        <w:t>survey</w:t>
      </w:r>
      <w:r w:rsidRPr="009A34DF">
        <w:rPr>
          <w:snapToGrid w:val="0"/>
        </w:rPr>
        <w:t xml:space="preserve">or training program and observation of </w:t>
      </w:r>
      <w:r w:rsidR="00C902CD">
        <w:rPr>
          <w:snapToGrid w:val="0"/>
        </w:rPr>
        <w:t>survey</w:t>
      </w:r>
      <w:r w:rsidRPr="009A34DF">
        <w:rPr>
          <w:snapToGrid w:val="0"/>
        </w:rPr>
        <w:t xml:space="preserve">s are good developmental opportunities for all Program staff. </w:t>
      </w:r>
      <w:r>
        <w:rPr>
          <w:snapToGrid w:val="0"/>
        </w:rPr>
        <w:t xml:space="preserve"> </w:t>
      </w:r>
      <w:r w:rsidRPr="009A34DF">
        <w:rPr>
          <w:snapToGrid w:val="0"/>
        </w:rPr>
        <w:t xml:space="preserve">It is recommended that consideration be given to broadening their use to people other than </w:t>
      </w:r>
      <w:r w:rsidR="0094293E">
        <w:rPr>
          <w:snapToGrid w:val="0"/>
        </w:rPr>
        <w:t>s</w:t>
      </w:r>
      <w:r w:rsidR="00C902CD">
        <w:rPr>
          <w:snapToGrid w:val="0"/>
        </w:rPr>
        <w:t>urvey</w:t>
      </w:r>
      <w:r w:rsidRPr="009A34DF">
        <w:rPr>
          <w:snapToGrid w:val="0"/>
        </w:rPr>
        <w:t>ors</w:t>
      </w:r>
      <w:r w:rsidRPr="009A34DF">
        <w:rPr>
          <w:rFonts w:eastAsia="Times New Roman"/>
          <w:w w:val="109"/>
        </w:rPr>
        <w:t>.</w:t>
      </w:r>
    </w:p>
    <w:p w14:paraId="1024B782" w14:textId="67D9A2FA" w:rsidR="00DA0C91" w:rsidRDefault="00C902CD" w:rsidP="00AB1C35">
      <w:r>
        <w:t>Survey</w:t>
      </w:r>
      <w:r w:rsidR="00DA0C91">
        <w:t xml:space="preserve">or training is an important part of the accreditation process for BreastScreen Australia.  </w:t>
      </w:r>
      <w:r w:rsidR="002520DC">
        <w:t>Regular r</w:t>
      </w:r>
      <w:r w:rsidR="00DA0C91">
        <w:t xml:space="preserve">eview and updates to the training program </w:t>
      </w:r>
      <w:r w:rsidR="002520DC">
        <w:t>are</w:t>
      </w:r>
      <w:r w:rsidR="00DA0C91">
        <w:t xml:space="preserve"> important to ensure </w:t>
      </w:r>
      <w:r w:rsidR="001817FA">
        <w:t xml:space="preserve">knowledge and skill levels are maintained and </w:t>
      </w:r>
      <w:r w:rsidR="00DA0C91">
        <w:t xml:space="preserve">consistency between </w:t>
      </w:r>
      <w:r w:rsidR="0094293E">
        <w:t>s</w:t>
      </w:r>
      <w:r>
        <w:t>urvey</w:t>
      </w:r>
      <w:r w:rsidR="00DA0C91">
        <w:t>ors</w:t>
      </w:r>
      <w:r w:rsidR="001817FA">
        <w:t xml:space="preserve"> is evident.</w:t>
      </w:r>
    </w:p>
    <w:p w14:paraId="2089B3BD" w14:textId="77777777" w:rsidR="009949E6" w:rsidRDefault="009949E6" w:rsidP="0008617F">
      <w:pPr>
        <w:pStyle w:val="Heading1"/>
      </w:pPr>
      <w:bookmarkStart w:id="281" w:name="_Toc517944696"/>
      <w:bookmarkStart w:id="282" w:name="_Toc66438729"/>
      <w:r w:rsidRPr="004D0D46">
        <w:lastRenderedPageBreak/>
        <w:t xml:space="preserve">MANAGING </w:t>
      </w:r>
      <w:r>
        <w:t xml:space="preserve">ADVERSE EVENTS AND </w:t>
      </w:r>
      <w:r w:rsidRPr="004D0D46">
        <w:t>GAPS IN PERFORMANCE</w:t>
      </w:r>
      <w:bookmarkEnd w:id="281"/>
      <w:bookmarkEnd w:id="282"/>
    </w:p>
    <w:p w14:paraId="05D2D1F2" w14:textId="3B3577FD" w:rsidR="009949E6" w:rsidRPr="005E6C4B" w:rsidRDefault="009949E6" w:rsidP="00500310">
      <w:pPr>
        <w:pStyle w:val="Heading2"/>
      </w:pPr>
      <w:bookmarkStart w:id="283" w:name="_Toc517944697"/>
      <w:bookmarkStart w:id="284" w:name="_Toc368410662"/>
      <w:bookmarkStart w:id="285" w:name="_Toc66438730"/>
      <w:r w:rsidRPr="005E6C4B">
        <w:t>MANAGING ADVERSE EVENTS</w:t>
      </w:r>
      <w:bookmarkEnd w:id="283"/>
      <w:bookmarkEnd w:id="285"/>
      <w:r w:rsidRPr="005E6C4B">
        <w:t xml:space="preserve"> </w:t>
      </w:r>
    </w:p>
    <w:p w14:paraId="651AF0BE" w14:textId="234E48DC" w:rsidR="009949E6" w:rsidRPr="005E6C4B" w:rsidRDefault="009949E6" w:rsidP="00AB1C35">
      <w:pPr>
        <w:rPr>
          <w:rFonts w:ascii="Calibri" w:hAnsi="Calibri" w:cs="Arial"/>
        </w:rPr>
      </w:pPr>
      <w:r w:rsidRPr="005E6C4B">
        <w:t xml:space="preserve">BreastScreen Australia is committed to delivering high quality breast cancer screening services within a continuous quality improvement framework.  Aligned with this commitment is a need to ensure adverse events, which occur within the </w:t>
      </w:r>
      <w:r>
        <w:t>P</w:t>
      </w:r>
      <w:r w:rsidRPr="005E6C4B">
        <w:t xml:space="preserve">rogram are identified, addressed and learned from, to mitigate the risk of such events recurring in the future.  Protocol 7.13 requires all BreastScreen Services and/or State Coordination Units (SCUs) to </w:t>
      </w:r>
      <w:r w:rsidRPr="005E6C4B">
        <w:rPr>
          <w:rFonts w:ascii="Calibri" w:hAnsi="Calibri" w:cs="Arial"/>
        </w:rPr>
        <w:t xml:space="preserve">implement, and continually evaluate, an incident management process that includes the identification, reporting, investigation, analysis, action, feedback and open disclosure of incidents that occur in the Service and/or SCU. </w:t>
      </w:r>
    </w:p>
    <w:p w14:paraId="720C1A6F" w14:textId="0D48EA26" w:rsidR="009949E6" w:rsidRPr="005E6C4B" w:rsidRDefault="00B62217" w:rsidP="00500310">
      <w:pPr>
        <w:pStyle w:val="Heading2"/>
        <w:rPr>
          <w:lang w:val="en-GB"/>
        </w:rPr>
      </w:pPr>
      <w:bookmarkStart w:id="286" w:name="_Toc517944698"/>
      <w:bookmarkStart w:id="287" w:name="_Toc66438731"/>
      <w:r w:rsidRPr="005E6C4B">
        <w:rPr>
          <w:lang w:val="en-GB"/>
        </w:rPr>
        <w:t xml:space="preserve">THE ROLE OF </w:t>
      </w:r>
      <w:r>
        <w:rPr>
          <w:lang w:val="en-GB"/>
        </w:rPr>
        <w:t xml:space="preserve">THE </w:t>
      </w:r>
      <w:r w:rsidRPr="005E6C4B">
        <w:rPr>
          <w:lang w:val="en-GB"/>
        </w:rPr>
        <w:t>N</w:t>
      </w:r>
      <w:r>
        <w:rPr>
          <w:lang w:val="en-GB"/>
        </w:rPr>
        <w:t xml:space="preserve">ATIONAL </w:t>
      </w:r>
      <w:r w:rsidRPr="005E6C4B">
        <w:rPr>
          <w:lang w:val="en-GB"/>
        </w:rPr>
        <w:t>Q</w:t>
      </w:r>
      <w:r>
        <w:rPr>
          <w:lang w:val="en-GB"/>
        </w:rPr>
        <w:t xml:space="preserve">UALITY </w:t>
      </w:r>
      <w:r w:rsidRPr="005E6C4B">
        <w:rPr>
          <w:lang w:val="en-GB"/>
        </w:rPr>
        <w:t>M</w:t>
      </w:r>
      <w:r>
        <w:rPr>
          <w:lang w:val="en-GB"/>
        </w:rPr>
        <w:t xml:space="preserve">ANAGEMENT </w:t>
      </w:r>
      <w:r w:rsidRPr="005E6C4B">
        <w:rPr>
          <w:lang w:val="en-GB"/>
        </w:rPr>
        <w:t>C</w:t>
      </w:r>
      <w:r>
        <w:rPr>
          <w:lang w:val="en-GB"/>
        </w:rPr>
        <w:t>OMMITTEE (NQMC)</w:t>
      </w:r>
      <w:r w:rsidRPr="005E6C4B">
        <w:rPr>
          <w:lang w:val="en-GB"/>
        </w:rPr>
        <w:t xml:space="preserve"> </w:t>
      </w:r>
      <w:r>
        <w:rPr>
          <w:lang w:val="en-GB"/>
        </w:rPr>
        <w:t>I</w:t>
      </w:r>
      <w:r w:rsidRPr="005E6C4B">
        <w:rPr>
          <w:lang w:val="en-GB"/>
        </w:rPr>
        <w:t>N MANAGING ADVERSE EVENTS</w:t>
      </w:r>
      <w:bookmarkEnd w:id="286"/>
      <w:bookmarkEnd w:id="287"/>
      <w:r w:rsidRPr="005E6C4B">
        <w:rPr>
          <w:lang w:val="en-GB"/>
        </w:rPr>
        <w:t xml:space="preserve"> </w:t>
      </w:r>
    </w:p>
    <w:p w14:paraId="555F1846" w14:textId="3EFA7D55" w:rsidR="009949E6" w:rsidRPr="005E6C4B" w:rsidRDefault="009949E6" w:rsidP="00AB1C35">
      <w:r w:rsidRPr="005E6C4B">
        <w:t>The NQMC will use the information provided by Services and/or SCUs to identify issues</w:t>
      </w:r>
      <w:r w:rsidR="00C96C2F">
        <w:t xml:space="preserve"> </w:t>
      </w:r>
      <w:r w:rsidRPr="005E6C4B">
        <w:t xml:space="preserve">which need to be addressed at a national level in order to ensure the continued safety and quality and improvement of BreastScreen services.  This information will assist the NQMC develop national quality improvement strategies to minimise recurrence of such events across BreastScreen Australia. If necessary, the outcomes and lessons learned from specific events may need to be reported to the Standing Committee on Screening. This will be determined on a case by case basis. </w:t>
      </w:r>
    </w:p>
    <w:p w14:paraId="0D1FE447" w14:textId="77777777" w:rsidR="009949E6" w:rsidRPr="005E6C4B" w:rsidRDefault="009949E6" w:rsidP="00AB1C35">
      <w:pPr>
        <w:rPr>
          <w:rFonts w:ascii="Calibri" w:hAnsi="Calibri" w:cs="Arial"/>
        </w:rPr>
      </w:pPr>
      <w:r w:rsidRPr="005E6C4B">
        <w:t xml:space="preserve">The information provided to the NQMC about adverse events </w:t>
      </w:r>
      <w:r w:rsidRPr="005E6C4B">
        <w:rPr>
          <w:i/>
        </w:rPr>
        <w:t>will not</w:t>
      </w:r>
      <w:r w:rsidRPr="005E6C4B">
        <w:t xml:space="preserve"> impact on the accreditation status of any Service and/or SCU, unless the NQMC considers that the safety of BreastScreen clients is at risk.  Non-reporting of identified events may impact on the accreditation rating of the Service and/or SCU by the NQMC.</w:t>
      </w:r>
    </w:p>
    <w:p w14:paraId="5F4CC290" w14:textId="414B60FD" w:rsidR="009949E6" w:rsidRPr="005E6C4B" w:rsidRDefault="00B62217" w:rsidP="00500310">
      <w:pPr>
        <w:pStyle w:val="Heading2"/>
        <w:rPr>
          <w:lang w:val="en-GB"/>
        </w:rPr>
      </w:pPr>
      <w:bookmarkStart w:id="288" w:name="_Ref465947455"/>
      <w:bookmarkStart w:id="289" w:name="_Toc517944699"/>
      <w:bookmarkStart w:id="290" w:name="_Toc66438732"/>
      <w:r w:rsidRPr="005E6C4B">
        <w:rPr>
          <w:lang w:val="en-GB"/>
        </w:rPr>
        <w:t>INCIDENT MANAGEMENT PROCESS</w:t>
      </w:r>
      <w:bookmarkEnd w:id="288"/>
      <w:bookmarkEnd w:id="289"/>
      <w:bookmarkEnd w:id="290"/>
    </w:p>
    <w:p w14:paraId="1ED102AE" w14:textId="77777777" w:rsidR="009949E6" w:rsidRPr="005E6C4B" w:rsidRDefault="009949E6" w:rsidP="00AB1C35">
      <w:r w:rsidRPr="005E6C4B">
        <w:t>Each state and territory government has an incident management policy for reporting and managing adverse events that is applicable to all health services within that jurisdiction including BreastScreen Services and/or SCUs. This policy should include a series of actions, which need to take place to ensure the incident is managed effectively. These actions may vary between jurisdictions but are likely to include the following steps:</w:t>
      </w:r>
    </w:p>
    <w:p w14:paraId="5360840F" w14:textId="77777777" w:rsidR="009949E6" w:rsidRPr="005E6C4B" w:rsidRDefault="009949E6" w:rsidP="00032FF6">
      <w:pPr>
        <w:pStyle w:val="ListBullet"/>
      </w:pPr>
      <w:r w:rsidRPr="005E6C4B">
        <w:lastRenderedPageBreak/>
        <w:t>Identification</w:t>
      </w:r>
    </w:p>
    <w:p w14:paraId="38B70BCA" w14:textId="77777777" w:rsidR="009949E6" w:rsidRPr="005E6C4B" w:rsidRDefault="009949E6" w:rsidP="00032FF6">
      <w:pPr>
        <w:pStyle w:val="ListBullet"/>
      </w:pPr>
      <w:r w:rsidRPr="005E6C4B">
        <w:t>Initial action</w:t>
      </w:r>
    </w:p>
    <w:p w14:paraId="614C2424" w14:textId="77777777" w:rsidR="009949E6" w:rsidRPr="005E6C4B" w:rsidRDefault="009949E6" w:rsidP="00032FF6">
      <w:pPr>
        <w:pStyle w:val="ListBullet"/>
      </w:pPr>
      <w:r w:rsidRPr="005E6C4B">
        <w:t>Notification</w:t>
      </w:r>
    </w:p>
    <w:p w14:paraId="4113582A" w14:textId="77777777" w:rsidR="009949E6" w:rsidRPr="005E6C4B" w:rsidRDefault="009949E6" w:rsidP="00032FF6">
      <w:pPr>
        <w:pStyle w:val="ListBullet"/>
      </w:pPr>
      <w:r w:rsidRPr="005E6C4B">
        <w:t>Prioritisation</w:t>
      </w:r>
    </w:p>
    <w:p w14:paraId="1E2A09FE" w14:textId="77777777" w:rsidR="009949E6" w:rsidRPr="005E6C4B" w:rsidRDefault="009949E6" w:rsidP="00032FF6">
      <w:pPr>
        <w:pStyle w:val="ListBullet"/>
      </w:pPr>
      <w:r w:rsidRPr="005E6C4B">
        <w:t>Investigation</w:t>
      </w:r>
    </w:p>
    <w:p w14:paraId="4DCE1ABB" w14:textId="77777777" w:rsidR="009949E6" w:rsidRPr="005E6C4B" w:rsidRDefault="009949E6" w:rsidP="00032FF6">
      <w:pPr>
        <w:pStyle w:val="ListBullet"/>
      </w:pPr>
      <w:r w:rsidRPr="005E6C4B">
        <w:t>Analysis</w:t>
      </w:r>
    </w:p>
    <w:p w14:paraId="76E46061" w14:textId="77777777" w:rsidR="009949E6" w:rsidRPr="005E6C4B" w:rsidRDefault="009949E6" w:rsidP="00032FF6">
      <w:pPr>
        <w:pStyle w:val="ListBullet"/>
      </w:pPr>
      <w:r w:rsidRPr="005E6C4B">
        <w:t>Improvement action</w:t>
      </w:r>
    </w:p>
    <w:p w14:paraId="32527162" w14:textId="34AB0912" w:rsidR="009949E6" w:rsidRPr="005E6C4B" w:rsidRDefault="009949E6" w:rsidP="00032FF6">
      <w:pPr>
        <w:pStyle w:val="ListBullet"/>
      </w:pPr>
      <w:r w:rsidRPr="005E6C4B">
        <w:t>Feedback</w:t>
      </w:r>
      <w:r w:rsidR="00DE3B8F">
        <w:t>.</w:t>
      </w:r>
    </w:p>
    <w:p w14:paraId="39DB7BE1" w14:textId="7DA28280" w:rsidR="009949E6" w:rsidRPr="005E6C4B" w:rsidRDefault="009949E6" w:rsidP="00AB1C35">
      <w:r w:rsidRPr="005E6C4B">
        <w:t xml:space="preserve">Each BreastScreen Service and SCU should follow their respective jurisdictional incident management process when an incident is identified within the Service and/or SCU.  </w:t>
      </w:r>
      <w:r>
        <w:t>Incidents identified within the Service and/or SCU should be</w:t>
      </w:r>
      <w:r w:rsidRPr="005E6C4B">
        <w:t>:</w:t>
      </w:r>
    </w:p>
    <w:p w14:paraId="342C3231" w14:textId="33D946E2" w:rsidR="009949E6" w:rsidRPr="0086247F" w:rsidRDefault="00B62217" w:rsidP="00032FF6">
      <w:pPr>
        <w:pStyle w:val="ListBullet"/>
      </w:pPr>
      <w:r w:rsidRPr="0086247F">
        <w:t>c</w:t>
      </w:r>
      <w:r w:rsidR="009949E6" w:rsidRPr="0086247F">
        <w:t xml:space="preserve">lassified according to </w:t>
      </w:r>
      <w:r w:rsidR="001F6B49">
        <w:fldChar w:fldCharType="begin"/>
      </w:r>
      <w:r w:rsidR="001F6B49">
        <w:instrText xml:space="preserve"> REF _Ref465948706 \h </w:instrText>
      </w:r>
      <w:r w:rsidR="001F6B49">
        <w:fldChar w:fldCharType="separate"/>
      </w:r>
      <w:r w:rsidR="00B36BEE">
        <w:t xml:space="preserve">Table </w:t>
      </w:r>
      <w:r w:rsidR="00B36BEE">
        <w:rPr>
          <w:noProof/>
        </w:rPr>
        <w:t>3</w:t>
      </w:r>
      <w:r w:rsidR="001F6B49">
        <w:fldChar w:fldCharType="end"/>
      </w:r>
      <w:r w:rsidR="009949E6" w:rsidRPr="0086247F">
        <w:t>;</w:t>
      </w:r>
    </w:p>
    <w:p w14:paraId="1E8E5845" w14:textId="57222B73" w:rsidR="009949E6" w:rsidRPr="0086247F" w:rsidRDefault="00B62217" w:rsidP="00032FF6">
      <w:pPr>
        <w:pStyle w:val="ListBullet"/>
      </w:pPr>
      <w:r w:rsidRPr="0086247F">
        <w:t>a</w:t>
      </w:r>
      <w:r w:rsidR="009949E6" w:rsidRPr="0086247F">
        <w:t xml:space="preserve">ddressed using </w:t>
      </w:r>
      <w:r w:rsidR="00DA672A" w:rsidRPr="0086247F">
        <w:t xml:space="preserve">the relevant jurisdictional incident management </w:t>
      </w:r>
      <w:r w:rsidR="009949E6" w:rsidRPr="0086247F">
        <w:t>process; and</w:t>
      </w:r>
    </w:p>
    <w:p w14:paraId="432AD4D0" w14:textId="77777777" w:rsidR="006B6173" w:rsidRPr="0086247F" w:rsidRDefault="00B62217" w:rsidP="00032FF6">
      <w:pPr>
        <w:pStyle w:val="ListBullet"/>
      </w:pPr>
      <w:r w:rsidRPr="0086247F">
        <w:t>r</w:t>
      </w:r>
      <w:r w:rsidR="009949E6" w:rsidRPr="0086247F">
        <w:t>eported</w:t>
      </w:r>
      <w:r w:rsidR="006B6173" w:rsidRPr="0086247F">
        <w:t xml:space="preserve"> to the NQMC and/or</w:t>
      </w:r>
    </w:p>
    <w:p w14:paraId="55DD1A12" w14:textId="08374C35" w:rsidR="009949E6" w:rsidRPr="0086247F" w:rsidRDefault="006B6173" w:rsidP="00032FF6">
      <w:pPr>
        <w:pStyle w:val="ListBullet"/>
      </w:pPr>
      <w:r w:rsidRPr="0086247F">
        <w:t>advised to other BreastScreen Australia Servi</w:t>
      </w:r>
      <w:r w:rsidR="001F6B49">
        <w:t>ces who may need to be informed</w:t>
      </w:r>
      <w:r w:rsidR="009949E6" w:rsidRPr="0086247F">
        <w:t xml:space="preserve"> </w:t>
      </w:r>
      <w:r w:rsidRPr="0086247F">
        <w:t xml:space="preserve">using </w:t>
      </w:r>
      <w:r w:rsidR="001F6B49">
        <w:fldChar w:fldCharType="begin"/>
      </w:r>
      <w:r w:rsidR="001F6B49">
        <w:instrText xml:space="preserve"> REF _Ref465948726 \h </w:instrText>
      </w:r>
      <w:r w:rsidR="001F6B49">
        <w:fldChar w:fldCharType="separate"/>
      </w:r>
      <w:r w:rsidR="00B36BEE">
        <w:t xml:space="preserve">Table </w:t>
      </w:r>
      <w:r w:rsidR="00B36BEE">
        <w:rPr>
          <w:noProof/>
        </w:rPr>
        <w:t>4</w:t>
      </w:r>
      <w:r w:rsidR="001F6B49">
        <w:fldChar w:fldCharType="end"/>
      </w:r>
      <w:r w:rsidR="001F6B49">
        <w:t xml:space="preserve"> (a</w:t>
      </w:r>
      <w:r w:rsidRPr="0086247F">
        <w:t>ction required according to incident)</w:t>
      </w:r>
      <w:r w:rsidR="009949E6" w:rsidRPr="0086247F">
        <w:t xml:space="preserve">. </w:t>
      </w:r>
    </w:p>
    <w:p w14:paraId="4A4F0CAE" w14:textId="70A42EF9" w:rsidR="009949E6" w:rsidRPr="005E6C4B" w:rsidRDefault="00CE607B" w:rsidP="00500310">
      <w:pPr>
        <w:pStyle w:val="Heading2"/>
        <w:rPr>
          <w:lang w:val="en-GB"/>
        </w:rPr>
      </w:pPr>
      <w:bookmarkStart w:id="291" w:name="_Toc517944700"/>
      <w:bookmarkStart w:id="292" w:name="_Toc66438733"/>
      <w:r w:rsidRPr="005E6C4B">
        <w:rPr>
          <w:lang w:val="en-GB"/>
        </w:rPr>
        <w:t>INCIDENT CLASSIFICATION</w:t>
      </w:r>
      <w:bookmarkEnd w:id="291"/>
      <w:bookmarkEnd w:id="292"/>
    </w:p>
    <w:p w14:paraId="77B2C0FF" w14:textId="77777777" w:rsidR="00B54DA9" w:rsidRDefault="009949E6" w:rsidP="00B54DA9">
      <w:r w:rsidRPr="005E6C4B">
        <w:t>BreastScreen Australia uses a three level system to classify incidents, which may occur within Services and/or SCUs. This classification is described overleaf for both clinical incidents and corporate/system incidents, in order of severity</w:t>
      </w:r>
      <w:bookmarkStart w:id="293" w:name="_Toc464755775"/>
    </w:p>
    <w:p w14:paraId="65F1790A" w14:textId="0A382013" w:rsidR="009949E6" w:rsidRPr="00F12C86" w:rsidRDefault="00032FF6" w:rsidP="00B54DA9">
      <w:pPr>
        <w:pStyle w:val="Caption"/>
        <w:pageBreakBefore/>
        <w:rPr>
          <w:rFonts w:cs="Arial"/>
        </w:rPr>
      </w:pPr>
      <w:bookmarkStart w:id="294" w:name="_Ref465948706"/>
      <w:r>
        <w:lastRenderedPageBreak/>
        <w:t xml:space="preserve">Table </w:t>
      </w:r>
      <w:r w:rsidR="00535209">
        <w:rPr>
          <w:noProof/>
        </w:rPr>
        <w:fldChar w:fldCharType="begin"/>
      </w:r>
      <w:r w:rsidR="00535209">
        <w:rPr>
          <w:noProof/>
        </w:rPr>
        <w:instrText xml:space="preserve"> SEQ Table \* ARABIC </w:instrText>
      </w:r>
      <w:r w:rsidR="00535209">
        <w:rPr>
          <w:noProof/>
        </w:rPr>
        <w:fldChar w:fldCharType="separate"/>
      </w:r>
      <w:r w:rsidR="00B36BEE">
        <w:rPr>
          <w:noProof/>
        </w:rPr>
        <w:t>3</w:t>
      </w:r>
      <w:r w:rsidR="00535209">
        <w:rPr>
          <w:noProof/>
        </w:rPr>
        <w:fldChar w:fldCharType="end"/>
      </w:r>
      <w:bookmarkEnd w:id="294"/>
      <w:r w:rsidR="00AE354C">
        <w:rPr>
          <w:color w:val="000000"/>
        </w:rPr>
        <w:t>:</w:t>
      </w:r>
      <w:r w:rsidR="00AE354C">
        <w:rPr>
          <w:color w:val="000000"/>
        </w:rPr>
        <w:tab/>
      </w:r>
      <w:r w:rsidR="009949E6" w:rsidRPr="00F12C86">
        <w:rPr>
          <w:snapToGrid w:val="0"/>
        </w:rPr>
        <w:t>Classifying adverse events</w:t>
      </w:r>
      <w:bookmarkEnd w:id="293"/>
      <w:r w:rsidR="009949E6" w:rsidRPr="00F12C86">
        <w:rPr>
          <w:color w:val="000000"/>
        </w:rPr>
        <w:t xml:space="preserve"> </w:t>
      </w:r>
    </w:p>
    <w:tbl>
      <w:tblPr>
        <w:tblStyle w:val="TableGrid"/>
        <w:tblW w:w="4945" w:type="pct"/>
        <w:tblInd w:w="108" w:type="dxa"/>
        <w:tblLook w:val="04A0" w:firstRow="1" w:lastRow="0" w:firstColumn="1" w:lastColumn="0" w:noHBand="0" w:noVBand="1"/>
        <w:tblCaption w:val="Table 3 - Classifying adverse events "/>
        <w:tblDescription w:val="BreastScreen Australia uses a three level system to classify incidents, which may occur within Services and/or SCUs. This classification is described in table 3 for both clinical incidents and corporate/system incidents, in order of severity. "/>
      </w:tblPr>
      <w:tblGrid>
        <w:gridCol w:w="1854"/>
        <w:gridCol w:w="2894"/>
        <w:gridCol w:w="2468"/>
        <w:gridCol w:w="1706"/>
      </w:tblGrid>
      <w:tr w:rsidR="009949E6" w:rsidRPr="0036688C" w14:paraId="35A351B8" w14:textId="77777777" w:rsidTr="009F2397">
        <w:trPr>
          <w:tblHeader/>
        </w:trPr>
        <w:tc>
          <w:tcPr>
            <w:tcW w:w="898" w:type="pct"/>
            <w:tcBorders>
              <w:top w:val="nil"/>
              <w:left w:val="nil"/>
            </w:tcBorders>
          </w:tcPr>
          <w:p w14:paraId="7BBD744F" w14:textId="77777777" w:rsidR="009949E6" w:rsidRPr="0036688C" w:rsidRDefault="009949E6" w:rsidP="00AB1C35"/>
        </w:tc>
        <w:tc>
          <w:tcPr>
            <w:tcW w:w="1669" w:type="pct"/>
            <w:shd w:val="clear" w:color="auto" w:fill="D2EAF1"/>
          </w:tcPr>
          <w:p w14:paraId="2E23E852" w14:textId="77777777" w:rsidR="009949E6" w:rsidRPr="0036688C" w:rsidRDefault="009949E6" w:rsidP="00C46142">
            <w:pPr>
              <w:pStyle w:val="TableHeading"/>
            </w:pPr>
            <w:r w:rsidRPr="0036688C">
              <w:t>Level 1</w:t>
            </w:r>
          </w:p>
        </w:tc>
        <w:tc>
          <w:tcPr>
            <w:tcW w:w="1430" w:type="pct"/>
            <w:shd w:val="clear" w:color="auto" w:fill="D2EAF1"/>
          </w:tcPr>
          <w:p w14:paraId="329461BD" w14:textId="77777777" w:rsidR="009949E6" w:rsidRPr="0036688C" w:rsidRDefault="009949E6" w:rsidP="00C46142">
            <w:pPr>
              <w:pStyle w:val="TableHeading"/>
            </w:pPr>
            <w:r w:rsidRPr="0036688C">
              <w:t>Level 2</w:t>
            </w:r>
          </w:p>
        </w:tc>
        <w:tc>
          <w:tcPr>
            <w:tcW w:w="1004" w:type="pct"/>
            <w:shd w:val="clear" w:color="auto" w:fill="D2EAF1"/>
          </w:tcPr>
          <w:p w14:paraId="0176623C" w14:textId="77777777" w:rsidR="009949E6" w:rsidRPr="0036688C" w:rsidRDefault="009949E6" w:rsidP="00C46142">
            <w:pPr>
              <w:pStyle w:val="TableHeading"/>
            </w:pPr>
            <w:r w:rsidRPr="0036688C">
              <w:t>Level 3</w:t>
            </w:r>
          </w:p>
        </w:tc>
      </w:tr>
      <w:tr w:rsidR="009949E6" w14:paraId="5D5847EF" w14:textId="77777777" w:rsidTr="00032FF6">
        <w:tc>
          <w:tcPr>
            <w:tcW w:w="898" w:type="pct"/>
          </w:tcPr>
          <w:p w14:paraId="5582C2FB" w14:textId="77777777" w:rsidR="009949E6" w:rsidRPr="0036688C" w:rsidRDefault="009949E6" w:rsidP="00032FF6">
            <w:pPr>
              <w:pStyle w:val="TableText"/>
            </w:pPr>
            <w:r w:rsidRPr="0036688C">
              <w:t>Clinical Incidents</w:t>
            </w:r>
          </w:p>
        </w:tc>
        <w:tc>
          <w:tcPr>
            <w:tcW w:w="1669" w:type="pct"/>
          </w:tcPr>
          <w:p w14:paraId="147EF2E6" w14:textId="77777777" w:rsidR="009949E6" w:rsidRPr="00472DB7" w:rsidRDefault="009949E6" w:rsidP="00032FF6">
            <w:pPr>
              <w:pStyle w:val="TableText"/>
            </w:pPr>
            <w:r w:rsidRPr="00472DB7">
              <w:t xml:space="preserve">Unexpected death of a patient differing from the immediate expected outcome and where it is suspected there is a relationship between the </w:t>
            </w:r>
            <w:r>
              <w:t>service</w:t>
            </w:r>
            <w:r w:rsidRPr="00472DB7">
              <w:t xml:space="preserve"> provided and the patient death</w:t>
            </w:r>
          </w:p>
          <w:p w14:paraId="6539219E" w14:textId="77777777" w:rsidR="009949E6" w:rsidRPr="00472DB7" w:rsidRDefault="009949E6" w:rsidP="00032FF6">
            <w:pPr>
              <w:pStyle w:val="TableText"/>
            </w:pPr>
            <w:r w:rsidRPr="00472DB7">
              <w:t>OR</w:t>
            </w:r>
          </w:p>
          <w:p w14:paraId="5BCB8FDA" w14:textId="0509A7C5" w:rsidR="009949E6" w:rsidRPr="00472DB7" w:rsidRDefault="009949E6" w:rsidP="00032FF6">
            <w:pPr>
              <w:pStyle w:val="TableText"/>
            </w:pPr>
            <w:r w:rsidRPr="00472DB7">
              <w:rPr>
                <w:bCs/>
              </w:rPr>
              <w:t xml:space="preserve">Permanent loss of function of a patient (sensory, motor, physiologic or psychological) </w:t>
            </w:r>
            <w:r w:rsidRPr="00472DB7">
              <w:t xml:space="preserve">unrelated to the natural course of the illness and differing from the expected outcome of patient management </w:t>
            </w:r>
          </w:p>
          <w:p w14:paraId="2B5A75CA" w14:textId="77777777" w:rsidR="009949E6" w:rsidRPr="00472DB7" w:rsidRDefault="009949E6" w:rsidP="00032FF6">
            <w:pPr>
              <w:pStyle w:val="TableText"/>
            </w:pPr>
            <w:r w:rsidRPr="00472DB7">
              <w:t>OR</w:t>
            </w:r>
          </w:p>
          <w:p w14:paraId="486586D2" w14:textId="77777777" w:rsidR="009949E6" w:rsidRPr="00472DB7" w:rsidRDefault="009949E6" w:rsidP="00032FF6">
            <w:pPr>
              <w:pStyle w:val="TableText"/>
            </w:pPr>
            <w:r w:rsidRPr="00472DB7">
              <w:t xml:space="preserve">National Sentinel Event (refer table overleaf) </w:t>
            </w:r>
          </w:p>
          <w:p w14:paraId="79F20838" w14:textId="77777777" w:rsidR="009949E6" w:rsidRPr="00472DB7" w:rsidRDefault="009949E6" w:rsidP="00032FF6">
            <w:pPr>
              <w:pStyle w:val="TableText"/>
            </w:pPr>
            <w:r w:rsidRPr="00472DB7">
              <w:t>OR</w:t>
            </w:r>
          </w:p>
          <w:p w14:paraId="553235B1" w14:textId="77777777" w:rsidR="009949E6" w:rsidRPr="00472DB7" w:rsidRDefault="009949E6" w:rsidP="00032FF6">
            <w:pPr>
              <w:pStyle w:val="TableText"/>
            </w:pPr>
            <w:r w:rsidRPr="00472DB7">
              <w:t>A major concern or event which has the potential to undermine public confidence in BreastScreen Services</w:t>
            </w:r>
          </w:p>
          <w:p w14:paraId="0242B021" w14:textId="77777777" w:rsidR="009949E6" w:rsidRPr="00472DB7" w:rsidRDefault="009949E6" w:rsidP="00032FF6">
            <w:pPr>
              <w:pStyle w:val="TableText"/>
            </w:pPr>
            <w:r w:rsidRPr="00472DB7">
              <w:t>OR</w:t>
            </w:r>
          </w:p>
          <w:p w14:paraId="61FB6046" w14:textId="0D821B9E" w:rsidR="009949E6" w:rsidRPr="001C503C" w:rsidRDefault="009949E6" w:rsidP="00032FF6">
            <w:pPr>
              <w:pStyle w:val="TableText"/>
            </w:pPr>
            <w:r w:rsidRPr="00472DB7">
              <w:t>A major concern or event which impacts on a significant number of women attending BreastScreen Services</w:t>
            </w:r>
          </w:p>
        </w:tc>
        <w:tc>
          <w:tcPr>
            <w:tcW w:w="1430" w:type="pct"/>
          </w:tcPr>
          <w:p w14:paraId="03A940DD" w14:textId="77777777" w:rsidR="009949E6" w:rsidRPr="00472DB7" w:rsidRDefault="009949E6" w:rsidP="00032FF6">
            <w:pPr>
              <w:pStyle w:val="TableText"/>
            </w:pPr>
            <w:r w:rsidRPr="00472DB7">
              <w:t>Permanent reduction or temporary loss of bodily functioning of a patient (sensory, motor, physiologic, or psychological) unrelated to the natural course of the illness and differing from the expected outcome of patient management</w:t>
            </w:r>
          </w:p>
          <w:p w14:paraId="0F2A1330" w14:textId="77777777" w:rsidR="009949E6" w:rsidRPr="00472DB7" w:rsidRDefault="009949E6" w:rsidP="00032FF6">
            <w:pPr>
              <w:pStyle w:val="TableText"/>
            </w:pPr>
            <w:r w:rsidRPr="00472DB7">
              <w:t>OR</w:t>
            </w:r>
          </w:p>
          <w:p w14:paraId="5C2ED50E" w14:textId="77777777" w:rsidR="009949E6" w:rsidRPr="00472DB7" w:rsidRDefault="009949E6" w:rsidP="00032FF6">
            <w:pPr>
              <w:pStyle w:val="TableText"/>
            </w:pPr>
            <w:r w:rsidRPr="00472DB7">
              <w:t>Significant disfigurement as a result of the incident</w:t>
            </w:r>
          </w:p>
          <w:p w14:paraId="0BB051E8" w14:textId="77777777" w:rsidR="009949E6" w:rsidRPr="00472DB7" w:rsidRDefault="009949E6" w:rsidP="00032FF6">
            <w:pPr>
              <w:pStyle w:val="TableText"/>
            </w:pPr>
            <w:r w:rsidRPr="00472DB7">
              <w:t>OR</w:t>
            </w:r>
          </w:p>
          <w:p w14:paraId="0642E044" w14:textId="77777777" w:rsidR="009949E6" w:rsidRPr="00472DB7" w:rsidRDefault="009949E6" w:rsidP="00032FF6">
            <w:pPr>
              <w:pStyle w:val="TableText"/>
            </w:pPr>
            <w:r w:rsidRPr="00472DB7">
              <w:t xml:space="preserve">Significant risk to a patient resulting from </w:t>
            </w:r>
          </w:p>
          <w:p w14:paraId="4EA23FE8" w14:textId="77777777" w:rsidR="009949E6" w:rsidRPr="00472DB7" w:rsidRDefault="009949E6" w:rsidP="00032FF6">
            <w:pPr>
              <w:pStyle w:val="Tablelistbullet"/>
            </w:pPr>
            <w:r w:rsidRPr="00472DB7">
              <w:t>being absent against medical advice</w:t>
            </w:r>
          </w:p>
          <w:p w14:paraId="417A91C1" w14:textId="77777777" w:rsidR="009949E6" w:rsidRPr="00472DB7" w:rsidRDefault="009949E6" w:rsidP="00032FF6">
            <w:pPr>
              <w:pStyle w:val="Tablelistbullet"/>
            </w:pPr>
            <w:r w:rsidRPr="00472DB7">
              <w:t>threatened or actual physical or verbal abuse</w:t>
            </w:r>
          </w:p>
          <w:p w14:paraId="1636773A" w14:textId="77777777" w:rsidR="009949E6" w:rsidRPr="00472DB7" w:rsidRDefault="009949E6" w:rsidP="00032FF6">
            <w:pPr>
              <w:pStyle w:val="TableText"/>
            </w:pPr>
            <w:r w:rsidRPr="00472DB7">
              <w:t>OR</w:t>
            </w:r>
          </w:p>
          <w:p w14:paraId="4288A4F1" w14:textId="77777777" w:rsidR="009949E6" w:rsidRPr="00472DB7" w:rsidRDefault="009949E6" w:rsidP="00032FF6">
            <w:pPr>
              <w:pStyle w:val="TableText"/>
            </w:pPr>
            <w:r w:rsidRPr="00472DB7">
              <w:t>Increased surgical intervention due to consequences of care given or not given</w:t>
            </w:r>
          </w:p>
        </w:tc>
        <w:tc>
          <w:tcPr>
            <w:tcW w:w="1004" w:type="pct"/>
          </w:tcPr>
          <w:p w14:paraId="3A25F5ED" w14:textId="42B85A4C" w:rsidR="009949E6" w:rsidRPr="00472DB7" w:rsidRDefault="009949E6" w:rsidP="00032FF6">
            <w:pPr>
              <w:pStyle w:val="TableText"/>
            </w:pPr>
            <w:r w:rsidRPr="00472DB7">
              <w:t>Minor or no injury.  No increased level of care or length of stay</w:t>
            </w:r>
          </w:p>
        </w:tc>
      </w:tr>
      <w:tr w:rsidR="009949E6" w14:paraId="0AF9E32F" w14:textId="77777777" w:rsidTr="00032FF6">
        <w:tc>
          <w:tcPr>
            <w:tcW w:w="898" w:type="pct"/>
          </w:tcPr>
          <w:p w14:paraId="1ECC7691" w14:textId="77777777" w:rsidR="009949E6" w:rsidRPr="0036688C" w:rsidRDefault="009949E6" w:rsidP="00032FF6">
            <w:pPr>
              <w:pStyle w:val="TableText"/>
            </w:pPr>
            <w:r>
              <w:t>Corporate/System I</w:t>
            </w:r>
            <w:r w:rsidRPr="0036688C">
              <w:t>ncidents</w:t>
            </w:r>
          </w:p>
        </w:tc>
        <w:tc>
          <w:tcPr>
            <w:tcW w:w="1669" w:type="pct"/>
          </w:tcPr>
          <w:p w14:paraId="24ED4AE1" w14:textId="77777777" w:rsidR="009949E6" w:rsidRPr="00472DB7" w:rsidRDefault="009949E6" w:rsidP="00032FF6">
            <w:pPr>
              <w:pStyle w:val="TableText"/>
            </w:pPr>
            <w:r w:rsidRPr="00472DB7">
              <w:t>Complete loss of service or output</w:t>
            </w:r>
          </w:p>
          <w:p w14:paraId="3E5E680A" w14:textId="77777777" w:rsidR="009949E6" w:rsidRPr="00472DB7" w:rsidRDefault="009949E6" w:rsidP="00032FF6">
            <w:pPr>
              <w:pStyle w:val="TableText"/>
            </w:pPr>
            <w:r w:rsidRPr="00472DB7">
              <w:t>OR</w:t>
            </w:r>
          </w:p>
          <w:p w14:paraId="46CA1A5B" w14:textId="77777777" w:rsidR="009949E6" w:rsidRPr="00472DB7" w:rsidRDefault="009949E6" w:rsidP="00032FF6">
            <w:pPr>
              <w:pStyle w:val="TableText"/>
            </w:pPr>
            <w:r w:rsidRPr="00472DB7">
              <w:t>A major concern or event which has the potential to undermine public confidence in BreastScreen Services</w:t>
            </w:r>
          </w:p>
          <w:p w14:paraId="5261DCEA" w14:textId="77777777" w:rsidR="009949E6" w:rsidRPr="00472DB7" w:rsidRDefault="009949E6" w:rsidP="00032FF6">
            <w:pPr>
              <w:pStyle w:val="TableText"/>
            </w:pPr>
            <w:r w:rsidRPr="00472DB7">
              <w:t>OR</w:t>
            </w:r>
          </w:p>
          <w:p w14:paraId="2BAFA7B4" w14:textId="638536F7" w:rsidR="009949E6" w:rsidRPr="00472DB7" w:rsidRDefault="009949E6" w:rsidP="00032FF6">
            <w:pPr>
              <w:pStyle w:val="TableText"/>
            </w:pPr>
            <w:r w:rsidRPr="00472DB7">
              <w:t>A major concern or event which impacts on a significant number of women attending BreastScreen Services</w:t>
            </w:r>
          </w:p>
        </w:tc>
        <w:tc>
          <w:tcPr>
            <w:tcW w:w="1430" w:type="pct"/>
          </w:tcPr>
          <w:p w14:paraId="0CC1656F" w14:textId="77777777" w:rsidR="009949E6" w:rsidRPr="00472DB7" w:rsidRDefault="009949E6" w:rsidP="00032FF6">
            <w:pPr>
              <w:pStyle w:val="TableText"/>
            </w:pPr>
            <w:r w:rsidRPr="00472DB7">
              <w:t xml:space="preserve">Major loss of agency / service to users </w:t>
            </w:r>
          </w:p>
          <w:p w14:paraId="725CF9E9" w14:textId="77777777" w:rsidR="009949E6" w:rsidRPr="00472DB7" w:rsidRDefault="009949E6" w:rsidP="00032FF6">
            <w:pPr>
              <w:pStyle w:val="TableText"/>
            </w:pPr>
            <w:r w:rsidRPr="00472DB7">
              <w:t>OR</w:t>
            </w:r>
          </w:p>
          <w:p w14:paraId="73EC4E63" w14:textId="5E75F2A7" w:rsidR="009949E6" w:rsidRPr="00472DB7" w:rsidRDefault="009949E6" w:rsidP="00032FF6">
            <w:pPr>
              <w:pStyle w:val="TableText"/>
            </w:pPr>
            <w:r w:rsidRPr="00472DB7">
              <w:t xml:space="preserve">Major disruption to users </w:t>
            </w:r>
          </w:p>
        </w:tc>
        <w:tc>
          <w:tcPr>
            <w:tcW w:w="1004" w:type="pct"/>
          </w:tcPr>
          <w:p w14:paraId="4B8817C9" w14:textId="77777777" w:rsidR="009949E6" w:rsidRPr="00472DB7" w:rsidRDefault="009949E6" w:rsidP="00032FF6">
            <w:pPr>
              <w:pStyle w:val="TableText"/>
            </w:pPr>
            <w:r w:rsidRPr="00472DB7">
              <w:t xml:space="preserve">Reduced efficiency or disruption to agency working </w:t>
            </w:r>
          </w:p>
          <w:p w14:paraId="3F05628B" w14:textId="77777777" w:rsidR="009949E6" w:rsidRPr="00472DB7" w:rsidRDefault="009949E6" w:rsidP="00032FF6">
            <w:pPr>
              <w:pStyle w:val="TableText"/>
            </w:pPr>
            <w:r w:rsidRPr="00472DB7">
              <w:t>OR</w:t>
            </w:r>
          </w:p>
          <w:p w14:paraId="4CA2573F" w14:textId="77777777" w:rsidR="009949E6" w:rsidRPr="00472DB7" w:rsidRDefault="009949E6" w:rsidP="00032FF6">
            <w:pPr>
              <w:pStyle w:val="TableText"/>
            </w:pPr>
            <w:r w:rsidRPr="00472DB7">
              <w:t>Incident resulting in no loss of service</w:t>
            </w:r>
          </w:p>
        </w:tc>
      </w:tr>
    </w:tbl>
    <w:p w14:paraId="55102DA1" w14:textId="705B7C40" w:rsidR="009949E6" w:rsidRPr="00E4702A" w:rsidRDefault="00357047" w:rsidP="00500310">
      <w:pPr>
        <w:pStyle w:val="Heading2"/>
        <w:rPr>
          <w:lang w:val="en-GB"/>
        </w:rPr>
      </w:pPr>
      <w:bookmarkStart w:id="295" w:name="_Toc517944701"/>
      <w:bookmarkStart w:id="296" w:name="_Toc66438734"/>
      <w:r>
        <w:rPr>
          <w:lang w:val="en-GB"/>
        </w:rPr>
        <w:lastRenderedPageBreak/>
        <w:t>NATIONAL SENTINEL EVENTS</w:t>
      </w:r>
      <w:bookmarkEnd w:id="295"/>
      <w:bookmarkEnd w:id="296"/>
    </w:p>
    <w:p w14:paraId="68B36156" w14:textId="39054AEF" w:rsidR="009949E6" w:rsidRDefault="009949E6" w:rsidP="00032FF6">
      <w:r w:rsidRPr="00E4702A">
        <w:t>National sentinel events are defined by the Australian Commission on Safety and Quality in Health Care and must b</w:t>
      </w:r>
      <w:r>
        <w:t xml:space="preserve">e reported and investigated as </w:t>
      </w:r>
      <w:r w:rsidRPr="00E4702A">
        <w:t>Level 1 incident</w:t>
      </w:r>
      <w:r>
        <w:t>s</w:t>
      </w:r>
      <w:r w:rsidRPr="00E4702A">
        <w:t xml:space="preserve">. </w:t>
      </w:r>
    </w:p>
    <w:p w14:paraId="4C415761" w14:textId="77777777" w:rsidR="009949E6" w:rsidRPr="00E4702A" w:rsidRDefault="009949E6" w:rsidP="00032FF6">
      <w:r w:rsidRPr="00E4702A">
        <w:t xml:space="preserve">National Sentinel Events </w:t>
      </w:r>
      <w:r>
        <w:t xml:space="preserve">are reported in </w:t>
      </w:r>
      <w:r w:rsidRPr="00206078">
        <w:t xml:space="preserve">the Australian Government Productivity Commission’s Report on Government Services and the Australian Commission on Safety and Quality in Healthcare’s annual </w:t>
      </w:r>
      <w:hyperlink r:id="rId21" w:history="1">
        <w:r w:rsidRPr="00206078">
          <w:t>Windows into Safety and Quality in Healthcare Report</w:t>
        </w:r>
      </w:hyperlink>
      <w:r w:rsidRPr="00206078">
        <w:t>. A National Sentinel Event includes the following</w:t>
      </w:r>
      <w:r w:rsidRPr="00E4702A">
        <w:t>:</w:t>
      </w:r>
    </w:p>
    <w:p w14:paraId="01C2122A" w14:textId="77777777" w:rsidR="009949E6" w:rsidRPr="00206078" w:rsidRDefault="00D94941" w:rsidP="00032FF6">
      <w:pPr>
        <w:pStyle w:val="ListBullet"/>
      </w:pPr>
      <w:r>
        <w:t>p</w:t>
      </w:r>
      <w:r w:rsidR="009949E6" w:rsidRPr="00206078">
        <w:t>rocedures involving the wrong patient or body part resulting in death or major permanent loss of function</w:t>
      </w:r>
      <w:r>
        <w:t>;</w:t>
      </w:r>
      <w:r w:rsidR="009949E6" w:rsidRPr="00206078">
        <w:t xml:space="preserve"> </w:t>
      </w:r>
    </w:p>
    <w:p w14:paraId="0D3F7448" w14:textId="77777777" w:rsidR="009949E6" w:rsidRPr="00206078" w:rsidRDefault="00D94941" w:rsidP="00032FF6">
      <w:pPr>
        <w:pStyle w:val="ListBullet"/>
      </w:pPr>
      <w:r>
        <w:t>s</w:t>
      </w:r>
      <w:r w:rsidR="009949E6" w:rsidRPr="00206078">
        <w:t>uspected suicide in hospital</w:t>
      </w:r>
      <w:r>
        <w:t>;</w:t>
      </w:r>
    </w:p>
    <w:p w14:paraId="565CA947" w14:textId="77777777" w:rsidR="009949E6" w:rsidRPr="00206078" w:rsidRDefault="00D94941" w:rsidP="00032FF6">
      <w:pPr>
        <w:pStyle w:val="ListBullet"/>
      </w:pPr>
      <w:r>
        <w:t>r</w:t>
      </w:r>
      <w:r w:rsidR="009949E6" w:rsidRPr="00206078">
        <w:t>etained instruments or other unintended material after surgery requiring re-operation or further surgical procedure</w:t>
      </w:r>
      <w:r>
        <w:t>;</w:t>
      </w:r>
      <w:r w:rsidR="009949E6" w:rsidRPr="00206078">
        <w:t xml:space="preserve"> </w:t>
      </w:r>
    </w:p>
    <w:p w14:paraId="3BD6DF54" w14:textId="77777777" w:rsidR="009949E6" w:rsidRPr="00206078" w:rsidRDefault="00D94941" w:rsidP="00032FF6">
      <w:pPr>
        <w:pStyle w:val="ListBullet"/>
      </w:pPr>
      <w:r>
        <w:t>m</w:t>
      </w:r>
      <w:r w:rsidR="009949E6" w:rsidRPr="00206078">
        <w:t>edication error involving the death of a patient reasonably believed to be due to incorrect administration of drugs</w:t>
      </w:r>
      <w:r>
        <w:t>;</w:t>
      </w:r>
    </w:p>
    <w:p w14:paraId="3D425C34" w14:textId="6DEAD272" w:rsidR="009949E6" w:rsidRPr="00206078" w:rsidRDefault="00D94941" w:rsidP="00032FF6">
      <w:pPr>
        <w:pStyle w:val="ListBullet"/>
      </w:pPr>
      <w:r>
        <w:t>i</w:t>
      </w:r>
      <w:r w:rsidR="009949E6" w:rsidRPr="00206078">
        <w:t>ntravascular gas embolism resulting in death or neurological damage</w:t>
      </w:r>
      <w:r>
        <w:t>;</w:t>
      </w:r>
    </w:p>
    <w:p w14:paraId="35D803B1" w14:textId="77777777" w:rsidR="009949E6" w:rsidRPr="00206078" w:rsidRDefault="00D94941" w:rsidP="00032FF6">
      <w:pPr>
        <w:pStyle w:val="ListBullet"/>
      </w:pPr>
      <w:r>
        <w:t>h</w:t>
      </w:r>
      <w:r w:rsidR="009949E6" w:rsidRPr="00206078">
        <w:t>aemolytic blood transfusion reaction resulting from ABO incompatibility</w:t>
      </w:r>
      <w:r>
        <w:t>;</w:t>
      </w:r>
    </w:p>
    <w:p w14:paraId="3B127E1C" w14:textId="28E77D54" w:rsidR="009949E6" w:rsidRPr="00206078" w:rsidRDefault="00D94941" w:rsidP="00032FF6">
      <w:pPr>
        <w:pStyle w:val="ListBullet"/>
      </w:pPr>
      <w:r>
        <w:t>m</w:t>
      </w:r>
      <w:r w:rsidR="009949E6" w:rsidRPr="00206078">
        <w:t>aternal death or serious morbidity associated with labour and delivery</w:t>
      </w:r>
      <w:r>
        <w:t>; and</w:t>
      </w:r>
      <w:r w:rsidR="009949E6" w:rsidRPr="00206078">
        <w:t xml:space="preserve"> </w:t>
      </w:r>
    </w:p>
    <w:p w14:paraId="4F7CC5B9" w14:textId="77777777" w:rsidR="009949E6" w:rsidRPr="00206078" w:rsidRDefault="00D94941" w:rsidP="00032FF6">
      <w:pPr>
        <w:pStyle w:val="ListBullet"/>
      </w:pPr>
      <w:r>
        <w:t>i</w:t>
      </w:r>
      <w:r w:rsidR="009949E6" w:rsidRPr="00206078">
        <w:t>nfant discharged to the wrong family</w:t>
      </w:r>
    </w:p>
    <w:p w14:paraId="0002D22A" w14:textId="64986130" w:rsidR="009949E6" w:rsidRDefault="009949E6" w:rsidP="00032FF6">
      <w:r w:rsidRPr="00497711">
        <w:t>While sentinel events are more relev</w:t>
      </w:r>
      <w:r w:rsidRPr="00497711">
        <w:rPr>
          <w:rFonts w:ascii="Calibri" w:hAnsi="Calibri" w:cs="Arial"/>
          <w:szCs w:val="22"/>
        </w:rPr>
        <w:t>a</w:t>
      </w:r>
      <w:r>
        <w:t>nt to, and more likely to occur within the acute health sector, should a sentinel event occur within a BreastScreen Service and/or SCU (e.g. death of a patient as a result of a fall within the service), it must be reported and addressed in line with jurisdictional protocols.  T</w:t>
      </w:r>
      <w:r w:rsidRPr="00E4702A">
        <w:t xml:space="preserve">he final report detailing the findings and outcome of </w:t>
      </w:r>
      <w:r>
        <w:t xml:space="preserve">the </w:t>
      </w:r>
      <w:r w:rsidRPr="00E4702A">
        <w:t xml:space="preserve">investigations must be provided to the </w:t>
      </w:r>
      <w:r>
        <w:t>NQMC</w:t>
      </w:r>
      <w:r w:rsidRPr="00E4702A">
        <w:t xml:space="preserve">. </w:t>
      </w:r>
    </w:p>
    <w:p w14:paraId="1C09BB17" w14:textId="2E089F24" w:rsidR="009949E6" w:rsidRPr="0036688C" w:rsidRDefault="00357047" w:rsidP="00500310">
      <w:pPr>
        <w:pStyle w:val="Heading2"/>
        <w:rPr>
          <w:lang w:val="en-GB"/>
        </w:rPr>
      </w:pPr>
      <w:bookmarkStart w:id="297" w:name="_Toc517944702"/>
      <w:bookmarkStart w:id="298" w:name="_Toc66438735"/>
      <w:r>
        <w:rPr>
          <w:lang w:val="en-GB"/>
        </w:rPr>
        <w:t>ACTION</w:t>
      </w:r>
      <w:bookmarkEnd w:id="297"/>
      <w:bookmarkEnd w:id="298"/>
    </w:p>
    <w:p w14:paraId="7BD99292" w14:textId="21124387" w:rsidR="00D02100" w:rsidRDefault="009949E6" w:rsidP="00AB1C35">
      <w:pPr>
        <w:rPr>
          <w:lang w:eastAsia="en-AU"/>
        </w:rPr>
      </w:pPr>
      <w:r w:rsidRPr="009523BA">
        <w:rPr>
          <w:lang w:eastAsia="en-AU"/>
        </w:rPr>
        <w:t xml:space="preserve">Each BreastScreen Service and/or SCU must undertake actions to address </w:t>
      </w:r>
      <w:r w:rsidR="006B6173">
        <w:rPr>
          <w:lang w:eastAsia="en-AU"/>
        </w:rPr>
        <w:t xml:space="preserve">any </w:t>
      </w:r>
      <w:r w:rsidRPr="009523BA">
        <w:rPr>
          <w:lang w:eastAsia="en-AU"/>
        </w:rPr>
        <w:t xml:space="preserve">incident and mitigate the risk of it occurring in the future. The remedial actions required and timeframes for completion will be </w:t>
      </w:r>
      <w:r>
        <w:rPr>
          <w:lang w:eastAsia="en-AU"/>
        </w:rPr>
        <w:t xml:space="preserve">dependent upon the classification given to the incident and will be </w:t>
      </w:r>
      <w:r w:rsidRPr="009523BA">
        <w:rPr>
          <w:lang w:eastAsia="en-AU"/>
        </w:rPr>
        <w:t>determined through the ‘investigation’ phase of the jurisdiction’</w:t>
      </w:r>
      <w:r w:rsidR="00FB0854">
        <w:rPr>
          <w:lang w:eastAsia="en-AU"/>
        </w:rPr>
        <w:t>s incident management process.</w:t>
      </w:r>
    </w:p>
    <w:p w14:paraId="37F652C9" w14:textId="7C6E8380" w:rsidR="009949E6" w:rsidRDefault="009949E6" w:rsidP="00AB1C35">
      <w:pPr>
        <w:rPr>
          <w:lang w:eastAsia="en-AU"/>
        </w:rPr>
      </w:pPr>
      <w:r w:rsidRPr="009523BA">
        <w:rPr>
          <w:lang w:eastAsia="en-AU"/>
        </w:rPr>
        <w:t>All incidents should be investigated and actioned, regardless of whether the incident is classified as a level 1, 2 or 3. However, only level 1 incidents need to be reported nationally to the NQMC.</w:t>
      </w:r>
    </w:p>
    <w:p w14:paraId="15AB1F26" w14:textId="7A2E81EA" w:rsidR="009949E6" w:rsidRPr="00DF7B3C" w:rsidRDefault="009949E6" w:rsidP="00AB1C35">
      <w:pPr>
        <w:rPr>
          <w:lang w:eastAsia="en-AU"/>
        </w:rPr>
      </w:pPr>
      <w:r w:rsidRPr="00DF7B3C">
        <w:rPr>
          <w:lang w:eastAsia="en-AU"/>
        </w:rPr>
        <w:t xml:space="preserve">The table below outlines the expectations of BreastScreen Australia Services and SCUs in relation to addressing and reporting incidents that occur within the Program. </w:t>
      </w:r>
    </w:p>
    <w:p w14:paraId="0235C6E6" w14:textId="4665E9C9" w:rsidR="00032FF6" w:rsidRPr="00F12C86" w:rsidRDefault="00032FF6" w:rsidP="00C46142">
      <w:pPr>
        <w:pStyle w:val="Caption"/>
        <w:rPr>
          <w:color w:val="000000"/>
        </w:rPr>
      </w:pPr>
      <w:bookmarkStart w:id="299" w:name="_Ref465948726"/>
      <w:bookmarkStart w:id="300" w:name="_Toc464755776"/>
      <w:r>
        <w:lastRenderedPageBreak/>
        <w:t xml:space="preserve">Table </w:t>
      </w:r>
      <w:r w:rsidR="00535209">
        <w:rPr>
          <w:noProof/>
        </w:rPr>
        <w:fldChar w:fldCharType="begin"/>
      </w:r>
      <w:r w:rsidR="00535209">
        <w:rPr>
          <w:noProof/>
        </w:rPr>
        <w:instrText xml:space="preserve"> SEQ Table \* ARABIC </w:instrText>
      </w:r>
      <w:r w:rsidR="00535209">
        <w:rPr>
          <w:noProof/>
        </w:rPr>
        <w:fldChar w:fldCharType="separate"/>
      </w:r>
      <w:r w:rsidR="00B36BEE">
        <w:rPr>
          <w:noProof/>
        </w:rPr>
        <w:t>4</w:t>
      </w:r>
      <w:r w:rsidR="00535209">
        <w:rPr>
          <w:noProof/>
        </w:rPr>
        <w:fldChar w:fldCharType="end"/>
      </w:r>
      <w:bookmarkEnd w:id="299"/>
      <w:r w:rsidR="00AE354C">
        <w:rPr>
          <w:color w:val="000000"/>
        </w:rPr>
        <w:t>:</w:t>
      </w:r>
      <w:r w:rsidR="00AE354C">
        <w:rPr>
          <w:color w:val="000000"/>
        </w:rPr>
        <w:tab/>
      </w:r>
      <w:r w:rsidRPr="00F12C86">
        <w:rPr>
          <w:snapToGrid w:val="0"/>
        </w:rPr>
        <w:t>Reporting requirements for adverse events</w:t>
      </w:r>
      <w:bookmarkEnd w:id="300"/>
      <w:r w:rsidRPr="00F12C86">
        <w:rPr>
          <w:color w:val="000000"/>
        </w:rPr>
        <w:t xml:space="preserve"> </w:t>
      </w:r>
    </w:p>
    <w:tbl>
      <w:tblPr>
        <w:tblStyle w:val="TableGrid"/>
        <w:tblW w:w="5000" w:type="pct"/>
        <w:tblLook w:val="04A0" w:firstRow="1" w:lastRow="0" w:firstColumn="1" w:lastColumn="0" w:noHBand="0" w:noVBand="1"/>
        <w:tblCaption w:val="Table 4 - Reporting requirements for adverse events "/>
        <w:tblDescription w:val="Table 4 outlines the expectations of BreastScreen Australia Services and SCUs in relation to addressing and reporting incidents that occur within the Program. "/>
      </w:tblPr>
      <w:tblGrid>
        <w:gridCol w:w="1334"/>
        <w:gridCol w:w="3101"/>
        <w:gridCol w:w="2293"/>
        <w:gridCol w:w="2293"/>
      </w:tblGrid>
      <w:tr w:rsidR="009949E6" w:rsidRPr="0036688C" w14:paraId="61DB45BC" w14:textId="77777777" w:rsidTr="009F2397">
        <w:trPr>
          <w:tblHeader/>
        </w:trPr>
        <w:tc>
          <w:tcPr>
            <w:tcW w:w="739" w:type="pct"/>
            <w:tcBorders>
              <w:top w:val="nil"/>
              <w:left w:val="nil"/>
            </w:tcBorders>
          </w:tcPr>
          <w:p w14:paraId="24EBD060" w14:textId="77777777" w:rsidR="009949E6" w:rsidRPr="0036688C" w:rsidRDefault="009949E6" w:rsidP="00AB1C35"/>
        </w:tc>
        <w:tc>
          <w:tcPr>
            <w:tcW w:w="1719" w:type="pct"/>
            <w:shd w:val="clear" w:color="auto" w:fill="D2EAF1"/>
          </w:tcPr>
          <w:p w14:paraId="05A5B604" w14:textId="77777777" w:rsidR="009949E6" w:rsidRPr="0036688C" w:rsidRDefault="009949E6" w:rsidP="00C46142">
            <w:pPr>
              <w:pStyle w:val="TableHeading"/>
            </w:pPr>
            <w:r w:rsidRPr="0036688C">
              <w:t>Level 1</w:t>
            </w:r>
          </w:p>
        </w:tc>
        <w:tc>
          <w:tcPr>
            <w:tcW w:w="1271" w:type="pct"/>
            <w:shd w:val="clear" w:color="auto" w:fill="D2EAF1"/>
          </w:tcPr>
          <w:p w14:paraId="41446157" w14:textId="77777777" w:rsidR="009949E6" w:rsidRPr="0036688C" w:rsidRDefault="009949E6" w:rsidP="00C46142">
            <w:pPr>
              <w:pStyle w:val="TableHeading"/>
            </w:pPr>
            <w:r w:rsidRPr="0036688C">
              <w:t>Level 2</w:t>
            </w:r>
          </w:p>
        </w:tc>
        <w:tc>
          <w:tcPr>
            <w:tcW w:w="1271" w:type="pct"/>
            <w:shd w:val="clear" w:color="auto" w:fill="D2EAF1"/>
          </w:tcPr>
          <w:p w14:paraId="77570EAF" w14:textId="77777777" w:rsidR="009949E6" w:rsidRPr="0036688C" w:rsidRDefault="009949E6" w:rsidP="00C46142">
            <w:pPr>
              <w:pStyle w:val="TableHeading"/>
            </w:pPr>
            <w:r w:rsidRPr="0036688C">
              <w:t>Level 3</w:t>
            </w:r>
          </w:p>
        </w:tc>
      </w:tr>
      <w:tr w:rsidR="009949E6" w14:paraId="30685CE6" w14:textId="77777777" w:rsidTr="00032FF6">
        <w:tc>
          <w:tcPr>
            <w:tcW w:w="739" w:type="pct"/>
          </w:tcPr>
          <w:p w14:paraId="340F285F" w14:textId="77777777" w:rsidR="009949E6" w:rsidRPr="0036688C" w:rsidRDefault="009949E6" w:rsidP="00E65280">
            <w:pPr>
              <w:pStyle w:val="TableText"/>
              <w:rPr>
                <w:b/>
              </w:rPr>
            </w:pPr>
            <w:r>
              <w:rPr>
                <w:b/>
              </w:rPr>
              <w:t xml:space="preserve">Action Required – </w:t>
            </w:r>
            <w:r w:rsidRPr="00472DB7">
              <w:t>applicable to both clinical and corporate incidents</w:t>
            </w:r>
          </w:p>
        </w:tc>
        <w:tc>
          <w:tcPr>
            <w:tcW w:w="1719" w:type="pct"/>
          </w:tcPr>
          <w:p w14:paraId="5F22B135" w14:textId="08006307" w:rsidR="009949E6" w:rsidRPr="00E65280" w:rsidRDefault="00F44EA0" w:rsidP="00E65280">
            <w:pPr>
              <w:pStyle w:val="TableText"/>
            </w:pPr>
            <w:r>
              <w:t>An investigation that includes an examination of root causes</w:t>
            </w:r>
            <w:r w:rsidR="009949E6" w:rsidRPr="00E65280">
              <w:t xml:space="preserve"> to be undertaken in accordance with state or territory policies and protocols.</w:t>
            </w:r>
          </w:p>
          <w:p w14:paraId="6556C624" w14:textId="228B6DAE" w:rsidR="009949E6" w:rsidRPr="00E65280" w:rsidRDefault="009949E6" w:rsidP="00E65280">
            <w:pPr>
              <w:pStyle w:val="TableText"/>
            </w:pPr>
            <w:r w:rsidRPr="00E65280">
              <w:t xml:space="preserve">The jurisdictional SCU, State Quality Committee (SQC) and Department of Health must be notified of the incident and the commencement and outcome of investigations. </w:t>
            </w:r>
          </w:p>
          <w:p w14:paraId="01EC5E31" w14:textId="72AA2644" w:rsidR="009949E6" w:rsidRPr="00E65280" w:rsidRDefault="009949E6" w:rsidP="00E65280">
            <w:pPr>
              <w:pStyle w:val="TableText"/>
            </w:pPr>
            <w:r w:rsidRPr="00E65280">
              <w:t xml:space="preserve">The final report, which details the findings and outcomes of investigations must be provided to the NQMC. </w:t>
            </w:r>
          </w:p>
        </w:tc>
        <w:tc>
          <w:tcPr>
            <w:tcW w:w="1271" w:type="pct"/>
          </w:tcPr>
          <w:p w14:paraId="63E63C97" w14:textId="6C3C8E4B" w:rsidR="009949E6" w:rsidRPr="00E65280" w:rsidRDefault="009949E6" w:rsidP="00E65280">
            <w:pPr>
              <w:pStyle w:val="TableText"/>
            </w:pPr>
            <w:r w:rsidRPr="00E65280">
              <w:t>A thorough investigation to be undertaken in accordance with state or te</w:t>
            </w:r>
            <w:r w:rsidR="00FB0854">
              <w:t>rritory policies and protocols.</w:t>
            </w:r>
          </w:p>
          <w:p w14:paraId="6A74351C" w14:textId="77777777" w:rsidR="009949E6" w:rsidRPr="00E65280" w:rsidRDefault="009949E6" w:rsidP="00E65280">
            <w:pPr>
              <w:pStyle w:val="TableText"/>
            </w:pPr>
            <w:r w:rsidRPr="00E65280">
              <w:t xml:space="preserve">The jurisdictional SCU and SQC must be notified of the incident and the commencement and outcome of investigations. </w:t>
            </w:r>
          </w:p>
          <w:p w14:paraId="13BF5CDC" w14:textId="2F0D361D" w:rsidR="009949E6" w:rsidRPr="00E65280" w:rsidRDefault="00B6663C" w:rsidP="00E65280">
            <w:pPr>
              <w:pStyle w:val="TableText"/>
            </w:pPr>
            <w:r w:rsidRPr="00E65280">
              <w:t xml:space="preserve">Report to the NQMC and/or other jurisdictions if the adverse event has or potentially has national risks or implications. </w:t>
            </w:r>
          </w:p>
        </w:tc>
        <w:tc>
          <w:tcPr>
            <w:tcW w:w="1271" w:type="pct"/>
          </w:tcPr>
          <w:p w14:paraId="2F5A25C9" w14:textId="77777777" w:rsidR="009949E6" w:rsidRPr="00E65280" w:rsidRDefault="009949E6" w:rsidP="00E65280">
            <w:pPr>
              <w:pStyle w:val="TableText"/>
            </w:pPr>
            <w:r w:rsidRPr="00E65280">
              <w:t xml:space="preserve">Incidents that are similar in nature should be aggregated by the Service and/or SCU and investigated in groups to determine and address the cause of the incident. </w:t>
            </w:r>
          </w:p>
        </w:tc>
      </w:tr>
    </w:tbl>
    <w:p w14:paraId="665B4456" w14:textId="6967D9BA" w:rsidR="0035174A" w:rsidRPr="00CE607B" w:rsidRDefault="0035174A" w:rsidP="0008617F">
      <w:pPr>
        <w:pStyle w:val="Heading1"/>
        <w:numPr>
          <w:ilvl w:val="0"/>
          <w:numId w:val="0"/>
        </w:numPr>
        <w:ind w:left="4536"/>
      </w:pPr>
      <w:bookmarkStart w:id="301" w:name="_Attachment_1:_BreastScreen"/>
      <w:bookmarkStart w:id="302" w:name="_Toc368410724"/>
      <w:bookmarkStart w:id="303" w:name="_Toc517944703"/>
      <w:bookmarkStart w:id="304" w:name="_Toc66438736"/>
      <w:bookmarkEnd w:id="284"/>
      <w:bookmarkEnd w:id="301"/>
      <w:r w:rsidRPr="00CE607B">
        <w:lastRenderedPageBreak/>
        <w:t xml:space="preserve">Attachment </w:t>
      </w:r>
      <w:bookmarkEnd w:id="302"/>
      <w:r w:rsidR="003157D0" w:rsidRPr="00CE607B">
        <w:t>1</w:t>
      </w:r>
      <w:r w:rsidR="00B54DA9">
        <w:t>:</w:t>
      </w:r>
      <w:r w:rsidR="00B54DA9">
        <w:tab/>
      </w:r>
      <w:r w:rsidRPr="00CE607B">
        <w:t>BreastScreen Australia National Quality Improvement Framework</w:t>
      </w:r>
      <w:bookmarkEnd w:id="303"/>
      <w:bookmarkEnd w:id="304"/>
    </w:p>
    <w:p w14:paraId="4150F8EC" w14:textId="77777777" w:rsidR="0035174A" w:rsidRPr="00CA2FBA" w:rsidRDefault="0035174A" w:rsidP="00AB1C35">
      <w:r w:rsidRPr="00CA2FBA">
        <w:t>The purpose of the BreastScreen Australia National Quality Improvement Framework is to outline the process through which quality issues identified within BreastScreen Australia are managed to drive continuous quality improvement at a national, state and service level.</w:t>
      </w:r>
    </w:p>
    <w:p w14:paraId="38CF6ADB" w14:textId="615CC4E9" w:rsidR="0035174A" w:rsidRDefault="0035174A" w:rsidP="00AB1C35">
      <w:r w:rsidRPr="00CA2FBA">
        <w:t>The BreastScreen Australia National Quality Management Committee (NQMC) is responsible for monitoring the quality of services delivered by BreastScreen Australia. This framework describes five steps for how the NQMC will use the information it receives from BreastScreen Screening and Assessment Services (Services) and State Coordination Units (SCUs)</w:t>
      </w:r>
      <w:r w:rsidR="00B6663C" w:rsidRPr="00CA2FBA">
        <w:t>, and jurisdictional State Quality Committee (SQC)’s and survey reports</w:t>
      </w:r>
      <w:r w:rsidRPr="00CA2FBA">
        <w:t xml:space="preserve"> to optimise performance of the national program. It is expected that each </w:t>
      </w:r>
      <w:r w:rsidR="00B6663C" w:rsidRPr="00CA2FBA">
        <w:t xml:space="preserve">SQC </w:t>
      </w:r>
      <w:r w:rsidRPr="00CA2FBA">
        <w:t xml:space="preserve">develops its own Quality Improvement Framework which is informed by and aligns with this five-step approach. </w:t>
      </w:r>
      <w:r w:rsidR="00E36FE7" w:rsidRPr="00CA2FBA">
        <w:rPr>
          <w:rStyle w:val="FootnoteReference"/>
        </w:rPr>
        <w:footnoteReference w:id="10"/>
      </w:r>
      <w:r w:rsidR="00086CBA">
        <w:t xml:space="preserve"> </w:t>
      </w:r>
      <w:r w:rsidR="00086CBA">
        <w:rPr>
          <w:noProof/>
          <w:lang w:val="en-AU" w:eastAsia="en-AU"/>
        </w:rPr>
        <w:lastRenderedPageBreak/>
        <w:drawing>
          <wp:inline distT="0" distB="0" distL="0" distR="0" wp14:anchorId="789C8C7D" wp14:editId="2A9143F0">
            <wp:extent cx="5499100" cy="8888730"/>
            <wp:effectExtent l="0" t="0" r="6350" b="0"/>
            <wp:docPr id="6" name="Picture 6" descr="Diagram of the National Quality Improvement Framework" title="National Quality Improve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9100" cy="8888730"/>
                    </a:xfrm>
                    <a:prstGeom prst="rect">
                      <a:avLst/>
                    </a:prstGeom>
                    <a:noFill/>
                  </pic:spPr>
                </pic:pic>
              </a:graphicData>
            </a:graphic>
          </wp:inline>
        </w:drawing>
      </w:r>
    </w:p>
    <w:p w14:paraId="79621875" w14:textId="5018AC01" w:rsidR="007C31B0" w:rsidRPr="00F86C25" w:rsidRDefault="00CD00D6" w:rsidP="0008617F">
      <w:pPr>
        <w:pStyle w:val="Heading1"/>
        <w:numPr>
          <w:ilvl w:val="0"/>
          <w:numId w:val="0"/>
        </w:numPr>
        <w:ind w:left="4536"/>
      </w:pPr>
      <w:bookmarkStart w:id="305" w:name="_Attachment_2:_"/>
      <w:bookmarkStart w:id="306" w:name="_Toc517944704"/>
      <w:bookmarkStart w:id="307" w:name="_Toc368410725"/>
      <w:bookmarkStart w:id="308" w:name="_Toc66438737"/>
      <w:bookmarkEnd w:id="305"/>
      <w:r w:rsidRPr="00E529C8">
        <w:lastRenderedPageBreak/>
        <w:t>A</w:t>
      </w:r>
      <w:r>
        <w:t>ttachment 2</w:t>
      </w:r>
      <w:r w:rsidR="00CE607B">
        <w:t>:</w:t>
      </w:r>
      <w:r w:rsidR="00457B99">
        <w:t xml:space="preserve"> </w:t>
      </w:r>
      <w:r w:rsidR="00B54DA9">
        <w:tab/>
      </w:r>
      <w:r w:rsidR="007C31B0" w:rsidRPr="00E529C8">
        <w:t>BreastScreen Australia National Accreditation</w:t>
      </w:r>
      <w:r w:rsidR="00F86C25">
        <w:t xml:space="preserve"> </w:t>
      </w:r>
      <w:r w:rsidR="007C31B0" w:rsidRPr="00E529C8">
        <w:t>Standards and Risk Category Grouping</w:t>
      </w:r>
      <w:bookmarkEnd w:id="306"/>
      <w:bookmarkEnd w:id="308"/>
      <w:r w:rsidR="00F86C25">
        <w:t xml:space="preserve"> </w:t>
      </w:r>
      <w:bookmarkEnd w:id="30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andard 1 - Risk groupings"/>
        <w:tblDescription w:val="NAS Measure Risk Groupings for Standard 1"/>
      </w:tblPr>
      <w:tblGrid>
        <w:gridCol w:w="2332"/>
        <w:gridCol w:w="2330"/>
        <w:gridCol w:w="2330"/>
        <w:gridCol w:w="2330"/>
      </w:tblGrid>
      <w:tr w:rsidR="007C31B0" w:rsidRPr="00E529C8" w14:paraId="68FA3D4B" w14:textId="77777777" w:rsidTr="001A6C5A">
        <w:trPr>
          <w:trHeight w:val="250"/>
        </w:trPr>
        <w:tc>
          <w:tcPr>
            <w:tcW w:w="2332" w:type="dxa"/>
            <w:shd w:val="clear" w:color="auto" w:fill="D9D9D9"/>
            <w:vAlign w:val="center"/>
          </w:tcPr>
          <w:p w14:paraId="1CA56EAD" w14:textId="77777777" w:rsidR="007C31B0" w:rsidRPr="00E529C8" w:rsidRDefault="007C31B0" w:rsidP="00C46142">
            <w:pPr>
              <w:pStyle w:val="TableHeading"/>
              <w:rPr>
                <w:snapToGrid w:val="0"/>
              </w:rPr>
            </w:pPr>
            <w:r w:rsidRPr="00E529C8">
              <w:rPr>
                <w:snapToGrid w:val="0"/>
              </w:rPr>
              <w:t>Standard</w:t>
            </w:r>
            <w:r w:rsidR="00662964">
              <w:rPr>
                <w:snapToGrid w:val="0"/>
              </w:rPr>
              <w:t xml:space="preserve"> 1</w:t>
            </w:r>
          </w:p>
        </w:tc>
        <w:tc>
          <w:tcPr>
            <w:tcW w:w="6990" w:type="dxa"/>
            <w:gridSpan w:val="3"/>
            <w:shd w:val="clear" w:color="auto" w:fill="D9D9D9"/>
            <w:vAlign w:val="center"/>
          </w:tcPr>
          <w:p w14:paraId="1193AA55" w14:textId="17BC7259" w:rsidR="007C31B0" w:rsidRPr="00E529C8" w:rsidRDefault="007C31B0" w:rsidP="00C46142">
            <w:pPr>
              <w:pStyle w:val="TableHeading"/>
              <w:rPr>
                <w:snapToGrid w:val="0"/>
              </w:rPr>
            </w:pPr>
            <w:r w:rsidRPr="00E529C8">
              <w:rPr>
                <w:snapToGrid w:val="0"/>
              </w:rPr>
              <w:t>Risk Category Grouping</w:t>
            </w:r>
          </w:p>
        </w:tc>
      </w:tr>
      <w:tr w:rsidR="007C31B0" w:rsidRPr="00E529C8" w14:paraId="69238F97" w14:textId="77777777" w:rsidTr="001A6C5A">
        <w:trPr>
          <w:trHeight w:val="250"/>
        </w:trPr>
        <w:tc>
          <w:tcPr>
            <w:tcW w:w="2332" w:type="dxa"/>
            <w:vMerge w:val="restart"/>
            <w:shd w:val="clear" w:color="auto" w:fill="auto"/>
            <w:vAlign w:val="center"/>
          </w:tcPr>
          <w:p w14:paraId="630E4BD9" w14:textId="77777777" w:rsidR="007C31B0" w:rsidRPr="00E529C8" w:rsidRDefault="007C31B0" w:rsidP="00E65280">
            <w:pPr>
              <w:pStyle w:val="TableText"/>
              <w:rPr>
                <w:b/>
                <w:snapToGrid w:val="0"/>
              </w:rPr>
            </w:pPr>
            <w:r w:rsidRPr="00E529C8">
              <w:t>Access and Participation</w:t>
            </w:r>
          </w:p>
        </w:tc>
        <w:tc>
          <w:tcPr>
            <w:tcW w:w="2330" w:type="dxa"/>
            <w:shd w:val="clear" w:color="auto" w:fill="auto"/>
          </w:tcPr>
          <w:p w14:paraId="3680A95C" w14:textId="77777777" w:rsidR="007C31B0" w:rsidRPr="00E529C8" w:rsidRDefault="007C31B0" w:rsidP="00E65280">
            <w:pPr>
              <w:pStyle w:val="TableText"/>
              <w:jc w:val="center"/>
              <w:rPr>
                <w:b/>
                <w:snapToGrid w:val="0"/>
              </w:rPr>
            </w:pPr>
            <w:r w:rsidRPr="00E529C8">
              <w:rPr>
                <w:snapToGrid w:val="0"/>
              </w:rPr>
              <w:t>Level 1</w:t>
            </w:r>
          </w:p>
        </w:tc>
        <w:tc>
          <w:tcPr>
            <w:tcW w:w="2330" w:type="dxa"/>
            <w:shd w:val="clear" w:color="auto" w:fill="auto"/>
          </w:tcPr>
          <w:p w14:paraId="00EE0CFC" w14:textId="77777777" w:rsidR="007C31B0" w:rsidRPr="00E529C8" w:rsidRDefault="007C31B0" w:rsidP="00E65280">
            <w:pPr>
              <w:pStyle w:val="TableText"/>
              <w:jc w:val="center"/>
              <w:rPr>
                <w:b/>
                <w:snapToGrid w:val="0"/>
              </w:rPr>
            </w:pPr>
            <w:r w:rsidRPr="00E529C8">
              <w:rPr>
                <w:snapToGrid w:val="0"/>
              </w:rPr>
              <w:t>Level 2</w:t>
            </w:r>
          </w:p>
        </w:tc>
        <w:tc>
          <w:tcPr>
            <w:tcW w:w="2330" w:type="dxa"/>
            <w:shd w:val="clear" w:color="auto" w:fill="auto"/>
          </w:tcPr>
          <w:p w14:paraId="4774DBDD" w14:textId="77777777" w:rsidR="007C31B0" w:rsidRPr="00E529C8" w:rsidRDefault="007C31B0" w:rsidP="00E65280">
            <w:pPr>
              <w:pStyle w:val="TableText"/>
              <w:jc w:val="center"/>
              <w:rPr>
                <w:b/>
                <w:snapToGrid w:val="0"/>
              </w:rPr>
            </w:pPr>
            <w:r w:rsidRPr="00E529C8">
              <w:rPr>
                <w:snapToGrid w:val="0"/>
              </w:rPr>
              <w:t>Level 3</w:t>
            </w:r>
          </w:p>
        </w:tc>
      </w:tr>
      <w:tr w:rsidR="007C31B0" w:rsidRPr="00E529C8" w14:paraId="2D7FCD84" w14:textId="77777777" w:rsidTr="001A6C5A">
        <w:trPr>
          <w:trHeight w:val="250"/>
        </w:trPr>
        <w:tc>
          <w:tcPr>
            <w:tcW w:w="2332" w:type="dxa"/>
            <w:vMerge/>
            <w:shd w:val="clear" w:color="auto" w:fill="auto"/>
          </w:tcPr>
          <w:p w14:paraId="14488526" w14:textId="77777777" w:rsidR="007C31B0" w:rsidRPr="00E529C8" w:rsidRDefault="007C31B0" w:rsidP="00AB1C35"/>
        </w:tc>
        <w:tc>
          <w:tcPr>
            <w:tcW w:w="2330" w:type="dxa"/>
            <w:shd w:val="clear" w:color="auto" w:fill="D2EAF1"/>
          </w:tcPr>
          <w:p w14:paraId="3D28CEDB" w14:textId="77777777" w:rsidR="007C31B0" w:rsidRPr="00E529C8" w:rsidRDefault="007C31B0" w:rsidP="00E65280">
            <w:pPr>
              <w:pStyle w:val="TableText"/>
              <w:jc w:val="center"/>
              <w:rPr>
                <w:snapToGrid w:val="0"/>
              </w:rPr>
            </w:pPr>
          </w:p>
        </w:tc>
        <w:tc>
          <w:tcPr>
            <w:tcW w:w="2330" w:type="dxa"/>
            <w:shd w:val="clear" w:color="auto" w:fill="D2EAF1"/>
          </w:tcPr>
          <w:p w14:paraId="61948F68" w14:textId="77777777" w:rsidR="007C31B0" w:rsidRPr="00E529C8" w:rsidRDefault="007C31B0" w:rsidP="00E65280">
            <w:pPr>
              <w:pStyle w:val="TableText"/>
              <w:jc w:val="center"/>
              <w:rPr>
                <w:snapToGrid w:val="0"/>
              </w:rPr>
            </w:pPr>
            <w:r w:rsidRPr="00E529C8">
              <w:rPr>
                <w:snapToGrid w:val="0"/>
              </w:rPr>
              <w:t>1.1.1</w:t>
            </w:r>
          </w:p>
        </w:tc>
        <w:tc>
          <w:tcPr>
            <w:tcW w:w="2330" w:type="dxa"/>
            <w:shd w:val="clear" w:color="auto" w:fill="D2EAF1"/>
          </w:tcPr>
          <w:p w14:paraId="1B4E7F8C" w14:textId="77777777" w:rsidR="007C31B0" w:rsidRPr="00E529C8" w:rsidRDefault="007C31B0" w:rsidP="00E65280">
            <w:pPr>
              <w:pStyle w:val="TableText"/>
              <w:jc w:val="center"/>
              <w:rPr>
                <w:snapToGrid w:val="0"/>
              </w:rPr>
            </w:pPr>
            <w:r w:rsidRPr="00E529C8">
              <w:rPr>
                <w:snapToGrid w:val="0"/>
              </w:rPr>
              <w:t>1.2.2</w:t>
            </w:r>
          </w:p>
        </w:tc>
      </w:tr>
      <w:tr w:rsidR="007C31B0" w:rsidRPr="00E529C8" w14:paraId="0C809566" w14:textId="77777777" w:rsidTr="001A6C5A">
        <w:trPr>
          <w:trHeight w:val="250"/>
        </w:trPr>
        <w:tc>
          <w:tcPr>
            <w:tcW w:w="2332" w:type="dxa"/>
            <w:vMerge/>
            <w:shd w:val="clear" w:color="auto" w:fill="auto"/>
          </w:tcPr>
          <w:p w14:paraId="1AFC0883" w14:textId="77777777" w:rsidR="007C31B0" w:rsidRPr="00E529C8" w:rsidRDefault="007C31B0" w:rsidP="00AB1C35">
            <w:pPr>
              <w:rPr>
                <w:snapToGrid w:val="0"/>
              </w:rPr>
            </w:pPr>
          </w:p>
        </w:tc>
        <w:tc>
          <w:tcPr>
            <w:tcW w:w="2330" w:type="dxa"/>
            <w:shd w:val="clear" w:color="auto" w:fill="auto"/>
          </w:tcPr>
          <w:p w14:paraId="51DF4EF9" w14:textId="77777777" w:rsidR="007C31B0" w:rsidRPr="00E529C8" w:rsidRDefault="007C31B0" w:rsidP="00E65280">
            <w:pPr>
              <w:pStyle w:val="TableText"/>
              <w:jc w:val="center"/>
              <w:rPr>
                <w:snapToGrid w:val="0"/>
              </w:rPr>
            </w:pPr>
          </w:p>
        </w:tc>
        <w:tc>
          <w:tcPr>
            <w:tcW w:w="2330" w:type="dxa"/>
            <w:shd w:val="clear" w:color="auto" w:fill="auto"/>
          </w:tcPr>
          <w:p w14:paraId="7EE587EF" w14:textId="77777777" w:rsidR="007C31B0" w:rsidRPr="00E529C8" w:rsidRDefault="007C31B0" w:rsidP="00E65280">
            <w:pPr>
              <w:pStyle w:val="TableText"/>
              <w:jc w:val="center"/>
              <w:rPr>
                <w:snapToGrid w:val="0"/>
              </w:rPr>
            </w:pPr>
            <w:r w:rsidRPr="00E529C8">
              <w:rPr>
                <w:snapToGrid w:val="0"/>
              </w:rPr>
              <w:t>1.1.2</w:t>
            </w:r>
          </w:p>
        </w:tc>
        <w:tc>
          <w:tcPr>
            <w:tcW w:w="2330" w:type="dxa"/>
            <w:shd w:val="clear" w:color="auto" w:fill="auto"/>
          </w:tcPr>
          <w:p w14:paraId="469CE817" w14:textId="77777777" w:rsidR="007C31B0" w:rsidRPr="00E529C8" w:rsidRDefault="007C31B0" w:rsidP="00E65280">
            <w:pPr>
              <w:pStyle w:val="TableText"/>
              <w:jc w:val="center"/>
              <w:rPr>
                <w:snapToGrid w:val="0"/>
              </w:rPr>
            </w:pPr>
          </w:p>
        </w:tc>
      </w:tr>
      <w:tr w:rsidR="007C31B0" w:rsidRPr="00E529C8" w14:paraId="4F9A0DCC" w14:textId="77777777" w:rsidTr="001A6C5A">
        <w:trPr>
          <w:trHeight w:val="250"/>
        </w:trPr>
        <w:tc>
          <w:tcPr>
            <w:tcW w:w="2332" w:type="dxa"/>
            <w:vMerge/>
            <w:shd w:val="clear" w:color="auto" w:fill="auto"/>
          </w:tcPr>
          <w:p w14:paraId="3BF011C4" w14:textId="77777777" w:rsidR="007C31B0" w:rsidRPr="00E529C8" w:rsidRDefault="007C31B0" w:rsidP="00AB1C35">
            <w:pPr>
              <w:rPr>
                <w:snapToGrid w:val="0"/>
              </w:rPr>
            </w:pPr>
          </w:p>
        </w:tc>
        <w:tc>
          <w:tcPr>
            <w:tcW w:w="2330" w:type="dxa"/>
            <w:shd w:val="clear" w:color="auto" w:fill="D2EAF1"/>
          </w:tcPr>
          <w:p w14:paraId="03E67063" w14:textId="77777777" w:rsidR="007C31B0" w:rsidRPr="00E529C8" w:rsidRDefault="007C31B0" w:rsidP="00E65280">
            <w:pPr>
              <w:pStyle w:val="TableText"/>
              <w:jc w:val="center"/>
              <w:rPr>
                <w:snapToGrid w:val="0"/>
              </w:rPr>
            </w:pPr>
          </w:p>
        </w:tc>
        <w:tc>
          <w:tcPr>
            <w:tcW w:w="2330" w:type="dxa"/>
            <w:shd w:val="clear" w:color="auto" w:fill="D2EAF1"/>
          </w:tcPr>
          <w:p w14:paraId="3A7233D2" w14:textId="77777777" w:rsidR="007C31B0" w:rsidRPr="00E529C8" w:rsidRDefault="007C31B0" w:rsidP="00E65280">
            <w:pPr>
              <w:pStyle w:val="TableText"/>
              <w:jc w:val="center"/>
              <w:rPr>
                <w:snapToGrid w:val="0"/>
              </w:rPr>
            </w:pPr>
            <w:r w:rsidRPr="00E529C8">
              <w:rPr>
                <w:snapToGrid w:val="0"/>
              </w:rPr>
              <w:t>1.1.3</w:t>
            </w:r>
          </w:p>
        </w:tc>
        <w:tc>
          <w:tcPr>
            <w:tcW w:w="2330" w:type="dxa"/>
            <w:shd w:val="clear" w:color="auto" w:fill="D2EAF1"/>
          </w:tcPr>
          <w:p w14:paraId="4A3ADF6C" w14:textId="77777777" w:rsidR="007C31B0" w:rsidRPr="00E529C8" w:rsidRDefault="007C31B0" w:rsidP="00E65280">
            <w:pPr>
              <w:pStyle w:val="TableText"/>
              <w:jc w:val="center"/>
              <w:rPr>
                <w:snapToGrid w:val="0"/>
              </w:rPr>
            </w:pPr>
          </w:p>
        </w:tc>
      </w:tr>
      <w:tr w:rsidR="007C31B0" w:rsidRPr="00E529C8" w14:paraId="38F11972" w14:textId="77777777" w:rsidTr="001A6C5A">
        <w:trPr>
          <w:trHeight w:val="250"/>
        </w:trPr>
        <w:tc>
          <w:tcPr>
            <w:tcW w:w="2332" w:type="dxa"/>
            <w:vMerge/>
            <w:shd w:val="clear" w:color="auto" w:fill="auto"/>
          </w:tcPr>
          <w:p w14:paraId="64102399" w14:textId="77777777" w:rsidR="007C31B0" w:rsidRPr="00E529C8" w:rsidRDefault="007C31B0" w:rsidP="00AB1C35">
            <w:pPr>
              <w:rPr>
                <w:snapToGrid w:val="0"/>
              </w:rPr>
            </w:pPr>
          </w:p>
        </w:tc>
        <w:tc>
          <w:tcPr>
            <w:tcW w:w="2330" w:type="dxa"/>
            <w:shd w:val="clear" w:color="auto" w:fill="auto"/>
          </w:tcPr>
          <w:p w14:paraId="5A329247" w14:textId="77777777" w:rsidR="007C31B0" w:rsidRPr="00E529C8" w:rsidRDefault="007C31B0" w:rsidP="00E65280">
            <w:pPr>
              <w:pStyle w:val="TableText"/>
              <w:jc w:val="center"/>
              <w:rPr>
                <w:snapToGrid w:val="0"/>
              </w:rPr>
            </w:pPr>
          </w:p>
        </w:tc>
        <w:tc>
          <w:tcPr>
            <w:tcW w:w="2330" w:type="dxa"/>
            <w:shd w:val="clear" w:color="auto" w:fill="auto"/>
          </w:tcPr>
          <w:p w14:paraId="612284A2" w14:textId="77777777" w:rsidR="007C31B0" w:rsidRPr="00E529C8" w:rsidRDefault="007C31B0" w:rsidP="00E65280">
            <w:pPr>
              <w:pStyle w:val="TableText"/>
              <w:jc w:val="center"/>
              <w:rPr>
                <w:snapToGrid w:val="0"/>
              </w:rPr>
            </w:pPr>
            <w:r w:rsidRPr="00E529C8">
              <w:rPr>
                <w:snapToGrid w:val="0"/>
              </w:rPr>
              <w:t>1.2.1</w:t>
            </w:r>
          </w:p>
        </w:tc>
        <w:tc>
          <w:tcPr>
            <w:tcW w:w="2330" w:type="dxa"/>
            <w:shd w:val="clear" w:color="auto" w:fill="auto"/>
          </w:tcPr>
          <w:p w14:paraId="044728B3" w14:textId="77777777" w:rsidR="007C31B0" w:rsidRPr="00E529C8" w:rsidRDefault="007C31B0" w:rsidP="00E65280">
            <w:pPr>
              <w:pStyle w:val="TableText"/>
              <w:jc w:val="center"/>
              <w:rPr>
                <w:snapToGrid w:val="0"/>
              </w:rPr>
            </w:pPr>
          </w:p>
        </w:tc>
      </w:tr>
    </w:tbl>
    <w:p w14:paraId="1E00D965" w14:textId="77777777" w:rsidR="007C31B0" w:rsidRDefault="007C31B0" w:rsidP="00AB1C35">
      <w:pPr>
        <w:rPr>
          <w:snapToGrid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andard 2 risk groupings"/>
        <w:tblDescription w:val="NAS Measure Risk Groupings for Standard"/>
      </w:tblPr>
      <w:tblGrid>
        <w:gridCol w:w="2330"/>
        <w:gridCol w:w="2330"/>
        <w:gridCol w:w="2331"/>
        <w:gridCol w:w="2331"/>
      </w:tblGrid>
      <w:tr w:rsidR="007C31B0" w:rsidRPr="00285E70" w14:paraId="75987013" w14:textId="77777777" w:rsidTr="001A6C5A">
        <w:trPr>
          <w:trHeight w:val="250"/>
        </w:trPr>
        <w:tc>
          <w:tcPr>
            <w:tcW w:w="2330" w:type="dxa"/>
            <w:shd w:val="clear" w:color="auto" w:fill="BFBFBF"/>
            <w:vAlign w:val="center"/>
          </w:tcPr>
          <w:p w14:paraId="30B5E10A" w14:textId="77777777" w:rsidR="007C31B0" w:rsidRPr="00E529C8" w:rsidRDefault="007C31B0" w:rsidP="00C46142">
            <w:pPr>
              <w:pStyle w:val="TableHeading"/>
              <w:rPr>
                <w:snapToGrid w:val="0"/>
              </w:rPr>
            </w:pPr>
            <w:r w:rsidRPr="00E529C8">
              <w:rPr>
                <w:snapToGrid w:val="0"/>
              </w:rPr>
              <w:t>Standard</w:t>
            </w:r>
            <w:r w:rsidR="00662964">
              <w:rPr>
                <w:snapToGrid w:val="0"/>
              </w:rPr>
              <w:t xml:space="preserve"> 2</w:t>
            </w:r>
          </w:p>
        </w:tc>
        <w:tc>
          <w:tcPr>
            <w:tcW w:w="6992" w:type="dxa"/>
            <w:gridSpan w:val="3"/>
            <w:shd w:val="clear" w:color="auto" w:fill="BFBFBF"/>
            <w:vAlign w:val="center"/>
          </w:tcPr>
          <w:p w14:paraId="4C87175F" w14:textId="52335E7B" w:rsidR="007C31B0" w:rsidRPr="00E529C8" w:rsidRDefault="007C31B0" w:rsidP="00C46142">
            <w:pPr>
              <w:pStyle w:val="TableHeading"/>
              <w:rPr>
                <w:snapToGrid w:val="0"/>
              </w:rPr>
            </w:pPr>
            <w:r w:rsidRPr="00E529C8">
              <w:rPr>
                <w:snapToGrid w:val="0"/>
              </w:rPr>
              <w:t>Risk Category Grouping</w:t>
            </w:r>
          </w:p>
        </w:tc>
      </w:tr>
      <w:tr w:rsidR="007C31B0" w:rsidRPr="00285E70" w14:paraId="36AF4603" w14:textId="77777777" w:rsidTr="001A6C5A">
        <w:trPr>
          <w:trHeight w:val="250"/>
        </w:trPr>
        <w:tc>
          <w:tcPr>
            <w:tcW w:w="2330" w:type="dxa"/>
            <w:vMerge w:val="restart"/>
            <w:shd w:val="clear" w:color="auto" w:fill="auto"/>
            <w:vAlign w:val="center"/>
          </w:tcPr>
          <w:p w14:paraId="74107D90" w14:textId="77777777" w:rsidR="007C31B0" w:rsidRPr="00E529C8" w:rsidRDefault="007C31B0" w:rsidP="00E65280">
            <w:pPr>
              <w:pStyle w:val="TableText"/>
              <w:rPr>
                <w:b/>
                <w:snapToGrid w:val="0"/>
              </w:rPr>
            </w:pPr>
            <w:r w:rsidRPr="00E529C8">
              <w:rPr>
                <w:snapToGrid w:val="0"/>
              </w:rPr>
              <w:t>Cancer Detection</w:t>
            </w:r>
          </w:p>
        </w:tc>
        <w:tc>
          <w:tcPr>
            <w:tcW w:w="2330" w:type="dxa"/>
            <w:shd w:val="clear" w:color="auto" w:fill="auto"/>
          </w:tcPr>
          <w:p w14:paraId="37ADF679" w14:textId="77777777" w:rsidR="007C31B0" w:rsidRPr="00E529C8" w:rsidRDefault="007C31B0" w:rsidP="00E65280">
            <w:pPr>
              <w:pStyle w:val="TableText"/>
              <w:jc w:val="center"/>
              <w:rPr>
                <w:b/>
                <w:snapToGrid w:val="0"/>
              </w:rPr>
            </w:pPr>
            <w:r w:rsidRPr="00E529C8">
              <w:rPr>
                <w:snapToGrid w:val="0"/>
              </w:rPr>
              <w:t>Level 1</w:t>
            </w:r>
          </w:p>
        </w:tc>
        <w:tc>
          <w:tcPr>
            <w:tcW w:w="2331" w:type="dxa"/>
            <w:shd w:val="clear" w:color="auto" w:fill="auto"/>
          </w:tcPr>
          <w:p w14:paraId="27D54EDC" w14:textId="77777777" w:rsidR="007C31B0" w:rsidRPr="00E529C8" w:rsidRDefault="007C31B0" w:rsidP="00E65280">
            <w:pPr>
              <w:pStyle w:val="TableText"/>
              <w:jc w:val="center"/>
              <w:rPr>
                <w:b/>
                <w:snapToGrid w:val="0"/>
              </w:rPr>
            </w:pPr>
            <w:r w:rsidRPr="00E529C8">
              <w:rPr>
                <w:snapToGrid w:val="0"/>
              </w:rPr>
              <w:t>Level 2</w:t>
            </w:r>
          </w:p>
        </w:tc>
        <w:tc>
          <w:tcPr>
            <w:tcW w:w="2331" w:type="dxa"/>
            <w:shd w:val="clear" w:color="auto" w:fill="auto"/>
          </w:tcPr>
          <w:p w14:paraId="3D3F0BAA" w14:textId="77777777" w:rsidR="007C31B0" w:rsidRPr="00E529C8" w:rsidRDefault="007C31B0" w:rsidP="00E65280">
            <w:pPr>
              <w:pStyle w:val="TableText"/>
              <w:jc w:val="center"/>
              <w:rPr>
                <w:b/>
                <w:snapToGrid w:val="0"/>
              </w:rPr>
            </w:pPr>
            <w:r w:rsidRPr="00E529C8">
              <w:rPr>
                <w:snapToGrid w:val="0"/>
              </w:rPr>
              <w:t>Level 3</w:t>
            </w:r>
          </w:p>
        </w:tc>
      </w:tr>
      <w:tr w:rsidR="00C128DF" w:rsidRPr="00285E70" w14:paraId="267F2A35" w14:textId="77777777" w:rsidTr="001A6C5A">
        <w:trPr>
          <w:trHeight w:val="250"/>
        </w:trPr>
        <w:tc>
          <w:tcPr>
            <w:tcW w:w="2330" w:type="dxa"/>
            <w:vMerge/>
            <w:shd w:val="clear" w:color="auto" w:fill="auto"/>
            <w:vAlign w:val="center"/>
          </w:tcPr>
          <w:p w14:paraId="7D1D9EFA" w14:textId="77777777" w:rsidR="00C128DF" w:rsidRPr="00E529C8" w:rsidRDefault="00C128DF" w:rsidP="00AB1C35">
            <w:pPr>
              <w:rPr>
                <w:snapToGrid w:val="0"/>
              </w:rPr>
            </w:pPr>
          </w:p>
        </w:tc>
        <w:tc>
          <w:tcPr>
            <w:tcW w:w="2330" w:type="dxa"/>
            <w:shd w:val="clear" w:color="auto" w:fill="D2EAF1"/>
          </w:tcPr>
          <w:p w14:paraId="7468DE5E" w14:textId="77777777" w:rsidR="00C128DF" w:rsidRPr="0000023E" w:rsidRDefault="00C128DF" w:rsidP="00E65280">
            <w:pPr>
              <w:pStyle w:val="TableText"/>
              <w:jc w:val="center"/>
              <w:rPr>
                <w:snapToGrid w:val="0"/>
              </w:rPr>
            </w:pPr>
            <w:r w:rsidRPr="0000023E">
              <w:rPr>
                <w:snapToGrid w:val="0"/>
              </w:rPr>
              <w:t>2.1.1</w:t>
            </w:r>
          </w:p>
        </w:tc>
        <w:tc>
          <w:tcPr>
            <w:tcW w:w="2331" w:type="dxa"/>
            <w:shd w:val="clear" w:color="auto" w:fill="D2EAF1"/>
          </w:tcPr>
          <w:p w14:paraId="7627BE98" w14:textId="77777777" w:rsidR="00C128DF" w:rsidRPr="0000023E" w:rsidRDefault="00C128DF" w:rsidP="00E65280">
            <w:pPr>
              <w:pStyle w:val="TableText"/>
              <w:jc w:val="center"/>
              <w:rPr>
                <w:snapToGrid w:val="0"/>
              </w:rPr>
            </w:pPr>
            <w:r>
              <w:rPr>
                <w:snapToGrid w:val="0"/>
              </w:rPr>
              <w:t>2.1.4</w:t>
            </w:r>
          </w:p>
        </w:tc>
        <w:tc>
          <w:tcPr>
            <w:tcW w:w="2331" w:type="dxa"/>
            <w:shd w:val="clear" w:color="auto" w:fill="D2EAF1"/>
          </w:tcPr>
          <w:p w14:paraId="6DC7D68F" w14:textId="77777777" w:rsidR="00C128DF" w:rsidRPr="0000023E" w:rsidRDefault="00C128DF" w:rsidP="00E65280">
            <w:pPr>
              <w:pStyle w:val="TableText"/>
              <w:jc w:val="center"/>
              <w:rPr>
                <w:snapToGrid w:val="0"/>
              </w:rPr>
            </w:pPr>
            <w:r w:rsidRPr="0000023E">
              <w:rPr>
                <w:snapToGrid w:val="0"/>
              </w:rPr>
              <w:t>2.2.3</w:t>
            </w:r>
          </w:p>
        </w:tc>
      </w:tr>
      <w:tr w:rsidR="00B31F69" w:rsidRPr="00285E70" w14:paraId="164F02E8" w14:textId="77777777" w:rsidTr="001A6C5A">
        <w:trPr>
          <w:trHeight w:val="250"/>
        </w:trPr>
        <w:tc>
          <w:tcPr>
            <w:tcW w:w="2330" w:type="dxa"/>
            <w:vMerge/>
            <w:shd w:val="clear" w:color="auto" w:fill="auto"/>
            <w:vAlign w:val="center"/>
          </w:tcPr>
          <w:p w14:paraId="1A688CB4" w14:textId="77777777" w:rsidR="00B31F69" w:rsidRPr="00E529C8" w:rsidRDefault="00B31F69" w:rsidP="00AB1C35">
            <w:pPr>
              <w:rPr>
                <w:snapToGrid w:val="0"/>
              </w:rPr>
            </w:pPr>
          </w:p>
        </w:tc>
        <w:tc>
          <w:tcPr>
            <w:tcW w:w="2330" w:type="dxa"/>
            <w:shd w:val="clear" w:color="auto" w:fill="D2EAF1"/>
          </w:tcPr>
          <w:p w14:paraId="37EA92D5" w14:textId="77777777" w:rsidR="00B31F69" w:rsidRPr="0000023E" w:rsidRDefault="00B31F69" w:rsidP="00E65280">
            <w:pPr>
              <w:pStyle w:val="TableText"/>
              <w:jc w:val="center"/>
              <w:rPr>
                <w:snapToGrid w:val="0"/>
              </w:rPr>
            </w:pPr>
          </w:p>
        </w:tc>
        <w:tc>
          <w:tcPr>
            <w:tcW w:w="2331" w:type="dxa"/>
            <w:shd w:val="clear" w:color="auto" w:fill="D2EAF1"/>
          </w:tcPr>
          <w:p w14:paraId="3D0FCD1F" w14:textId="45DE3D14" w:rsidR="00B31F69" w:rsidRDefault="00B31F69" w:rsidP="00E65280">
            <w:pPr>
              <w:pStyle w:val="TableText"/>
              <w:jc w:val="center"/>
              <w:rPr>
                <w:snapToGrid w:val="0"/>
              </w:rPr>
            </w:pPr>
            <w:r>
              <w:rPr>
                <w:snapToGrid w:val="0"/>
              </w:rPr>
              <w:t>2.1.5</w:t>
            </w:r>
          </w:p>
        </w:tc>
        <w:tc>
          <w:tcPr>
            <w:tcW w:w="2331" w:type="dxa"/>
            <w:shd w:val="clear" w:color="auto" w:fill="D2EAF1"/>
          </w:tcPr>
          <w:p w14:paraId="223CECA4" w14:textId="77777777" w:rsidR="00B31F69" w:rsidRPr="0000023E" w:rsidRDefault="00B31F69" w:rsidP="00E65280">
            <w:pPr>
              <w:pStyle w:val="TableText"/>
              <w:jc w:val="center"/>
              <w:rPr>
                <w:snapToGrid w:val="0"/>
              </w:rPr>
            </w:pPr>
          </w:p>
        </w:tc>
      </w:tr>
      <w:tr w:rsidR="00B31F69" w:rsidRPr="00285E70" w14:paraId="6EC6E1D8" w14:textId="77777777" w:rsidTr="001A6C5A">
        <w:trPr>
          <w:trHeight w:val="250"/>
        </w:trPr>
        <w:tc>
          <w:tcPr>
            <w:tcW w:w="2330" w:type="dxa"/>
            <w:vMerge/>
            <w:shd w:val="clear" w:color="auto" w:fill="auto"/>
          </w:tcPr>
          <w:p w14:paraId="72B8AE9A" w14:textId="77777777" w:rsidR="00B31F69" w:rsidRPr="00E529C8" w:rsidRDefault="00B31F69" w:rsidP="00AB1C35">
            <w:pPr>
              <w:rPr>
                <w:snapToGrid w:val="0"/>
              </w:rPr>
            </w:pPr>
          </w:p>
        </w:tc>
        <w:tc>
          <w:tcPr>
            <w:tcW w:w="2330" w:type="dxa"/>
            <w:shd w:val="clear" w:color="auto" w:fill="auto"/>
          </w:tcPr>
          <w:p w14:paraId="320F3266" w14:textId="77777777" w:rsidR="00B31F69" w:rsidRPr="0000023E" w:rsidRDefault="00B31F69" w:rsidP="00E65280">
            <w:pPr>
              <w:pStyle w:val="TableText"/>
              <w:jc w:val="center"/>
              <w:rPr>
                <w:snapToGrid w:val="0"/>
              </w:rPr>
            </w:pPr>
          </w:p>
        </w:tc>
        <w:tc>
          <w:tcPr>
            <w:tcW w:w="2331" w:type="dxa"/>
            <w:shd w:val="clear" w:color="auto" w:fill="auto"/>
          </w:tcPr>
          <w:p w14:paraId="0C0D2EA0" w14:textId="267269D5" w:rsidR="00B31F69" w:rsidRPr="0000023E" w:rsidRDefault="00B31F69" w:rsidP="00E65280">
            <w:pPr>
              <w:pStyle w:val="TableText"/>
              <w:jc w:val="center"/>
              <w:rPr>
                <w:snapToGrid w:val="0"/>
              </w:rPr>
            </w:pPr>
            <w:r>
              <w:rPr>
                <w:snapToGrid w:val="0"/>
              </w:rPr>
              <w:t>2.1.6</w:t>
            </w:r>
          </w:p>
        </w:tc>
        <w:tc>
          <w:tcPr>
            <w:tcW w:w="2331" w:type="dxa"/>
            <w:shd w:val="clear" w:color="auto" w:fill="auto"/>
          </w:tcPr>
          <w:p w14:paraId="70C2731C" w14:textId="77777777" w:rsidR="00B31F69" w:rsidRPr="0000023E" w:rsidRDefault="00B31F69" w:rsidP="00E65280">
            <w:pPr>
              <w:pStyle w:val="TableText"/>
              <w:jc w:val="center"/>
              <w:rPr>
                <w:snapToGrid w:val="0"/>
              </w:rPr>
            </w:pPr>
          </w:p>
        </w:tc>
      </w:tr>
      <w:tr w:rsidR="00C128DF" w:rsidRPr="00285E70" w14:paraId="7B4764C7" w14:textId="77777777" w:rsidTr="001A6C5A">
        <w:trPr>
          <w:trHeight w:val="250"/>
        </w:trPr>
        <w:tc>
          <w:tcPr>
            <w:tcW w:w="2330" w:type="dxa"/>
            <w:vMerge/>
            <w:shd w:val="clear" w:color="auto" w:fill="auto"/>
          </w:tcPr>
          <w:p w14:paraId="7782E946" w14:textId="77777777" w:rsidR="00C128DF" w:rsidRPr="00E529C8" w:rsidRDefault="00C128DF" w:rsidP="00AB1C35">
            <w:pPr>
              <w:rPr>
                <w:snapToGrid w:val="0"/>
              </w:rPr>
            </w:pPr>
          </w:p>
        </w:tc>
        <w:tc>
          <w:tcPr>
            <w:tcW w:w="2330" w:type="dxa"/>
            <w:shd w:val="clear" w:color="auto" w:fill="auto"/>
          </w:tcPr>
          <w:p w14:paraId="743C2135" w14:textId="77777777" w:rsidR="00C128DF" w:rsidRPr="0000023E" w:rsidRDefault="00C128DF" w:rsidP="00E65280">
            <w:pPr>
              <w:pStyle w:val="TableText"/>
              <w:jc w:val="center"/>
              <w:rPr>
                <w:snapToGrid w:val="0"/>
              </w:rPr>
            </w:pPr>
            <w:r w:rsidRPr="0000023E">
              <w:rPr>
                <w:snapToGrid w:val="0"/>
              </w:rPr>
              <w:t>2.1.2</w:t>
            </w:r>
          </w:p>
        </w:tc>
        <w:tc>
          <w:tcPr>
            <w:tcW w:w="2331" w:type="dxa"/>
            <w:shd w:val="clear" w:color="auto" w:fill="auto"/>
          </w:tcPr>
          <w:p w14:paraId="41D2D4FB" w14:textId="77777777" w:rsidR="00C128DF" w:rsidRPr="0000023E" w:rsidRDefault="00C128DF" w:rsidP="00E65280">
            <w:pPr>
              <w:pStyle w:val="TableText"/>
              <w:jc w:val="center"/>
              <w:rPr>
                <w:snapToGrid w:val="0"/>
              </w:rPr>
            </w:pPr>
            <w:r w:rsidRPr="0000023E">
              <w:rPr>
                <w:snapToGrid w:val="0"/>
              </w:rPr>
              <w:t>2.2.1</w:t>
            </w:r>
          </w:p>
        </w:tc>
        <w:tc>
          <w:tcPr>
            <w:tcW w:w="2331" w:type="dxa"/>
            <w:shd w:val="clear" w:color="auto" w:fill="auto"/>
          </w:tcPr>
          <w:p w14:paraId="50417C39" w14:textId="77777777" w:rsidR="00C128DF" w:rsidRPr="0000023E" w:rsidRDefault="00C128DF" w:rsidP="00E65280">
            <w:pPr>
              <w:pStyle w:val="TableText"/>
              <w:jc w:val="center"/>
              <w:rPr>
                <w:snapToGrid w:val="0"/>
              </w:rPr>
            </w:pPr>
            <w:r w:rsidRPr="0000023E">
              <w:rPr>
                <w:snapToGrid w:val="0"/>
              </w:rPr>
              <w:t>2.5.1</w:t>
            </w:r>
          </w:p>
        </w:tc>
      </w:tr>
      <w:tr w:rsidR="00C128DF" w:rsidRPr="00285E70" w14:paraId="0B2C8845" w14:textId="77777777" w:rsidTr="001A6C5A">
        <w:trPr>
          <w:trHeight w:val="250"/>
        </w:trPr>
        <w:tc>
          <w:tcPr>
            <w:tcW w:w="2330" w:type="dxa"/>
            <w:vMerge/>
            <w:shd w:val="clear" w:color="auto" w:fill="auto"/>
          </w:tcPr>
          <w:p w14:paraId="7CF230D5" w14:textId="77777777" w:rsidR="00C128DF" w:rsidRPr="00E529C8" w:rsidRDefault="00C128DF" w:rsidP="00AB1C35">
            <w:pPr>
              <w:rPr>
                <w:snapToGrid w:val="0"/>
              </w:rPr>
            </w:pPr>
          </w:p>
        </w:tc>
        <w:tc>
          <w:tcPr>
            <w:tcW w:w="2330" w:type="dxa"/>
            <w:shd w:val="clear" w:color="auto" w:fill="D2EAF1"/>
          </w:tcPr>
          <w:p w14:paraId="72485609" w14:textId="77777777" w:rsidR="00C128DF" w:rsidRPr="0000023E" w:rsidRDefault="00C128DF" w:rsidP="00E65280">
            <w:pPr>
              <w:pStyle w:val="TableText"/>
              <w:jc w:val="center"/>
              <w:rPr>
                <w:snapToGrid w:val="0"/>
              </w:rPr>
            </w:pPr>
            <w:r w:rsidRPr="0000023E">
              <w:rPr>
                <w:snapToGrid w:val="0"/>
              </w:rPr>
              <w:t>2.1.3</w:t>
            </w:r>
          </w:p>
        </w:tc>
        <w:tc>
          <w:tcPr>
            <w:tcW w:w="2331" w:type="dxa"/>
            <w:shd w:val="clear" w:color="auto" w:fill="D2EAF1"/>
          </w:tcPr>
          <w:p w14:paraId="5C197E72" w14:textId="77777777" w:rsidR="00C128DF" w:rsidRPr="0000023E" w:rsidRDefault="00C128DF" w:rsidP="00E65280">
            <w:pPr>
              <w:pStyle w:val="TableText"/>
              <w:jc w:val="center"/>
              <w:rPr>
                <w:snapToGrid w:val="0"/>
              </w:rPr>
            </w:pPr>
            <w:r w:rsidRPr="0000023E">
              <w:rPr>
                <w:snapToGrid w:val="0"/>
              </w:rPr>
              <w:t>2.2.2</w:t>
            </w:r>
          </w:p>
        </w:tc>
        <w:tc>
          <w:tcPr>
            <w:tcW w:w="2331" w:type="dxa"/>
            <w:shd w:val="clear" w:color="auto" w:fill="D2EAF1"/>
          </w:tcPr>
          <w:p w14:paraId="5914B9E6" w14:textId="77777777" w:rsidR="00C128DF" w:rsidRPr="0000023E" w:rsidRDefault="00C128DF" w:rsidP="00E65280">
            <w:pPr>
              <w:pStyle w:val="TableText"/>
              <w:jc w:val="center"/>
              <w:rPr>
                <w:snapToGrid w:val="0"/>
              </w:rPr>
            </w:pPr>
            <w:r w:rsidRPr="0000023E">
              <w:rPr>
                <w:snapToGrid w:val="0"/>
              </w:rPr>
              <w:t>2.5.2</w:t>
            </w:r>
          </w:p>
        </w:tc>
      </w:tr>
      <w:tr w:rsidR="00B31F69" w:rsidRPr="00285E70" w14:paraId="4198D69B" w14:textId="77777777" w:rsidTr="001A6C5A">
        <w:trPr>
          <w:trHeight w:val="250"/>
        </w:trPr>
        <w:tc>
          <w:tcPr>
            <w:tcW w:w="2330" w:type="dxa"/>
            <w:vMerge/>
            <w:shd w:val="clear" w:color="auto" w:fill="auto"/>
          </w:tcPr>
          <w:p w14:paraId="0333398F" w14:textId="77777777" w:rsidR="00B31F69" w:rsidRPr="00E529C8" w:rsidRDefault="00B31F69" w:rsidP="00AB1C35">
            <w:pPr>
              <w:rPr>
                <w:snapToGrid w:val="0"/>
              </w:rPr>
            </w:pPr>
          </w:p>
        </w:tc>
        <w:tc>
          <w:tcPr>
            <w:tcW w:w="2330" w:type="dxa"/>
            <w:shd w:val="clear" w:color="auto" w:fill="D2EAF1"/>
          </w:tcPr>
          <w:p w14:paraId="5F33E629" w14:textId="77777777" w:rsidR="00B31F69" w:rsidRPr="0000023E" w:rsidRDefault="00B31F69" w:rsidP="00E65280">
            <w:pPr>
              <w:pStyle w:val="TableText"/>
              <w:jc w:val="center"/>
              <w:rPr>
                <w:snapToGrid w:val="0"/>
              </w:rPr>
            </w:pPr>
          </w:p>
        </w:tc>
        <w:tc>
          <w:tcPr>
            <w:tcW w:w="2331" w:type="dxa"/>
            <w:shd w:val="clear" w:color="auto" w:fill="D2EAF1"/>
          </w:tcPr>
          <w:p w14:paraId="65118A1D" w14:textId="662D5F4E" w:rsidR="00B31F69" w:rsidRPr="0000023E" w:rsidRDefault="00B31F69" w:rsidP="00E65280">
            <w:pPr>
              <w:pStyle w:val="TableText"/>
              <w:jc w:val="center"/>
              <w:rPr>
                <w:snapToGrid w:val="0"/>
              </w:rPr>
            </w:pPr>
            <w:r>
              <w:rPr>
                <w:snapToGrid w:val="0"/>
              </w:rPr>
              <w:t>2.2.4</w:t>
            </w:r>
          </w:p>
        </w:tc>
        <w:tc>
          <w:tcPr>
            <w:tcW w:w="2331" w:type="dxa"/>
            <w:shd w:val="clear" w:color="auto" w:fill="D2EAF1"/>
          </w:tcPr>
          <w:p w14:paraId="6CEC557F" w14:textId="77777777" w:rsidR="00B31F69" w:rsidRPr="0000023E" w:rsidRDefault="00B31F69" w:rsidP="00E65280">
            <w:pPr>
              <w:pStyle w:val="TableText"/>
              <w:jc w:val="center"/>
              <w:rPr>
                <w:snapToGrid w:val="0"/>
              </w:rPr>
            </w:pPr>
          </w:p>
        </w:tc>
      </w:tr>
      <w:tr w:rsidR="00C128DF" w:rsidRPr="00285E70" w14:paraId="77EBF50A" w14:textId="77777777" w:rsidTr="001A6C5A">
        <w:trPr>
          <w:trHeight w:val="250"/>
        </w:trPr>
        <w:tc>
          <w:tcPr>
            <w:tcW w:w="2330" w:type="dxa"/>
            <w:vMerge/>
            <w:shd w:val="clear" w:color="auto" w:fill="auto"/>
          </w:tcPr>
          <w:p w14:paraId="46747F21" w14:textId="77777777" w:rsidR="00C128DF" w:rsidRPr="00E529C8" w:rsidRDefault="00C128DF" w:rsidP="00AB1C35">
            <w:pPr>
              <w:rPr>
                <w:snapToGrid w:val="0"/>
              </w:rPr>
            </w:pPr>
          </w:p>
        </w:tc>
        <w:tc>
          <w:tcPr>
            <w:tcW w:w="2330" w:type="dxa"/>
            <w:shd w:val="clear" w:color="auto" w:fill="auto"/>
          </w:tcPr>
          <w:p w14:paraId="7E3DFA70" w14:textId="77777777" w:rsidR="00C128DF" w:rsidRPr="0000023E" w:rsidRDefault="00C128DF" w:rsidP="00E65280">
            <w:pPr>
              <w:pStyle w:val="TableText"/>
              <w:jc w:val="center"/>
              <w:rPr>
                <w:snapToGrid w:val="0"/>
              </w:rPr>
            </w:pPr>
          </w:p>
        </w:tc>
        <w:tc>
          <w:tcPr>
            <w:tcW w:w="2331" w:type="dxa"/>
            <w:shd w:val="clear" w:color="auto" w:fill="auto"/>
          </w:tcPr>
          <w:p w14:paraId="2ABD98A5" w14:textId="77777777" w:rsidR="00C128DF" w:rsidRPr="0000023E" w:rsidRDefault="00C128DF" w:rsidP="00E65280">
            <w:pPr>
              <w:pStyle w:val="TableText"/>
              <w:jc w:val="center"/>
              <w:rPr>
                <w:snapToGrid w:val="0"/>
              </w:rPr>
            </w:pPr>
            <w:r w:rsidRPr="0000023E">
              <w:rPr>
                <w:snapToGrid w:val="0"/>
              </w:rPr>
              <w:t>2.3.1</w:t>
            </w:r>
          </w:p>
        </w:tc>
        <w:tc>
          <w:tcPr>
            <w:tcW w:w="2331" w:type="dxa"/>
            <w:shd w:val="clear" w:color="auto" w:fill="auto"/>
          </w:tcPr>
          <w:p w14:paraId="4695B274" w14:textId="77777777" w:rsidR="00C128DF" w:rsidRPr="0000023E" w:rsidRDefault="00C128DF" w:rsidP="00E65280">
            <w:pPr>
              <w:pStyle w:val="TableText"/>
              <w:jc w:val="center"/>
              <w:rPr>
                <w:snapToGrid w:val="0"/>
              </w:rPr>
            </w:pPr>
            <w:r w:rsidRPr="0000023E">
              <w:rPr>
                <w:snapToGrid w:val="0"/>
              </w:rPr>
              <w:t>2.6.2</w:t>
            </w:r>
          </w:p>
        </w:tc>
      </w:tr>
      <w:tr w:rsidR="00C128DF" w:rsidRPr="00285E70" w14:paraId="06D50AC7" w14:textId="77777777" w:rsidTr="001A6C5A">
        <w:trPr>
          <w:trHeight w:val="250"/>
        </w:trPr>
        <w:tc>
          <w:tcPr>
            <w:tcW w:w="2330" w:type="dxa"/>
            <w:vMerge/>
            <w:shd w:val="clear" w:color="auto" w:fill="auto"/>
          </w:tcPr>
          <w:p w14:paraId="322465DD" w14:textId="77777777" w:rsidR="00C128DF" w:rsidRPr="00E529C8" w:rsidRDefault="00C128DF" w:rsidP="00AB1C35">
            <w:pPr>
              <w:rPr>
                <w:snapToGrid w:val="0"/>
              </w:rPr>
            </w:pPr>
          </w:p>
        </w:tc>
        <w:tc>
          <w:tcPr>
            <w:tcW w:w="2330" w:type="dxa"/>
            <w:shd w:val="clear" w:color="auto" w:fill="D2EAF1"/>
          </w:tcPr>
          <w:p w14:paraId="3964920C" w14:textId="77777777" w:rsidR="00C128DF" w:rsidRPr="0000023E" w:rsidRDefault="00C128DF" w:rsidP="00E65280">
            <w:pPr>
              <w:pStyle w:val="TableText"/>
              <w:jc w:val="center"/>
              <w:rPr>
                <w:snapToGrid w:val="0"/>
              </w:rPr>
            </w:pPr>
          </w:p>
        </w:tc>
        <w:tc>
          <w:tcPr>
            <w:tcW w:w="2331" w:type="dxa"/>
            <w:shd w:val="clear" w:color="auto" w:fill="D2EAF1"/>
          </w:tcPr>
          <w:p w14:paraId="6243AA21" w14:textId="77777777" w:rsidR="00C128DF" w:rsidRPr="0000023E" w:rsidRDefault="00C128DF" w:rsidP="00E65280">
            <w:pPr>
              <w:pStyle w:val="TableText"/>
              <w:jc w:val="center"/>
              <w:rPr>
                <w:snapToGrid w:val="0"/>
              </w:rPr>
            </w:pPr>
            <w:r w:rsidRPr="0000023E">
              <w:rPr>
                <w:snapToGrid w:val="0"/>
              </w:rPr>
              <w:t>2.3.2</w:t>
            </w:r>
          </w:p>
        </w:tc>
        <w:tc>
          <w:tcPr>
            <w:tcW w:w="2331" w:type="dxa"/>
            <w:shd w:val="clear" w:color="auto" w:fill="D2EAF1"/>
          </w:tcPr>
          <w:p w14:paraId="58E290AC" w14:textId="77777777" w:rsidR="00C128DF" w:rsidRPr="0000023E" w:rsidRDefault="00C128DF" w:rsidP="00E65280">
            <w:pPr>
              <w:pStyle w:val="TableText"/>
              <w:jc w:val="center"/>
              <w:rPr>
                <w:snapToGrid w:val="0"/>
              </w:rPr>
            </w:pPr>
          </w:p>
        </w:tc>
      </w:tr>
      <w:tr w:rsidR="00C128DF" w:rsidRPr="00285E70" w14:paraId="5167A7D1" w14:textId="77777777" w:rsidTr="001A6C5A">
        <w:trPr>
          <w:trHeight w:val="250"/>
        </w:trPr>
        <w:tc>
          <w:tcPr>
            <w:tcW w:w="2330" w:type="dxa"/>
            <w:vMerge/>
            <w:shd w:val="clear" w:color="auto" w:fill="auto"/>
          </w:tcPr>
          <w:p w14:paraId="360B242C" w14:textId="77777777" w:rsidR="00C128DF" w:rsidRPr="00E529C8" w:rsidRDefault="00C128DF" w:rsidP="00AB1C35">
            <w:pPr>
              <w:rPr>
                <w:snapToGrid w:val="0"/>
              </w:rPr>
            </w:pPr>
          </w:p>
        </w:tc>
        <w:tc>
          <w:tcPr>
            <w:tcW w:w="2330" w:type="dxa"/>
            <w:shd w:val="clear" w:color="auto" w:fill="auto"/>
          </w:tcPr>
          <w:p w14:paraId="64778872" w14:textId="77777777" w:rsidR="00C128DF" w:rsidRPr="00E529C8" w:rsidRDefault="00C128DF" w:rsidP="00E65280">
            <w:pPr>
              <w:pStyle w:val="TableText"/>
              <w:jc w:val="center"/>
              <w:rPr>
                <w:snapToGrid w:val="0"/>
              </w:rPr>
            </w:pPr>
          </w:p>
        </w:tc>
        <w:tc>
          <w:tcPr>
            <w:tcW w:w="2331" w:type="dxa"/>
            <w:shd w:val="clear" w:color="auto" w:fill="auto"/>
          </w:tcPr>
          <w:p w14:paraId="58BA5CCC" w14:textId="77777777" w:rsidR="00C128DF" w:rsidRPr="0000023E" w:rsidRDefault="00C128DF" w:rsidP="00E65280">
            <w:pPr>
              <w:pStyle w:val="TableText"/>
              <w:jc w:val="center"/>
              <w:rPr>
                <w:snapToGrid w:val="0"/>
                <w:highlight w:val="yellow"/>
              </w:rPr>
            </w:pPr>
            <w:r w:rsidRPr="0000023E">
              <w:rPr>
                <w:snapToGrid w:val="0"/>
              </w:rPr>
              <w:t>2.4.1</w:t>
            </w:r>
          </w:p>
        </w:tc>
        <w:tc>
          <w:tcPr>
            <w:tcW w:w="2331" w:type="dxa"/>
            <w:shd w:val="clear" w:color="auto" w:fill="auto"/>
          </w:tcPr>
          <w:p w14:paraId="0086E0B8" w14:textId="77777777" w:rsidR="00C128DF" w:rsidRPr="00E529C8" w:rsidRDefault="00C128DF" w:rsidP="00E65280">
            <w:pPr>
              <w:pStyle w:val="TableText"/>
              <w:jc w:val="center"/>
              <w:rPr>
                <w:snapToGrid w:val="0"/>
              </w:rPr>
            </w:pPr>
          </w:p>
        </w:tc>
      </w:tr>
      <w:tr w:rsidR="00C128DF" w:rsidRPr="00285E70" w14:paraId="56CA5012" w14:textId="77777777" w:rsidTr="001A6C5A">
        <w:trPr>
          <w:trHeight w:val="250"/>
        </w:trPr>
        <w:tc>
          <w:tcPr>
            <w:tcW w:w="2330" w:type="dxa"/>
            <w:vMerge/>
            <w:shd w:val="clear" w:color="auto" w:fill="auto"/>
          </w:tcPr>
          <w:p w14:paraId="109DE6E1" w14:textId="77777777" w:rsidR="00C128DF" w:rsidRPr="00E529C8" w:rsidRDefault="00C128DF" w:rsidP="006D2034">
            <w:pPr>
              <w:pStyle w:val="Heading3"/>
            </w:pPr>
            <w:bookmarkStart w:id="309" w:name="_Toc465869330"/>
            <w:bookmarkStart w:id="310" w:name="_Toc493753878"/>
            <w:bookmarkStart w:id="311" w:name="_Toc493754109"/>
            <w:bookmarkStart w:id="312" w:name="_Toc493754397"/>
            <w:bookmarkStart w:id="313" w:name="_Toc510784879"/>
            <w:bookmarkStart w:id="314" w:name="_Toc510785056"/>
            <w:bookmarkStart w:id="315" w:name="_Toc517944705"/>
            <w:bookmarkStart w:id="316" w:name="_Toc518036834"/>
            <w:bookmarkStart w:id="317" w:name="_Toc519867913"/>
            <w:bookmarkEnd w:id="309"/>
            <w:bookmarkEnd w:id="310"/>
            <w:bookmarkEnd w:id="311"/>
            <w:bookmarkEnd w:id="312"/>
            <w:bookmarkEnd w:id="313"/>
            <w:bookmarkEnd w:id="314"/>
            <w:bookmarkEnd w:id="315"/>
            <w:bookmarkEnd w:id="316"/>
            <w:bookmarkEnd w:id="317"/>
          </w:p>
        </w:tc>
        <w:tc>
          <w:tcPr>
            <w:tcW w:w="2330" w:type="dxa"/>
            <w:shd w:val="clear" w:color="auto" w:fill="D2EAF1"/>
          </w:tcPr>
          <w:p w14:paraId="14AEFE89" w14:textId="77777777" w:rsidR="00C128DF" w:rsidRPr="00E529C8" w:rsidRDefault="00C128DF" w:rsidP="00E65280">
            <w:pPr>
              <w:pStyle w:val="TableText"/>
              <w:jc w:val="center"/>
              <w:rPr>
                <w:snapToGrid w:val="0"/>
              </w:rPr>
            </w:pPr>
          </w:p>
        </w:tc>
        <w:tc>
          <w:tcPr>
            <w:tcW w:w="2331" w:type="dxa"/>
            <w:shd w:val="clear" w:color="auto" w:fill="D2EAF1"/>
          </w:tcPr>
          <w:p w14:paraId="18679B79" w14:textId="77777777" w:rsidR="00C128DF" w:rsidRPr="00E529C8" w:rsidRDefault="00C128DF" w:rsidP="00E65280">
            <w:pPr>
              <w:pStyle w:val="TableText"/>
              <w:jc w:val="center"/>
              <w:rPr>
                <w:snapToGrid w:val="0"/>
              </w:rPr>
            </w:pPr>
            <w:r>
              <w:rPr>
                <w:snapToGrid w:val="0"/>
              </w:rPr>
              <w:t>2.6.1</w:t>
            </w:r>
          </w:p>
        </w:tc>
        <w:tc>
          <w:tcPr>
            <w:tcW w:w="2331" w:type="dxa"/>
            <w:shd w:val="clear" w:color="auto" w:fill="D2EAF1"/>
          </w:tcPr>
          <w:p w14:paraId="59C4324B" w14:textId="77777777" w:rsidR="00C128DF" w:rsidRPr="00E529C8" w:rsidRDefault="00C128DF" w:rsidP="00E65280">
            <w:pPr>
              <w:pStyle w:val="TableText"/>
              <w:jc w:val="center"/>
              <w:rPr>
                <w:snapToGrid w:val="0"/>
              </w:rPr>
            </w:pPr>
          </w:p>
        </w:tc>
      </w:tr>
      <w:tr w:rsidR="00C128DF" w:rsidRPr="00285E70" w14:paraId="213EA3AA" w14:textId="77777777" w:rsidTr="001A6C5A">
        <w:trPr>
          <w:trHeight w:val="250"/>
        </w:trPr>
        <w:tc>
          <w:tcPr>
            <w:tcW w:w="2330" w:type="dxa"/>
            <w:vMerge/>
            <w:shd w:val="clear" w:color="auto" w:fill="auto"/>
          </w:tcPr>
          <w:p w14:paraId="2A6EA0CD" w14:textId="77777777" w:rsidR="00C128DF" w:rsidRPr="00E529C8" w:rsidRDefault="00C128DF" w:rsidP="006D2034">
            <w:pPr>
              <w:pStyle w:val="Heading3"/>
            </w:pPr>
            <w:bookmarkStart w:id="318" w:name="_Toc465869331"/>
            <w:bookmarkStart w:id="319" w:name="_Toc493753879"/>
            <w:bookmarkStart w:id="320" w:name="_Toc493754110"/>
            <w:bookmarkStart w:id="321" w:name="_Toc493754398"/>
            <w:bookmarkStart w:id="322" w:name="_Toc510784880"/>
            <w:bookmarkStart w:id="323" w:name="_Toc510785057"/>
            <w:bookmarkStart w:id="324" w:name="_Toc517944706"/>
            <w:bookmarkStart w:id="325" w:name="_Toc518036835"/>
            <w:bookmarkStart w:id="326" w:name="_Toc519867914"/>
            <w:bookmarkEnd w:id="318"/>
            <w:bookmarkEnd w:id="319"/>
            <w:bookmarkEnd w:id="320"/>
            <w:bookmarkEnd w:id="321"/>
            <w:bookmarkEnd w:id="322"/>
            <w:bookmarkEnd w:id="323"/>
            <w:bookmarkEnd w:id="324"/>
            <w:bookmarkEnd w:id="325"/>
            <w:bookmarkEnd w:id="326"/>
          </w:p>
        </w:tc>
        <w:tc>
          <w:tcPr>
            <w:tcW w:w="2330" w:type="dxa"/>
            <w:shd w:val="clear" w:color="auto" w:fill="auto"/>
          </w:tcPr>
          <w:p w14:paraId="711B9F47" w14:textId="77777777" w:rsidR="00C128DF" w:rsidRPr="00E529C8" w:rsidRDefault="00C128DF" w:rsidP="00E65280">
            <w:pPr>
              <w:pStyle w:val="TableText"/>
              <w:jc w:val="center"/>
              <w:rPr>
                <w:snapToGrid w:val="0"/>
              </w:rPr>
            </w:pPr>
          </w:p>
        </w:tc>
        <w:tc>
          <w:tcPr>
            <w:tcW w:w="2331" w:type="dxa"/>
            <w:shd w:val="clear" w:color="auto" w:fill="auto"/>
          </w:tcPr>
          <w:p w14:paraId="4BBA5995" w14:textId="77777777" w:rsidR="00C128DF" w:rsidRPr="00E529C8" w:rsidRDefault="00C128DF" w:rsidP="00E65280">
            <w:pPr>
              <w:pStyle w:val="TableText"/>
              <w:jc w:val="center"/>
              <w:rPr>
                <w:snapToGrid w:val="0"/>
              </w:rPr>
            </w:pPr>
            <w:r>
              <w:rPr>
                <w:snapToGrid w:val="0"/>
              </w:rPr>
              <w:t>2.6.3</w:t>
            </w:r>
          </w:p>
        </w:tc>
        <w:tc>
          <w:tcPr>
            <w:tcW w:w="2331" w:type="dxa"/>
            <w:shd w:val="clear" w:color="auto" w:fill="auto"/>
          </w:tcPr>
          <w:p w14:paraId="470B8D75" w14:textId="77777777" w:rsidR="00C128DF" w:rsidRPr="00E529C8" w:rsidRDefault="00C128DF" w:rsidP="00E65280">
            <w:pPr>
              <w:pStyle w:val="TableText"/>
              <w:jc w:val="center"/>
              <w:rPr>
                <w:snapToGrid w:val="0"/>
              </w:rPr>
            </w:pPr>
          </w:p>
        </w:tc>
      </w:tr>
      <w:tr w:rsidR="00C128DF" w:rsidRPr="00285E70" w14:paraId="708D683C" w14:textId="77777777" w:rsidTr="001A6C5A">
        <w:trPr>
          <w:trHeight w:val="250"/>
        </w:trPr>
        <w:tc>
          <w:tcPr>
            <w:tcW w:w="2330" w:type="dxa"/>
            <w:vMerge/>
            <w:shd w:val="clear" w:color="auto" w:fill="auto"/>
          </w:tcPr>
          <w:p w14:paraId="7B196248" w14:textId="77777777" w:rsidR="00C128DF" w:rsidRPr="00E529C8" w:rsidRDefault="00C128DF" w:rsidP="006D2034">
            <w:pPr>
              <w:pStyle w:val="Heading3"/>
            </w:pPr>
            <w:bookmarkStart w:id="327" w:name="_Toc465869332"/>
            <w:bookmarkStart w:id="328" w:name="_Toc493753880"/>
            <w:bookmarkStart w:id="329" w:name="_Toc493754111"/>
            <w:bookmarkStart w:id="330" w:name="_Toc493754399"/>
            <w:bookmarkStart w:id="331" w:name="_Toc510784881"/>
            <w:bookmarkStart w:id="332" w:name="_Toc510785058"/>
            <w:bookmarkStart w:id="333" w:name="_Toc517944707"/>
            <w:bookmarkStart w:id="334" w:name="_Toc518036836"/>
            <w:bookmarkStart w:id="335" w:name="_Toc519867915"/>
            <w:bookmarkEnd w:id="327"/>
            <w:bookmarkEnd w:id="328"/>
            <w:bookmarkEnd w:id="329"/>
            <w:bookmarkEnd w:id="330"/>
            <w:bookmarkEnd w:id="331"/>
            <w:bookmarkEnd w:id="332"/>
            <w:bookmarkEnd w:id="333"/>
            <w:bookmarkEnd w:id="334"/>
            <w:bookmarkEnd w:id="335"/>
          </w:p>
        </w:tc>
        <w:tc>
          <w:tcPr>
            <w:tcW w:w="2330" w:type="dxa"/>
            <w:shd w:val="clear" w:color="auto" w:fill="D2EAF1"/>
          </w:tcPr>
          <w:p w14:paraId="17DC66D5" w14:textId="77777777" w:rsidR="00C128DF" w:rsidRPr="00E529C8" w:rsidRDefault="00C128DF" w:rsidP="00E65280">
            <w:pPr>
              <w:pStyle w:val="TableText"/>
              <w:jc w:val="center"/>
              <w:rPr>
                <w:snapToGrid w:val="0"/>
              </w:rPr>
            </w:pPr>
          </w:p>
        </w:tc>
        <w:tc>
          <w:tcPr>
            <w:tcW w:w="2331" w:type="dxa"/>
            <w:shd w:val="clear" w:color="auto" w:fill="D2EAF1"/>
          </w:tcPr>
          <w:p w14:paraId="7D61CAD3" w14:textId="77777777" w:rsidR="00C128DF" w:rsidRPr="00E529C8" w:rsidRDefault="00C128DF" w:rsidP="00E65280">
            <w:pPr>
              <w:pStyle w:val="TableText"/>
              <w:jc w:val="center"/>
              <w:rPr>
                <w:snapToGrid w:val="0"/>
              </w:rPr>
            </w:pPr>
            <w:r>
              <w:rPr>
                <w:snapToGrid w:val="0"/>
              </w:rPr>
              <w:t>2.6.4</w:t>
            </w:r>
          </w:p>
        </w:tc>
        <w:tc>
          <w:tcPr>
            <w:tcW w:w="2331" w:type="dxa"/>
            <w:shd w:val="clear" w:color="auto" w:fill="D2EAF1"/>
          </w:tcPr>
          <w:p w14:paraId="2BAEEB80" w14:textId="77777777" w:rsidR="00C128DF" w:rsidRPr="00E529C8" w:rsidRDefault="00C128DF" w:rsidP="00E65280">
            <w:pPr>
              <w:pStyle w:val="TableText"/>
              <w:jc w:val="center"/>
              <w:rPr>
                <w:snapToGrid w:val="0"/>
              </w:rPr>
            </w:pPr>
          </w:p>
        </w:tc>
      </w:tr>
      <w:tr w:rsidR="00C128DF" w:rsidRPr="00285E70" w14:paraId="15F4B1B9" w14:textId="77777777" w:rsidTr="001A6C5A">
        <w:trPr>
          <w:trHeight w:val="250"/>
        </w:trPr>
        <w:tc>
          <w:tcPr>
            <w:tcW w:w="2330" w:type="dxa"/>
            <w:vMerge/>
            <w:shd w:val="clear" w:color="auto" w:fill="auto"/>
          </w:tcPr>
          <w:p w14:paraId="7BE4C4B9" w14:textId="77777777" w:rsidR="00C128DF" w:rsidRPr="00E529C8" w:rsidRDefault="00C128DF" w:rsidP="006D2034">
            <w:pPr>
              <w:pStyle w:val="Heading3"/>
            </w:pPr>
            <w:bookmarkStart w:id="336" w:name="_Toc465869333"/>
            <w:bookmarkStart w:id="337" w:name="_Toc493753881"/>
            <w:bookmarkStart w:id="338" w:name="_Toc493754112"/>
            <w:bookmarkStart w:id="339" w:name="_Toc493754400"/>
            <w:bookmarkStart w:id="340" w:name="_Toc510784882"/>
            <w:bookmarkStart w:id="341" w:name="_Toc510785059"/>
            <w:bookmarkStart w:id="342" w:name="_Toc517944708"/>
            <w:bookmarkStart w:id="343" w:name="_Toc518036837"/>
            <w:bookmarkStart w:id="344" w:name="_Toc519867916"/>
            <w:bookmarkEnd w:id="336"/>
            <w:bookmarkEnd w:id="337"/>
            <w:bookmarkEnd w:id="338"/>
            <w:bookmarkEnd w:id="339"/>
            <w:bookmarkEnd w:id="340"/>
            <w:bookmarkEnd w:id="341"/>
            <w:bookmarkEnd w:id="342"/>
            <w:bookmarkEnd w:id="343"/>
            <w:bookmarkEnd w:id="344"/>
          </w:p>
        </w:tc>
        <w:tc>
          <w:tcPr>
            <w:tcW w:w="2330" w:type="dxa"/>
            <w:shd w:val="clear" w:color="auto" w:fill="auto"/>
          </w:tcPr>
          <w:p w14:paraId="125BE206" w14:textId="77777777" w:rsidR="00C128DF" w:rsidRPr="00E529C8" w:rsidRDefault="00C128DF" w:rsidP="00E65280">
            <w:pPr>
              <w:pStyle w:val="TableText"/>
              <w:jc w:val="center"/>
              <w:rPr>
                <w:snapToGrid w:val="0"/>
              </w:rPr>
            </w:pPr>
          </w:p>
        </w:tc>
        <w:tc>
          <w:tcPr>
            <w:tcW w:w="2331" w:type="dxa"/>
            <w:shd w:val="clear" w:color="auto" w:fill="auto"/>
          </w:tcPr>
          <w:p w14:paraId="69FABA8C" w14:textId="77777777" w:rsidR="00C128DF" w:rsidRPr="00E529C8" w:rsidRDefault="00C128DF" w:rsidP="00E65280">
            <w:pPr>
              <w:pStyle w:val="TableText"/>
              <w:jc w:val="center"/>
              <w:rPr>
                <w:snapToGrid w:val="0"/>
              </w:rPr>
            </w:pPr>
            <w:r>
              <w:rPr>
                <w:snapToGrid w:val="0"/>
              </w:rPr>
              <w:t>2.6.5</w:t>
            </w:r>
          </w:p>
        </w:tc>
        <w:tc>
          <w:tcPr>
            <w:tcW w:w="2331" w:type="dxa"/>
            <w:shd w:val="clear" w:color="auto" w:fill="auto"/>
          </w:tcPr>
          <w:p w14:paraId="52D379CE" w14:textId="77777777" w:rsidR="00C128DF" w:rsidRPr="00E529C8" w:rsidRDefault="00C128DF" w:rsidP="00E65280">
            <w:pPr>
              <w:pStyle w:val="TableText"/>
              <w:jc w:val="center"/>
              <w:rPr>
                <w:snapToGrid w:val="0"/>
              </w:rPr>
            </w:pPr>
          </w:p>
        </w:tc>
      </w:tr>
      <w:tr w:rsidR="00C128DF" w:rsidRPr="00285E70" w14:paraId="1E99A6DB" w14:textId="77777777" w:rsidTr="001A6C5A">
        <w:trPr>
          <w:trHeight w:val="250"/>
        </w:trPr>
        <w:tc>
          <w:tcPr>
            <w:tcW w:w="2330" w:type="dxa"/>
            <w:vMerge/>
            <w:shd w:val="clear" w:color="auto" w:fill="auto"/>
          </w:tcPr>
          <w:p w14:paraId="6752D089" w14:textId="77777777" w:rsidR="00C128DF" w:rsidRPr="00E529C8" w:rsidRDefault="00C128DF" w:rsidP="006D2034">
            <w:pPr>
              <w:pStyle w:val="Heading3"/>
            </w:pPr>
            <w:bookmarkStart w:id="345" w:name="_Toc465869334"/>
            <w:bookmarkStart w:id="346" w:name="_Toc493753882"/>
            <w:bookmarkStart w:id="347" w:name="_Toc493754113"/>
            <w:bookmarkStart w:id="348" w:name="_Toc493754401"/>
            <w:bookmarkStart w:id="349" w:name="_Toc510784883"/>
            <w:bookmarkStart w:id="350" w:name="_Toc510785060"/>
            <w:bookmarkStart w:id="351" w:name="_Toc517944709"/>
            <w:bookmarkStart w:id="352" w:name="_Toc518036838"/>
            <w:bookmarkStart w:id="353" w:name="_Toc519867917"/>
            <w:bookmarkEnd w:id="345"/>
            <w:bookmarkEnd w:id="346"/>
            <w:bookmarkEnd w:id="347"/>
            <w:bookmarkEnd w:id="348"/>
            <w:bookmarkEnd w:id="349"/>
            <w:bookmarkEnd w:id="350"/>
            <w:bookmarkEnd w:id="351"/>
            <w:bookmarkEnd w:id="352"/>
            <w:bookmarkEnd w:id="353"/>
          </w:p>
        </w:tc>
        <w:tc>
          <w:tcPr>
            <w:tcW w:w="2330" w:type="dxa"/>
            <w:shd w:val="clear" w:color="auto" w:fill="D2EAF1"/>
          </w:tcPr>
          <w:p w14:paraId="6F16F8CD" w14:textId="77777777" w:rsidR="00C128DF" w:rsidRPr="00E529C8" w:rsidRDefault="00C128DF" w:rsidP="00E65280">
            <w:pPr>
              <w:pStyle w:val="TableText"/>
              <w:jc w:val="center"/>
              <w:rPr>
                <w:snapToGrid w:val="0"/>
              </w:rPr>
            </w:pPr>
          </w:p>
        </w:tc>
        <w:tc>
          <w:tcPr>
            <w:tcW w:w="2331" w:type="dxa"/>
            <w:shd w:val="clear" w:color="auto" w:fill="D2EAF1"/>
          </w:tcPr>
          <w:p w14:paraId="5F53B2ED" w14:textId="77777777" w:rsidR="00C128DF" w:rsidRPr="00E529C8" w:rsidRDefault="00C128DF" w:rsidP="00E65280">
            <w:pPr>
              <w:pStyle w:val="TableText"/>
              <w:jc w:val="center"/>
              <w:rPr>
                <w:snapToGrid w:val="0"/>
              </w:rPr>
            </w:pPr>
            <w:r>
              <w:rPr>
                <w:snapToGrid w:val="0"/>
              </w:rPr>
              <w:t>2.6.6</w:t>
            </w:r>
          </w:p>
        </w:tc>
        <w:tc>
          <w:tcPr>
            <w:tcW w:w="2331" w:type="dxa"/>
            <w:shd w:val="clear" w:color="auto" w:fill="D2EAF1"/>
          </w:tcPr>
          <w:p w14:paraId="29042203" w14:textId="77777777" w:rsidR="00C128DF" w:rsidRPr="00E529C8" w:rsidRDefault="00C128DF" w:rsidP="00E65280">
            <w:pPr>
              <w:pStyle w:val="TableText"/>
              <w:jc w:val="center"/>
              <w:rPr>
                <w:snapToGrid w:val="0"/>
              </w:rPr>
            </w:pPr>
          </w:p>
        </w:tc>
      </w:tr>
      <w:tr w:rsidR="00C128DF" w:rsidRPr="00285E70" w14:paraId="23900470" w14:textId="77777777" w:rsidTr="001A6C5A">
        <w:trPr>
          <w:trHeight w:val="250"/>
        </w:trPr>
        <w:tc>
          <w:tcPr>
            <w:tcW w:w="2330" w:type="dxa"/>
            <w:vMerge/>
            <w:shd w:val="clear" w:color="auto" w:fill="auto"/>
          </w:tcPr>
          <w:p w14:paraId="07A2EA44" w14:textId="77777777" w:rsidR="00C128DF" w:rsidRPr="00E529C8" w:rsidRDefault="00C128DF" w:rsidP="006D2034">
            <w:pPr>
              <w:pStyle w:val="Heading3"/>
            </w:pPr>
            <w:bookmarkStart w:id="354" w:name="_Toc465869335"/>
            <w:bookmarkStart w:id="355" w:name="_Toc493753883"/>
            <w:bookmarkStart w:id="356" w:name="_Toc493754114"/>
            <w:bookmarkStart w:id="357" w:name="_Toc493754402"/>
            <w:bookmarkStart w:id="358" w:name="_Toc510784884"/>
            <w:bookmarkStart w:id="359" w:name="_Toc510785061"/>
            <w:bookmarkStart w:id="360" w:name="_Toc517944710"/>
            <w:bookmarkStart w:id="361" w:name="_Toc518036839"/>
            <w:bookmarkStart w:id="362" w:name="_Toc519867918"/>
            <w:bookmarkEnd w:id="354"/>
            <w:bookmarkEnd w:id="355"/>
            <w:bookmarkEnd w:id="356"/>
            <w:bookmarkEnd w:id="357"/>
            <w:bookmarkEnd w:id="358"/>
            <w:bookmarkEnd w:id="359"/>
            <w:bookmarkEnd w:id="360"/>
            <w:bookmarkEnd w:id="361"/>
            <w:bookmarkEnd w:id="362"/>
          </w:p>
        </w:tc>
        <w:tc>
          <w:tcPr>
            <w:tcW w:w="2330" w:type="dxa"/>
            <w:shd w:val="clear" w:color="auto" w:fill="auto"/>
          </w:tcPr>
          <w:p w14:paraId="1001E9DB" w14:textId="77777777" w:rsidR="00C128DF" w:rsidRPr="00E529C8" w:rsidRDefault="00C128DF" w:rsidP="00E65280">
            <w:pPr>
              <w:pStyle w:val="TableText"/>
              <w:jc w:val="center"/>
              <w:rPr>
                <w:snapToGrid w:val="0"/>
              </w:rPr>
            </w:pPr>
          </w:p>
        </w:tc>
        <w:tc>
          <w:tcPr>
            <w:tcW w:w="2331" w:type="dxa"/>
            <w:shd w:val="clear" w:color="auto" w:fill="auto"/>
          </w:tcPr>
          <w:p w14:paraId="34751E0C" w14:textId="77777777" w:rsidR="00C128DF" w:rsidRPr="00E529C8" w:rsidRDefault="00C128DF" w:rsidP="00E65280">
            <w:pPr>
              <w:pStyle w:val="TableText"/>
              <w:jc w:val="center"/>
              <w:rPr>
                <w:snapToGrid w:val="0"/>
              </w:rPr>
            </w:pPr>
            <w:r>
              <w:rPr>
                <w:snapToGrid w:val="0"/>
              </w:rPr>
              <w:t>2.6.7</w:t>
            </w:r>
          </w:p>
        </w:tc>
        <w:tc>
          <w:tcPr>
            <w:tcW w:w="2331" w:type="dxa"/>
            <w:shd w:val="clear" w:color="auto" w:fill="auto"/>
          </w:tcPr>
          <w:p w14:paraId="0C0E81A3" w14:textId="77777777" w:rsidR="00C128DF" w:rsidRPr="00E529C8" w:rsidRDefault="00C128DF" w:rsidP="00E65280">
            <w:pPr>
              <w:pStyle w:val="TableText"/>
              <w:jc w:val="center"/>
              <w:rPr>
                <w:snapToGrid w:val="0"/>
              </w:rPr>
            </w:pPr>
          </w:p>
        </w:tc>
      </w:tr>
    </w:tbl>
    <w:p w14:paraId="236055DF" w14:textId="77777777" w:rsidR="007C31B0" w:rsidRDefault="007C31B0" w:rsidP="00AB1C35"/>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andard 3 Risk Groupings"/>
        <w:tblDescription w:val="NAS Measure Risk Groupings for Standard 3"/>
      </w:tblPr>
      <w:tblGrid>
        <w:gridCol w:w="2330"/>
        <w:gridCol w:w="2331"/>
        <w:gridCol w:w="2331"/>
        <w:gridCol w:w="2331"/>
      </w:tblGrid>
      <w:tr w:rsidR="007C31B0" w:rsidRPr="00285E70" w14:paraId="1F211312" w14:textId="77777777" w:rsidTr="001A6C5A">
        <w:trPr>
          <w:trHeight w:val="250"/>
        </w:trPr>
        <w:tc>
          <w:tcPr>
            <w:tcW w:w="2330" w:type="dxa"/>
            <w:shd w:val="clear" w:color="auto" w:fill="BFBFBF"/>
            <w:vAlign w:val="center"/>
          </w:tcPr>
          <w:p w14:paraId="41CB064E" w14:textId="77777777" w:rsidR="007C31B0" w:rsidRPr="00E529C8" w:rsidRDefault="007C31B0" w:rsidP="00B54DA9">
            <w:pPr>
              <w:pStyle w:val="TableHeading"/>
              <w:pageBreakBefore/>
              <w:rPr>
                <w:snapToGrid w:val="0"/>
              </w:rPr>
            </w:pPr>
            <w:r w:rsidRPr="00E529C8">
              <w:rPr>
                <w:snapToGrid w:val="0"/>
              </w:rPr>
              <w:lastRenderedPageBreak/>
              <w:t>Standard</w:t>
            </w:r>
            <w:r w:rsidR="00662964">
              <w:rPr>
                <w:snapToGrid w:val="0"/>
              </w:rPr>
              <w:t xml:space="preserve"> 3</w:t>
            </w:r>
          </w:p>
        </w:tc>
        <w:tc>
          <w:tcPr>
            <w:tcW w:w="6993" w:type="dxa"/>
            <w:gridSpan w:val="3"/>
            <w:shd w:val="clear" w:color="auto" w:fill="BFBFBF"/>
            <w:vAlign w:val="center"/>
          </w:tcPr>
          <w:p w14:paraId="24BDC451" w14:textId="59E51E63" w:rsidR="007C31B0" w:rsidRPr="00E529C8" w:rsidRDefault="007C31B0" w:rsidP="00C46142">
            <w:pPr>
              <w:pStyle w:val="TableHeading"/>
              <w:rPr>
                <w:snapToGrid w:val="0"/>
              </w:rPr>
            </w:pPr>
            <w:r w:rsidRPr="00E529C8">
              <w:rPr>
                <w:snapToGrid w:val="0"/>
              </w:rPr>
              <w:t>Risk Category Grouping</w:t>
            </w:r>
          </w:p>
        </w:tc>
      </w:tr>
      <w:tr w:rsidR="007C31B0" w:rsidRPr="00285E70" w14:paraId="56812DA9" w14:textId="77777777" w:rsidTr="001A6C5A">
        <w:trPr>
          <w:trHeight w:val="250"/>
        </w:trPr>
        <w:tc>
          <w:tcPr>
            <w:tcW w:w="2330" w:type="dxa"/>
            <w:vMerge w:val="restart"/>
            <w:shd w:val="clear" w:color="auto" w:fill="auto"/>
            <w:vAlign w:val="center"/>
          </w:tcPr>
          <w:p w14:paraId="52E5637E" w14:textId="77777777" w:rsidR="007C31B0" w:rsidRPr="00E529C8" w:rsidRDefault="007C31B0" w:rsidP="00E65280">
            <w:pPr>
              <w:pStyle w:val="TableText"/>
              <w:rPr>
                <w:b/>
                <w:snapToGrid w:val="0"/>
              </w:rPr>
            </w:pPr>
            <w:r w:rsidRPr="00E529C8">
              <w:rPr>
                <w:snapToGrid w:val="0"/>
              </w:rPr>
              <w:t>Assessment</w:t>
            </w:r>
          </w:p>
        </w:tc>
        <w:tc>
          <w:tcPr>
            <w:tcW w:w="2331" w:type="dxa"/>
            <w:shd w:val="clear" w:color="auto" w:fill="auto"/>
          </w:tcPr>
          <w:p w14:paraId="4526BD54" w14:textId="77777777" w:rsidR="007C31B0" w:rsidRPr="00E529C8" w:rsidRDefault="007C31B0" w:rsidP="00E65280">
            <w:pPr>
              <w:pStyle w:val="TableText"/>
              <w:jc w:val="center"/>
              <w:rPr>
                <w:b/>
                <w:snapToGrid w:val="0"/>
              </w:rPr>
            </w:pPr>
            <w:r w:rsidRPr="00E529C8">
              <w:rPr>
                <w:snapToGrid w:val="0"/>
              </w:rPr>
              <w:t>Level 1</w:t>
            </w:r>
          </w:p>
        </w:tc>
        <w:tc>
          <w:tcPr>
            <w:tcW w:w="2331" w:type="dxa"/>
            <w:shd w:val="clear" w:color="auto" w:fill="auto"/>
          </w:tcPr>
          <w:p w14:paraId="7A3A1036" w14:textId="77777777" w:rsidR="007C31B0" w:rsidRPr="00E529C8" w:rsidRDefault="007C31B0" w:rsidP="00E65280">
            <w:pPr>
              <w:pStyle w:val="TableText"/>
              <w:jc w:val="center"/>
              <w:rPr>
                <w:b/>
                <w:snapToGrid w:val="0"/>
              </w:rPr>
            </w:pPr>
            <w:r w:rsidRPr="00E529C8">
              <w:rPr>
                <w:snapToGrid w:val="0"/>
              </w:rPr>
              <w:t>Level 2</w:t>
            </w:r>
          </w:p>
        </w:tc>
        <w:tc>
          <w:tcPr>
            <w:tcW w:w="2331" w:type="dxa"/>
            <w:shd w:val="clear" w:color="auto" w:fill="auto"/>
          </w:tcPr>
          <w:p w14:paraId="208CD983" w14:textId="77777777" w:rsidR="007C31B0" w:rsidRPr="00E529C8" w:rsidRDefault="007C31B0" w:rsidP="00E65280">
            <w:pPr>
              <w:pStyle w:val="TableText"/>
              <w:jc w:val="center"/>
              <w:rPr>
                <w:b/>
                <w:snapToGrid w:val="0"/>
              </w:rPr>
            </w:pPr>
            <w:r w:rsidRPr="00E529C8">
              <w:rPr>
                <w:snapToGrid w:val="0"/>
              </w:rPr>
              <w:t>Level 3</w:t>
            </w:r>
          </w:p>
        </w:tc>
      </w:tr>
      <w:tr w:rsidR="00EB2DC7" w:rsidRPr="00285E70" w14:paraId="498F053F" w14:textId="77777777" w:rsidTr="001A6C5A">
        <w:trPr>
          <w:trHeight w:val="250"/>
        </w:trPr>
        <w:tc>
          <w:tcPr>
            <w:tcW w:w="2330" w:type="dxa"/>
            <w:vMerge/>
            <w:shd w:val="clear" w:color="auto" w:fill="auto"/>
          </w:tcPr>
          <w:p w14:paraId="34C199A4" w14:textId="77777777" w:rsidR="00EB2DC7" w:rsidRPr="00E529C8" w:rsidRDefault="00EB2DC7" w:rsidP="00AB1C35">
            <w:pPr>
              <w:rPr>
                <w:snapToGrid w:val="0"/>
              </w:rPr>
            </w:pPr>
          </w:p>
        </w:tc>
        <w:tc>
          <w:tcPr>
            <w:tcW w:w="2331" w:type="dxa"/>
            <w:shd w:val="clear" w:color="auto" w:fill="DAEEF3"/>
          </w:tcPr>
          <w:p w14:paraId="022FFBFA" w14:textId="77777777" w:rsidR="00EB2DC7" w:rsidRPr="00E529C8" w:rsidRDefault="00EB2DC7" w:rsidP="00E65280">
            <w:pPr>
              <w:pStyle w:val="TableText"/>
              <w:jc w:val="center"/>
              <w:rPr>
                <w:snapToGrid w:val="0"/>
              </w:rPr>
            </w:pPr>
            <w:r w:rsidRPr="00E529C8">
              <w:rPr>
                <w:snapToGrid w:val="0"/>
              </w:rPr>
              <w:t>3.1.</w:t>
            </w:r>
            <w:r>
              <w:rPr>
                <w:snapToGrid w:val="0"/>
              </w:rPr>
              <w:t>4</w:t>
            </w:r>
          </w:p>
        </w:tc>
        <w:tc>
          <w:tcPr>
            <w:tcW w:w="2331" w:type="dxa"/>
            <w:shd w:val="clear" w:color="auto" w:fill="DAEEF3"/>
          </w:tcPr>
          <w:p w14:paraId="05E25FAB" w14:textId="77777777" w:rsidR="00EB2DC7" w:rsidRPr="00E529C8" w:rsidRDefault="00EC7F43" w:rsidP="00E65280">
            <w:pPr>
              <w:pStyle w:val="TableText"/>
              <w:jc w:val="center"/>
              <w:rPr>
                <w:snapToGrid w:val="0"/>
              </w:rPr>
            </w:pPr>
            <w:r>
              <w:rPr>
                <w:snapToGrid w:val="0"/>
              </w:rPr>
              <w:t>3.1.1</w:t>
            </w:r>
          </w:p>
        </w:tc>
        <w:tc>
          <w:tcPr>
            <w:tcW w:w="2331" w:type="dxa"/>
            <w:shd w:val="clear" w:color="auto" w:fill="DAEEF3"/>
          </w:tcPr>
          <w:p w14:paraId="587CDF4A" w14:textId="77777777" w:rsidR="00EB2DC7" w:rsidRDefault="00575432" w:rsidP="00E65280">
            <w:pPr>
              <w:pStyle w:val="TableText"/>
              <w:jc w:val="center"/>
              <w:rPr>
                <w:snapToGrid w:val="0"/>
              </w:rPr>
            </w:pPr>
            <w:r>
              <w:rPr>
                <w:snapToGrid w:val="0"/>
              </w:rPr>
              <w:t>3.1.6</w:t>
            </w:r>
          </w:p>
        </w:tc>
      </w:tr>
      <w:tr w:rsidR="007C31B0" w:rsidRPr="00285E70" w14:paraId="745D8240" w14:textId="77777777" w:rsidTr="001A6C5A">
        <w:trPr>
          <w:trHeight w:val="250"/>
        </w:trPr>
        <w:tc>
          <w:tcPr>
            <w:tcW w:w="2330" w:type="dxa"/>
            <w:vMerge/>
            <w:shd w:val="clear" w:color="auto" w:fill="auto"/>
          </w:tcPr>
          <w:p w14:paraId="0EC9179C" w14:textId="77777777" w:rsidR="007C31B0" w:rsidRPr="00E529C8" w:rsidRDefault="007C31B0" w:rsidP="00AB1C35">
            <w:pPr>
              <w:rPr>
                <w:snapToGrid w:val="0"/>
              </w:rPr>
            </w:pPr>
          </w:p>
        </w:tc>
        <w:tc>
          <w:tcPr>
            <w:tcW w:w="2331" w:type="dxa"/>
            <w:shd w:val="clear" w:color="auto" w:fill="DAEEF3"/>
          </w:tcPr>
          <w:p w14:paraId="539B675B" w14:textId="77777777" w:rsidR="007C31B0" w:rsidRPr="00E529C8" w:rsidRDefault="00D57833" w:rsidP="00E65280">
            <w:pPr>
              <w:pStyle w:val="TableText"/>
              <w:jc w:val="center"/>
              <w:rPr>
                <w:snapToGrid w:val="0"/>
              </w:rPr>
            </w:pPr>
            <w:r>
              <w:rPr>
                <w:snapToGrid w:val="0"/>
              </w:rPr>
              <w:t>3.1.5</w:t>
            </w:r>
          </w:p>
        </w:tc>
        <w:tc>
          <w:tcPr>
            <w:tcW w:w="2331" w:type="dxa"/>
            <w:shd w:val="clear" w:color="auto" w:fill="DAEEF3"/>
          </w:tcPr>
          <w:p w14:paraId="0BD8E3EE" w14:textId="77777777" w:rsidR="007C31B0" w:rsidRPr="00E529C8" w:rsidRDefault="007C31B0" w:rsidP="00E65280">
            <w:pPr>
              <w:pStyle w:val="TableText"/>
              <w:jc w:val="center"/>
              <w:rPr>
                <w:snapToGrid w:val="0"/>
              </w:rPr>
            </w:pPr>
            <w:r w:rsidRPr="00E529C8">
              <w:rPr>
                <w:snapToGrid w:val="0"/>
              </w:rPr>
              <w:t>3.1.</w:t>
            </w:r>
            <w:r w:rsidR="00EC7F43">
              <w:rPr>
                <w:snapToGrid w:val="0"/>
              </w:rPr>
              <w:t>2</w:t>
            </w:r>
          </w:p>
        </w:tc>
        <w:tc>
          <w:tcPr>
            <w:tcW w:w="2331" w:type="dxa"/>
            <w:shd w:val="clear" w:color="auto" w:fill="DAEEF3"/>
          </w:tcPr>
          <w:p w14:paraId="1AACDB15" w14:textId="77777777" w:rsidR="007C31B0" w:rsidRPr="00E529C8" w:rsidRDefault="007C31B0" w:rsidP="00E65280">
            <w:pPr>
              <w:pStyle w:val="TableText"/>
              <w:jc w:val="center"/>
              <w:rPr>
                <w:snapToGrid w:val="0"/>
              </w:rPr>
            </w:pPr>
          </w:p>
        </w:tc>
      </w:tr>
      <w:tr w:rsidR="007C31B0" w:rsidRPr="00285E70" w14:paraId="0458B08E" w14:textId="77777777" w:rsidTr="001A6C5A">
        <w:trPr>
          <w:trHeight w:val="250"/>
        </w:trPr>
        <w:tc>
          <w:tcPr>
            <w:tcW w:w="2330" w:type="dxa"/>
            <w:vMerge/>
            <w:shd w:val="clear" w:color="auto" w:fill="auto"/>
          </w:tcPr>
          <w:p w14:paraId="425AD859" w14:textId="77777777" w:rsidR="007C31B0" w:rsidRPr="00E529C8" w:rsidRDefault="007C31B0" w:rsidP="00AB1C35">
            <w:pPr>
              <w:rPr>
                <w:snapToGrid w:val="0"/>
              </w:rPr>
            </w:pPr>
          </w:p>
        </w:tc>
        <w:tc>
          <w:tcPr>
            <w:tcW w:w="2331" w:type="dxa"/>
            <w:shd w:val="clear" w:color="auto" w:fill="auto"/>
          </w:tcPr>
          <w:p w14:paraId="322A94FE" w14:textId="77777777" w:rsidR="007C31B0" w:rsidRPr="00E529C8" w:rsidRDefault="00575432" w:rsidP="00E65280">
            <w:pPr>
              <w:pStyle w:val="TableText"/>
              <w:jc w:val="center"/>
              <w:rPr>
                <w:snapToGrid w:val="0"/>
              </w:rPr>
            </w:pPr>
            <w:r>
              <w:rPr>
                <w:snapToGrid w:val="0"/>
              </w:rPr>
              <w:t>3.1.7</w:t>
            </w:r>
          </w:p>
        </w:tc>
        <w:tc>
          <w:tcPr>
            <w:tcW w:w="2331" w:type="dxa"/>
            <w:shd w:val="clear" w:color="auto" w:fill="auto"/>
          </w:tcPr>
          <w:p w14:paraId="26A292C4" w14:textId="77777777" w:rsidR="007C31B0" w:rsidRPr="00E529C8" w:rsidRDefault="007C31B0" w:rsidP="00E65280">
            <w:pPr>
              <w:pStyle w:val="TableText"/>
              <w:jc w:val="center"/>
              <w:rPr>
                <w:snapToGrid w:val="0"/>
              </w:rPr>
            </w:pPr>
            <w:r w:rsidRPr="00E529C8">
              <w:rPr>
                <w:snapToGrid w:val="0"/>
              </w:rPr>
              <w:t>3.1.</w:t>
            </w:r>
            <w:r w:rsidR="00EC7F43">
              <w:rPr>
                <w:snapToGrid w:val="0"/>
              </w:rPr>
              <w:t>3</w:t>
            </w:r>
          </w:p>
        </w:tc>
        <w:tc>
          <w:tcPr>
            <w:tcW w:w="2331" w:type="dxa"/>
            <w:shd w:val="clear" w:color="auto" w:fill="auto"/>
          </w:tcPr>
          <w:p w14:paraId="45E52F69" w14:textId="77777777" w:rsidR="007C31B0" w:rsidRPr="00E529C8" w:rsidRDefault="007C31B0" w:rsidP="00E65280">
            <w:pPr>
              <w:pStyle w:val="TableText"/>
              <w:jc w:val="center"/>
              <w:rPr>
                <w:snapToGrid w:val="0"/>
              </w:rPr>
            </w:pPr>
          </w:p>
        </w:tc>
      </w:tr>
      <w:tr w:rsidR="007C31B0" w:rsidRPr="00285E70" w14:paraId="6729DBDA" w14:textId="77777777" w:rsidTr="001A6C5A">
        <w:trPr>
          <w:trHeight w:val="250"/>
        </w:trPr>
        <w:tc>
          <w:tcPr>
            <w:tcW w:w="2330" w:type="dxa"/>
            <w:vMerge/>
            <w:shd w:val="clear" w:color="auto" w:fill="auto"/>
          </w:tcPr>
          <w:p w14:paraId="5979F028" w14:textId="77777777" w:rsidR="007C31B0" w:rsidRPr="00E529C8" w:rsidRDefault="007C31B0" w:rsidP="00AB1C35">
            <w:pPr>
              <w:rPr>
                <w:snapToGrid w:val="0"/>
              </w:rPr>
            </w:pPr>
          </w:p>
        </w:tc>
        <w:tc>
          <w:tcPr>
            <w:tcW w:w="2331" w:type="dxa"/>
            <w:shd w:val="clear" w:color="auto" w:fill="DAEEF3"/>
          </w:tcPr>
          <w:p w14:paraId="35FF0DB1" w14:textId="77777777" w:rsidR="007C31B0" w:rsidRPr="00E529C8" w:rsidRDefault="00575432" w:rsidP="00E65280">
            <w:pPr>
              <w:pStyle w:val="TableText"/>
              <w:jc w:val="center"/>
              <w:rPr>
                <w:snapToGrid w:val="0"/>
              </w:rPr>
            </w:pPr>
            <w:r>
              <w:rPr>
                <w:snapToGrid w:val="0"/>
              </w:rPr>
              <w:t>3.1.8</w:t>
            </w:r>
          </w:p>
        </w:tc>
        <w:tc>
          <w:tcPr>
            <w:tcW w:w="2331" w:type="dxa"/>
            <w:shd w:val="clear" w:color="auto" w:fill="DAEEF3"/>
          </w:tcPr>
          <w:p w14:paraId="14BD0D01" w14:textId="77777777" w:rsidR="007C31B0" w:rsidRPr="00E529C8" w:rsidRDefault="007C31B0" w:rsidP="00E65280">
            <w:pPr>
              <w:pStyle w:val="TableText"/>
              <w:jc w:val="center"/>
              <w:rPr>
                <w:snapToGrid w:val="0"/>
              </w:rPr>
            </w:pPr>
          </w:p>
        </w:tc>
        <w:tc>
          <w:tcPr>
            <w:tcW w:w="2331" w:type="dxa"/>
            <w:shd w:val="clear" w:color="auto" w:fill="DAEEF3"/>
          </w:tcPr>
          <w:p w14:paraId="33A8A0B4" w14:textId="77777777" w:rsidR="007C31B0" w:rsidRPr="00E529C8" w:rsidRDefault="007C31B0" w:rsidP="00E65280">
            <w:pPr>
              <w:pStyle w:val="TableText"/>
              <w:jc w:val="center"/>
              <w:rPr>
                <w:snapToGrid w:val="0"/>
              </w:rPr>
            </w:pPr>
          </w:p>
        </w:tc>
      </w:tr>
    </w:tbl>
    <w:p w14:paraId="596190E4" w14:textId="77777777" w:rsidR="007C31B0" w:rsidRDefault="007C31B0" w:rsidP="00AB1C35"/>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andard 4 Risk Groupings"/>
        <w:tblDescription w:val="NAS Measure Risk Groupings for Standard 4"/>
      </w:tblPr>
      <w:tblGrid>
        <w:gridCol w:w="2330"/>
        <w:gridCol w:w="2331"/>
        <w:gridCol w:w="2331"/>
        <w:gridCol w:w="2331"/>
      </w:tblGrid>
      <w:tr w:rsidR="007C31B0" w:rsidRPr="00285E70" w14:paraId="50E53711" w14:textId="77777777" w:rsidTr="001A6C5A">
        <w:trPr>
          <w:trHeight w:val="250"/>
        </w:trPr>
        <w:tc>
          <w:tcPr>
            <w:tcW w:w="2330" w:type="dxa"/>
            <w:shd w:val="clear" w:color="auto" w:fill="BFBFBF"/>
            <w:vAlign w:val="center"/>
          </w:tcPr>
          <w:p w14:paraId="6A1412F2" w14:textId="2A264C1D" w:rsidR="007C31B0" w:rsidRPr="00E529C8" w:rsidRDefault="007C31B0" w:rsidP="00C46142">
            <w:pPr>
              <w:pStyle w:val="TableHeading"/>
              <w:rPr>
                <w:snapToGrid w:val="0"/>
              </w:rPr>
            </w:pPr>
            <w:r w:rsidRPr="00E529C8">
              <w:rPr>
                <w:snapToGrid w:val="0"/>
              </w:rPr>
              <w:t>Standard</w:t>
            </w:r>
            <w:r w:rsidR="00662964">
              <w:rPr>
                <w:snapToGrid w:val="0"/>
              </w:rPr>
              <w:t xml:space="preserve"> 4</w:t>
            </w:r>
          </w:p>
        </w:tc>
        <w:tc>
          <w:tcPr>
            <w:tcW w:w="6993" w:type="dxa"/>
            <w:gridSpan w:val="3"/>
            <w:shd w:val="clear" w:color="auto" w:fill="BFBFBF"/>
            <w:vAlign w:val="center"/>
          </w:tcPr>
          <w:p w14:paraId="1F27B205" w14:textId="45CB985A" w:rsidR="007C31B0" w:rsidRPr="00E529C8" w:rsidRDefault="007C31B0" w:rsidP="00C46142">
            <w:pPr>
              <w:pStyle w:val="TableHeading"/>
              <w:rPr>
                <w:snapToGrid w:val="0"/>
              </w:rPr>
            </w:pPr>
            <w:r w:rsidRPr="00E529C8">
              <w:rPr>
                <w:snapToGrid w:val="0"/>
              </w:rPr>
              <w:t>Risk Category Grouping</w:t>
            </w:r>
          </w:p>
        </w:tc>
      </w:tr>
      <w:tr w:rsidR="00D02100" w:rsidRPr="00285E70" w14:paraId="405F1AC1" w14:textId="77777777" w:rsidTr="001A6C5A">
        <w:trPr>
          <w:trHeight w:val="250"/>
        </w:trPr>
        <w:tc>
          <w:tcPr>
            <w:tcW w:w="2330" w:type="dxa"/>
            <w:vMerge w:val="restart"/>
            <w:shd w:val="clear" w:color="auto" w:fill="auto"/>
            <w:vAlign w:val="center"/>
          </w:tcPr>
          <w:p w14:paraId="047E6B6F" w14:textId="77777777" w:rsidR="00D02100" w:rsidRPr="00E529C8" w:rsidRDefault="00D02100" w:rsidP="00E65280">
            <w:pPr>
              <w:pStyle w:val="TableText"/>
              <w:rPr>
                <w:b/>
                <w:snapToGrid w:val="0"/>
              </w:rPr>
            </w:pPr>
            <w:r w:rsidRPr="00E529C8">
              <w:t>Timeliness</w:t>
            </w:r>
          </w:p>
        </w:tc>
        <w:tc>
          <w:tcPr>
            <w:tcW w:w="2331" w:type="dxa"/>
            <w:shd w:val="clear" w:color="auto" w:fill="auto"/>
          </w:tcPr>
          <w:p w14:paraId="00EC3627" w14:textId="77777777" w:rsidR="00D02100" w:rsidRPr="00E529C8" w:rsidRDefault="00D02100" w:rsidP="00E65280">
            <w:pPr>
              <w:pStyle w:val="TableText"/>
              <w:jc w:val="center"/>
              <w:rPr>
                <w:b/>
                <w:snapToGrid w:val="0"/>
              </w:rPr>
            </w:pPr>
            <w:r w:rsidRPr="00E529C8">
              <w:rPr>
                <w:snapToGrid w:val="0"/>
              </w:rPr>
              <w:t>Level 1</w:t>
            </w:r>
          </w:p>
        </w:tc>
        <w:tc>
          <w:tcPr>
            <w:tcW w:w="2331" w:type="dxa"/>
            <w:shd w:val="clear" w:color="auto" w:fill="auto"/>
          </w:tcPr>
          <w:p w14:paraId="00E62BD2" w14:textId="77777777" w:rsidR="00D02100" w:rsidRPr="00E529C8" w:rsidRDefault="00D02100" w:rsidP="00E65280">
            <w:pPr>
              <w:pStyle w:val="TableText"/>
              <w:jc w:val="center"/>
              <w:rPr>
                <w:b/>
                <w:snapToGrid w:val="0"/>
              </w:rPr>
            </w:pPr>
            <w:r w:rsidRPr="00E529C8">
              <w:rPr>
                <w:snapToGrid w:val="0"/>
              </w:rPr>
              <w:t>Level 2</w:t>
            </w:r>
          </w:p>
        </w:tc>
        <w:tc>
          <w:tcPr>
            <w:tcW w:w="2331" w:type="dxa"/>
            <w:shd w:val="clear" w:color="auto" w:fill="auto"/>
          </w:tcPr>
          <w:p w14:paraId="192BCCDE" w14:textId="77777777" w:rsidR="00D02100" w:rsidRPr="00E529C8" w:rsidRDefault="00D02100" w:rsidP="00E65280">
            <w:pPr>
              <w:pStyle w:val="TableText"/>
              <w:jc w:val="center"/>
              <w:rPr>
                <w:b/>
                <w:snapToGrid w:val="0"/>
              </w:rPr>
            </w:pPr>
            <w:r w:rsidRPr="00E529C8">
              <w:rPr>
                <w:snapToGrid w:val="0"/>
              </w:rPr>
              <w:t>Level 3</w:t>
            </w:r>
          </w:p>
        </w:tc>
      </w:tr>
      <w:tr w:rsidR="00D02100" w:rsidRPr="00285E70" w14:paraId="68BAC977" w14:textId="77777777" w:rsidTr="001A6C5A">
        <w:trPr>
          <w:trHeight w:val="250"/>
        </w:trPr>
        <w:tc>
          <w:tcPr>
            <w:tcW w:w="2330" w:type="dxa"/>
            <w:vMerge/>
            <w:shd w:val="clear" w:color="auto" w:fill="auto"/>
          </w:tcPr>
          <w:p w14:paraId="1B922EDA" w14:textId="77777777" w:rsidR="00D02100" w:rsidRPr="00E529C8" w:rsidRDefault="00D02100" w:rsidP="00AB1C35"/>
        </w:tc>
        <w:tc>
          <w:tcPr>
            <w:tcW w:w="2331" w:type="dxa"/>
            <w:shd w:val="clear" w:color="auto" w:fill="DAEEF3"/>
          </w:tcPr>
          <w:p w14:paraId="521C1CFD" w14:textId="77777777" w:rsidR="00D02100" w:rsidRPr="00E529C8" w:rsidRDefault="00D02100" w:rsidP="00E65280">
            <w:pPr>
              <w:pStyle w:val="TableText"/>
              <w:jc w:val="center"/>
              <w:rPr>
                <w:snapToGrid w:val="0"/>
              </w:rPr>
            </w:pPr>
            <w:r w:rsidRPr="00E529C8">
              <w:rPr>
                <w:snapToGrid w:val="0"/>
              </w:rPr>
              <w:t>4.2.1</w:t>
            </w:r>
          </w:p>
        </w:tc>
        <w:tc>
          <w:tcPr>
            <w:tcW w:w="2331" w:type="dxa"/>
            <w:shd w:val="clear" w:color="auto" w:fill="DAEEF3"/>
          </w:tcPr>
          <w:p w14:paraId="1B90EDCE" w14:textId="77777777" w:rsidR="00D02100" w:rsidRPr="00E529C8" w:rsidRDefault="00D02100" w:rsidP="00E65280">
            <w:pPr>
              <w:pStyle w:val="TableText"/>
              <w:jc w:val="center"/>
              <w:rPr>
                <w:snapToGrid w:val="0"/>
              </w:rPr>
            </w:pPr>
            <w:r w:rsidRPr="00E529C8">
              <w:rPr>
                <w:snapToGrid w:val="0"/>
              </w:rPr>
              <w:t>4.1.1</w:t>
            </w:r>
          </w:p>
        </w:tc>
        <w:tc>
          <w:tcPr>
            <w:tcW w:w="2331" w:type="dxa"/>
            <w:shd w:val="clear" w:color="auto" w:fill="DAEEF3"/>
          </w:tcPr>
          <w:p w14:paraId="21FFADC9" w14:textId="77777777" w:rsidR="00D02100" w:rsidRPr="00E529C8" w:rsidRDefault="00D02100" w:rsidP="00E65280">
            <w:pPr>
              <w:pStyle w:val="TableText"/>
              <w:jc w:val="center"/>
              <w:rPr>
                <w:snapToGrid w:val="0"/>
              </w:rPr>
            </w:pPr>
          </w:p>
        </w:tc>
      </w:tr>
      <w:tr w:rsidR="00D02100" w:rsidRPr="00285E70" w14:paraId="57388827" w14:textId="77777777" w:rsidTr="001A6C5A">
        <w:trPr>
          <w:trHeight w:val="250"/>
        </w:trPr>
        <w:tc>
          <w:tcPr>
            <w:tcW w:w="2330" w:type="dxa"/>
            <w:vMerge/>
            <w:shd w:val="clear" w:color="auto" w:fill="auto"/>
          </w:tcPr>
          <w:p w14:paraId="60CFC514" w14:textId="77777777" w:rsidR="00D02100" w:rsidRPr="00E529C8" w:rsidRDefault="00D02100" w:rsidP="00AB1C35">
            <w:pPr>
              <w:rPr>
                <w:snapToGrid w:val="0"/>
              </w:rPr>
            </w:pPr>
          </w:p>
        </w:tc>
        <w:tc>
          <w:tcPr>
            <w:tcW w:w="2331" w:type="dxa"/>
            <w:shd w:val="clear" w:color="auto" w:fill="auto"/>
          </w:tcPr>
          <w:p w14:paraId="1DC86ADB" w14:textId="77777777" w:rsidR="00D02100" w:rsidRPr="00E529C8" w:rsidRDefault="00D02100" w:rsidP="00E65280">
            <w:pPr>
              <w:pStyle w:val="TableText"/>
              <w:jc w:val="center"/>
              <w:rPr>
                <w:snapToGrid w:val="0"/>
              </w:rPr>
            </w:pPr>
          </w:p>
        </w:tc>
        <w:tc>
          <w:tcPr>
            <w:tcW w:w="2331" w:type="dxa"/>
            <w:shd w:val="clear" w:color="auto" w:fill="auto"/>
          </w:tcPr>
          <w:p w14:paraId="2CB81E30" w14:textId="77777777" w:rsidR="00D02100" w:rsidRPr="00E529C8" w:rsidRDefault="00D02100" w:rsidP="00E65280">
            <w:pPr>
              <w:pStyle w:val="TableText"/>
              <w:jc w:val="center"/>
              <w:rPr>
                <w:snapToGrid w:val="0"/>
              </w:rPr>
            </w:pPr>
            <w:r w:rsidRPr="00E529C8">
              <w:rPr>
                <w:snapToGrid w:val="0"/>
              </w:rPr>
              <w:t>4.1.2</w:t>
            </w:r>
          </w:p>
        </w:tc>
        <w:tc>
          <w:tcPr>
            <w:tcW w:w="2331" w:type="dxa"/>
            <w:shd w:val="clear" w:color="auto" w:fill="auto"/>
          </w:tcPr>
          <w:p w14:paraId="2E6AEDFB" w14:textId="77777777" w:rsidR="00D02100" w:rsidRPr="00E529C8" w:rsidRDefault="00D02100" w:rsidP="00E65280">
            <w:pPr>
              <w:pStyle w:val="TableText"/>
              <w:jc w:val="center"/>
              <w:rPr>
                <w:snapToGrid w:val="0"/>
              </w:rPr>
            </w:pPr>
          </w:p>
        </w:tc>
      </w:tr>
      <w:tr w:rsidR="00D02100" w:rsidRPr="00285E70" w14:paraId="5EA32141" w14:textId="77777777" w:rsidTr="001A6C5A">
        <w:trPr>
          <w:trHeight w:val="250"/>
        </w:trPr>
        <w:tc>
          <w:tcPr>
            <w:tcW w:w="2330" w:type="dxa"/>
            <w:vMerge/>
            <w:shd w:val="clear" w:color="auto" w:fill="auto"/>
          </w:tcPr>
          <w:p w14:paraId="2ECC356F" w14:textId="77777777" w:rsidR="00D02100" w:rsidRPr="00E529C8" w:rsidRDefault="00D02100" w:rsidP="00AB1C35">
            <w:pPr>
              <w:rPr>
                <w:snapToGrid w:val="0"/>
              </w:rPr>
            </w:pPr>
          </w:p>
        </w:tc>
        <w:tc>
          <w:tcPr>
            <w:tcW w:w="2331" w:type="dxa"/>
            <w:shd w:val="clear" w:color="auto" w:fill="DAEEF3"/>
          </w:tcPr>
          <w:p w14:paraId="6B2AA110" w14:textId="77777777" w:rsidR="00D02100" w:rsidRPr="00E529C8" w:rsidRDefault="00D02100" w:rsidP="00E65280">
            <w:pPr>
              <w:pStyle w:val="TableText"/>
              <w:jc w:val="center"/>
              <w:rPr>
                <w:snapToGrid w:val="0"/>
              </w:rPr>
            </w:pPr>
          </w:p>
        </w:tc>
        <w:tc>
          <w:tcPr>
            <w:tcW w:w="2331" w:type="dxa"/>
            <w:shd w:val="clear" w:color="auto" w:fill="DAEEF3"/>
          </w:tcPr>
          <w:p w14:paraId="5D71D66D" w14:textId="77777777" w:rsidR="00D02100" w:rsidRPr="00E529C8" w:rsidRDefault="00D02100" w:rsidP="00E65280">
            <w:pPr>
              <w:pStyle w:val="TableText"/>
              <w:jc w:val="center"/>
              <w:rPr>
                <w:snapToGrid w:val="0"/>
              </w:rPr>
            </w:pPr>
            <w:r w:rsidRPr="00E529C8">
              <w:rPr>
                <w:snapToGrid w:val="0"/>
              </w:rPr>
              <w:t>4.2.2</w:t>
            </w:r>
          </w:p>
        </w:tc>
        <w:tc>
          <w:tcPr>
            <w:tcW w:w="2331" w:type="dxa"/>
            <w:shd w:val="clear" w:color="auto" w:fill="DAEEF3"/>
          </w:tcPr>
          <w:p w14:paraId="733BF7ED" w14:textId="77777777" w:rsidR="00D02100" w:rsidRPr="00E529C8" w:rsidRDefault="00D02100" w:rsidP="00E65280">
            <w:pPr>
              <w:pStyle w:val="TableText"/>
              <w:jc w:val="center"/>
              <w:rPr>
                <w:snapToGrid w:val="0"/>
              </w:rPr>
            </w:pPr>
          </w:p>
        </w:tc>
      </w:tr>
      <w:tr w:rsidR="00D02100" w:rsidRPr="00285E70" w14:paraId="1562FC8C" w14:textId="77777777" w:rsidTr="001A6C5A">
        <w:trPr>
          <w:trHeight w:val="250"/>
        </w:trPr>
        <w:tc>
          <w:tcPr>
            <w:tcW w:w="2330" w:type="dxa"/>
            <w:vMerge/>
            <w:shd w:val="clear" w:color="auto" w:fill="auto"/>
          </w:tcPr>
          <w:p w14:paraId="333F92A8" w14:textId="77777777" w:rsidR="00D02100" w:rsidRPr="00E529C8" w:rsidRDefault="00D02100" w:rsidP="00AB1C35">
            <w:pPr>
              <w:rPr>
                <w:snapToGrid w:val="0"/>
              </w:rPr>
            </w:pPr>
          </w:p>
        </w:tc>
        <w:tc>
          <w:tcPr>
            <w:tcW w:w="2331" w:type="dxa"/>
            <w:shd w:val="clear" w:color="auto" w:fill="auto"/>
          </w:tcPr>
          <w:p w14:paraId="28E9FAEB" w14:textId="77777777" w:rsidR="00D02100" w:rsidRPr="00E529C8" w:rsidRDefault="00D02100" w:rsidP="00E65280">
            <w:pPr>
              <w:pStyle w:val="TableText"/>
              <w:jc w:val="center"/>
              <w:rPr>
                <w:snapToGrid w:val="0"/>
              </w:rPr>
            </w:pPr>
          </w:p>
        </w:tc>
        <w:tc>
          <w:tcPr>
            <w:tcW w:w="2331" w:type="dxa"/>
            <w:shd w:val="clear" w:color="auto" w:fill="auto"/>
          </w:tcPr>
          <w:p w14:paraId="334BD294" w14:textId="77777777" w:rsidR="00D02100" w:rsidRPr="00E529C8" w:rsidRDefault="00D02100" w:rsidP="00E65280">
            <w:pPr>
              <w:pStyle w:val="TableText"/>
              <w:jc w:val="center"/>
              <w:rPr>
                <w:snapToGrid w:val="0"/>
              </w:rPr>
            </w:pPr>
            <w:r w:rsidRPr="00E529C8">
              <w:rPr>
                <w:snapToGrid w:val="0"/>
              </w:rPr>
              <w:t>4.2.3</w:t>
            </w:r>
          </w:p>
        </w:tc>
        <w:tc>
          <w:tcPr>
            <w:tcW w:w="2331" w:type="dxa"/>
            <w:shd w:val="clear" w:color="auto" w:fill="auto"/>
          </w:tcPr>
          <w:p w14:paraId="7EDA3CFF" w14:textId="77777777" w:rsidR="00D02100" w:rsidRPr="00E529C8" w:rsidRDefault="00D02100" w:rsidP="00E65280">
            <w:pPr>
              <w:pStyle w:val="TableText"/>
              <w:jc w:val="center"/>
              <w:rPr>
                <w:snapToGrid w:val="0"/>
              </w:rPr>
            </w:pPr>
          </w:p>
        </w:tc>
      </w:tr>
      <w:tr w:rsidR="00D02100" w:rsidRPr="00285E70" w14:paraId="2A505D47" w14:textId="77777777" w:rsidTr="001A6C5A">
        <w:trPr>
          <w:trHeight w:val="250"/>
        </w:trPr>
        <w:tc>
          <w:tcPr>
            <w:tcW w:w="2330" w:type="dxa"/>
            <w:vMerge/>
            <w:shd w:val="clear" w:color="auto" w:fill="auto"/>
          </w:tcPr>
          <w:p w14:paraId="117F4EB8" w14:textId="77777777" w:rsidR="00D02100" w:rsidRPr="00E529C8" w:rsidRDefault="00D02100" w:rsidP="00AB1C35">
            <w:pPr>
              <w:rPr>
                <w:snapToGrid w:val="0"/>
              </w:rPr>
            </w:pPr>
          </w:p>
        </w:tc>
        <w:tc>
          <w:tcPr>
            <w:tcW w:w="2331" w:type="dxa"/>
            <w:shd w:val="clear" w:color="auto" w:fill="DAEEF3"/>
          </w:tcPr>
          <w:p w14:paraId="5BFBA3BC" w14:textId="77777777" w:rsidR="00D02100" w:rsidRPr="00E529C8" w:rsidRDefault="00D02100" w:rsidP="00E65280">
            <w:pPr>
              <w:pStyle w:val="TableText"/>
              <w:jc w:val="center"/>
              <w:rPr>
                <w:snapToGrid w:val="0"/>
              </w:rPr>
            </w:pPr>
          </w:p>
        </w:tc>
        <w:tc>
          <w:tcPr>
            <w:tcW w:w="2331" w:type="dxa"/>
            <w:shd w:val="clear" w:color="auto" w:fill="DAEEF3"/>
          </w:tcPr>
          <w:p w14:paraId="5FC55AA8" w14:textId="77777777" w:rsidR="00D02100" w:rsidRPr="00E529C8" w:rsidRDefault="00D02100" w:rsidP="00E65280">
            <w:pPr>
              <w:pStyle w:val="TableText"/>
              <w:jc w:val="center"/>
              <w:rPr>
                <w:snapToGrid w:val="0"/>
              </w:rPr>
            </w:pPr>
            <w:r>
              <w:rPr>
                <w:snapToGrid w:val="0"/>
              </w:rPr>
              <w:t>4.2.4</w:t>
            </w:r>
          </w:p>
        </w:tc>
        <w:tc>
          <w:tcPr>
            <w:tcW w:w="2331" w:type="dxa"/>
            <w:shd w:val="clear" w:color="auto" w:fill="DAEEF3"/>
          </w:tcPr>
          <w:p w14:paraId="3133C66F" w14:textId="77777777" w:rsidR="00D02100" w:rsidRPr="00E529C8" w:rsidRDefault="00D02100" w:rsidP="00E65280">
            <w:pPr>
              <w:pStyle w:val="TableText"/>
              <w:jc w:val="center"/>
              <w:rPr>
                <w:snapToGrid w:val="0"/>
              </w:rPr>
            </w:pPr>
          </w:p>
        </w:tc>
      </w:tr>
      <w:tr w:rsidR="00D02100" w:rsidRPr="00285E70" w14:paraId="459C21FB" w14:textId="77777777" w:rsidTr="001A6C5A">
        <w:trPr>
          <w:trHeight w:val="250"/>
        </w:trPr>
        <w:tc>
          <w:tcPr>
            <w:tcW w:w="2330" w:type="dxa"/>
            <w:vMerge/>
            <w:shd w:val="clear" w:color="auto" w:fill="auto"/>
          </w:tcPr>
          <w:p w14:paraId="6817352C" w14:textId="77777777" w:rsidR="00D02100" w:rsidRPr="00E529C8" w:rsidRDefault="00D02100" w:rsidP="00AB1C35">
            <w:pPr>
              <w:rPr>
                <w:snapToGrid w:val="0"/>
              </w:rPr>
            </w:pPr>
          </w:p>
        </w:tc>
        <w:tc>
          <w:tcPr>
            <w:tcW w:w="2331" w:type="dxa"/>
            <w:shd w:val="clear" w:color="auto" w:fill="DAEEF3"/>
          </w:tcPr>
          <w:p w14:paraId="5D5FC4A8" w14:textId="77777777" w:rsidR="00D02100" w:rsidRPr="00E529C8" w:rsidRDefault="00D02100" w:rsidP="00E65280">
            <w:pPr>
              <w:pStyle w:val="TableText"/>
              <w:jc w:val="center"/>
              <w:rPr>
                <w:snapToGrid w:val="0"/>
              </w:rPr>
            </w:pPr>
          </w:p>
        </w:tc>
        <w:tc>
          <w:tcPr>
            <w:tcW w:w="2331" w:type="dxa"/>
            <w:shd w:val="clear" w:color="auto" w:fill="DAEEF3"/>
          </w:tcPr>
          <w:p w14:paraId="3E083B8C" w14:textId="77777777" w:rsidR="00D02100" w:rsidRDefault="00D02100" w:rsidP="00E65280">
            <w:pPr>
              <w:pStyle w:val="TableText"/>
              <w:jc w:val="center"/>
              <w:rPr>
                <w:snapToGrid w:val="0"/>
              </w:rPr>
            </w:pPr>
            <w:r>
              <w:rPr>
                <w:snapToGrid w:val="0"/>
              </w:rPr>
              <w:t>4.2.5</w:t>
            </w:r>
          </w:p>
        </w:tc>
        <w:tc>
          <w:tcPr>
            <w:tcW w:w="2331" w:type="dxa"/>
            <w:shd w:val="clear" w:color="auto" w:fill="DAEEF3"/>
          </w:tcPr>
          <w:p w14:paraId="5CE12D85" w14:textId="77777777" w:rsidR="00D02100" w:rsidRPr="00E529C8" w:rsidRDefault="00D02100" w:rsidP="00E65280">
            <w:pPr>
              <w:pStyle w:val="TableText"/>
              <w:jc w:val="center"/>
              <w:rPr>
                <w:snapToGrid w:val="0"/>
              </w:rPr>
            </w:pPr>
          </w:p>
        </w:tc>
      </w:tr>
      <w:tr w:rsidR="00D02100" w:rsidRPr="00285E70" w14:paraId="44D4E702" w14:textId="77777777" w:rsidTr="001A6C5A">
        <w:trPr>
          <w:trHeight w:val="250"/>
        </w:trPr>
        <w:tc>
          <w:tcPr>
            <w:tcW w:w="2330" w:type="dxa"/>
            <w:vMerge/>
            <w:shd w:val="clear" w:color="auto" w:fill="auto"/>
          </w:tcPr>
          <w:p w14:paraId="11D06BC9" w14:textId="77777777" w:rsidR="00D02100" w:rsidRPr="00E529C8" w:rsidRDefault="00D02100" w:rsidP="00AB1C35">
            <w:pPr>
              <w:rPr>
                <w:snapToGrid w:val="0"/>
              </w:rPr>
            </w:pPr>
          </w:p>
        </w:tc>
        <w:tc>
          <w:tcPr>
            <w:tcW w:w="2331" w:type="dxa"/>
            <w:shd w:val="clear" w:color="auto" w:fill="DAEEF3"/>
          </w:tcPr>
          <w:p w14:paraId="03C3AA15" w14:textId="77777777" w:rsidR="00D02100" w:rsidRPr="00E529C8" w:rsidRDefault="00D02100" w:rsidP="00E65280">
            <w:pPr>
              <w:pStyle w:val="TableText"/>
              <w:jc w:val="center"/>
              <w:rPr>
                <w:snapToGrid w:val="0"/>
              </w:rPr>
            </w:pPr>
          </w:p>
        </w:tc>
        <w:tc>
          <w:tcPr>
            <w:tcW w:w="2331" w:type="dxa"/>
            <w:shd w:val="clear" w:color="auto" w:fill="DAEEF3"/>
          </w:tcPr>
          <w:p w14:paraId="0460939E" w14:textId="77777777" w:rsidR="00D02100" w:rsidRDefault="00D02100" w:rsidP="00E65280">
            <w:pPr>
              <w:pStyle w:val="TableText"/>
              <w:jc w:val="center"/>
              <w:rPr>
                <w:snapToGrid w:val="0"/>
              </w:rPr>
            </w:pPr>
            <w:r>
              <w:rPr>
                <w:snapToGrid w:val="0"/>
              </w:rPr>
              <w:t>4.2.6</w:t>
            </w:r>
          </w:p>
        </w:tc>
        <w:tc>
          <w:tcPr>
            <w:tcW w:w="2331" w:type="dxa"/>
            <w:shd w:val="clear" w:color="auto" w:fill="DAEEF3"/>
          </w:tcPr>
          <w:p w14:paraId="080BB96B" w14:textId="77777777" w:rsidR="00D02100" w:rsidRPr="00E529C8" w:rsidRDefault="00D02100" w:rsidP="00E65280">
            <w:pPr>
              <w:pStyle w:val="TableText"/>
              <w:jc w:val="center"/>
              <w:rPr>
                <w:snapToGrid w:val="0"/>
              </w:rPr>
            </w:pPr>
          </w:p>
        </w:tc>
      </w:tr>
    </w:tbl>
    <w:p w14:paraId="36AF06DA" w14:textId="668F6267" w:rsidR="00D8649C" w:rsidRDefault="00D8649C" w:rsidP="00AB1C35"/>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andard 5 Risk Groupings"/>
        <w:tblDescription w:val="NAS Measure Risk Groupings for Standard 5"/>
      </w:tblPr>
      <w:tblGrid>
        <w:gridCol w:w="2330"/>
        <w:gridCol w:w="2331"/>
        <w:gridCol w:w="2331"/>
        <w:gridCol w:w="2331"/>
      </w:tblGrid>
      <w:tr w:rsidR="007C31B0" w:rsidRPr="00285E70" w14:paraId="14206F0E" w14:textId="77777777" w:rsidTr="001A6C5A">
        <w:trPr>
          <w:trHeight w:val="250"/>
        </w:trPr>
        <w:tc>
          <w:tcPr>
            <w:tcW w:w="2330" w:type="dxa"/>
            <w:shd w:val="clear" w:color="auto" w:fill="A6A6A6"/>
            <w:vAlign w:val="center"/>
          </w:tcPr>
          <w:p w14:paraId="5C1B3E5B" w14:textId="2EA08D1D" w:rsidR="007C31B0" w:rsidRPr="00E529C8" w:rsidRDefault="007C31B0" w:rsidP="00C46142">
            <w:pPr>
              <w:pStyle w:val="TableHeading"/>
              <w:rPr>
                <w:snapToGrid w:val="0"/>
              </w:rPr>
            </w:pPr>
            <w:r w:rsidRPr="00E529C8">
              <w:br w:type="page"/>
            </w:r>
            <w:r w:rsidRPr="00E529C8">
              <w:rPr>
                <w:snapToGrid w:val="0"/>
              </w:rPr>
              <w:t>Standard</w:t>
            </w:r>
            <w:r w:rsidR="00662964">
              <w:rPr>
                <w:snapToGrid w:val="0"/>
              </w:rPr>
              <w:t xml:space="preserve"> 5</w:t>
            </w:r>
          </w:p>
        </w:tc>
        <w:tc>
          <w:tcPr>
            <w:tcW w:w="6993" w:type="dxa"/>
            <w:gridSpan w:val="3"/>
            <w:shd w:val="clear" w:color="auto" w:fill="A6A6A6"/>
            <w:vAlign w:val="center"/>
          </w:tcPr>
          <w:p w14:paraId="1C340E97" w14:textId="605251E6" w:rsidR="007C31B0" w:rsidRPr="00E529C8" w:rsidRDefault="007C31B0" w:rsidP="00C46142">
            <w:pPr>
              <w:pStyle w:val="TableHeading"/>
              <w:rPr>
                <w:snapToGrid w:val="0"/>
              </w:rPr>
            </w:pPr>
            <w:r w:rsidRPr="00E529C8">
              <w:rPr>
                <w:snapToGrid w:val="0"/>
              </w:rPr>
              <w:t>Risk Category Grouping</w:t>
            </w:r>
          </w:p>
        </w:tc>
      </w:tr>
      <w:tr w:rsidR="007C31B0" w:rsidRPr="00285E70" w14:paraId="796548F3" w14:textId="77777777" w:rsidTr="001A6C5A">
        <w:trPr>
          <w:trHeight w:val="250"/>
        </w:trPr>
        <w:tc>
          <w:tcPr>
            <w:tcW w:w="2330" w:type="dxa"/>
            <w:vMerge w:val="restart"/>
            <w:shd w:val="clear" w:color="auto" w:fill="auto"/>
            <w:vAlign w:val="center"/>
          </w:tcPr>
          <w:p w14:paraId="3B512867" w14:textId="77777777" w:rsidR="007C31B0" w:rsidRPr="00E529C8" w:rsidRDefault="007C31B0" w:rsidP="00E65280">
            <w:pPr>
              <w:pStyle w:val="TableText"/>
              <w:rPr>
                <w:b/>
              </w:rPr>
            </w:pPr>
            <w:r w:rsidRPr="00E529C8">
              <w:t>Data Management</w:t>
            </w:r>
            <w:r w:rsidR="00523FEB">
              <w:t xml:space="preserve"> and Information Systems</w:t>
            </w:r>
          </w:p>
        </w:tc>
        <w:tc>
          <w:tcPr>
            <w:tcW w:w="2331" w:type="dxa"/>
            <w:shd w:val="clear" w:color="auto" w:fill="auto"/>
          </w:tcPr>
          <w:p w14:paraId="3387D9BA" w14:textId="77777777" w:rsidR="007C31B0" w:rsidRPr="00E529C8" w:rsidRDefault="007C31B0" w:rsidP="00E65280">
            <w:pPr>
              <w:pStyle w:val="TableText"/>
              <w:jc w:val="center"/>
              <w:rPr>
                <w:b/>
                <w:snapToGrid w:val="0"/>
              </w:rPr>
            </w:pPr>
            <w:r w:rsidRPr="00E529C8">
              <w:rPr>
                <w:snapToGrid w:val="0"/>
              </w:rPr>
              <w:t>Level 1</w:t>
            </w:r>
          </w:p>
        </w:tc>
        <w:tc>
          <w:tcPr>
            <w:tcW w:w="2331" w:type="dxa"/>
            <w:shd w:val="clear" w:color="auto" w:fill="auto"/>
          </w:tcPr>
          <w:p w14:paraId="7DB87408" w14:textId="77777777" w:rsidR="007C31B0" w:rsidRPr="00E529C8" w:rsidRDefault="007C31B0" w:rsidP="00E65280">
            <w:pPr>
              <w:pStyle w:val="TableText"/>
              <w:jc w:val="center"/>
              <w:rPr>
                <w:b/>
                <w:snapToGrid w:val="0"/>
              </w:rPr>
            </w:pPr>
            <w:r w:rsidRPr="00E529C8">
              <w:rPr>
                <w:snapToGrid w:val="0"/>
              </w:rPr>
              <w:t>Level 2</w:t>
            </w:r>
          </w:p>
        </w:tc>
        <w:tc>
          <w:tcPr>
            <w:tcW w:w="2331" w:type="dxa"/>
            <w:shd w:val="clear" w:color="auto" w:fill="auto"/>
          </w:tcPr>
          <w:p w14:paraId="28485157" w14:textId="77777777" w:rsidR="007C31B0" w:rsidRPr="00E529C8" w:rsidRDefault="007C31B0" w:rsidP="00E65280">
            <w:pPr>
              <w:pStyle w:val="TableText"/>
              <w:jc w:val="center"/>
              <w:rPr>
                <w:b/>
                <w:snapToGrid w:val="0"/>
              </w:rPr>
            </w:pPr>
            <w:r w:rsidRPr="00E529C8">
              <w:rPr>
                <w:snapToGrid w:val="0"/>
              </w:rPr>
              <w:t>Level 3</w:t>
            </w:r>
          </w:p>
        </w:tc>
      </w:tr>
      <w:tr w:rsidR="007C31B0" w:rsidRPr="00285E70" w14:paraId="055DA44F" w14:textId="77777777" w:rsidTr="001A6C5A">
        <w:trPr>
          <w:trHeight w:val="250"/>
        </w:trPr>
        <w:tc>
          <w:tcPr>
            <w:tcW w:w="2330" w:type="dxa"/>
            <w:vMerge/>
            <w:shd w:val="clear" w:color="auto" w:fill="auto"/>
          </w:tcPr>
          <w:p w14:paraId="3DAC8405" w14:textId="77777777" w:rsidR="007C31B0" w:rsidRPr="00E529C8" w:rsidRDefault="007C31B0" w:rsidP="00AB1C35"/>
        </w:tc>
        <w:tc>
          <w:tcPr>
            <w:tcW w:w="2331" w:type="dxa"/>
            <w:shd w:val="clear" w:color="auto" w:fill="DAEEF3"/>
          </w:tcPr>
          <w:p w14:paraId="1E518378" w14:textId="77777777" w:rsidR="007C31B0" w:rsidRPr="00E529C8" w:rsidRDefault="007C31B0" w:rsidP="00E65280">
            <w:pPr>
              <w:pStyle w:val="TableText"/>
              <w:jc w:val="center"/>
              <w:rPr>
                <w:snapToGrid w:val="0"/>
              </w:rPr>
            </w:pPr>
          </w:p>
        </w:tc>
        <w:tc>
          <w:tcPr>
            <w:tcW w:w="2331" w:type="dxa"/>
            <w:shd w:val="clear" w:color="auto" w:fill="DAEEF3"/>
          </w:tcPr>
          <w:p w14:paraId="382D494B" w14:textId="77777777" w:rsidR="007C31B0" w:rsidRPr="00E529C8" w:rsidRDefault="00A75F76" w:rsidP="00E65280">
            <w:pPr>
              <w:pStyle w:val="TableText"/>
              <w:jc w:val="center"/>
              <w:rPr>
                <w:snapToGrid w:val="0"/>
              </w:rPr>
            </w:pPr>
            <w:r>
              <w:rPr>
                <w:snapToGrid w:val="0"/>
              </w:rPr>
              <w:t>5.1.1</w:t>
            </w:r>
          </w:p>
        </w:tc>
        <w:tc>
          <w:tcPr>
            <w:tcW w:w="2331" w:type="dxa"/>
            <w:shd w:val="clear" w:color="auto" w:fill="DAEEF3"/>
          </w:tcPr>
          <w:p w14:paraId="3C618CA7" w14:textId="77777777" w:rsidR="007C31B0" w:rsidRPr="00E529C8" w:rsidRDefault="00537ED5" w:rsidP="00E65280">
            <w:pPr>
              <w:pStyle w:val="TableText"/>
              <w:jc w:val="center"/>
              <w:rPr>
                <w:snapToGrid w:val="0"/>
              </w:rPr>
            </w:pPr>
            <w:r>
              <w:rPr>
                <w:snapToGrid w:val="0"/>
              </w:rPr>
              <w:t>5.1.2</w:t>
            </w:r>
          </w:p>
        </w:tc>
      </w:tr>
    </w:tbl>
    <w:p w14:paraId="1E1DFF33" w14:textId="77777777" w:rsidR="007C31B0" w:rsidRDefault="007C31B0" w:rsidP="00AB1C35"/>
    <w:p w14:paraId="066D37B5" w14:textId="7979202C" w:rsidR="00E6415D" w:rsidRDefault="00E6415D" w:rsidP="0008617F">
      <w:pPr>
        <w:pStyle w:val="Heading1"/>
        <w:numPr>
          <w:ilvl w:val="0"/>
          <w:numId w:val="0"/>
        </w:numPr>
        <w:ind w:left="4536"/>
      </w:pPr>
      <w:bookmarkStart w:id="363" w:name="_Attachment_3:_National"/>
      <w:bookmarkStart w:id="364" w:name="_Toc517944711"/>
      <w:bookmarkStart w:id="365" w:name="_Toc66438738"/>
      <w:bookmarkEnd w:id="363"/>
      <w:r w:rsidRPr="00D8649C">
        <w:lastRenderedPageBreak/>
        <w:t>Attachment 3</w:t>
      </w:r>
      <w:r w:rsidR="00B54DA9">
        <w:t>:</w:t>
      </w:r>
      <w:r w:rsidR="00B54DA9">
        <w:tab/>
      </w:r>
      <w:r w:rsidRPr="00483D55">
        <w:t>N</w:t>
      </w:r>
      <w:r w:rsidR="00020F2B">
        <w:t xml:space="preserve">ational </w:t>
      </w:r>
      <w:r w:rsidRPr="00483D55">
        <w:t>Q</w:t>
      </w:r>
      <w:r w:rsidR="00020F2B">
        <w:t xml:space="preserve">uality </w:t>
      </w:r>
      <w:r w:rsidRPr="00483D55">
        <w:t>M</w:t>
      </w:r>
      <w:r w:rsidR="00020F2B">
        <w:t xml:space="preserve">anagement </w:t>
      </w:r>
      <w:r w:rsidRPr="00483D55">
        <w:t>C</w:t>
      </w:r>
      <w:r w:rsidR="00020F2B">
        <w:t>ommittee</w:t>
      </w:r>
      <w:r w:rsidRPr="00483D55">
        <w:t xml:space="preserve"> </w:t>
      </w:r>
      <w:r w:rsidR="00F94BBE">
        <w:t>C</w:t>
      </w:r>
      <w:r w:rsidRPr="00483D55">
        <w:t>hecklist</w:t>
      </w:r>
      <w:bookmarkEnd w:id="364"/>
      <w:bookmarkEnd w:id="365"/>
    </w:p>
    <w:p w14:paraId="165794D6" w14:textId="77777777" w:rsidR="00E6415D" w:rsidRPr="00CA2FBA" w:rsidRDefault="00E6415D" w:rsidP="00AB1C35">
      <w:r w:rsidRPr="00CA2FBA">
        <w:t>When an accreditation application or annual data report (ADR) is received for review at a N</w:t>
      </w:r>
      <w:r w:rsidR="00020F2B" w:rsidRPr="00CA2FBA">
        <w:t xml:space="preserve">ational </w:t>
      </w:r>
      <w:r w:rsidRPr="00CA2FBA">
        <w:t>Q</w:t>
      </w:r>
      <w:r w:rsidR="00020F2B" w:rsidRPr="00CA2FBA">
        <w:t xml:space="preserve">uality </w:t>
      </w:r>
      <w:r w:rsidRPr="00CA2FBA">
        <w:t>M</w:t>
      </w:r>
      <w:r w:rsidR="00020F2B" w:rsidRPr="00CA2FBA">
        <w:t xml:space="preserve">anagement </w:t>
      </w:r>
      <w:r w:rsidRPr="00CA2FBA">
        <w:t>C</w:t>
      </w:r>
      <w:r w:rsidR="00020F2B" w:rsidRPr="00CA2FBA">
        <w:t>ommittee (NQMC)</w:t>
      </w:r>
      <w:r w:rsidRPr="00CA2FBA">
        <w:t xml:space="preserve"> meeting, the NQMC Secretariat checks for completeness against the following </w:t>
      </w:r>
      <w:r w:rsidRPr="00CA2FBA">
        <w:rPr>
          <w:b/>
          <w:u w:val="single"/>
        </w:rPr>
        <w:t>minimum</w:t>
      </w:r>
      <w:r w:rsidRPr="00CA2FBA">
        <w:t xml:space="preserve"> document requirements.  </w:t>
      </w:r>
    </w:p>
    <w:p w14:paraId="38F58A91" w14:textId="1A4D3A48" w:rsidR="005440BE" w:rsidRDefault="00E6415D" w:rsidP="00AB1C35">
      <w:r w:rsidRPr="00CA2FBA">
        <w:t xml:space="preserve">Outside of this check, the completeness of the content of these documents is the responsibility of State Coordination Unit (SCU), hence it is not necessary for the NQMC Secretariat to check that the content/data provided meets specific requirements outlined in the National Accreditation Handbook and National Accreditation Standards </w:t>
      </w:r>
      <w:r w:rsidR="00020F2B" w:rsidRPr="00CA2FBA">
        <w:t xml:space="preserve">(NAS) </w:t>
      </w:r>
      <w:r w:rsidRPr="00CA2FBA">
        <w:t xml:space="preserve">documents. </w:t>
      </w:r>
    </w:p>
    <w:p w14:paraId="62E1CBCD" w14:textId="72A9B28D" w:rsidR="005144AB" w:rsidRDefault="005144AB" w:rsidP="00AB1C35">
      <w:pPr>
        <w:rPr>
          <w:b/>
        </w:rPr>
      </w:pPr>
    </w:p>
    <w:p w14:paraId="7333AEA6" w14:textId="77777777" w:rsidR="003A54BC" w:rsidRDefault="003A54BC" w:rsidP="00AB1C35">
      <w:pPr>
        <w:rPr>
          <w:b/>
        </w:rPr>
        <w:sectPr w:rsidR="003A54BC" w:rsidSect="00172FB0">
          <w:headerReference w:type="even" r:id="rId23"/>
          <w:headerReference w:type="default" r:id="rId24"/>
          <w:footerReference w:type="even" r:id="rId25"/>
          <w:headerReference w:type="first" r:id="rId26"/>
          <w:type w:val="continuous"/>
          <w:pgSz w:w="11906" w:h="16838" w:code="9"/>
          <w:pgMar w:top="1440" w:right="1440" w:bottom="1276" w:left="1440" w:header="709" w:footer="567" w:gutter="0"/>
          <w:pgNumType w:start="1"/>
          <w:cols w:space="708"/>
          <w:docGrid w:linePitch="360"/>
        </w:sectPr>
      </w:pPr>
    </w:p>
    <w:p w14:paraId="1FC19D32" w14:textId="6CAB1E13" w:rsidR="00C95BFB" w:rsidRPr="00E22836" w:rsidRDefault="00C95BFB" w:rsidP="005144AB">
      <w:pPr>
        <w:spacing w:line="240" w:lineRule="auto"/>
        <w:rPr>
          <w:rStyle w:val="Strong"/>
        </w:rPr>
      </w:pPr>
      <w:r w:rsidRPr="00E22836">
        <w:rPr>
          <w:rStyle w:val="Strong"/>
        </w:rPr>
        <w:t>Accreditation Applications</w:t>
      </w:r>
    </w:p>
    <w:p w14:paraId="4F180AB7" w14:textId="77777777" w:rsidR="00C95BFB" w:rsidRDefault="00C95BFB" w:rsidP="003A54BC">
      <w:pPr>
        <w:pStyle w:val="ListBullet"/>
        <w:spacing w:line="240" w:lineRule="auto"/>
        <w:jc w:val="both"/>
      </w:pPr>
      <w:r>
        <w:t>Signed covering letter from SCU (optional)</w:t>
      </w:r>
    </w:p>
    <w:p w14:paraId="685FED0A" w14:textId="77777777" w:rsidR="00C95BFB" w:rsidRDefault="00C95BFB" w:rsidP="003A54BC">
      <w:pPr>
        <w:pStyle w:val="ListBullet"/>
        <w:spacing w:line="240" w:lineRule="auto"/>
        <w:jc w:val="both"/>
      </w:pPr>
      <w:r>
        <w:t>BSA001 Application for Accreditation</w:t>
      </w:r>
    </w:p>
    <w:p w14:paraId="43157B50" w14:textId="13BF991D" w:rsidR="00C95BFB" w:rsidRDefault="00C95BFB" w:rsidP="003A54BC">
      <w:pPr>
        <w:pStyle w:val="ListBullet"/>
        <w:spacing w:line="240" w:lineRule="auto"/>
        <w:jc w:val="both"/>
      </w:pPr>
      <w:r>
        <w:t xml:space="preserve">BSA003 NAS Accountability Framework </w:t>
      </w:r>
      <w:r w:rsidR="001A1075">
        <w:rPr>
          <w:sz w:val="20"/>
        </w:rPr>
        <w:t>for multi-service jurisdictions (only required the individual Service NAF differs from the standard jurisdictional NAF)</w:t>
      </w:r>
    </w:p>
    <w:p w14:paraId="2A288E5F" w14:textId="77777777" w:rsidR="00C95BFB" w:rsidRDefault="00C95BFB" w:rsidP="003A54BC">
      <w:pPr>
        <w:pStyle w:val="ListBullet"/>
        <w:spacing w:line="240" w:lineRule="auto"/>
        <w:jc w:val="both"/>
      </w:pPr>
      <w:r>
        <w:t>BSA004 Data Report</w:t>
      </w:r>
    </w:p>
    <w:p w14:paraId="71EEF7E3" w14:textId="60AABEE0" w:rsidR="00C95BFB" w:rsidRDefault="00C95BFB" w:rsidP="003A54BC">
      <w:pPr>
        <w:pStyle w:val="ListBullet"/>
        <w:spacing w:line="240" w:lineRule="auto"/>
        <w:jc w:val="both"/>
      </w:pPr>
      <w:bookmarkStart w:id="366" w:name="_Hlk31630529"/>
      <w:r>
        <w:t xml:space="preserve">BSA101 Survey Report </w:t>
      </w:r>
      <w:r w:rsidR="007844D6" w:rsidRPr="007844D6">
        <w:t>and (where appropriate):</w:t>
      </w:r>
    </w:p>
    <w:p w14:paraId="68586B6B" w14:textId="77777777" w:rsidR="007844D6" w:rsidRPr="00DE3B8F" w:rsidRDefault="007844D6" w:rsidP="00DE3B8F">
      <w:pPr>
        <w:pStyle w:val="ListBullet2"/>
      </w:pPr>
      <w:r w:rsidRPr="00DE3B8F">
        <w:t xml:space="preserve">BSA302 DGMA Self-Assessment </w:t>
      </w:r>
    </w:p>
    <w:p w14:paraId="231DD3F5" w14:textId="5961310B" w:rsidR="007844D6" w:rsidRPr="00DE3B8F" w:rsidRDefault="007844D6" w:rsidP="00DE3B8F">
      <w:pPr>
        <w:pStyle w:val="ListBullet2"/>
      </w:pPr>
      <w:r w:rsidRPr="00DE3B8F">
        <w:t xml:space="preserve">BSA303 </w:t>
      </w:r>
      <w:r w:rsidR="00437FD9" w:rsidRPr="00DE3B8F">
        <w:t xml:space="preserve">DGMA </w:t>
      </w:r>
      <w:r w:rsidRPr="00DE3B8F">
        <w:t xml:space="preserve">Data Assessor Report </w:t>
      </w:r>
    </w:p>
    <w:p w14:paraId="6F7A90FB" w14:textId="6E8A154F" w:rsidR="007844D6" w:rsidRPr="007844D6" w:rsidRDefault="007844D6" w:rsidP="00DE3B8F">
      <w:pPr>
        <w:pStyle w:val="ListBullet2"/>
        <w:rPr>
          <w:lang w:val="en-AU"/>
        </w:rPr>
      </w:pPr>
      <w:r w:rsidRPr="00DE3B8F">
        <w:t>BSA304</w:t>
      </w:r>
      <w:r w:rsidRPr="007844D6">
        <w:rPr>
          <w:lang w:val="en-AU"/>
        </w:rPr>
        <w:t xml:space="preserve"> </w:t>
      </w:r>
      <w:r w:rsidR="00437FD9">
        <w:rPr>
          <w:lang w:val="en-AU"/>
        </w:rPr>
        <w:t xml:space="preserve">Response by </w:t>
      </w:r>
      <w:r w:rsidRPr="007844D6">
        <w:rPr>
          <w:lang w:val="en-AU"/>
        </w:rPr>
        <w:t>Service/SCU to D</w:t>
      </w:r>
      <w:r w:rsidR="00437FD9">
        <w:rPr>
          <w:lang w:val="en-AU"/>
        </w:rPr>
        <w:t>ata Assessor Report</w:t>
      </w:r>
    </w:p>
    <w:bookmarkEnd w:id="366"/>
    <w:p w14:paraId="77A8B82C" w14:textId="77777777" w:rsidR="00C95BFB" w:rsidRDefault="00C95BFB" w:rsidP="003A54BC">
      <w:pPr>
        <w:pStyle w:val="ListBullet"/>
        <w:spacing w:line="240" w:lineRule="auto"/>
        <w:jc w:val="both"/>
      </w:pPr>
      <w:r>
        <w:t>BSA005 Service Response</w:t>
      </w:r>
    </w:p>
    <w:p w14:paraId="1EAE61CE" w14:textId="77777777" w:rsidR="00C95BFB" w:rsidRDefault="00C95BFB" w:rsidP="003A54BC">
      <w:pPr>
        <w:pStyle w:val="ListBullet"/>
        <w:spacing w:line="240" w:lineRule="auto"/>
        <w:jc w:val="both"/>
      </w:pPr>
      <w:r>
        <w:t>BSA006 Quality Improvement Plan Part A (Part B optional)</w:t>
      </w:r>
    </w:p>
    <w:p w14:paraId="22EACC04" w14:textId="77777777" w:rsidR="00C95BFB" w:rsidRDefault="00C95BFB" w:rsidP="003A54BC">
      <w:pPr>
        <w:pStyle w:val="ListBullet"/>
        <w:spacing w:line="240" w:lineRule="auto"/>
        <w:jc w:val="both"/>
      </w:pPr>
      <w:r>
        <w:t>Interim or internal survey reports (relevant to the reporting period)</w:t>
      </w:r>
    </w:p>
    <w:p w14:paraId="24A1876D" w14:textId="77777777" w:rsidR="00C95BFB" w:rsidRDefault="00C95BFB" w:rsidP="003A54BC">
      <w:pPr>
        <w:pStyle w:val="ListBullet"/>
        <w:spacing w:line="240" w:lineRule="auto"/>
        <w:jc w:val="both"/>
      </w:pPr>
      <w:r>
        <w:t>5-year Funnel Plots for Cancer Detection NAS 2.1.1; 2.1.2; 2.1.3; 2.2.1; 2.2.2</w:t>
      </w:r>
    </w:p>
    <w:p w14:paraId="048BFF3F" w14:textId="0E9BDE1D" w:rsidR="00C95BFB" w:rsidRDefault="003A54BC" w:rsidP="003A54BC">
      <w:pPr>
        <w:pStyle w:val="ListBullet"/>
        <w:spacing w:line="240" w:lineRule="auto"/>
        <w:jc w:val="both"/>
      </w:pPr>
      <w:r>
        <w:t>NAS 4.2.1 (a) monthly data; a</w:t>
      </w:r>
      <w:r w:rsidR="00C95BFB">
        <w:t>nd, if unmet,</w:t>
      </w:r>
    </w:p>
    <w:p w14:paraId="0C98C612" w14:textId="021A3DDD" w:rsidR="005144AB" w:rsidRPr="007844D6" w:rsidRDefault="00C95BFB" w:rsidP="00FD5075">
      <w:pPr>
        <w:pStyle w:val="ListBullet"/>
        <w:numPr>
          <w:ilvl w:val="0"/>
          <w:numId w:val="0"/>
        </w:numPr>
        <w:spacing w:line="240" w:lineRule="auto"/>
        <w:jc w:val="both"/>
        <w:rPr>
          <w:b/>
        </w:rPr>
      </w:pPr>
      <w:r>
        <w:t>NAS 4.2.1 (b) number of days to meet standard</w:t>
      </w:r>
    </w:p>
    <w:p w14:paraId="667145BA" w14:textId="43C3FB37" w:rsidR="00C95BFB" w:rsidRPr="00E22836" w:rsidRDefault="00C95BFB" w:rsidP="003A54BC">
      <w:pPr>
        <w:pStyle w:val="ListBullet"/>
        <w:numPr>
          <w:ilvl w:val="0"/>
          <w:numId w:val="0"/>
        </w:numPr>
        <w:spacing w:line="240" w:lineRule="auto"/>
        <w:jc w:val="both"/>
        <w:rPr>
          <w:rStyle w:val="Strong"/>
        </w:rPr>
      </w:pPr>
      <w:r w:rsidRPr="00E22836">
        <w:rPr>
          <w:rStyle w:val="Strong"/>
        </w:rPr>
        <w:t>Annual Data Reports</w:t>
      </w:r>
    </w:p>
    <w:p w14:paraId="00E78D56" w14:textId="77777777" w:rsidR="00C95BFB" w:rsidRPr="00C95BFB" w:rsidRDefault="00C95BFB" w:rsidP="003A54BC">
      <w:pPr>
        <w:pStyle w:val="ListBullet"/>
        <w:spacing w:line="240" w:lineRule="auto"/>
        <w:jc w:val="both"/>
      </w:pPr>
      <w:r w:rsidRPr="00C95BFB">
        <w:t>Signed covering letter from SCU (optional)</w:t>
      </w:r>
    </w:p>
    <w:p w14:paraId="4E25D7CF" w14:textId="144B2330" w:rsidR="00C95BFB" w:rsidRPr="00C95BFB" w:rsidRDefault="00C95BFB" w:rsidP="003A54BC">
      <w:pPr>
        <w:pStyle w:val="ListBullet"/>
        <w:spacing w:line="240" w:lineRule="auto"/>
        <w:jc w:val="both"/>
      </w:pPr>
      <w:r w:rsidRPr="00C95BFB">
        <w:t xml:space="preserve">BSA003 NAS Accountability Framework </w:t>
      </w:r>
      <w:r w:rsidR="001A1075">
        <w:rPr>
          <w:sz w:val="20"/>
        </w:rPr>
        <w:t>for multi-service jurisdictions (only required the individual Service NAF differs from the standard jurisdictional NAF)</w:t>
      </w:r>
    </w:p>
    <w:p w14:paraId="1CD5098D" w14:textId="77777777" w:rsidR="00C95BFB" w:rsidRPr="00C95BFB" w:rsidRDefault="00C95BFB" w:rsidP="003A54BC">
      <w:pPr>
        <w:pStyle w:val="ListBullet"/>
        <w:spacing w:line="240" w:lineRule="auto"/>
        <w:jc w:val="both"/>
      </w:pPr>
      <w:r w:rsidRPr="00C95BFB">
        <w:t>BSA004 Data Report</w:t>
      </w:r>
    </w:p>
    <w:p w14:paraId="33DC3400" w14:textId="77777777" w:rsidR="00C95BFB" w:rsidRPr="00C95BFB" w:rsidRDefault="00C95BFB" w:rsidP="003A54BC">
      <w:pPr>
        <w:pStyle w:val="ListBullet"/>
        <w:spacing w:line="240" w:lineRule="auto"/>
        <w:jc w:val="both"/>
      </w:pPr>
      <w:r w:rsidRPr="00C95BFB">
        <w:t>BSA005 Service Response</w:t>
      </w:r>
    </w:p>
    <w:p w14:paraId="21C3AC4F" w14:textId="77777777" w:rsidR="00C95BFB" w:rsidRPr="00C95BFB" w:rsidRDefault="00C95BFB" w:rsidP="003A54BC">
      <w:pPr>
        <w:pStyle w:val="ListBullet"/>
        <w:spacing w:line="240" w:lineRule="auto"/>
        <w:jc w:val="both"/>
      </w:pPr>
      <w:r w:rsidRPr="00C95BFB">
        <w:t>BSA006 Quality Improvement Plan Part A (Part B optional)</w:t>
      </w:r>
    </w:p>
    <w:p w14:paraId="6AB6110A" w14:textId="77777777" w:rsidR="00C95BFB" w:rsidRPr="00C95BFB" w:rsidRDefault="00C95BFB" w:rsidP="003A54BC">
      <w:pPr>
        <w:pStyle w:val="ListBullet"/>
        <w:spacing w:line="240" w:lineRule="auto"/>
        <w:jc w:val="both"/>
      </w:pPr>
      <w:r w:rsidRPr="00C95BFB">
        <w:t>Interim or internal survey reports (relevant to the reporting period)</w:t>
      </w:r>
    </w:p>
    <w:p w14:paraId="65B88B44" w14:textId="77777777" w:rsidR="00C95BFB" w:rsidRPr="00C95BFB" w:rsidRDefault="00C95BFB" w:rsidP="003A54BC">
      <w:pPr>
        <w:pStyle w:val="ListBullet"/>
        <w:spacing w:line="240" w:lineRule="auto"/>
        <w:jc w:val="both"/>
      </w:pPr>
      <w:r w:rsidRPr="00C95BFB">
        <w:t>5-year Funnel Plots for Cancer Detection NAS 2.1.1; 2.1.2; 2.1.3; 2.2.1; 2.2.2</w:t>
      </w:r>
    </w:p>
    <w:p w14:paraId="31DEEFE2" w14:textId="7D8C4B7A" w:rsidR="00C95BFB" w:rsidRPr="003A54BC" w:rsidRDefault="00C95BFB" w:rsidP="003A54BC">
      <w:pPr>
        <w:pStyle w:val="ListBullet"/>
        <w:spacing w:line="240" w:lineRule="auto"/>
        <w:jc w:val="both"/>
      </w:pPr>
      <w:r w:rsidRPr="00C95BFB">
        <w:t>NAS 4.2.1 (a) monthly data</w:t>
      </w:r>
      <w:r w:rsidR="003A54BC">
        <w:t>; and</w:t>
      </w:r>
      <w:r w:rsidRPr="00C95BFB">
        <w:t>, if unmet,</w:t>
      </w:r>
    </w:p>
    <w:p w14:paraId="41BADE46" w14:textId="50A57104" w:rsidR="00C95BFB" w:rsidRPr="00C95BFB" w:rsidRDefault="00C95BFB" w:rsidP="003A54BC">
      <w:pPr>
        <w:pStyle w:val="ListBullet"/>
        <w:spacing w:line="240" w:lineRule="auto"/>
        <w:jc w:val="both"/>
      </w:pPr>
      <w:r w:rsidRPr="00C95BFB">
        <w:t>NAS 4.2.1 (b) number of days to meet standard</w:t>
      </w:r>
    </w:p>
    <w:p w14:paraId="41BF622F" w14:textId="77777777" w:rsidR="005144AB" w:rsidRDefault="005144AB" w:rsidP="0008617F">
      <w:pPr>
        <w:pStyle w:val="Heading8"/>
        <w:ind w:firstLine="0"/>
        <w:sectPr w:rsidR="005144AB" w:rsidSect="005144AB">
          <w:type w:val="continuous"/>
          <w:pgSz w:w="11906" w:h="16838" w:code="9"/>
          <w:pgMar w:top="1440" w:right="1440" w:bottom="1276" w:left="1440" w:header="709" w:footer="567" w:gutter="0"/>
          <w:cols w:num="2" w:space="708"/>
          <w:docGrid w:linePitch="360"/>
        </w:sectPr>
      </w:pPr>
    </w:p>
    <w:p w14:paraId="69879ABF" w14:textId="77777777" w:rsidR="00592201" w:rsidRPr="00053B24" w:rsidRDefault="00592201" w:rsidP="00592201">
      <w:pPr>
        <w:pStyle w:val="Heading1"/>
        <w:numPr>
          <w:ilvl w:val="0"/>
          <w:numId w:val="0"/>
        </w:numPr>
        <w:ind w:left="2835"/>
      </w:pPr>
      <w:bookmarkStart w:id="367" w:name="_Attachment_4:_Payment"/>
      <w:bookmarkStart w:id="368" w:name="_Toc517944712"/>
      <w:bookmarkStart w:id="369" w:name="_Toc66438739"/>
      <w:bookmarkEnd w:id="367"/>
      <w:r>
        <w:lastRenderedPageBreak/>
        <w:t>Attachment 4:</w:t>
      </w:r>
      <w:r>
        <w:tab/>
        <w:t xml:space="preserve">Payment and </w:t>
      </w:r>
      <w:r w:rsidRPr="00B42310">
        <w:t>Travel</w:t>
      </w:r>
      <w:r>
        <w:t xml:space="preserve"> Requirements </w:t>
      </w:r>
      <w:r w:rsidRPr="00A97F09">
        <w:t>for Surveyors</w:t>
      </w:r>
      <w:r>
        <w:t xml:space="preserve"> </w:t>
      </w:r>
      <w:r w:rsidRPr="008721C4">
        <w:t xml:space="preserve">and Data </w:t>
      </w:r>
      <w:r>
        <w:t>Assessors</w:t>
      </w:r>
      <w:bookmarkEnd w:id="369"/>
      <w:r>
        <w:t xml:space="preserve"> </w:t>
      </w:r>
    </w:p>
    <w:p w14:paraId="1248884D" w14:textId="4A3185DF" w:rsidR="00592201" w:rsidRPr="00053B24" w:rsidRDefault="00592201" w:rsidP="00592201">
      <w:pPr>
        <w:rPr>
          <w:rFonts w:ascii="Calibri" w:hAnsi="Calibri" w:cs="Calibri"/>
          <w:snapToGrid w:val="0"/>
        </w:rPr>
      </w:pPr>
      <w:r w:rsidRPr="00053B24">
        <w:rPr>
          <w:rFonts w:ascii="Calibri" w:hAnsi="Calibri" w:cs="Calibri"/>
          <w:snapToGrid w:val="0"/>
        </w:rPr>
        <w:t xml:space="preserve">This </w:t>
      </w:r>
      <w:r w:rsidR="001B491F">
        <w:rPr>
          <w:rFonts w:ascii="Calibri" w:hAnsi="Calibri" w:cs="Calibri"/>
          <w:snapToGrid w:val="0"/>
        </w:rPr>
        <w:t>S</w:t>
      </w:r>
      <w:r w:rsidRPr="00053B24">
        <w:rPr>
          <w:rFonts w:ascii="Calibri" w:hAnsi="Calibri" w:cs="Calibri"/>
          <w:snapToGrid w:val="0"/>
        </w:rPr>
        <w:t xml:space="preserve">ection outlines the processes applicable to the Surveyors and Data Assessors for the payment and reimbursement for services to BreastScreen Australia.  It is critical to the ongoing success of the BreastScreen Australia accreditation system to adequately reimburse and remunerate Survey Team members for their valuable contribution to Program quality. </w:t>
      </w:r>
    </w:p>
    <w:p w14:paraId="03A1AF91" w14:textId="41469510" w:rsidR="00592201" w:rsidRPr="00053B24" w:rsidRDefault="00592201" w:rsidP="00592201">
      <w:pPr>
        <w:rPr>
          <w:rFonts w:ascii="Calibri" w:hAnsi="Calibri" w:cs="Calibri"/>
          <w:snapToGrid w:val="0"/>
        </w:rPr>
      </w:pPr>
      <w:r w:rsidRPr="00053B24">
        <w:rPr>
          <w:rFonts w:ascii="Calibri" w:hAnsi="Calibri" w:cs="Calibri"/>
          <w:snapToGrid w:val="0"/>
        </w:rPr>
        <w:t>States and Territories need to comply with the relevant remuneration rates and travel allowances using the most up-to-date Australian Government Remuneration Tribunal determinations to ensure all Surveyors and Data Assessors are paid consiste</w:t>
      </w:r>
      <w:r w:rsidR="00E22836">
        <w:rPr>
          <w:rFonts w:ascii="Calibri" w:hAnsi="Calibri" w:cs="Calibri"/>
          <w:snapToGrid w:val="0"/>
        </w:rPr>
        <w:t>ntly across all jurisdictions.</w:t>
      </w:r>
    </w:p>
    <w:p w14:paraId="6CD90CFD" w14:textId="77777777" w:rsidR="00592201" w:rsidRDefault="00592201" w:rsidP="00592201">
      <w:pPr>
        <w:pStyle w:val="Heading2"/>
        <w:numPr>
          <w:ilvl w:val="0"/>
          <w:numId w:val="0"/>
        </w:numPr>
        <w:ind w:left="567" w:hanging="567"/>
      </w:pPr>
      <w:bookmarkStart w:id="370" w:name="_Toc66271823"/>
      <w:bookmarkStart w:id="371" w:name="_Toc66438740"/>
      <w:r>
        <w:t>REMUNERATION</w:t>
      </w:r>
      <w:bookmarkEnd w:id="370"/>
      <w:bookmarkEnd w:id="371"/>
    </w:p>
    <w:p w14:paraId="5DD43268" w14:textId="77777777" w:rsidR="00592201" w:rsidRPr="00053B24" w:rsidRDefault="00592201" w:rsidP="00592201">
      <w:pPr>
        <w:rPr>
          <w:rFonts w:ascii="Calibri" w:hAnsi="Calibri" w:cs="Calibri"/>
          <w:snapToGrid w:val="0"/>
        </w:rPr>
      </w:pPr>
      <w:r w:rsidRPr="00053B24">
        <w:rPr>
          <w:rFonts w:ascii="Calibri" w:hAnsi="Calibri" w:cs="Calibri"/>
          <w:snapToGrid w:val="0"/>
        </w:rPr>
        <w:t>The jurisdiction/Service will pay Surveyors and Data Assessors according to the most up to date information in the relevant Remuneration Tribunal Determinations.</w:t>
      </w:r>
    </w:p>
    <w:p w14:paraId="309E9A39" w14:textId="77777777" w:rsidR="00592201" w:rsidRPr="00053B24" w:rsidRDefault="00592201" w:rsidP="00592201">
      <w:pPr>
        <w:rPr>
          <w:rFonts w:ascii="Calibri" w:hAnsi="Calibri" w:cs="Calibri"/>
          <w:snapToGrid w:val="0"/>
        </w:rPr>
      </w:pPr>
      <w:r w:rsidRPr="00053B24">
        <w:rPr>
          <w:rFonts w:ascii="Calibri" w:hAnsi="Calibri" w:cs="Calibri"/>
          <w:snapToGrid w:val="0"/>
        </w:rPr>
        <w:t>The relevant remuneration determinations are:</w:t>
      </w:r>
    </w:p>
    <w:p w14:paraId="4F8F3966" w14:textId="77777777" w:rsidR="00592201" w:rsidRPr="00DE3B8F" w:rsidRDefault="00592201" w:rsidP="00DE3B8F">
      <w:pPr>
        <w:pStyle w:val="ListBullet"/>
        <w:rPr>
          <w:i/>
          <w:iCs/>
          <w:snapToGrid w:val="0"/>
        </w:rPr>
      </w:pPr>
      <w:r w:rsidRPr="00DE3B8F">
        <w:rPr>
          <w:i/>
          <w:iCs/>
          <w:snapToGrid w:val="0"/>
        </w:rPr>
        <w:t xml:space="preserve">Remuneration Tribunal (Remuneration and Allowances for Holders of Part-time Public Office) Determination 2019 </w:t>
      </w:r>
      <w:r w:rsidRPr="00DE3B8F">
        <w:rPr>
          <w:snapToGrid w:val="0"/>
        </w:rPr>
        <w:t>(or most recent update) and;</w:t>
      </w:r>
      <w:r w:rsidRPr="00DE3B8F">
        <w:rPr>
          <w:i/>
          <w:iCs/>
          <w:snapToGrid w:val="0"/>
        </w:rPr>
        <w:t xml:space="preserve"> </w:t>
      </w:r>
    </w:p>
    <w:p w14:paraId="4499DCD7" w14:textId="77777777" w:rsidR="00592201" w:rsidRPr="00053B24" w:rsidRDefault="00592201" w:rsidP="00DE3B8F">
      <w:pPr>
        <w:pStyle w:val="ListBullet"/>
        <w:rPr>
          <w:snapToGrid w:val="0"/>
        </w:rPr>
      </w:pPr>
      <w:r w:rsidRPr="00DE3B8F">
        <w:rPr>
          <w:i/>
          <w:iCs/>
          <w:snapToGrid w:val="0"/>
        </w:rPr>
        <w:t>Remuneration Tribunal (Official Travel) Determination 2019</w:t>
      </w:r>
      <w:r w:rsidRPr="00053B24">
        <w:rPr>
          <w:snapToGrid w:val="0"/>
        </w:rPr>
        <w:t xml:space="preserve"> </w:t>
      </w:r>
      <w:r w:rsidRPr="003019F6">
        <w:rPr>
          <w:snapToGrid w:val="0"/>
        </w:rPr>
        <w:t>(or most recent update).</w:t>
      </w:r>
    </w:p>
    <w:p w14:paraId="5DB9F554" w14:textId="611B4B5B" w:rsidR="00592201" w:rsidRPr="00053B24" w:rsidRDefault="00592201" w:rsidP="00592201">
      <w:pPr>
        <w:rPr>
          <w:rFonts w:ascii="Calibri" w:hAnsi="Calibri" w:cs="Calibri"/>
          <w:snapToGrid w:val="0"/>
        </w:rPr>
      </w:pPr>
      <w:r w:rsidRPr="00321571">
        <w:rPr>
          <w:rFonts w:ascii="Calibri" w:hAnsi="Calibri" w:cs="Calibri"/>
          <w:snapToGrid w:val="0"/>
        </w:rPr>
        <w:t xml:space="preserve">Both may be found on the </w:t>
      </w:r>
      <w:hyperlink r:id="rId27" w:history="1">
        <w:r w:rsidRPr="00321571">
          <w:rPr>
            <w:rStyle w:val="Hyperlink"/>
            <w:rFonts w:ascii="Calibri" w:hAnsi="Calibri" w:cs="Calibri"/>
            <w:snapToGrid w:val="0"/>
          </w:rPr>
          <w:t>Part-Time Offices page of the Remuneration Tribunal Website</w:t>
        </w:r>
      </w:hyperlink>
      <w:r w:rsidR="00321571">
        <w:rPr>
          <w:rFonts w:ascii="Calibri" w:hAnsi="Calibri" w:cs="Calibri"/>
          <w:snapToGrid w:val="0"/>
        </w:rPr>
        <w:t>.</w:t>
      </w:r>
      <w:r w:rsidRPr="00053B24">
        <w:rPr>
          <w:rFonts w:ascii="Calibri" w:hAnsi="Calibri" w:cs="Calibri"/>
          <w:snapToGrid w:val="0"/>
        </w:rPr>
        <w:t xml:space="preserve"> </w:t>
      </w:r>
    </w:p>
    <w:p w14:paraId="65450874" w14:textId="77777777" w:rsidR="00592201" w:rsidRPr="00053B24" w:rsidRDefault="00592201" w:rsidP="00592201">
      <w:pPr>
        <w:pStyle w:val="Heading3"/>
        <w:numPr>
          <w:ilvl w:val="0"/>
          <w:numId w:val="0"/>
        </w:numPr>
        <w:ind w:left="709" w:hanging="709"/>
        <w:rPr>
          <w:rFonts w:ascii="Calibri" w:hAnsi="Calibri" w:cs="Calibri"/>
          <w:color w:val="17365D" w:themeColor="text2" w:themeShade="BF"/>
          <w:szCs w:val="26"/>
        </w:rPr>
      </w:pPr>
      <w:bookmarkStart w:id="372" w:name="_Toc66271824"/>
      <w:bookmarkStart w:id="373" w:name="_Toc66438741"/>
      <w:r w:rsidRPr="00053B24">
        <w:rPr>
          <w:rFonts w:ascii="Calibri" w:hAnsi="Calibri" w:cs="Calibri"/>
          <w:color w:val="17365D" w:themeColor="text2" w:themeShade="BF"/>
          <w:szCs w:val="26"/>
        </w:rPr>
        <w:t>Eligibility for payment of a daily fee</w:t>
      </w:r>
      <w:bookmarkEnd w:id="372"/>
      <w:bookmarkEnd w:id="373"/>
      <w:r w:rsidRPr="00053B24">
        <w:rPr>
          <w:rFonts w:ascii="Calibri" w:hAnsi="Calibri" w:cs="Calibri"/>
          <w:color w:val="17365D" w:themeColor="text2" w:themeShade="BF"/>
          <w:szCs w:val="26"/>
        </w:rPr>
        <w:t xml:space="preserve"> </w:t>
      </w:r>
    </w:p>
    <w:p w14:paraId="24623A03" w14:textId="77777777" w:rsidR="00592201" w:rsidRPr="00053B24" w:rsidRDefault="00592201" w:rsidP="00592201">
      <w:pPr>
        <w:rPr>
          <w:rFonts w:ascii="Calibri" w:hAnsi="Calibri" w:cs="Calibri"/>
          <w:snapToGrid w:val="0"/>
        </w:rPr>
      </w:pPr>
      <w:r w:rsidRPr="00053B24">
        <w:rPr>
          <w:rFonts w:ascii="Calibri" w:hAnsi="Calibri" w:cs="Calibri"/>
          <w:snapToGrid w:val="0"/>
        </w:rPr>
        <w:t>Surveyors and Data Assessors are eligible for payment of a daily fee unless they are employed full-time by BreastScreen or another Government agency.  Those working part-time for BreastScreen or another Government agency may be eligible for a daily fee payment if all or part of the survey takes place on a day(s) that they are not employed by BreastScreen or another Government agency. Contractors are eligible for payment of the daily fee. The National Surveyor is not eligible for payment of the daily fee.</w:t>
      </w:r>
    </w:p>
    <w:p w14:paraId="3F95B7CE" w14:textId="77777777" w:rsidR="00592201" w:rsidRDefault="00592201" w:rsidP="00592201">
      <w:pPr>
        <w:pStyle w:val="Heading2"/>
        <w:numPr>
          <w:ilvl w:val="0"/>
          <w:numId w:val="0"/>
        </w:numPr>
        <w:ind w:left="567" w:hanging="567"/>
      </w:pPr>
      <w:bookmarkStart w:id="374" w:name="_Toc66271825"/>
      <w:bookmarkStart w:id="375" w:name="_Toc66438742"/>
      <w:r>
        <w:t>PAYMENTS</w:t>
      </w:r>
      <w:bookmarkEnd w:id="374"/>
      <w:bookmarkEnd w:id="375"/>
    </w:p>
    <w:p w14:paraId="6DB9231D" w14:textId="77777777" w:rsidR="00592201" w:rsidRPr="00053B24" w:rsidRDefault="00592201" w:rsidP="00592201">
      <w:pPr>
        <w:rPr>
          <w:rFonts w:ascii="Calibri" w:hAnsi="Calibri" w:cs="Calibri"/>
          <w:snapToGrid w:val="0"/>
        </w:rPr>
      </w:pPr>
      <w:r w:rsidRPr="00053B24">
        <w:rPr>
          <w:rFonts w:ascii="Calibri" w:hAnsi="Calibri" w:cs="Calibri"/>
          <w:snapToGrid w:val="0"/>
        </w:rPr>
        <w:t>The jurisdiction/Service undergoing accreditation is responsible for paying the following costs for Surveyors and Data Assessors:</w:t>
      </w:r>
    </w:p>
    <w:p w14:paraId="72850219" w14:textId="77777777" w:rsidR="00592201" w:rsidRPr="00053B24" w:rsidRDefault="00592201" w:rsidP="00DE3B8F">
      <w:pPr>
        <w:pStyle w:val="ListBullet"/>
        <w:rPr>
          <w:snapToGrid w:val="0"/>
        </w:rPr>
      </w:pPr>
      <w:r w:rsidRPr="00053B24">
        <w:rPr>
          <w:snapToGrid w:val="0"/>
        </w:rPr>
        <w:t>daily fee (eligible Surveyors and Data Assessors only – see eligibility criteria below);</w:t>
      </w:r>
    </w:p>
    <w:p w14:paraId="73AE6EF1" w14:textId="77777777" w:rsidR="00592201" w:rsidRPr="00053B24" w:rsidRDefault="00592201" w:rsidP="00DE3B8F">
      <w:pPr>
        <w:pStyle w:val="ListBullet"/>
        <w:rPr>
          <w:snapToGrid w:val="0"/>
        </w:rPr>
      </w:pPr>
      <w:r w:rsidRPr="00053B24">
        <w:rPr>
          <w:snapToGrid w:val="0"/>
        </w:rPr>
        <w:t>honorarium;</w:t>
      </w:r>
    </w:p>
    <w:p w14:paraId="05E3091E" w14:textId="77777777" w:rsidR="00592201" w:rsidRPr="00053B24" w:rsidRDefault="00592201" w:rsidP="00DE3B8F">
      <w:pPr>
        <w:pStyle w:val="ListBullet"/>
        <w:rPr>
          <w:snapToGrid w:val="0"/>
        </w:rPr>
      </w:pPr>
      <w:r w:rsidRPr="00053B24">
        <w:rPr>
          <w:snapToGrid w:val="0"/>
        </w:rPr>
        <w:lastRenderedPageBreak/>
        <w:t>accommodation;</w:t>
      </w:r>
    </w:p>
    <w:p w14:paraId="71E17739" w14:textId="77777777" w:rsidR="00592201" w:rsidRPr="00053B24" w:rsidRDefault="00592201" w:rsidP="00DE3B8F">
      <w:pPr>
        <w:pStyle w:val="ListBullet"/>
        <w:rPr>
          <w:snapToGrid w:val="0"/>
        </w:rPr>
      </w:pPr>
      <w:r w:rsidRPr="00053B24">
        <w:rPr>
          <w:snapToGrid w:val="0"/>
        </w:rPr>
        <w:t xml:space="preserve">airfares; </w:t>
      </w:r>
    </w:p>
    <w:p w14:paraId="71A7AFCE" w14:textId="77777777" w:rsidR="00592201" w:rsidRPr="00053B24" w:rsidRDefault="00592201" w:rsidP="00DE3B8F">
      <w:pPr>
        <w:pStyle w:val="ListBullet"/>
        <w:rPr>
          <w:snapToGrid w:val="0"/>
        </w:rPr>
      </w:pPr>
      <w:r w:rsidRPr="00053B24">
        <w:rPr>
          <w:snapToGrid w:val="0"/>
        </w:rPr>
        <w:t>taxis, parking and airport transfers; and</w:t>
      </w:r>
    </w:p>
    <w:p w14:paraId="125EF026" w14:textId="6D06F9AB" w:rsidR="00592201" w:rsidRPr="00236EE0" w:rsidRDefault="00592201" w:rsidP="00DE3B8F">
      <w:pPr>
        <w:pStyle w:val="ListBullet"/>
        <w:rPr>
          <w:snapToGrid w:val="0"/>
        </w:rPr>
      </w:pPr>
      <w:r w:rsidRPr="00053B24">
        <w:rPr>
          <w:snapToGrid w:val="0"/>
        </w:rPr>
        <w:t>meals and incidentals (according to whether the Surveyor or Data Assessor is claiming the daily fee).</w:t>
      </w:r>
    </w:p>
    <w:p w14:paraId="5F2F9534" w14:textId="77777777" w:rsidR="00592201" w:rsidRPr="00053B24" w:rsidRDefault="00592201" w:rsidP="00592201">
      <w:pPr>
        <w:rPr>
          <w:rFonts w:ascii="Calibri" w:hAnsi="Calibri" w:cs="Calibri"/>
          <w:snapToGrid w:val="0"/>
        </w:rPr>
      </w:pPr>
      <w:r w:rsidRPr="00053B24">
        <w:rPr>
          <w:rFonts w:ascii="Calibri" w:hAnsi="Calibri" w:cs="Calibri"/>
          <w:snapToGrid w:val="0"/>
        </w:rPr>
        <w:t>The jurisdiction/Service is also responsible for:</w:t>
      </w:r>
    </w:p>
    <w:p w14:paraId="3F7BDCF5" w14:textId="77777777" w:rsidR="00592201" w:rsidRPr="00053B24" w:rsidRDefault="00592201" w:rsidP="00DE3B8F">
      <w:pPr>
        <w:pStyle w:val="ListBullet"/>
        <w:rPr>
          <w:snapToGrid w:val="0"/>
        </w:rPr>
      </w:pPr>
      <w:r w:rsidRPr="00053B24">
        <w:rPr>
          <w:snapToGrid w:val="0"/>
        </w:rPr>
        <w:t>informing Surveyors and Data Assessors in writing of the arrangements for payments and reimbursements before the survey commences; and</w:t>
      </w:r>
    </w:p>
    <w:p w14:paraId="0DD88085" w14:textId="77777777" w:rsidR="00592201" w:rsidRPr="00053B24" w:rsidRDefault="00592201" w:rsidP="00DE3B8F">
      <w:pPr>
        <w:pStyle w:val="ListBullet"/>
        <w:rPr>
          <w:snapToGrid w:val="0"/>
        </w:rPr>
      </w:pPr>
      <w:r w:rsidRPr="00053B24">
        <w:rPr>
          <w:snapToGrid w:val="0"/>
        </w:rPr>
        <w:t>making timely payments as soon as possible upon receipt of a claim, so as not to disadvantage people who have supplied their services for the advantage of the BreastScreen Australia Program.</w:t>
      </w:r>
    </w:p>
    <w:p w14:paraId="019C4F1D" w14:textId="77777777" w:rsidR="00592201" w:rsidRPr="00053B24" w:rsidRDefault="00592201" w:rsidP="00592201">
      <w:pPr>
        <w:pStyle w:val="Heading2"/>
        <w:numPr>
          <w:ilvl w:val="0"/>
          <w:numId w:val="0"/>
        </w:numPr>
        <w:rPr>
          <w:rFonts w:ascii="Calibri" w:hAnsi="Calibri" w:cs="Calibri"/>
          <w:b w:val="0"/>
          <w:bCs/>
          <w:sz w:val="26"/>
          <w:szCs w:val="26"/>
        </w:rPr>
      </w:pPr>
      <w:bookmarkStart w:id="376" w:name="_Toc66271826"/>
      <w:bookmarkStart w:id="377" w:name="_Toc66438743"/>
      <w:r w:rsidRPr="00053B24">
        <w:rPr>
          <w:rFonts w:ascii="Calibri" w:hAnsi="Calibri" w:cs="Calibri"/>
          <w:b w:val="0"/>
          <w:bCs/>
          <w:sz w:val="26"/>
          <w:szCs w:val="26"/>
        </w:rPr>
        <w:t>Payment of a daily fee</w:t>
      </w:r>
      <w:bookmarkEnd w:id="376"/>
      <w:bookmarkEnd w:id="377"/>
    </w:p>
    <w:p w14:paraId="6493C5C1" w14:textId="77777777" w:rsidR="00592201" w:rsidRPr="00053B24" w:rsidRDefault="00592201" w:rsidP="00592201">
      <w:pPr>
        <w:rPr>
          <w:rFonts w:ascii="Calibri" w:hAnsi="Calibri" w:cs="Calibri"/>
          <w:snapToGrid w:val="0"/>
        </w:rPr>
      </w:pPr>
      <w:r w:rsidRPr="00053B24">
        <w:rPr>
          <w:rFonts w:ascii="Calibri" w:hAnsi="Calibri" w:cs="Calibri"/>
          <w:snapToGrid w:val="0"/>
        </w:rPr>
        <w:t>The full daily fee should be paid for any survey lasting more than three hours, while a half day rate should be paid for any survey lasting three hours or less.</w:t>
      </w:r>
    </w:p>
    <w:p w14:paraId="14165C20" w14:textId="77777777" w:rsidR="00592201" w:rsidRPr="00053B24" w:rsidRDefault="00592201" w:rsidP="00DE3B8F">
      <w:pPr>
        <w:pStyle w:val="ListBullet"/>
        <w:rPr>
          <w:snapToGrid w:val="0"/>
        </w:rPr>
      </w:pPr>
      <w:r w:rsidRPr="00053B24">
        <w:rPr>
          <w:snapToGrid w:val="0"/>
        </w:rPr>
        <w:t>Surveyors and Data Assessors will be paid according to the current Member rate listed in the Remuneration Tribunal Determination 2019 Table 4A for Professional Services Review – Committees (or most recent update).</w:t>
      </w:r>
    </w:p>
    <w:p w14:paraId="38D902DB" w14:textId="77777777" w:rsidR="00592201" w:rsidRPr="00053B24" w:rsidRDefault="00592201" w:rsidP="00DE3B8F">
      <w:pPr>
        <w:pStyle w:val="ListBullet"/>
        <w:rPr>
          <w:snapToGrid w:val="0"/>
        </w:rPr>
      </w:pPr>
      <w:r w:rsidRPr="00053B24">
        <w:rPr>
          <w:snapToGrid w:val="0"/>
        </w:rPr>
        <w:t>The National Surveyor is not paid a daily fee but will have expenses remunerated as per the Remuneration Tribunal (Official Travel) Determination 2019 (or most recent update).</w:t>
      </w:r>
    </w:p>
    <w:p w14:paraId="784F4D1E" w14:textId="77777777" w:rsidR="00592201" w:rsidRPr="00053B24" w:rsidRDefault="00592201" w:rsidP="00DE3B8F">
      <w:pPr>
        <w:pStyle w:val="ListBullet"/>
        <w:rPr>
          <w:snapToGrid w:val="0"/>
        </w:rPr>
      </w:pPr>
      <w:r w:rsidRPr="00053B24">
        <w:rPr>
          <w:snapToGrid w:val="0"/>
        </w:rPr>
        <w:t>All Surveyors and Data Assessors are to be paid at the Tier 1 rate.</w:t>
      </w:r>
    </w:p>
    <w:p w14:paraId="7E037388" w14:textId="77777777" w:rsidR="00592201" w:rsidRPr="00053B24" w:rsidRDefault="00592201" w:rsidP="00592201">
      <w:pPr>
        <w:pStyle w:val="Heading3"/>
        <w:numPr>
          <w:ilvl w:val="0"/>
          <w:numId w:val="0"/>
        </w:numPr>
        <w:ind w:left="709" w:hanging="709"/>
        <w:rPr>
          <w:rFonts w:ascii="Calibri" w:hAnsi="Calibri" w:cs="Calibri"/>
          <w:bCs w:val="0"/>
          <w:color w:val="17365D" w:themeColor="text2" w:themeShade="BF"/>
          <w:szCs w:val="26"/>
        </w:rPr>
      </w:pPr>
      <w:bookmarkStart w:id="378" w:name="_Toc66271827"/>
      <w:bookmarkStart w:id="379" w:name="_Toc66438744"/>
      <w:r w:rsidRPr="00053B24">
        <w:rPr>
          <w:rFonts w:ascii="Calibri" w:hAnsi="Calibri" w:cs="Calibri"/>
          <w:color w:val="17365D" w:themeColor="text2" w:themeShade="BF"/>
          <w:szCs w:val="26"/>
        </w:rPr>
        <w:t>Honorarium</w:t>
      </w:r>
      <w:bookmarkEnd w:id="378"/>
      <w:bookmarkEnd w:id="379"/>
    </w:p>
    <w:p w14:paraId="657424A3" w14:textId="63055D31" w:rsidR="00592201" w:rsidRPr="00053B24" w:rsidRDefault="00592201" w:rsidP="00592201">
      <w:pPr>
        <w:rPr>
          <w:rFonts w:ascii="Calibri" w:hAnsi="Calibri" w:cs="Calibri"/>
        </w:rPr>
      </w:pPr>
      <w:r w:rsidRPr="00053B24">
        <w:rPr>
          <w:rFonts w:ascii="Calibri" w:hAnsi="Calibri" w:cs="Calibri"/>
        </w:rPr>
        <w:t>The honorarium is intended to cover time spent preparing for a survey including pre-survey reading, teleconference and completion of the survey report.</w:t>
      </w:r>
    </w:p>
    <w:p w14:paraId="33AE6159" w14:textId="504ADCCC" w:rsidR="00592201" w:rsidRPr="00053B24" w:rsidRDefault="00592201" w:rsidP="00592201">
      <w:pPr>
        <w:rPr>
          <w:rFonts w:ascii="Calibri" w:hAnsi="Calibri" w:cs="Calibri"/>
        </w:rPr>
      </w:pPr>
      <w:r w:rsidRPr="00053B24">
        <w:rPr>
          <w:rFonts w:ascii="Calibri" w:hAnsi="Calibri" w:cs="Calibri"/>
        </w:rPr>
        <w:t xml:space="preserve">The jurisdiction/Service will pay Surveyors and Data Assessors the same honorarium payment, which is to be paid at the rate of </w:t>
      </w:r>
      <w:r w:rsidR="0071265E">
        <w:rPr>
          <w:rFonts w:ascii="Calibri" w:hAnsi="Calibri" w:cs="Calibri"/>
        </w:rPr>
        <w:t>two</w:t>
      </w:r>
      <w:r w:rsidRPr="00053B24">
        <w:rPr>
          <w:rFonts w:ascii="Calibri" w:hAnsi="Calibri" w:cs="Calibri"/>
        </w:rPr>
        <w:t xml:space="preserve"> days fee as specified in the Remuneration Tribunal Determination Table 4A for Professional Services Review – Committees (or most recent update).</w:t>
      </w:r>
    </w:p>
    <w:p w14:paraId="43D96EE5" w14:textId="77777777" w:rsidR="00592201" w:rsidRPr="00053B24" w:rsidRDefault="00592201" w:rsidP="00592201">
      <w:pPr>
        <w:rPr>
          <w:rFonts w:ascii="Calibri" w:hAnsi="Calibri" w:cs="Calibri"/>
        </w:rPr>
      </w:pPr>
      <w:r w:rsidRPr="00053B24">
        <w:rPr>
          <w:rFonts w:ascii="Calibri" w:hAnsi="Calibri" w:cs="Calibri"/>
        </w:rPr>
        <w:t>The National Surveyor is not paid an honorarium.</w:t>
      </w:r>
    </w:p>
    <w:p w14:paraId="594C43E8" w14:textId="77777777" w:rsidR="00592201" w:rsidRPr="00053B24" w:rsidRDefault="00592201" w:rsidP="00592201">
      <w:pPr>
        <w:pStyle w:val="Heading3"/>
        <w:numPr>
          <w:ilvl w:val="0"/>
          <w:numId w:val="0"/>
        </w:numPr>
        <w:rPr>
          <w:rFonts w:ascii="Calibri" w:hAnsi="Calibri" w:cs="Calibri"/>
          <w:b w:val="0"/>
          <w:bCs w:val="0"/>
          <w:color w:val="17365D" w:themeColor="text2" w:themeShade="BF"/>
          <w:szCs w:val="26"/>
        </w:rPr>
      </w:pPr>
      <w:bookmarkStart w:id="380" w:name="_Toc66271828"/>
      <w:bookmarkStart w:id="381" w:name="_Toc66438745"/>
      <w:r w:rsidRPr="00053B24">
        <w:rPr>
          <w:rFonts w:ascii="Calibri" w:hAnsi="Calibri" w:cs="Calibri"/>
          <w:b w:val="0"/>
          <w:color w:val="17365D" w:themeColor="text2" w:themeShade="BF"/>
          <w:szCs w:val="26"/>
        </w:rPr>
        <w:t>Accommodation</w:t>
      </w:r>
      <w:bookmarkEnd w:id="380"/>
      <w:bookmarkEnd w:id="381"/>
    </w:p>
    <w:p w14:paraId="5DD5F21F" w14:textId="77777777" w:rsidR="00592201" w:rsidRPr="00053B24" w:rsidRDefault="00592201" w:rsidP="00592201">
      <w:pPr>
        <w:rPr>
          <w:rFonts w:ascii="Calibri" w:hAnsi="Calibri" w:cs="Calibri"/>
        </w:rPr>
      </w:pPr>
      <w:r w:rsidRPr="00053B24">
        <w:rPr>
          <w:rFonts w:ascii="Calibri" w:hAnsi="Calibri" w:cs="Calibri"/>
        </w:rPr>
        <w:t xml:space="preserve">All accommodation will be booked and paid for by the jurisdiction/Service according to the Remuneration Tribunal (Official Travel) Determination 2019. All Surveyors and Data Assessors will be booked into accommodation that has a rating of no less than three stars. Each Surveyor and Data Assessor must have their own room. Surveyors and Data Assessors </w:t>
      </w:r>
      <w:r w:rsidRPr="00053B24">
        <w:rPr>
          <w:rFonts w:ascii="Calibri" w:hAnsi="Calibri" w:cs="Calibri"/>
        </w:rPr>
        <w:lastRenderedPageBreak/>
        <w:t>are to be paid at the Tier 1 rate.</w:t>
      </w:r>
    </w:p>
    <w:p w14:paraId="73B67D1B" w14:textId="77777777" w:rsidR="00592201" w:rsidRPr="00053B24" w:rsidRDefault="00592201" w:rsidP="00592201">
      <w:pPr>
        <w:pStyle w:val="Heading3"/>
        <w:numPr>
          <w:ilvl w:val="0"/>
          <w:numId w:val="0"/>
        </w:numPr>
        <w:ind w:left="709" w:hanging="709"/>
        <w:rPr>
          <w:rFonts w:ascii="Calibri" w:hAnsi="Calibri" w:cs="Calibri"/>
          <w:b w:val="0"/>
          <w:bCs w:val="0"/>
          <w:color w:val="17365D" w:themeColor="text2" w:themeShade="BF"/>
          <w:szCs w:val="26"/>
        </w:rPr>
      </w:pPr>
      <w:bookmarkStart w:id="382" w:name="_Toc66271829"/>
      <w:bookmarkStart w:id="383" w:name="_Toc66438746"/>
      <w:r w:rsidRPr="00053B24">
        <w:rPr>
          <w:rFonts w:ascii="Calibri" w:hAnsi="Calibri" w:cs="Calibri"/>
          <w:b w:val="0"/>
          <w:color w:val="17365D" w:themeColor="text2" w:themeShade="BF"/>
          <w:szCs w:val="26"/>
        </w:rPr>
        <w:t>Airfares</w:t>
      </w:r>
      <w:bookmarkEnd w:id="382"/>
      <w:bookmarkEnd w:id="383"/>
    </w:p>
    <w:p w14:paraId="3AEA5996" w14:textId="77777777" w:rsidR="00592201" w:rsidRPr="00053B24" w:rsidRDefault="00592201" w:rsidP="00592201">
      <w:pPr>
        <w:rPr>
          <w:rFonts w:ascii="Calibri" w:hAnsi="Calibri" w:cs="Calibri"/>
        </w:rPr>
      </w:pPr>
      <w:r w:rsidRPr="00053B24">
        <w:rPr>
          <w:rFonts w:ascii="Calibri" w:hAnsi="Calibri" w:cs="Calibri"/>
        </w:rPr>
        <w:t>An economy class airfare (flexible preferred) will be booked and paid for all Surveyors and Data Assessors by the jurisdiction/Service.</w:t>
      </w:r>
    </w:p>
    <w:p w14:paraId="4B7BB52B" w14:textId="77777777" w:rsidR="00592201" w:rsidRPr="00053B24" w:rsidRDefault="00592201" w:rsidP="00592201">
      <w:pPr>
        <w:pStyle w:val="Heading3"/>
        <w:numPr>
          <w:ilvl w:val="0"/>
          <w:numId w:val="0"/>
        </w:numPr>
        <w:ind w:left="709" w:hanging="709"/>
        <w:rPr>
          <w:rFonts w:ascii="Calibri" w:hAnsi="Calibri" w:cs="Calibri"/>
          <w:b w:val="0"/>
          <w:bCs w:val="0"/>
          <w:color w:val="17365D" w:themeColor="text2" w:themeShade="BF"/>
          <w:szCs w:val="26"/>
        </w:rPr>
      </w:pPr>
      <w:bookmarkStart w:id="384" w:name="_Toc66271830"/>
      <w:bookmarkStart w:id="385" w:name="_Toc66438747"/>
      <w:r w:rsidRPr="00053B24">
        <w:rPr>
          <w:rFonts w:ascii="Calibri" w:hAnsi="Calibri" w:cs="Calibri"/>
          <w:b w:val="0"/>
          <w:color w:val="17365D" w:themeColor="text2" w:themeShade="BF"/>
          <w:szCs w:val="26"/>
        </w:rPr>
        <w:t>Taxis, parking and airport transfers</w:t>
      </w:r>
      <w:bookmarkEnd w:id="384"/>
      <w:bookmarkEnd w:id="385"/>
    </w:p>
    <w:p w14:paraId="63E21F1E" w14:textId="77777777" w:rsidR="00592201" w:rsidRPr="00053B24" w:rsidRDefault="00592201" w:rsidP="00592201">
      <w:pPr>
        <w:rPr>
          <w:rFonts w:ascii="Calibri" w:hAnsi="Calibri" w:cs="Calibri"/>
        </w:rPr>
      </w:pPr>
      <w:r w:rsidRPr="00053B24">
        <w:rPr>
          <w:rFonts w:ascii="Calibri" w:hAnsi="Calibri" w:cs="Calibri"/>
        </w:rPr>
        <w:t>The cost of taxis, parking and transfers are not covered by the daily fee and will be paid by the jurisdiction/Service directly.</w:t>
      </w:r>
    </w:p>
    <w:p w14:paraId="74D09C56" w14:textId="77777777" w:rsidR="00592201" w:rsidRPr="00053B24" w:rsidRDefault="00592201" w:rsidP="00236EE0">
      <w:pPr>
        <w:pStyle w:val="Heading3"/>
        <w:numPr>
          <w:ilvl w:val="0"/>
          <w:numId w:val="0"/>
        </w:numPr>
        <w:rPr>
          <w:rFonts w:ascii="Calibri" w:hAnsi="Calibri" w:cs="Calibri"/>
          <w:b w:val="0"/>
          <w:bCs w:val="0"/>
          <w:color w:val="17365D" w:themeColor="text2" w:themeShade="BF"/>
          <w:szCs w:val="26"/>
        </w:rPr>
      </w:pPr>
      <w:bookmarkStart w:id="386" w:name="_Toc66271831"/>
      <w:bookmarkStart w:id="387" w:name="_Toc66438748"/>
      <w:r w:rsidRPr="00053B24">
        <w:rPr>
          <w:rFonts w:ascii="Calibri" w:hAnsi="Calibri" w:cs="Calibri"/>
          <w:b w:val="0"/>
          <w:color w:val="17365D" w:themeColor="text2" w:themeShade="BF"/>
          <w:szCs w:val="26"/>
        </w:rPr>
        <w:t>Meals and incidentals</w:t>
      </w:r>
      <w:bookmarkEnd w:id="386"/>
      <w:bookmarkEnd w:id="387"/>
    </w:p>
    <w:p w14:paraId="020A724D" w14:textId="77777777" w:rsidR="00592201" w:rsidRPr="00053B24" w:rsidRDefault="00592201" w:rsidP="00592201">
      <w:pPr>
        <w:rPr>
          <w:rFonts w:ascii="Calibri" w:hAnsi="Calibri" w:cs="Calibri"/>
        </w:rPr>
      </w:pPr>
      <w:r w:rsidRPr="00053B24">
        <w:rPr>
          <w:rFonts w:ascii="Calibri" w:hAnsi="Calibri" w:cs="Calibri"/>
        </w:rPr>
        <w:t>The daily fee claimed by eligible Surveyors and Data Assessors is inclusive of meals and incidentals allowances.</w:t>
      </w:r>
    </w:p>
    <w:p w14:paraId="65CFAC8B" w14:textId="77777777" w:rsidR="00592201" w:rsidRPr="00053B24" w:rsidRDefault="00592201" w:rsidP="00592201">
      <w:pPr>
        <w:rPr>
          <w:rFonts w:ascii="Calibri" w:hAnsi="Calibri" w:cs="Calibri"/>
        </w:rPr>
      </w:pPr>
      <w:r w:rsidRPr="00053B24">
        <w:rPr>
          <w:rFonts w:ascii="Calibri" w:hAnsi="Calibri" w:cs="Calibri"/>
        </w:rPr>
        <w:t xml:space="preserve">Surveyors and Data Assessors who are not eligible to claim the daily fee, including the National Surveyor, will have meals and incidentals (other than those that are supplied by the Service) paid at the rates set out in the Remuneration Tribunal (Official Travel) Determination 2019 Tables 6C or 6D (or most recent update) according to the location of the survey being undertaken. </w:t>
      </w:r>
    </w:p>
    <w:p w14:paraId="6C4887F5" w14:textId="054B7448" w:rsidR="00DB6C37" w:rsidRPr="008721C4" w:rsidRDefault="00DB6C37" w:rsidP="0008617F">
      <w:pPr>
        <w:pStyle w:val="Heading1"/>
        <w:numPr>
          <w:ilvl w:val="0"/>
          <w:numId w:val="0"/>
        </w:numPr>
        <w:ind w:left="4536"/>
      </w:pPr>
      <w:bookmarkStart w:id="388" w:name="_Attachment_5:_The"/>
      <w:bookmarkStart w:id="389" w:name="_Toc66438749"/>
      <w:bookmarkEnd w:id="368"/>
      <w:bookmarkEnd w:id="388"/>
      <w:r>
        <w:lastRenderedPageBreak/>
        <w:t>Attachment 5:</w:t>
      </w:r>
      <w:r>
        <w:tab/>
        <w:t xml:space="preserve">The </w:t>
      </w:r>
      <w:r w:rsidR="00DF7E7F">
        <w:t>U</w:t>
      </w:r>
      <w:r w:rsidRPr="00B42310">
        <w:t>se</w:t>
      </w:r>
      <w:r w:rsidR="00DF7E7F">
        <w:t xml:space="preserve"> of Confidence Intervals in NQMC D</w:t>
      </w:r>
      <w:r w:rsidR="00481769">
        <w:t>ecision-</w:t>
      </w:r>
      <w:r w:rsidR="00DF7E7F">
        <w:t>M</w:t>
      </w:r>
      <w:r>
        <w:t>aking</w:t>
      </w:r>
      <w:bookmarkEnd w:id="389"/>
    </w:p>
    <w:p w14:paraId="42BBB3A2" w14:textId="77777777" w:rsidR="00DB6C37" w:rsidRDefault="00DB6C37" w:rsidP="00DB6C37">
      <w:r>
        <w:t xml:space="preserve">When appraising the performance measures of any screening service it’s important to acknowledge all measurements of performance are in fact a combination of underlying performance as well as an element of chance.  </w:t>
      </w:r>
    </w:p>
    <w:p w14:paraId="35E73900" w14:textId="71F1F5CD" w:rsidR="00DB6C37" w:rsidRDefault="00DB6C37" w:rsidP="00DB6C37">
      <w:r>
        <w:t>In smaller samples chance is an increasingly large component; in these cases it</w:t>
      </w:r>
      <w:r w:rsidR="00215377">
        <w:t xml:space="preserve"> i</w:t>
      </w:r>
      <w:r>
        <w:t xml:space="preserve">s difficult to definitively elucidate underlying performance from chance.  </w:t>
      </w:r>
    </w:p>
    <w:p w14:paraId="0282851A" w14:textId="77777777" w:rsidR="00DB6C37" w:rsidRDefault="00DB6C37" w:rsidP="00DB6C37">
      <w:r>
        <w:t xml:space="preserve">Statistical tools such as 95% confidence intervals (95%CIs), aggregated analysis and the small numbers index are helpful in this situation.  </w:t>
      </w:r>
    </w:p>
    <w:p w14:paraId="6438F096" w14:textId="77777777" w:rsidR="00DB6C37" w:rsidRDefault="00DB6C37" w:rsidP="00F71EA4">
      <w:pPr>
        <w:pStyle w:val="Heading2"/>
        <w:numPr>
          <w:ilvl w:val="0"/>
          <w:numId w:val="0"/>
        </w:numPr>
        <w:ind w:left="567" w:hanging="567"/>
      </w:pPr>
      <w:bookmarkStart w:id="390" w:name="_Toc493754124"/>
      <w:bookmarkStart w:id="391" w:name="_Toc493754412"/>
      <w:bookmarkStart w:id="392" w:name="_Toc510784894"/>
      <w:bookmarkStart w:id="393" w:name="_Toc510785071"/>
      <w:bookmarkStart w:id="394" w:name="_Toc518036849"/>
      <w:bookmarkStart w:id="395" w:name="_Toc519867928"/>
      <w:bookmarkStart w:id="396" w:name="_Toc66271833"/>
      <w:bookmarkStart w:id="397" w:name="_Toc66438750"/>
      <w:r>
        <w:t>Using confidence intervals</w:t>
      </w:r>
      <w:bookmarkEnd w:id="390"/>
      <w:bookmarkEnd w:id="391"/>
      <w:bookmarkEnd w:id="392"/>
      <w:bookmarkEnd w:id="393"/>
      <w:bookmarkEnd w:id="394"/>
      <w:bookmarkEnd w:id="395"/>
      <w:bookmarkEnd w:id="396"/>
      <w:bookmarkEnd w:id="397"/>
      <w:r>
        <w:t xml:space="preserve"> </w:t>
      </w:r>
    </w:p>
    <w:p w14:paraId="7772A8E5" w14:textId="11D94A58" w:rsidR="00DB6C37" w:rsidRDefault="00DB6C37" w:rsidP="00DB6C37">
      <w:r>
        <w:t>It is important to understand the correct use and limitat</w:t>
      </w:r>
      <w:r w:rsidR="00481769">
        <w:t>ions of 95%CIs in NQMC decision-</w:t>
      </w:r>
      <w:r>
        <w:t xml:space="preserve">making.  Consider the result outlined in </w:t>
      </w:r>
      <w:r>
        <w:fldChar w:fldCharType="begin"/>
      </w:r>
      <w:r>
        <w:instrText xml:space="preserve"> REF _Ref489263136 \h </w:instrText>
      </w:r>
      <w:r>
        <w:fldChar w:fldCharType="separate"/>
      </w:r>
      <w:r w:rsidR="00B36BEE">
        <w:t xml:space="preserve">Figure </w:t>
      </w:r>
      <w:r w:rsidR="00B36BEE">
        <w:rPr>
          <w:noProof/>
        </w:rPr>
        <w:t>1</w:t>
      </w:r>
      <w:r>
        <w:fldChar w:fldCharType="end"/>
      </w:r>
      <w:r>
        <w:t>.  Ostensibly the observed result (dot) is a fail however the 95%CI (vertical line) includes the target result (grey line) and extents into the pass region.</w:t>
      </w:r>
    </w:p>
    <w:p w14:paraId="04C65A72" w14:textId="0295C489" w:rsidR="00DB6C37" w:rsidRDefault="00DB6C37" w:rsidP="00DB6C37">
      <w:pPr>
        <w:pStyle w:val="Caption"/>
      </w:pPr>
      <w:bookmarkStart w:id="398" w:name="_Ref489263136"/>
      <w:r>
        <w:t xml:space="preserve">Figure </w:t>
      </w:r>
      <w:r w:rsidR="00535209">
        <w:rPr>
          <w:noProof/>
        </w:rPr>
        <w:fldChar w:fldCharType="begin"/>
      </w:r>
      <w:r w:rsidR="00535209">
        <w:rPr>
          <w:noProof/>
        </w:rPr>
        <w:instrText xml:space="preserve"> SEQ Figure \* ARABIC </w:instrText>
      </w:r>
      <w:r w:rsidR="00535209">
        <w:rPr>
          <w:noProof/>
        </w:rPr>
        <w:fldChar w:fldCharType="separate"/>
      </w:r>
      <w:r w:rsidR="00B36BEE">
        <w:rPr>
          <w:noProof/>
        </w:rPr>
        <w:t>1</w:t>
      </w:r>
      <w:r w:rsidR="00535209">
        <w:rPr>
          <w:noProof/>
        </w:rPr>
        <w:fldChar w:fldCharType="end"/>
      </w:r>
      <w:bookmarkEnd w:id="398"/>
      <w:r>
        <w:t>:</w:t>
      </w:r>
      <w:r>
        <w:tab/>
      </w:r>
      <w:r w:rsidRPr="000469DF">
        <w:t>Result for 2016</w:t>
      </w:r>
    </w:p>
    <w:p w14:paraId="488887A1" w14:textId="77777777" w:rsidR="00DB6C37" w:rsidRPr="005D0E7C" w:rsidRDefault="00DB6C37" w:rsidP="00DB6C37">
      <w:pPr>
        <w:pStyle w:val="Default"/>
        <w:jc w:val="both"/>
        <w:rPr>
          <w:b/>
          <w:bCs/>
          <w:color w:val="auto"/>
          <w:sz w:val="22"/>
          <w:szCs w:val="22"/>
        </w:rPr>
      </w:pPr>
      <w:r>
        <w:rPr>
          <w:b/>
          <w:bCs/>
          <w:noProof/>
          <w:color w:val="auto"/>
          <w:sz w:val="22"/>
          <w:szCs w:val="22"/>
          <w:lang w:eastAsia="en-AU"/>
        </w:rPr>
        <w:drawing>
          <wp:inline distT="0" distB="0" distL="0" distR="0" wp14:anchorId="00806B36" wp14:editId="0A6E8F2E">
            <wp:extent cx="1704975" cy="2552700"/>
            <wp:effectExtent l="0" t="0" r="9525" b="0"/>
            <wp:docPr id="4" name="Picture 4" descr="Graphic demonstration of how the confidence interval relates to the target performance.&#10;" title="Exampl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4975" cy="2552700"/>
                    </a:xfrm>
                    <a:prstGeom prst="rect">
                      <a:avLst/>
                    </a:prstGeom>
                    <a:noFill/>
                    <a:ln>
                      <a:noFill/>
                    </a:ln>
                  </pic:spPr>
                </pic:pic>
              </a:graphicData>
            </a:graphic>
          </wp:inline>
        </w:drawing>
      </w:r>
    </w:p>
    <w:p w14:paraId="38C7F884" w14:textId="77777777" w:rsidR="00DB6C37" w:rsidRPr="005D0E7C" w:rsidRDefault="00DB6C37" w:rsidP="00DB6C37">
      <w:r>
        <w:t>Two</w:t>
      </w:r>
      <w:r w:rsidRPr="005D0E7C">
        <w:t xml:space="preserve"> possible interpretation</w:t>
      </w:r>
      <w:r>
        <w:t>s are</w:t>
      </w:r>
      <w:r w:rsidRPr="005D0E7C">
        <w:t xml:space="preserve">: </w:t>
      </w:r>
    </w:p>
    <w:p w14:paraId="6A95AF4D" w14:textId="77777777" w:rsidR="00DB6C37" w:rsidRPr="005D0E7C" w:rsidRDefault="00DB6C37" w:rsidP="00DB6C37">
      <w:pPr>
        <w:pStyle w:val="ListBullet"/>
        <w:widowControl/>
        <w:spacing w:line="240" w:lineRule="auto"/>
      </w:pPr>
      <w:r w:rsidRPr="005D0E7C">
        <w:t xml:space="preserve">the observed result indicates unsatisfactory performance </w:t>
      </w:r>
    </w:p>
    <w:p w14:paraId="0B730487" w14:textId="47E14BB4" w:rsidR="00DB6C37" w:rsidRPr="005D0E7C" w:rsidRDefault="00DB6C37" w:rsidP="00DB6C37">
      <w:pPr>
        <w:pStyle w:val="ListBullet"/>
        <w:widowControl/>
        <w:spacing w:line="240" w:lineRule="auto"/>
      </w:pPr>
      <w:r w:rsidRPr="005D0E7C">
        <w:t>the observed result indicates a combination of satisfactory performance and bad luck</w:t>
      </w:r>
      <w:r w:rsidR="00476E06">
        <w:t>.</w:t>
      </w:r>
    </w:p>
    <w:p w14:paraId="56816391" w14:textId="7F59858A" w:rsidR="00DB6C37" w:rsidRDefault="00DB6C37" w:rsidP="00DB6C37">
      <w:r w:rsidRPr="005D0E7C">
        <w:t>However, we cannot discern which of the above is correct – that is, we remain in a state of ignorance</w:t>
      </w:r>
      <w:r>
        <w:t xml:space="preserve">.  </w:t>
      </w:r>
      <w:r w:rsidRPr="005D0E7C">
        <w:t>The 95%CI helps protect against reflexively concluding performance is</w:t>
      </w:r>
      <w:r>
        <w:t xml:space="preserve"> </w:t>
      </w:r>
      <w:r>
        <w:lastRenderedPageBreak/>
        <w:t>unsatisfactory, but it does not automatically co</w:t>
      </w:r>
      <w:r w:rsidR="00E22836">
        <w:t>nfer satisfactory performance.</w:t>
      </w:r>
    </w:p>
    <w:p w14:paraId="3CD5982E" w14:textId="44C5088C" w:rsidR="00DB6C37" w:rsidRDefault="00DB6C37" w:rsidP="00DB6C37">
      <w:r>
        <w:t>It is neither useful nor correct to interpret this outcome as “</w:t>
      </w:r>
      <w:r w:rsidRPr="000469DF">
        <w:rPr>
          <w:i/>
        </w:rPr>
        <w:t>the 95%CI contains the target therefore we are obliged to accept performance is satisfactory and all is well</w:t>
      </w:r>
      <w:r>
        <w:t>”.  While the 95%CI is comforting information and indicates there is a possibility that the performance may in fact be satisfactory, some doubt remains.  More discussion, debate and ancillary evidence is required before a firm conclusion can be reached on the performance outcome a</w:t>
      </w:r>
      <w:r w:rsidR="00E22836">
        <w:t>nd a subsequent decision made.</w:t>
      </w:r>
    </w:p>
    <w:p w14:paraId="693BE2C4" w14:textId="24D8FB6B" w:rsidR="00DB6C37" w:rsidRDefault="00DB6C37" w:rsidP="00DB6C37">
      <w:r>
        <w:t xml:space="preserve">If the position is taken that the 95%CIs’ coverage of the target is considered entirely sufficient to warrant accreditation then this raises the prospect that accreditation decisions could be determined solely by a computer with no need to assemble the varied domain experts from around the country.  Conversely if 95%CI coverage of the target is considered necessary but insufficient to warrant accreditation this raises the </w:t>
      </w:r>
      <w:r w:rsidRPr="00575555">
        <w:t xml:space="preserve">disconcerting </w:t>
      </w:r>
      <w:r>
        <w:t>possibility that different decisions could be made by different individuals and committees from the exact same set of results.  Henc</w:t>
      </w:r>
      <w:r w:rsidR="00481769">
        <w:t>e, there is a need for decision-</w:t>
      </w:r>
      <w:r>
        <w:t>making practice that ensures consistent and logical decisions when considering performance that is clouded by chance.</w:t>
      </w:r>
    </w:p>
    <w:p w14:paraId="3977730A" w14:textId="1B6275B1" w:rsidR="00DB6C37" w:rsidRDefault="00DB6C37" w:rsidP="00F71EA4">
      <w:pPr>
        <w:pStyle w:val="Heading2"/>
        <w:numPr>
          <w:ilvl w:val="0"/>
          <w:numId w:val="0"/>
        </w:numPr>
        <w:ind w:left="567" w:hanging="567"/>
      </w:pPr>
      <w:bookmarkStart w:id="399" w:name="_Toc493754125"/>
      <w:bookmarkStart w:id="400" w:name="_Toc493754413"/>
      <w:bookmarkStart w:id="401" w:name="_Toc510784895"/>
      <w:bookmarkStart w:id="402" w:name="_Toc510785072"/>
      <w:bookmarkStart w:id="403" w:name="_Toc518036850"/>
      <w:bookmarkStart w:id="404" w:name="_Toc519867929"/>
      <w:bookmarkStart w:id="405" w:name="_Toc66271834"/>
      <w:bookmarkStart w:id="406" w:name="_Toc66438751"/>
      <w:r>
        <w:t>Co</w:t>
      </w:r>
      <w:r w:rsidR="00481769">
        <w:t>nfidence intervals and decision-</w:t>
      </w:r>
      <w:r>
        <w:t>making</w:t>
      </w:r>
      <w:bookmarkEnd w:id="399"/>
      <w:bookmarkEnd w:id="400"/>
      <w:bookmarkEnd w:id="401"/>
      <w:bookmarkEnd w:id="402"/>
      <w:bookmarkEnd w:id="403"/>
      <w:bookmarkEnd w:id="404"/>
      <w:bookmarkEnd w:id="405"/>
      <w:bookmarkEnd w:id="406"/>
      <w:r>
        <w:t xml:space="preserve"> </w:t>
      </w:r>
    </w:p>
    <w:p w14:paraId="36850772" w14:textId="42191E90" w:rsidR="00DB6C37" w:rsidRDefault="00DB6C37" w:rsidP="00DB6C37">
      <w:r>
        <w:t>Research scientists often rely on 95%CIs to estimate quantities and make co</w:t>
      </w:r>
      <w:r w:rsidR="00E22836">
        <w:t xml:space="preserve">nclusions based on their data. </w:t>
      </w:r>
      <w:r>
        <w:t>Members of the NQMC do not have the luxury of conjecture and conclusions alone, they are charged with the additional step of making decisi</w:t>
      </w:r>
      <w:r w:rsidR="00E22836">
        <w:t>ons based on their conclusions.</w:t>
      </w:r>
      <w:r>
        <w:t xml:space="preserve"> This additional (and difficult) step requires additional information.  </w:t>
      </w:r>
    </w:p>
    <w:p w14:paraId="287B7ED3" w14:textId="1E677EA3" w:rsidR="00DB6C37" w:rsidRDefault="00DB6C37" w:rsidP="00DB6C37">
      <w:r>
        <w:t>A principled decision-making process takes into account the costs and benefits associated with the decisi</w:t>
      </w:r>
      <w:r w:rsidR="00E22836">
        <w:t xml:space="preserve">on. </w:t>
      </w:r>
      <w:r>
        <w:t>The decision ma</w:t>
      </w:r>
      <w:r w:rsidR="00E22836">
        <w:t>ker faces two potential errors:</w:t>
      </w:r>
    </w:p>
    <w:p w14:paraId="24BD3966" w14:textId="6733B216" w:rsidR="00DB6C37" w:rsidRDefault="00DB6C37" w:rsidP="00DB6C37">
      <w:pPr>
        <w:pStyle w:val="ListBullet"/>
        <w:widowControl/>
        <w:spacing w:line="240" w:lineRule="auto"/>
      </w:pPr>
      <w:r>
        <w:t>false positive errors (deciding there is a p</w:t>
      </w:r>
      <w:r w:rsidR="00E22836">
        <w:t>roblem when there is none); and</w:t>
      </w:r>
    </w:p>
    <w:p w14:paraId="0A4FC23E" w14:textId="5361AC0C" w:rsidR="00DB6C37" w:rsidRDefault="00DB6C37" w:rsidP="00DB6C37">
      <w:pPr>
        <w:pStyle w:val="ListBullet"/>
        <w:widowControl/>
        <w:spacing w:line="240" w:lineRule="auto"/>
      </w:pPr>
      <w:r>
        <w:t xml:space="preserve">false negative errors (deciding there is </w:t>
      </w:r>
      <w:r w:rsidR="00E22836">
        <w:t>no problem when there is one).</w:t>
      </w:r>
    </w:p>
    <w:p w14:paraId="30DB833D" w14:textId="129EDE67" w:rsidR="00DB6C37" w:rsidRDefault="00DB6C37" w:rsidP="00DB6C37">
      <w:r>
        <w:t>These errors and their associated costs are known to statisticians and decisi</w:t>
      </w:r>
      <w:r w:rsidR="00E22836">
        <w:t xml:space="preserve">on analysts as loss functions. </w:t>
      </w:r>
      <w:r>
        <w:t>In addition to the likelihood (conveyed by result and its 95%CI) the additional layer (and complexity) o</w:t>
      </w:r>
      <w:r w:rsidR="00E22836">
        <w:t>f a loss function is required.</w:t>
      </w:r>
    </w:p>
    <w:p w14:paraId="70469645" w14:textId="01952D2A" w:rsidR="00DB6C37" w:rsidRDefault="00DB6C37" w:rsidP="00DB6C37">
      <w:r>
        <w:t xml:space="preserve">As an example, in Australia an aggressive approach is often taken regarding the excision of suspected melanoma </w:t>
      </w:r>
      <w:r w:rsidRPr="0045787B">
        <w:t>lesions</w:t>
      </w:r>
      <w:r>
        <w:t>; this reflects the relatively minor inconvenience of an unnecessary punch biopsy (in the case of a false positive) and the serious implications of ignoring an invasive melanoma (in the case of a false negative).  This clinical decision process is informed by the loss function in addition</w:t>
      </w:r>
      <w:r w:rsidR="00E22836">
        <w:t xml:space="preserve"> to the underlying likelihood.</w:t>
      </w:r>
    </w:p>
    <w:p w14:paraId="5EFFD079" w14:textId="51659F33" w:rsidR="00DB6C37" w:rsidRDefault="00DB6C37" w:rsidP="00DB6C37">
      <w:r>
        <w:t>There is a regrettably common practice of well-intentioned researchers relying solely on the likelihood tools that have worked well in their research careers (such as 95%CIs and statistical significance) to make decisions while ignoring the attendant costs and benefits of their decision (the loss function).  It is a mistake to think all the necessary information is contained in the 95% confidence interval.  A 95%CI improves and informs the decision-</w:t>
      </w:r>
      <w:r>
        <w:lastRenderedPageBreak/>
        <w:t xml:space="preserve">making process but it is not </w:t>
      </w:r>
      <w:r>
        <w:rPr>
          <w:i/>
          <w:iCs/>
        </w:rPr>
        <w:t xml:space="preserve">the </w:t>
      </w:r>
      <w:r w:rsidR="00E22836">
        <w:t>decision-making process.</w:t>
      </w:r>
    </w:p>
    <w:p w14:paraId="16ED9218" w14:textId="37D47DC1" w:rsidR="00DB6C37" w:rsidRDefault="00DB6C37" w:rsidP="00DB6C37">
      <w:r>
        <w:t xml:space="preserve">Every (rational) decision we make as humans is based on a combination of loss and likelihood.  Similarly, in making an accreditation decision the NQMC has to consider the potential errors </w:t>
      </w:r>
      <w:r w:rsidR="00E22836">
        <w:t>(and costs) of their decision.</w:t>
      </w:r>
    </w:p>
    <w:p w14:paraId="330A57EB" w14:textId="16997770" w:rsidR="00DB6C37" w:rsidRDefault="00DB6C37" w:rsidP="00DB6C37">
      <w:pPr>
        <w:pStyle w:val="ListBullet"/>
        <w:widowControl/>
        <w:spacing w:line="240" w:lineRule="auto"/>
      </w:pPr>
      <w:r>
        <w:t xml:space="preserve">A false positive (deciding performance is not satisfactory when in fact it is) results in costs for the service/SCU in terms of an unwelcome additional administrative burden, a distraction from core tasks, and potential </w:t>
      </w:r>
      <w:r w:rsidR="00E22836">
        <w:t>lowering of staff morale, etc.</w:t>
      </w:r>
    </w:p>
    <w:p w14:paraId="2EDBAADD" w14:textId="221F950F" w:rsidR="00DB6C37" w:rsidRDefault="00DB6C37" w:rsidP="00DB6C37">
      <w:pPr>
        <w:pStyle w:val="ListBullet"/>
        <w:widowControl/>
        <w:spacing w:line="240" w:lineRule="auto"/>
      </w:pPr>
      <w:r>
        <w:t xml:space="preserve">A false negative (deciding performance is satisfactory when in fact it is not) would mean these costs would be borne by women using the screening service in future years – a </w:t>
      </w:r>
      <w:r w:rsidR="00E22836">
        <w:t>potential public health issue.</w:t>
      </w:r>
    </w:p>
    <w:p w14:paraId="3C36A79E" w14:textId="7A114197" w:rsidR="00DB6C37" w:rsidRDefault="00DB6C37" w:rsidP="00DB6C37">
      <w:pPr>
        <w:rPr>
          <w:szCs w:val="22"/>
        </w:rPr>
      </w:pPr>
      <w:r w:rsidRPr="000469DF">
        <w:t>Quantifying and balancing these costs and benefits is difficult and often subjective (and thus contentious)</w:t>
      </w:r>
      <w:r>
        <w:t xml:space="preserve">.  </w:t>
      </w:r>
      <w:r w:rsidRPr="000469DF">
        <w:t>It often requires input, discussion and agreement from different members of the committee</w:t>
      </w:r>
      <w:r>
        <w:t>.  Decision-</w:t>
      </w:r>
      <w:r w:rsidRPr="000469DF">
        <w:t>makers in the NQMC should clearly document their reasoning and sources</w:t>
      </w:r>
      <w:r>
        <w:rPr>
          <w:szCs w:val="22"/>
        </w:rPr>
        <w:t xml:space="preserve"> of ancillary information when</w:t>
      </w:r>
      <w:r w:rsidR="00E22836">
        <w:rPr>
          <w:szCs w:val="22"/>
        </w:rPr>
        <w:t xml:space="preserve"> making contentious decisions.</w:t>
      </w:r>
    </w:p>
    <w:p w14:paraId="17C92F3E" w14:textId="7ACD593C" w:rsidR="00DB6C37" w:rsidRDefault="00DB6C37" w:rsidP="00E22836">
      <w:pPr>
        <w:widowControl/>
      </w:pPr>
      <w:r>
        <w:t xml:space="preserve">Consider </w:t>
      </w:r>
      <w:r>
        <w:fldChar w:fldCharType="begin"/>
      </w:r>
      <w:r>
        <w:instrText xml:space="preserve"> REF _Ref489263161 \h </w:instrText>
      </w:r>
      <w:r>
        <w:fldChar w:fldCharType="separate"/>
      </w:r>
      <w:r w:rsidR="00B36BEE">
        <w:t xml:space="preserve">Figure </w:t>
      </w:r>
      <w:r w:rsidR="00B36BEE">
        <w:rPr>
          <w:noProof/>
        </w:rPr>
        <w:t>2</w:t>
      </w:r>
      <w:r>
        <w:fldChar w:fldCharType="end"/>
      </w:r>
      <w:r>
        <w:t xml:space="preserve"> (below) showing data from 4 screening services that have an identical</w:t>
      </w:r>
      <w:r w:rsidR="00E22836">
        <w:t xml:space="preserve"> </w:t>
      </w:r>
      <w:r>
        <w:t>result for 2016 (2.2) and 95%CIs (0.2 to 4.2)</w:t>
      </w:r>
      <w:r w:rsidRPr="003240F5">
        <w:t xml:space="preserve"> </w:t>
      </w:r>
    </w:p>
    <w:p w14:paraId="1C262502" w14:textId="7C8D9021" w:rsidR="00DB6C37" w:rsidRDefault="00DB6C37" w:rsidP="00DB6C37">
      <w:pPr>
        <w:pStyle w:val="Caption"/>
      </w:pPr>
      <w:bookmarkStart w:id="407" w:name="_Ref489263161"/>
      <w:r>
        <w:t xml:space="preserve">Figure </w:t>
      </w:r>
      <w:r w:rsidR="00535209">
        <w:rPr>
          <w:noProof/>
        </w:rPr>
        <w:fldChar w:fldCharType="begin"/>
      </w:r>
      <w:r w:rsidR="00535209">
        <w:rPr>
          <w:noProof/>
        </w:rPr>
        <w:instrText xml:space="preserve"> SEQ Figure \* ARABIC </w:instrText>
      </w:r>
      <w:r w:rsidR="00535209">
        <w:rPr>
          <w:noProof/>
        </w:rPr>
        <w:fldChar w:fldCharType="separate"/>
      </w:r>
      <w:r w:rsidR="00B36BEE">
        <w:rPr>
          <w:noProof/>
        </w:rPr>
        <w:t>2</w:t>
      </w:r>
      <w:r w:rsidR="00535209">
        <w:rPr>
          <w:noProof/>
        </w:rPr>
        <w:fldChar w:fldCharType="end"/>
      </w:r>
      <w:bookmarkEnd w:id="407"/>
      <w:r>
        <w:t>:</w:t>
      </w:r>
      <w:r>
        <w:tab/>
      </w:r>
      <w:r w:rsidRPr="000469DF">
        <w:t>Results 2013-16 for 4 screening services</w:t>
      </w:r>
    </w:p>
    <w:p w14:paraId="7E667C23" w14:textId="77777777" w:rsidR="00DB6C37" w:rsidRPr="005D0E7C" w:rsidRDefault="00DB6C37" w:rsidP="00DB6C37">
      <w:pPr>
        <w:pStyle w:val="Default"/>
        <w:rPr>
          <w:color w:val="auto"/>
          <w:sz w:val="22"/>
          <w:szCs w:val="22"/>
        </w:rPr>
      </w:pPr>
      <w:r w:rsidRPr="005D0E7C">
        <w:rPr>
          <w:noProof/>
          <w:sz w:val="22"/>
          <w:szCs w:val="22"/>
          <w:lang w:eastAsia="en-AU"/>
        </w:rPr>
        <w:drawing>
          <wp:inline distT="0" distB="0" distL="0" distR="0" wp14:anchorId="0EDE400D" wp14:editId="6609C619">
            <wp:extent cx="4824564" cy="4815840"/>
            <wp:effectExtent l="0" t="0" r="0" b="3810"/>
            <wp:docPr id="1" name="Picture 1" descr="Graphic demonstration of the importance of considering other sources of information in addition to the confidence interval, to inform good decision-making.&#10;" title="Example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38416" cy="4829667"/>
                    </a:xfrm>
                    <a:prstGeom prst="rect">
                      <a:avLst/>
                    </a:prstGeom>
                  </pic:spPr>
                </pic:pic>
              </a:graphicData>
            </a:graphic>
          </wp:inline>
        </w:drawing>
      </w:r>
    </w:p>
    <w:p w14:paraId="3CB556AE" w14:textId="4D30734E" w:rsidR="00DB6C37" w:rsidRPr="005D0E7C" w:rsidRDefault="00481769" w:rsidP="00DB6C37">
      <w:r>
        <w:lastRenderedPageBreak/>
        <w:t>Decision-</w:t>
      </w:r>
      <w:r w:rsidR="00DB6C37" w:rsidRPr="005D0E7C">
        <w:t>making wholly reliant on the 2016 95%CIs ignoring all other sources of information would automatically yield the same decision for each of the services</w:t>
      </w:r>
      <w:r w:rsidR="00E22836">
        <w:t xml:space="preserve">. </w:t>
      </w:r>
      <w:r w:rsidR="00DB6C37" w:rsidRPr="005D0E7C">
        <w:t>Data from previous years is sometimes informative.</w:t>
      </w:r>
    </w:p>
    <w:p w14:paraId="13CB36BE" w14:textId="77777777" w:rsidR="00DB6C37" w:rsidRDefault="00DB6C37" w:rsidP="00DB6C37">
      <w:r>
        <w:t>Previous data indicate performance of the Northwest service is stable/stationary and has consistently failed to meet the standard.  Northeast service performance has undergone a recent dramatic deterioration in performance (known as “</w:t>
      </w:r>
      <w:r w:rsidRPr="000469DF">
        <w:rPr>
          <w:i/>
        </w:rPr>
        <w:t>a shift</w:t>
      </w:r>
      <w:r>
        <w:t>”).  Southwest service shows evidence of a consistent decline in performance.  For the Southeast the available data do not offer a clear-cut insight into past or present performance, an aggregated result over the 4 year period may be useful.</w:t>
      </w:r>
    </w:p>
    <w:p w14:paraId="75FFCF37" w14:textId="77777777" w:rsidR="00DB6C37" w:rsidRDefault="00DB6C37" w:rsidP="00DB6C37">
      <w:r>
        <w:t xml:space="preserve">Along with previous data, useful additional information about a service might include: staff turnover, track record in addressing past issues, a poor/successful site visit, opening of a new facility or a change in management, etc.  A principled decision maker may wish to gather, highlight and discuss additional information with the committee and incorporate it into the committee’s decision along with balancing the risks and benefits to women and to the screening service in question.  This practice may result in a fail for Southwest service and a pass for Southeast in spite of their shared 2016 result.  </w:t>
      </w:r>
    </w:p>
    <w:p w14:paraId="71BD7A06" w14:textId="77777777" w:rsidR="00DB6C37" w:rsidRDefault="00DB6C37" w:rsidP="009322AF">
      <w:pPr>
        <w:pStyle w:val="Heading2"/>
        <w:numPr>
          <w:ilvl w:val="0"/>
          <w:numId w:val="0"/>
        </w:numPr>
        <w:ind w:left="567" w:hanging="567"/>
      </w:pPr>
      <w:bookmarkStart w:id="408" w:name="_Toc493754126"/>
      <w:bookmarkStart w:id="409" w:name="_Toc493754414"/>
      <w:bookmarkStart w:id="410" w:name="_Toc510784896"/>
      <w:bookmarkStart w:id="411" w:name="_Toc510785073"/>
      <w:bookmarkStart w:id="412" w:name="_Toc518036851"/>
      <w:bookmarkStart w:id="413" w:name="_Toc519867930"/>
      <w:bookmarkStart w:id="414" w:name="_Toc66271835"/>
      <w:bookmarkStart w:id="415" w:name="_Toc66438752"/>
      <w:r>
        <w:t>The small numbers index</w:t>
      </w:r>
      <w:bookmarkEnd w:id="408"/>
      <w:bookmarkEnd w:id="409"/>
      <w:bookmarkEnd w:id="410"/>
      <w:bookmarkEnd w:id="411"/>
      <w:bookmarkEnd w:id="412"/>
      <w:bookmarkEnd w:id="413"/>
      <w:bookmarkEnd w:id="414"/>
      <w:bookmarkEnd w:id="415"/>
      <w:r>
        <w:t xml:space="preserve"> </w:t>
      </w:r>
    </w:p>
    <w:p w14:paraId="0CFF1A90" w14:textId="77777777" w:rsidR="00DB6C37" w:rsidRDefault="00DB6C37" w:rsidP="00DB6C37">
      <w:r>
        <w:t>As mentioned previously, i</w:t>
      </w:r>
      <w:r w:rsidRPr="004714ED">
        <w:t xml:space="preserve">n smaller samples chance </w:t>
      </w:r>
      <w:r>
        <w:t xml:space="preserve">plays </w:t>
      </w:r>
      <w:r w:rsidRPr="004714ED">
        <w:t xml:space="preserve">an increasingly large </w:t>
      </w:r>
      <w:r>
        <w:t xml:space="preserve">role, this uncertainty is reflected by ever widening confidence intervals.  In some situations, the available 95%CIs are so wide they resist meaningful interpretation.  </w:t>
      </w:r>
    </w:p>
    <w:p w14:paraId="31AACCD2" w14:textId="77777777" w:rsidR="00DB6C37" w:rsidRDefault="00DB6C37" w:rsidP="00DB6C37">
      <w:r>
        <w:t xml:space="preserve">An additional supplement available to NQMC members is the small numbers index (SNI).  This index uses a statistical technique to aggregate scores from within a group of standards.  The result is a single number with an accompanying interpretation.  </w:t>
      </w:r>
      <w:r w:rsidRPr="005D0E7C">
        <w:t xml:space="preserve">An SNI score is not an absolute indicator of performance – </w:t>
      </w:r>
      <w:r>
        <w:t xml:space="preserve">it should be thought of as </w:t>
      </w:r>
      <w:r w:rsidRPr="005D0E7C">
        <w:t>a guide to determining if a Service</w:t>
      </w:r>
      <w:r>
        <w:t>’s</w:t>
      </w:r>
      <w:r w:rsidRPr="005D0E7C">
        <w:t xml:space="preserve"> performance </w:t>
      </w:r>
      <w:r>
        <w:t>warrants further scrutiny</w:t>
      </w:r>
      <w:r w:rsidRPr="005D0E7C">
        <w:t>.</w:t>
      </w:r>
    </w:p>
    <w:p w14:paraId="75A7D878" w14:textId="1298AE9A" w:rsidR="00A63EC5" w:rsidRDefault="00A63EC5">
      <w:pPr>
        <w:widowControl/>
        <w:spacing w:before="0" w:after="200"/>
      </w:pPr>
      <w:r>
        <w:br w:type="page"/>
      </w:r>
    </w:p>
    <w:p w14:paraId="066F03CB" w14:textId="44BB68BC" w:rsidR="00A63EC5" w:rsidRDefault="00A63EC5" w:rsidP="0008617F">
      <w:pPr>
        <w:pStyle w:val="Heading1"/>
        <w:numPr>
          <w:ilvl w:val="0"/>
          <w:numId w:val="0"/>
        </w:numPr>
        <w:ind w:left="4536"/>
      </w:pPr>
      <w:bookmarkStart w:id="416" w:name="_Attachment_6:_NQMC"/>
      <w:bookmarkStart w:id="417" w:name="_Toc66438753"/>
      <w:bookmarkEnd w:id="416"/>
      <w:r>
        <w:lastRenderedPageBreak/>
        <w:t>Attachment 6</w:t>
      </w:r>
      <w:r w:rsidR="00D3655F">
        <w:t>:</w:t>
      </w:r>
      <w:r w:rsidR="00D3655F">
        <w:tab/>
        <w:t>NQMC Membership Rotation Policy</w:t>
      </w:r>
      <w:bookmarkEnd w:id="417"/>
    </w:p>
    <w:p w14:paraId="13BEDDDA" w14:textId="77777777" w:rsidR="00535209" w:rsidRPr="00535209" w:rsidRDefault="00535209" w:rsidP="00ED55DF">
      <w:pPr>
        <w:rPr>
          <w:lang w:val="en-AU"/>
        </w:rPr>
      </w:pPr>
      <w:r w:rsidRPr="00535209">
        <w:rPr>
          <w:lang w:val="en-AU"/>
        </w:rPr>
        <w:t>The BreastScreen Australia National Quality Management Committee (NQMC) membership rotation strategy has been developed to ensure both continuity and renewal in a structured rotation.</w:t>
      </w:r>
    </w:p>
    <w:p w14:paraId="1C51AEA4" w14:textId="5E300814" w:rsidR="00535209" w:rsidRPr="00E22836" w:rsidRDefault="00535209" w:rsidP="00E22836">
      <w:pPr>
        <w:pStyle w:val="Heading2"/>
        <w:numPr>
          <w:ilvl w:val="0"/>
          <w:numId w:val="0"/>
        </w:numPr>
        <w:ind w:left="567" w:hanging="567"/>
      </w:pPr>
      <w:bookmarkStart w:id="418" w:name="_Toc517944724"/>
      <w:bookmarkStart w:id="419" w:name="_Toc518036853"/>
      <w:bookmarkStart w:id="420" w:name="_Toc519867932"/>
      <w:bookmarkStart w:id="421" w:name="_Toc66271837"/>
      <w:bookmarkStart w:id="422" w:name="_Toc66438754"/>
      <w:r w:rsidRPr="00E22836">
        <w:rPr>
          <w:b w:val="0"/>
          <w:bCs/>
          <w:snapToGrid/>
        </w:rPr>
        <w:t>Purpose</w:t>
      </w:r>
      <w:bookmarkEnd w:id="418"/>
      <w:bookmarkEnd w:id="419"/>
      <w:bookmarkEnd w:id="420"/>
      <w:bookmarkEnd w:id="421"/>
      <w:bookmarkEnd w:id="422"/>
    </w:p>
    <w:p w14:paraId="04A59722" w14:textId="78D91049" w:rsidR="00535209" w:rsidRPr="00ED55DF" w:rsidRDefault="00535209" w:rsidP="00ED55DF">
      <w:pPr>
        <w:rPr>
          <w:i/>
          <w:lang w:val="en-AU"/>
        </w:rPr>
      </w:pPr>
      <w:r w:rsidRPr="00535209">
        <w:rPr>
          <w:lang w:val="en-AU"/>
        </w:rPr>
        <w:t>The Accreditation Handbook (p.2</w:t>
      </w:r>
      <w:r w:rsidR="003F36CA">
        <w:rPr>
          <w:lang w:val="en-AU"/>
        </w:rPr>
        <w:t>7</w:t>
      </w:r>
      <w:r w:rsidRPr="00535209">
        <w:rPr>
          <w:lang w:val="en-AU"/>
        </w:rPr>
        <w:t>) states that “</w:t>
      </w:r>
      <w:r w:rsidRPr="00ED55DF">
        <w:rPr>
          <w:i/>
          <w:lang w:val="en-AU"/>
        </w:rPr>
        <w:t>members will be appointed for an initial term of up to three years, with no member serving more than two consecutive terms”.</w:t>
      </w:r>
    </w:p>
    <w:p w14:paraId="5FA3A6C0" w14:textId="5A553139" w:rsidR="00535209" w:rsidRPr="00535209" w:rsidRDefault="00535209" w:rsidP="00ED55DF">
      <w:pPr>
        <w:rPr>
          <w:lang w:val="en-AU"/>
        </w:rPr>
      </w:pPr>
      <w:r w:rsidRPr="00535209">
        <w:rPr>
          <w:lang w:val="en-AU"/>
        </w:rPr>
        <w:t>The NQMC membership rotation strategy operationalises the Handbook’s requirements in a pra</w:t>
      </w:r>
      <w:r w:rsidR="00E22836">
        <w:rPr>
          <w:lang w:val="en-AU"/>
        </w:rPr>
        <w:t>ctical and predictable manner.</w:t>
      </w:r>
    </w:p>
    <w:p w14:paraId="244104D2" w14:textId="0C8602CA" w:rsidR="00535209" w:rsidRPr="00E22836" w:rsidRDefault="00535209" w:rsidP="00E22836">
      <w:pPr>
        <w:pStyle w:val="Heading2"/>
        <w:numPr>
          <w:ilvl w:val="0"/>
          <w:numId w:val="0"/>
        </w:numPr>
        <w:ind w:left="567" w:hanging="567"/>
        <w:rPr>
          <w:b w:val="0"/>
        </w:rPr>
      </w:pPr>
      <w:bookmarkStart w:id="423" w:name="_Toc517944725"/>
      <w:bookmarkStart w:id="424" w:name="_Toc518036854"/>
      <w:bookmarkStart w:id="425" w:name="_Toc519867933"/>
      <w:bookmarkStart w:id="426" w:name="_Toc66271838"/>
      <w:bookmarkStart w:id="427" w:name="_Toc66438755"/>
      <w:r w:rsidRPr="00E22836">
        <w:rPr>
          <w:b w:val="0"/>
        </w:rPr>
        <w:t>Structured rotation</w:t>
      </w:r>
      <w:bookmarkEnd w:id="423"/>
      <w:bookmarkEnd w:id="424"/>
      <w:bookmarkEnd w:id="425"/>
      <w:bookmarkEnd w:id="426"/>
      <w:bookmarkEnd w:id="427"/>
    </w:p>
    <w:p w14:paraId="6D62A36F" w14:textId="77777777" w:rsidR="00535209" w:rsidRPr="00535209" w:rsidRDefault="00535209" w:rsidP="00ED55DF">
      <w:pPr>
        <w:rPr>
          <w:lang w:val="en-AU"/>
        </w:rPr>
      </w:pPr>
      <w:r w:rsidRPr="00535209">
        <w:rPr>
          <w:lang w:val="en-AU"/>
        </w:rPr>
        <w:t>The NQMC membership rotation strategy involves a structured system of renewal</w:t>
      </w:r>
      <w:r w:rsidRPr="00535209">
        <w:rPr>
          <w:vertAlign w:val="superscript"/>
          <w:lang w:val="en-AU"/>
        </w:rPr>
        <w:footnoteReference w:id="11"/>
      </w:r>
      <w:r w:rsidRPr="00535209">
        <w:rPr>
          <w:lang w:val="en-AU"/>
        </w:rPr>
        <w:t xml:space="preserve"> based on an annual review.  Of the 12 NQMC member roles, there are 9 for whom this strategy applies (excluding the Chair, State Quality Committee Chair member and Commonwealth member roles, where separate appointment processes apply).  </w:t>
      </w:r>
    </w:p>
    <w:p w14:paraId="7C24CD89" w14:textId="77777777" w:rsidR="00535209" w:rsidRPr="00535209" w:rsidRDefault="00535209" w:rsidP="00ED55DF">
      <w:pPr>
        <w:rPr>
          <w:lang w:val="en-AU"/>
        </w:rPr>
      </w:pPr>
      <w:r w:rsidRPr="00535209">
        <w:rPr>
          <w:lang w:val="en-AU"/>
        </w:rPr>
        <w:t>Commencing in August 2018, the structured rotation strategy is as follows:</w:t>
      </w:r>
    </w:p>
    <w:p w14:paraId="2AEDF67C" w14:textId="77777777" w:rsidR="00535209" w:rsidRPr="00535209" w:rsidRDefault="00535209" w:rsidP="00ED55DF">
      <w:pPr>
        <w:pStyle w:val="ListBullet"/>
        <w:rPr>
          <w:lang w:val="en-AU" w:eastAsia="en-AU"/>
        </w:rPr>
      </w:pPr>
      <w:r w:rsidRPr="00535209">
        <w:rPr>
          <w:lang w:val="en-AU" w:eastAsia="en-AU"/>
        </w:rPr>
        <w:t>Each year, three NQMC member roles and three Proxy member roles will be renewed.</w:t>
      </w:r>
    </w:p>
    <w:p w14:paraId="0615B450" w14:textId="77777777" w:rsidR="00535209" w:rsidRPr="00535209" w:rsidRDefault="00535209" w:rsidP="00ED55DF">
      <w:pPr>
        <w:pStyle w:val="ListBullet2"/>
        <w:rPr>
          <w:lang w:val="en-AU"/>
        </w:rPr>
      </w:pPr>
      <w:r w:rsidRPr="00535209">
        <w:rPr>
          <w:lang w:val="en-AU"/>
        </w:rPr>
        <w:t>Over three years, this will facilitate the renewal of the 9 NQMC member roles for which this strategy applies.</w:t>
      </w:r>
    </w:p>
    <w:p w14:paraId="09B31C8F" w14:textId="3F7A68BD" w:rsidR="00535209" w:rsidRPr="00535209" w:rsidRDefault="00535209" w:rsidP="00ED55DF">
      <w:pPr>
        <w:pStyle w:val="ListBullet2"/>
        <w:rPr>
          <w:lang w:val="en-AU"/>
        </w:rPr>
      </w:pPr>
      <w:r w:rsidRPr="00535209">
        <w:rPr>
          <w:lang w:val="en-AU"/>
        </w:rPr>
        <w:t xml:space="preserve">The </w:t>
      </w:r>
      <w:r w:rsidR="00476E06" w:rsidRPr="00535209">
        <w:rPr>
          <w:lang w:val="en-AU"/>
        </w:rPr>
        <w:t>three-year</w:t>
      </w:r>
      <w:r w:rsidRPr="00535209">
        <w:rPr>
          <w:lang w:val="en-AU"/>
        </w:rPr>
        <w:t xml:space="preserve"> member terms will be aligned with this role renewal schedule (note that persons eligible to serve two consecutive terms).</w:t>
      </w:r>
    </w:p>
    <w:p w14:paraId="375B55F8" w14:textId="77777777" w:rsidR="00535209" w:rsidRPr="00535209" w:rsidRDefault="00535209" w:rsidP="00ED55DF">
      <w:pPr>
        <w:pStyle w:val="ListBullet2"/>
        <w:rPr>
          <w:lang w:val="en-AU"/>
        </w:rPr>
      </w:pPr>
      <w:r w:rsidRPr="00535209">
        <w:rPr>
          <w:lang w:val="en-AU"/>
        </w:rPr>
        <w:t>Persons who are nominated for a role mid-term will serve the remainder of that term and then may nominate to serve an additional full term.</w:t>
      </w:r>
    </w:p>
    <w:p w14:paraId="45FDD187" w14:textId="77777777" w:rsidR="00535209" w:rsidRPr="00535209" w:rsidRDefault="00535209" w:rsidP="00ED55DF">
      <w:pPr>
        <w:pStyle w:val="ListBullet"/>
        <w:rPr>
          <w:lang w:val="en-AU" w:eastAsia="en-AU"/>
        </w:rPr>
      </w:pPr>
      <w:r w:rsidRPr="00535209">
        <w:rPr>
          <w:lang w:val="en-AU" w:eastAsia="en-AU"/>
        </w:rPr>
        <w:t>Persons in Proxy member roles are to be offered the equivalent vacant member role in the first instance.  If the Proxy member declines, the vacancy is to be opened to wider nomination.</w:t>
      </w:r>
    </w:p>
    <w:p w14:paraId="355BF7FE" w14:textId="77777777" w:rsidR="00535209" w:rsidRPr="00535209" w:rsidRDefault="00535209" w:rsidP="00ED55DF">
      <w:pPr>
        <w:rPr>
          <w:lang w:val="en-AU"/>
        </w:rPr>
      </w:pPr>
      <w:r w:rsidRPr="00535209">
        <w:rPr>
          <w:lang w:val="en-AU"/>
        </w:rPr>
        <w:lastRenderedPageBreak/>
        <w:t xml:space="preserve">The rotation schedule commencing in August 2018 is described in Table 1 and Table 2.  Once a full rotation schedule is complete, the next cycle will commence. </w:t>
      </w:r>
    </w:p>
    <w:p w14:paraId="24459DD9" w14:textId="77777777" w:rsidR="00535209" w:rsidRPr="00300158" w:rsidRDefault="00535209" w:rsidP="00300158">
      <w:pPr>
        <w:pStyle w:val="Caption"/>
      </w:pPr>
      <w:r w:rsidRPr="00300158">
        <w:t>Table 1 –Schedule of role renewals, commencing 2018</w:t>
      </w:r>
    </w:p>
    <w:p w14:paraId="13F7E550" w14:textId="7D370A17" w:rsidR="00535209" w:rsidRPr="00300158" w:rsidRDefault="00E82A42" w:rsidP="0088783F">
      <w:pPr>
        <w:pStyle w:val="Caption"/>
        <w:ind w:left="0" w:firstLine="0"/>
      </w:pPr>
      <w:r w:rsidRPr="00E82A42">
        <w:rPr>
          <w:noProof/>
        </w:rPr>
        <w:drawing>
          <wp:inline distT="0" distB="0" distL="0" distR="0" wp14:anchorId="51778EC7" wp14:editId="304FF8E6">
            <wp:extent cx="5716022" cy="1548000"/>
            <wp:effectExtent l="0" t="0" r="0" b="0"/>
            <wp:docPr id="2" name="Picture 2" descr="Table showing schedule of NQMC role renewals 2018 -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 b="17658"/>
                    <a:stretch/>
                  </pic:blipFill>
                  <pic:spPr bwMode="auto">
                    <a:xfrm>
                      <a:off x="0" y="0"/>
                      <a:ext cx="5731510" cy="1552194"/>
                    </a:xfrm>
                    <a:prstGeom prst="rect">
                      <a:avLst/>
                    </a:prstGeom>
                    <a:noFill/>
                    <a:ln>
                      <a:noFill/>
                    </a:ln>
                    <a:extLst>
                      <a:ext uri="{53640926-AAD7-44D8-BBD7-CCE9431645EC}">
                        <a14:shadowObscured xmlns:a14="http://schemas.microsoft.com/office/drawing/2010/main"/>
                      </a:ext>
                    </a:extLst>
                  </pic:spPr>
                </pic:pic>
              </a:graphicData>
            </a:graphic>
          </wp:inline>
        </w:drawing>
      </w:r>
      <w:r w:rsidR="00535209" w:rsidRPr="00300158">
        <w:t>Table 2 –Role renewal groups</w:t>
      </w:r>
    </w:p>
    <w:p w14:paraId="14A10D11" w14:textId="4E301E12" w:rsidR="00535209" w:rsidRPr="00535209" w:rsidRDefault="006255DD" w:rsidP="00300158">
      <w:pPr>
        <w:rPr>
          <w:lang w:val="en-AU"/>
        </w:rPr>
      </w:pPr>
      <w:r w:rsidRPr="006255DD">
        <w:rPr>
          <w:noProof/>
          <w:lang w:val="en-AU" w:eastAsia="en-AU"/>
        </w:rPr>
        <w:drawing>
          <wp:inline distT="0" distB="0" distL="0" distR="0" wp14:anchorId="494FA9E1" wp14:editId="582A6BF4">
            <wp:extent cx="5718175" cy="3348000"/>
            <wp:effectExtent l="0" t="0" r="0" b="0"/>
            <wp:docPr id="3" name="Picture 3" descr="Table showing the three member renewal groups A, B and C" title="Role renewal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 r="101" b="8063"/>
                    <a:stretch/>
                  </pic:blipFill>
                  <pic:spPr bwMode="auto">
                    <a:xfrm>
                      <a:off x="0" y="0"/>
                      <a:ext cx="5725758" cy="3352440"/>
                    </a:xfrm>
                    <a:prstGeom prst="rect">
                      <a:avLst/>
                    </a:prstGeom>
                    <a:noFill/>
                    <a:ln>
                      <a:noFill/>
                    </a:ln>
                    <a:extLst>
                      <a:ext uri="{53640926-AAD7-44D8-BBD7-CCE9431645EC}">
                        <a14:shadowObscured xmlns:a14="http://schemas.microsoft.com/office/drawing/2010/main"/>
                      </a:ext>
                    </a:extLst>
                  </pic:spPr>
                </pic:pic>
              </a:graphicData>
            </a:graphic>
          </wp:inline>
        </w:drawing>
      </w:r>
      <w:r w:rsidR="00535209" w:rsidRPr="00535209">
        <w:rPr>
          <w:lang w:val="en-AU"/>
        </w:rPr>
        <w:t>Please note that:</w:t>
      </w:r>
    </w:p>
    <w:p w14:paraId="017F0073" w14:textId="77777777" w:rsidR="00535209" w:rsidRPr="00535209" w:rsidRDefault="00535209" w:rsidP="00300158">
      <w:pPr>
        <w:pStyle w:val="ListBullet"/>
        <w:rPr>
          <w:lang w:val="en-AU" w:eastAsia="en-AU"/>
        </w:rPr>
      </w:pPr>
      <w:r w:rsidRPr="00535209">
        <w:rPr>
          <w:lang w:val="en-AU" w:eastAsia="en-AU"/>
        </w:rPr>
        <w:t>The rotation schedule of Proxy members has been developed to be off-set to the member roles by one year, to reduce risk of both member and Proxy member retiring together.</w:t>
      </w:r>
    </w:p>
    <w:p w14:paraId="0040E2E5" w14:textId="77777777" w:rsidR="00535209" w:rsidRPr="00535209" w:rsidRDefault="00535209" w:rsidP="00300158">
      <w:pPr>
        <w:pStyle w:val="ListBullet"/>
        <w:rPr>
          <w:lang w:val="en-AU" w:eastAsia="en-AU"/>
        </w:rPr>
      </w:pPr>
      <w:r w:rsidRPr="00535209">
        <w:rPr>
          <w:lang w:val="en-AU" w:eastAsia="en-AU"/>
        </w:rPr>
        <w:t>The schedule has been developed to stagger the rotation of clinical members.</w:t>
      </w:r>
    </w:p>
    <w:p w14:paraId="544D17A0" w14:textId="02BD0981" w:rsidR="00535209" w:rsidRPr="00E22836" w:rsidRDefault="00535209" w:rsidP="00E22836">
      <w:pPr>
        <w:pStyle w:val="Heading2"/>
        <w:numPr>
          <w:ilvl w:val="0"/>
          <w:numId w:val="0"/>
        </w:numPr>
        <w:ind w:left="567" w:hanging="567"/>
        <w:rPr>
          <w:b w:val="0"/>
          <w:bCs/>
          <w:snapToGrid/>
        </w:rPr>
      </w:pPr>
      <w:bookmarkStart w:id="428" w:name="_Toc517944726"/>
      <w:bookmarkStart w:id="429" w:name="_Toc518036855"/>
      <w:bookmarkStart w:id="430" w:name="_Toc519867934"/>
      <w:bookmarkStart w:id="431" w:name="_Toc66271839"/>
      <w:bookmarkStart w:id="432" w:name="_Toc66438756"/>
      <w:r w:rsidRPr="00E22836">
        <w:rPr>
          <w:b w:val="0"/>
          <w:bCs/>
          <w:snapToGrid/>
        </w:rPr>
        <w:t>Transition arrangements</w:t>
      </w:r>
      <w:bookmarkEnd w:id="428"/>
      <w:bookmarkEnd w:id="429"/>
      <w:bookmarkEnd w:id="430"/>
      <w:bookmarkEnd w:id="431"/>
      <w:bookmarkEnd w:id="432"/>
    </w:p>
    <w:p w14:paraId="2C902F73" w14:textId="77777777" w:rsidR="00535209" w:rsidRPr="00535209" w:rsidRDefault="00535209" w:rsidP="003E7265">
      <w:pPr>
        <w:rPr>
          <w:lang w:val="en-AU"/>
        </w:rPr>
      </w:pPr>
      <w:r w:rsidRPr="00535209">
        <w:rPr>
          <w:lang w:val="en-AU"/>
        </w:rPr>
        <w:t>In order to establish a smooth and orderly transition, the three-year terms that current NQMC members are serving need to be aligned with the rotation schedule.</w:t>
      </w:r>
    </w:p>
    <w:p w14:paraId="32792672" w14:textId="77777777" w:rsidR="00535209" w:rsidRPr="00535209" w:rsidRDefault="00535209" w:rsidP="003E7265">
      <w:pPr>
        <w:rPr>
          <w:lang w:val="en-AU"/>
        </w:rPr>
      </w:pPr>
      <w:r w:rsidRPr="00535209">
        <w:rPr>
          <w:lang w:val="en-AU"/>
        </w:rPr>
        <w:t>Given the current common commencement date of 2015, this requires adjustments to the length of affected members’ current terms, as follows:</w:t>
      </w:r>
    </w:p>
    <w:p w14:paraId="6CC4AAD1" w14:textId="77777777" w:rsidR="00535209" w:rsidRPr="00535209" w:rsidRDefault="00535209" w:rsidP="003E7265">
      <w:pPr>
        <w:pStyle w:val="ListBullet"/>
        <w:rPr>
          <w:lang w:val="en-AU" w:eastAsia="en-AU"/>
        </w:rPr>
      </w:pPr>
      <w:r w:rsidRPr="00535209">
        <w:rPr>
          <w:lang w:val="en-AU" w:eastAsia="en-AU"/>
        </w:rPr>
        <w:t xml:space="preserve">Those members whose roles are to be renewed in 2019 will serve a 4-year initial term; </w:t>
      </w:r>
      <w:r w:rsidRPr="00535209">
        <w:rPr>
          <w:lang w:val="en-AU" w:eastAsia="en-AU"/>
        </w:rPr>
        <w:lastRenderedPageBreak/>
        <w:t>and</w:t>
      </w:r>
    </w:p>
    <w:p w14:paraId="4FDA1819" w14:textId="77777777" w:rsidR="00535209" w:rsidRPr="00535209" w:rsidRDefault="00535209" w:rsidP="003E7265">
      <w:pPr>
        <w:pStyle w:val="ListBullet"/>
        <w:rPr>
          <w:lang w:val="en-AU" w:eastAsia="en-AU"/>
        </w:rPr>
      </w:pPr>
      <w:r w:rsidRPr="00535209">
        <w:rPr>
          <w:lang w:val="en-AU" w:eastAsia="en-AU"/>
        </w:rPr>
        <w:t>Those members whose roles are to be renewed in 2020 will serve a 5-year initial term.</w:t>
      </w:r>
    </w:p>
    <w:p w14:paraId="29C32823" w14:textId="749DAFB2" w:rsidR="00F25C45" w:rsidRDefault="00535209" w:rsidP="00F25C45">
      <w:pPr>
        <w:rPr>
          <w:lang w:val="en-AU"/>
        </w:rPr>
      </w:pPr>
      <w:r w:rsidRPr="00535209">
        <w:rPr>
          <w:lang w:val="en-AU"/>
        </w:rPr>
        <w:t xml:space="preserve">All current NQMC members are considered to be serving their first term and will be eligible to serve a second term (commencing in 2018, 2019 or 2020 as indicated in Table 1). </w:t>
      </w:r>
    </w:p>
    <w:p w14:paraId="52B55E8F" w14:textId="77777777" w:rsidR="004960A0" w:rsidRDefault="004960A0" w:rsidP="00F25C45">
      <w:pPr>
        <w:sectPr w:rsidR="004960A0" w:rsidSect="000B3478">
          <w:type w:val="continuous"/>
          <w:pgSz w:w="11906" w:h="16838" w:code="9"/>
          <w:pgMar w:top="1440" w:right="1440" w:bottom="1276" w:left="1440" w:header="709" w:footer="567" w:gutter="0"/>
          <w:cols w:space="708"/>
          <w:docGrid w:linePitch="360"/>
        </w:sectPr>
      </w:pPr>
    </w:p>
    <w:p w14:paraId="23126821" w14:textId="75849169" w:rsidR="004960A0" w:rsidRDefault="004960A0" w:rsidP="004960A0">
      <w:pPr>
        <w:pStyle w:val="Heading1"/>
        <w:numPr>
          <w:ilvl w:val="0"/>
          <w:numId w:val="0"/>
        </w:numPr>
        <w:ind w:left="4536"/>
      </w:pPr>
      <w:bookmarkStart w:id="433" w:name="_Attachment_7:_Revised"/>
      <w:bookmarkStart w:id="434" w:name="_Toc66438757"/>
      <w:bookmarkEnd w:id="433"/>
      <w:r>
        <w:lastRenderedPageBreak/>
        <w:t>Attachment 7:</w:t>
      </w:r>
      <w:r>
        <w:tab/>
      </w:r>
      <w:r w:rsidRPr="004960A0">
        <w:t>Revised Approach to Accreditation Decision Making</w:t>
      </w:r>
      <w:bookmarkEnd w:id="434"/>
    </w:p>
    <w:p w14:paraId="072A85D6" w14:textId="77777777" w:rsidR="004960A0" w:rsidRDefault="004960A0" w:rsidP="004960A0">
      <w:r>
        <w:t>The NQMC agreed at its 5 March 2021 meeting that due to the impact on the BSA Program of the COVID pandemic, the following accreditation decision-making process would apply until further notice.  This revised process replaces the Decision Tool arrangements outlined in Section 3.3 of the Handbook.</w:t>
      </w:r>
    </w:p>
    <w:p w14:paraId="055D2283" w14:textId="77777777" w:rsidR="004960A0" w:rsidRPr="00794C1B" w:rsidRDefault="004960A0" w:rsidP="004960A0">
      <w:pPr>
        <w:pStyle w:val="ListNumber"/>
        <w:numPr>
          <w:ilvl w:val="0"/>
          <w:numId w:val="45"/>
        </w:numPr>
      </w:pPr>
      <w:r w:rsidRPr="00794C1B">
        <w:t>The use of the Decision Tool in accreditation decision-making be discontinued until further notice.</w:t>
      </w:r>
    </w:p>
    <w:p w14:paraId="61019ECE" w14:textId="77777777" w:rsidR="004960A0" w:rsidRPr="00794C1B" w:rsidRDefault="004960A0" w:rsidP="004960A0">
      <w:pPr>
        <w:pStyle w:val="ListNumber"/>
      </w:pPr>
      <w:r w:rsidRPr="00794C1B">
        <w:t xml:space="preserve">The outputs of the Decision Tool </w:t>
      </w:r>
      <w:r>
        <w:t>will</w:t>
      </w:r>
      <w:r w:rsidRPr="00794C1B">
        <w:t xml:space="preserve"> continue to be monitored (but not considered during decision-making) to determine their value in indicating the collective effect of COVID and other factors on Services/SCUs and in order to assess the impact of COVID on the tool’s functionality.</w:t>
      </w:r>
    </w:p>
    <w:p w14:paraId="16362CEA" w14:textId="77777777" w:rsidR="004960A0" w:rsidRDefault="004960A0" w:rsidP="004960A0">
      <w:pPr>
        <w:pStyle w:val="ListNumber"/>
      </w:pPr>
      <w:r w:rsidRPr="00794C1B">
        <w:t xml:space="preserve">During the COVID19 pandemic and recovery period Service/SCU performance against the </w:t>
      </w:r>
      <w:r>
        <w:t xml:space="preserve">following </w:t>
      </w:r>
      <w:r w:rsidRPr="00794C1B">
        <w:t>NAS measures be monitored in ADR’s and accreditation applications</w:t>
      </w:r>
      <w:r>
        <w:t>:</w:t>
      </w:r>
    </w:p>
    <w:p w14:paraId="3765CBF3" w14:textId="77777777" w:rsidR="004960A0" w:rsidRPr="00C75074" w:rsidRDefault="004960A0" w:rsidP="004960A0">
      <w:pPr>
        <w:pStyle w:val="ListNumber2"/>
        <w:widowControl/>
        <w:spacing w:line="240" w:lineRule="auto"/>
      </w:pPr>
      <w:r w:rsidRPr="00C75074">
        <w:t xml:space="preserve">NAS level 2 access and participation benchmark measures: </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662"/>
      </w:tblGrid>
      <w:tr w:rsidR="004960A0" w:rsidRPr="007622AF" w14:paraId="585ACD0B" w14:textId="77777777" w:rsidTr="004960A0">
        <w:trPr>
          <w:trHeight w:val="390"/>
        </w:trPr>
        <w:tc>
          <w:tcPr>
            <w:tcW w:w="1588" w:type="dxa"/>
            <w:shd w:val="clear" w:color="auto" w:fill="auto"/>
            <w:noWrap/>
            <w:hideMark/>
          </w:tcPr>
          <w:p w14:paraId="574DF2EE" w14:textId="77777777" w:rsidR="004960A0" w:rsidRPr="007622AF" w:rsidRDefault="004960A0" w:rsidP="004960A0">
            <w:pPr>
              <w:pStyle w:val="TableText"/>
              <w:rPr>
                <w:lang w:val="en-GB" w:eastAsia="en-GB"/>
              </w:rPr>
            </w:pPr>
            <w:r w:rsidRPr="007622AF">
              <w:rPr>
                <w:lang w:val="en-GB" w:eastAsia="en-GB"/>
              </w:rPr>
              <w:t>1.1.1(b)</w:t>
            </w:r>
          </w:p>
        </w:tc>
        <w:tc>
          <w:tcPr>
            <w:tcW w:w="6662" w:type="dxa"/>
            <w:shd w:val="clear" w:color="auto" w:fill="auto"/>
            <w:noWrap/>
            <w:hideMark/>
          </w:tcPr>
          <w:p w14:paraId="646D8381" w14:textId="77777777" w:rsidR="004960A0" w:rsidRPr="007622AF" w:rsidRDefault="004960A0" w:rsidP="004960A0">
            <w:pPr>
              <w:pStyle w:val="TableText"/>
              <w:rPr>
                <w:lang w:val="en-GB" w:eastAsia="en-GB"/>
              </w:rPr>
            </w:pPr>
            <w:r w:rsidRPr="007622AF">
              <w:rPr>
                <w:lang w:val="en-GB" w:eastAsia="en-GB"/>
              </w:rPr>
              <w:t>Partic</w:t>
            </w:r>
            <w:r>
              <w:rPr>
                <w:lang w:val="en-GB" w:eastAsia="en-GB"/>
              </w:rPr>
              <w:t>ipation</w:t>
            </w:r>
            <w:r w:rsidRPr="007622AF">
              <w:rPr>
                <w:lang w:val="en-GB" w:eastAsia="en-GB"/>
              </w:rPr>
              <w:t xml:space="preserve"> 50-69 last 24 months </w:t>
            </w:r>
            <w:r w:rsidRPr="005F09FA">
              <w:rPr>
                <w:lang w:val="en-GB" w:eastAsia="en-GB"/>
              </w:rPr>
              <w:t>(</w:t>
            </w:r>
            <w:r w:rsidRPr="005F09FA">
              <w:rPr>
                <w:u w:val="single"/>
                <w:lang w:val="en-GB" w:eastAsia="en-GB"/>
              </w:rPr>
              <w:t>&gt;</w:t>
            </w:r>
            <w:r w:rsidRPr="007622AF">
              <w:rPr>
                <w:lang w:val="en-GB" w:eastAsia="en-GB"/>
              </w:rPr>
              <w:t>70%)</w:t>
            </w:r>
          </w:p>
        </w:tc>
      </w:tr>
      <w:tr w:rsidR="004960A0" w:rsidRPr="007622AF" w14:paraId="20FA6BFD" w14:textId="77777777" w:rsidTr="004960A0">
        <w:trPr>
          <w:trHeight w:val="390"/>
        </w:trPr>
        <w:tc>
          <w:tcPr>
            <w:tcW w:w="1588" w:type="dxa"/>
            <w:shd w:val="clear" w:color="auto" w:fill="auto"/>
            <w:noWrap/>
            <w:hideMark/>
          </w:tcPr>
          <w:p w14:paraId="2E790F64" w14:textId="77777777" w:rsidR="004960A0" w:rsidRPr="007622AF" w:rsidRDefault="004960A0" w:rsidP="004960A0">
            <w:pPr>
              <w:pStyle w:val="TableText"/>
              <w:rPr>
                <w:lang w:val="en-GB" w:eastAsia="en-GB"/>
              </w:rPr>
            </w:pPr>
            <w:r w:rsidRPr="007622AF">
              <w:rPr>
                <w:lang w:val="en-GB" w:eastAsia="en-GB"/>
              </w:rPr>
              <w:t>1.1.2(b)</w:t>
            </w:r>
          </w:p>
        </w:tc>
        <w:tc>
          <w:tcPr>
            <w:tcW w:w="6662" w:type="dxa"/>
            <w:shd w:val="clear" w:color="auto" w:fill="auto"/>
            <w:noWrap/>
            <w:hideMark/>
          </w:tcPr>
          <w:p w14:paraId="7550347C" w14:textId="77777777" w:rsidR="004960A0" w:rsidRPr="007622AF" w:rsidRDefault="004960A0" w:rsidP="004960A0">
            <w:pPr>
              <w:pStyle w:val="TableText"/>
              <w:rPr>
                <w:lang w:val="en-GB" w:eastAsia="en-GB"/>
              </w:rPr>
            </w:pPr>
            <w:r w:rsidRPr="007622AF">
              <w:rPr>
                <w:lang w:val="en-GB" w:eastAsia="en-GB"/>
              </w:rPr>
              <w:t>Rescreen R1 50-67 in 27 months (</w:t>
            </w:r>
            <w:r w:rsidRPr="005F09FA">
              <w:rPr>
                <w:u w:val="single"/>
                <w:lang w:val="en-GB" w:eastAsia="en-GB"/>
              </w:rPr>
              <w:t>&gt;</w:t>
            </w:r>
            <w:r w:rsidRPr="007622AF">
              <w:rPr>
                <w:lang w:val="en-GB" w:eastAsia="en-GB"/>
              </w:rPr>
              <w:t>75%)</w:t>
            </w:r>
          </w:p>
        </w:tc>
      </w:tr>
      <w:tr w:rsidR="004960A0" w:rsidRPr="007622AF" w14:paraId="2E54F9BE" w14:textId="77777777" w:rsidTr="004960A0">
        <w:trPr>
          <w:trHeight w:val="390"/>
        </w:trPr>
        <w:tc>
          <w:tcPr>
            <w:tcW w:w="1588" w:type="dxa"/>
            <w:shd w:val="clear" w:color="auto" w:fill="auto"/>
            <w:noWrap/>
            <w:hideMark/>
          </w:tcPr>
          <w:p w14:paraId="420D94F6" w14:textId="77777777" w:rsidR="004960A0" w:rsidRPr="007622AF" w:rsidRDefault="004960A0" w:rsidP="004960A0">
            <w:pPr>
              <w:pStyle w:val="TableText"/>
              <w:rPr>
                <w:lang w:val="en-GB" w:eastAsia="en-GB"/>
              </w:rPr>
            </w:pPr>
            <w:r w:rsidRPr="007622AF">
              <w:rPr>
                <w:lang w:val="en-GB" w:eastAsia="en-GB"/>
              </w:rPr>
              <w:t>1.1.3(b)</w:t>
            </w:r>
          </w:p>
        </w:tc>
        <w:tc>
          <w:tcPr>
            <w:tcW w:w="6662" w:type="dxa"/>
            <w:shd w:val="clear" w:color="auto" w:fill="auto"/>
            <w:noWrap/>
            <w:hideMark/>
          </w:tcPr>
          <w:p w14:paraId="1E188938" w14:textId="77777777" w:rsidR="004960A0" w:rsidRPr="007622AF" w:rsidRDefault="004960A0" w:rsidP="004960A0">
            <w:pPr>
              <w:pStyle w:val="TableText"/>
              <w:rPr>
                <w:lang w:val="en-GB" w:eastAsia="en-GB"/>
              </w:rPr>
            </w:pPr>
            <w:r w:rsidRPr="007622AF">
              <w:rPr>
                <w:lang w:val="en-GB" w:eastAsia="en-GB"/>
              </w:rPr>
              <w:t>Rescreen R2+ 50-67 in 27 months (&gt;90%)</w:t>
            </w:r>
          </w:p>
        </w:tc>
      </w:tr>
    </w:tbl>
    <w:p w14:paraId="0CFDC40B" w14:textId="77777777" w:rsidR="004960A0" w:rsidRPr="00C75074" w:rsidRDefault="004960A0" w:rsidP="004960A0">
      <w:pPr>
        <w:pStyle w:val="ListNumber2"/>
        <w:widowControl/>
        <w:spacing w:line="240" w:lineRule="auto"/>
      </w:pPr>
      <w:r w:rsidRPr="00D736E7">
        <w:t>NAS</w:t>
      </w:r>
      <w:r w:rsidRPr="00C75074">
        <w:t xml:space="preserve"> level 1 benchmark measures: </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662"/>
      </w:tblGrid>
      <w:tr w:rsidR="004960A0" w:rsidRPr="007622AF" w14:paraId="4A39D0BA" w14:textId="77777777" w:rsidTr="004960A0">
        <w:trPr>
          <w:trHeight w:val="390"/>
        </w:trPr>
        <w:tc>
          <w:tcPr>
            <w:tcW w:w="1588" w:type="dxa"/>
            <w:shd w:val="clear" w:color="auto" w:fill="auto"/>
            <w:noWrap/>
            <w:hideMark/>
          </w:tcPr>
          <w:p w14:paraId="7E56A18D" w14:textId="77777777" w:rsidR="004960A0" w:rsidRPr="007622AF" w:rsidRDefault="004960A0" w:rsidP="004960A0">
            <w:pPr>
              <w:pStyle w:val="TableText"/>
              <w:rPr>
                <w:lang w:val="en-GB" w:eastAsia="en-GB"/>
              </w:rPr>
            </w:pPr>
            <w:r w:rsidRPr="007622AF">
              <w:rPr>
                <w:lang w:val="en-GB" w:eastAsia="en-GB"/>
              </w:rPr>
              <w:t>2.1.1(b)</w:t>
            </w:r>
          </w:p>
        </w:tc>
        <w:tc>
          <w:tcPr>
            <w:tcW w:w="6662" w:type="dxa"/>
            <w:shd w:val="clear" w:color="auto" w:fill="auto"/>
            <w:noWrap/>
            <w:hideMark/>
          </w:tcPr>
          <w:p w14:paraId="5C8089F8" w14:textId="77777777" w:rsidR="004960A0" w:rsidRPr="007622AF" w:rsidRDefault="004960A0" w:rsidP="004960A0">
            <w:pPr>
              <w:pStyle w:val="TableText"/>
              <w:rPr>
                <w:lang w:val="en-GB" w:eastAsia="en-GB"/>
              </w:rPr>
            </w:pPr>
            <w:r w:rsidRPr="007622AF">
              <w:rPr>
                <w:lang w:val="en-GB" w:eastAsia="en-GB"/>
              </w:rPr>
              <w:t>Cancer invasive R1 50-69 (</w:t>
            </w:r>
            <w:r w:rsidRPr="005F09FA">
              <w:rPr>
                <w:u w:val="single"/>
                <w:lang w:val="en-GB" w:eastAsia="en-GB"/>
              </w:rPr>
              <w:t>&gt;</w:t>
            </w:r>
            <w:r w:rsidRPr="007622AF">
              <w:rPr>
                <w:lang w:val="en-GB" w:eastAsia="en-GB"/>
              </w:rPr>
              <w:t>50/10k)</w:t>
            </w:r>
          </w:p>
        </w:tc>
      </w:tr>
      <w:tr w:rsidR="004960A0" w:rsidRPr="007622AF" w14:paraId="1646755C" w14:textId="77777777" w:rsidTr="004960A0">
        <w:trPr>
          <w:trHeight w:val="390"/>
        </w:trPr>
        <w:tc>
          <w:tcPr>
            <w:tcW w:w="1588" w:type="dxa"/>
            <w:shd w:val="clear" w:color="auto" w:fill="auto"/>
            <w:noWrap/>
            <w:hideMark/>
          </w:tcPr>
          <w:p w14:paraId="27093D0C" w14:textId="77777777" w:rsidR="004960A0" w:rsidRPr="007622AF" w:rsidRDefault="004960A0" w:rsidP="004960A0">
            <w:pPr>
              <w:pStyle w:val="TableText"/>
              <w:rPr>
                <w:lang w:val="en-GB" w:eastAsia="en-GB"/>
              </w:rPr>
            </w:pPr>
            <w:r w:rsidRPr="007622AF">
              <w:rPr>
                <w:lang w:val="en-GB" w:eastAsia="en-GB"/>
              </w:rPr>
              <w:t>2.1.2(b)</w:t>
            </w:r>
          </w:p>
        </w:tc>
        <w:tc>
          <w:tcPr>
            <w:tcW w:w="6662" w:type="dxa"/>
            <w:shd w:val="clear" w:color="auto" w:fill="auto"/>
            <w:noWrap/>
            <w:hideMark/>
          </w:tcPr>
          <w:p w14:paraId="2877C828" w14:textId="77777777" w:rsidR="004960A0" w:rsidRPr="007622AF" w:rsidRDefault="004960A0" w:rsidP="004960A0">
            <w:pPr>
              <w:pStyle w:val="TableText"/>
              <w:rPr>
                <w:lang w:val="en-GB" w:eastAsia="en-GB"/>
              </w:rPr>
            </w:pPr>
            <w:r w:rsidRPr="007622AF">
              <w:rPr>
                <w:lang w:val="en-GB" w:eastAsia="en-GB"/>
              </w:rPr>
              <w:t>Cancer invasive R2+ 50-69 (</w:t>
            </w:r>
            <w:r w:rsidRPr="005F09FA">
              <w:rPr>
                <w:u w:val="single"/>
                <w:lang w:val="en-GB" w:eastAsia="en-GB"/>
              </w:rPr>
              <w:t>&gt;</w:t>
            </w:r>
            <w:r w:rsidRPr="007622AF">
              <w:rPr>
                <w:lang w:val="en-GB" w:eastAsia="en-GB"/>
              </w:rPr>
              <w:t>35/10k)</w:t>
            </w:r>
          </w:p>
        </w:tc>
      </w:tr>
      <w:tr w:rsidR="004960A0" w:rsidRPr="007622AF" w14:paraId="3752E7A6" w14:textId="77777777" w:rsidTr="004960A0">
        <w:trPr>
          <w:trHeight w:val="390"/>
        </w:trPr>
        <w:tc>
          <w:tcPr>
            <w:tcW w:w="1588" w:type="dxa"/>
            <w:shd w:val="clear" w:color="auto" w:fill="auto"/>
            <w:noWrap/>
            <w:hideMark/>
          </w:tcPr>
          <w:p w14:paraId="28110132" w14:textId="77777777" w:rsidR="004960A0" w:rsidRPr="007622AF" w:rsidRDefault="004960A0" w:rsidP="004960A0">
            <w:pPr>
              <w:pStyle w:val="TableText"/>
              <w:rPr>
                <w:lang w:val="en-GB" w:eastAsia="en-GB"/>
              </w:rPr>
            </w:pPr>
            <w:r w:rsidRPr="007622AF">
              <w:rPr>
                <w:lang w:val="en-GB" w:eastAsia="en-GB"/>
              </w:rPr>
              <w:t>2.1.3(c)</w:t>
            </w:r>
          </w:p>
        </w:tc>
        <w:tc>
          <w:tcPr>
            <w:tcW w:w="6662" w:type="dxa"/>
            <w:shd w:val="clear" w:color="auto" w:fill="auto"/>
            <w:noWrap/>
            <w:hideMark/>
          </w:tcPr>
          <w:p w14:paraId="2F67AC8A" w14:textId="77777777" w:rsidR="004960A0" w:rsidRPr="007622AF" w:rsidRDefault="004960A0" w:rsidP="004960A0">
            <w:pPr>
              <w:pStyle w:val="TableText"/>
              <w:rPr>
                <w:lang w:val="en-GB" w:eastAsia="en-GB"/>
              </w:rPr>
            </w:pPr>
            <w:r w:rsidRPr="007622AF">
              <w:rPr>
                <w:lang w:val="en-GB" w:eastAsia="en-GB"/>
              </w:rPr>
              <w:t>Cancer small 50-69 (</w:t>
            </w:r>
            <w:r w:rsidRPr="005F09FA">
              <w:rPr>
                <w:u w:val="single"/>
                <w:lang w:val="en-GB" w:eastAsia="en-GB"/>
              </w:rPr>
              <w:t>&gt;</w:t>
            </w:r>
            <w:r w:rsidRPr="007622AF">
              <w:rPr>
                <w:lang w:val="en-GB" w:eastAsia="en-GB"/>
              </w:rPr>
              <w:t>25/10K)</w:t>
            </w:r>
          </w:p>
        </w:tc>
      </w:tr>
      <w:tr w:rsidR="004960A0" w:rsidRPr="007622AF" w14:paraId="59736AD2"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028DAA05" w14:textId="77777777" w:rsidR="004960A0" w:rsidRPr="007622AF" w:rsidRDefault="004960A0" w:rsidP="004960A0">
            <w:pPr>
              <w:pStyle w:val="TableText"/>
              <w:rPr>
                <w:lang w:val="en-GB" w:eastAsia="en-GB"/>
              </w:rPr>
            </w:pPr>
            <w:r w:rsidRPr="007622AF">
              <w:rPr>
                <w:lang w:val="en-GB" w:eastAsia="en-GB"/>
              </w:rPr>
              <w:t>3.1.4</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0FC025B6" w14:textId="77777777" w:rsidR="004960A0" w:rsidRPr="007622AF" w:rsidRDefault="004960A0" w:rsidP="004960A0">
            <w:pPr>
              <w:pStyle w:val="TableText"/>
              <w:rPr>
                <w:lang w:val="en-GB" w:eastAsia="en-GB"/>
              </w:rPr>
            </w:pPr>
            <w:r w:rsidRPr="007622AF">
              <w:rPr>
                <w:lang w:val="en-GB" w:eastAsia="en-GB"/>
              </w:rPr>
              <w:t>Open biopsies benign R1 (</w:t>
            </w:r>
            <w:r w:rsidRPr="005F09FA">
              <w:rPr>
                <w:u w:val="single"/>
                <w:lang w:val="en-GB" w:eastAsia="en-GB"/>
              </w:rPr>
              <w:t>&lt;</w:t>
            </w:r>
            <w:r w:rsidRPr="007622AF">
              <w:rPr>
                <w:lang w:val="en-GB" w:eastAsia="en-GB"/>
              </w:rPr>
              <w:t>0.35%)</w:t>
            </w:r>
          </w:p>
        </w:tc>
      </w:tr>
      <w:tr w:rsidR="004960A0" w:rsidRPr="007622AF" w14:paraId="0452FD9D"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3BD5D182" w14:textId="77777777" w:rsidR="004960A0" w:rsidRPr="007622AF" w:rsidRDefault="004960A0" w:rsidP="004960A0">
            <w:pPr>
              <w:pStyle w:val="TableText"/>
              <w:rPr>
                <w:lang w:val="en-GB" w:eastAsia="en-GB"/>
              </w:rPr>
            </w:pPr>
            <w:r w:rsidRPr="007622AF">
              <w:rPr>
                <w:lang w:val="en-GB" w:eastAsia="en-GB"/>
              </w:rPr>
              <w:t>3.1.5</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14D32C31" w14:textId="77777777" w:rsidR="004960A0" w:rsidRPr="007622AF" w:rsidRDefault="004960A0" w:rsidP="004960A0">
            <w:pPr>
              <w:pStyle w:val="TableText"/>
              <w:rPr>
                <w:lang w:val="en-GB" w:eastAsia="en-GB"/>
              </w:rPr>
            </w:pPr>
            <w:r w:rsidRPr="007622AF">
              <w:rPr>
                <w:lang w:val="en-GB" w:eastAsia="en-GB"/>
              </w:rPr>
              <w:t>Open biopsies benign R2+ (</w:t>
            </w:r>
            <w:r w:rsidRPr="005F09FA">
              <w:rPr>
                <w:u w:val="single"/>
                <w:lang w:val="en-GB" w:eastAsia="en-GB"/>
              </w:rPr>
              <w:t>&lt;</w:t>
            </w:r>
            <w:r w:rsidRPr="007622AF">
              <w:rPr>
                <w:lang w:val="en-GB" w:eastAsia="en-GB"/>
              </w:rPr>
              <w:t>0.16%)</w:t>
            </w:r>
          </w:p>
        </w:tc>
      </w:tr>
      <w:tr w:rsidR="004960A0" w:rsidRPr="007622AF" w14:paraId="738C6DD4"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7ED83125" w14:textId="77777777" w:rsidR="004960A0" w:rsidRPr="007622AF" w:rsidRDefault="004960A0" w:rsidP="004960A0">
            <w:pPr>
              <w:pStyle w:val="TableText"/>
              <w:rPr>
                <w:lang w:val="en-GB" w:eastAsia="en-GB"/>
              </w:rPr>
            </w:pPr>
            <w:r w:rsidRPr="007622AF">
              <w:rPr>
                <w:lang w:val="en-GB" w:eastAsia="en-GB"/>
              </w:rPr>
              <w:t>3.1.7</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46E252B9" w14:textId="77777777" w:rsidR="004960A0" w:rsidRPr="007622AF" w:rsidRDefault="004960A0" w:rsidP="004960A0">
            <w:pPr>
              <w:pStyle w:val="TableText"/>
              <w:rPr>
                <w:lang w:val="en-GB" w:eastAsia="en-GB"/>
              </w:rPr>
            </w:pPr>
            <w:r w:rsidRPr="007622AF">
              <w:rPr>
                <w:lang w:val="en-GB" w:eastAsia="en-GB"/>
              </w:rPr>
              <w:t>Lesions identified first excision (</w:t>
            </w:r>
            <w:r w:rsidRPr="005F09FA">
              <w:rPr>
                <w:u w:val="single"/>
                <w:lang w:val="en-GB" w:eastAsia="en-GB"/>
              </w:rPr>
              <w:t>&gt;</w:t>
            </w:r>
            <w:r w:rsidRPr="007622AF">
              <w:rPr>
                <w:lang w:val="en-GB" w:eastAsia="en-GB"/>
              </w:rPr>
              <w:t>95%)</w:t>
            </w:r>
          </w:p>
        </w:tc>
      </w:tr>
      <w:tr w:rsidR="004960A0" w:rsidRPr="007622AF" w14:paraId="644C5A12"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6D5E4A0F" w14:textId="77777777" w:rsidR="004960A0" w:rsidRPr="007622AF" w:rsidRDefault="004960A0" w:rsidP="004960A0">
            <w:pPr>
              <w:pStyle w:val="TableText"/>
              <w:rPr>
                <w:lang w:val="en-GB" w:eastAsia="en-GB"/>
              </w:rPr>
            </w:pPr>
            <w:r w:rsidRPr="007622AF">
              <w:rPr>
                <w:lang w:val="en-GB" w:eastAsia="en-GB"/>
              </w:rPr>
              <w:t>3.1.8(a)</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554C1EF4" w14:textId="77777777" w:rsidR="004960A0" w:rsidRPr="007622AF" w:rsidRDefault="004960A0" w:rsidP="004960A0">
            <w:pPr>
              <w:pStyle w:val="TableText"/>
              <w:rPr>
                <w:lang w:val="en-GB" w:eastAsia="en-GB"/>
              </w:rPr>
            </w:pPr>
            <w:r w:rsidRPr="007622AF">
              <w:rPr>
                <w:lang w:val="en-GB" w:eastAsia="en-GB"/>
              </w:rPr>
              <w:t>Diagnosis without excision (</w:t>
            </w:r>
            <w:r w:rsidRPr="005F09FA">
              <w:rPr>
                <w:u w:val="single"/>
                <w:lang w:val="en-GB" w:eastAsia="en-GB"/>
              </w:rPr>
              <w:t>&gt;</w:t>
            </w:r>
            <w:r w:rsidRPr="007622AF">
              <w:rPr>
                <w:lang w:val="en-GB" w:eastAsia="en-GB"/>
              </w:rPr>
              <w:t>85%)</w:t>
            </w:r>
          </w:p>
        </w:tc>
      </w:tr>
      <w:tr w:rsidR="004960A0" w:rsidRPr="007622AF" w14:paraId="2A13FFF5"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60283FCD" w14:textId="77777777" w:rsidR="004960A0" w:rsidRPr="007622AF" w:rsidRDefault="004960A0" w:rsidP="004960A0">
            <w:pPr>
              <w:pStyle w:val="TableText"/>
              <w:rPr>
                <w:lang w:val="en-GB" w:eastAsia="en-GB"/>
              </w:rPr>
            </w:pPr>
            <w:r w:rsidRPr="007622AF">
              <w:rPr>
                <w:lang w:val="en-GB" w:eastAsia="en-GB"/>
              </w:rPr>
              <w:t>4.2.1(a)</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03247E75" w14:textId="77777777" w:rsidR="004960A0" w:rsidRPr="007622AF" w:rsidRDefault="004960A0" w:rsidP="004960A0">
            <w:pPr>
              <w:pStyle w:val="TableText"/>
              <w:rPr>
                <w:lang w:val="en-GB" w:eastAsia="en-GB"/>
              </w:rPr>
            </w:pPr>
            <w:r w:rsidRPr="007622AF">
              <w:rPr>
                <w:lang w:val="en-GB" w:eastAsia="en-GB"/>
              </w:rPr>
              <w:t>Time to assessment 28 days (</w:t>
            </w:r>
            <w:r w:rsidRPr="005F09FA">
              <w:rPr>
                <w:u w:val="single"/>
                <w:lang w:val="en-GB" w:eastAsia="en-GB"/>
              </w:rPr>
              <w:t>&gt;</w:t>
            </w:r>
            <w:r w:rsidRPr="007622AF">
              <w:rPr>
                <w:lang w:val="en-GB" w:eastAsia="en-GB"/>
              </w:rPr>
              <w:t>90%)</w:t>
            </w:r>
          </w:p>
        </w:tc>
      </w:tr>
    </w:tbl>
    <w:p w14:paraId="5C4F2F59" w14:textId="77777777" w:rsidR="004960A0" w:rsidRPr="00C75074" w:rsidRDefault="004960A0" w:rsidP="004960A0">
      <w:pPr>
        <w:pStyle w:val="ListNumber2"/>
        <w:widowControl/>
        <w:spacing w:line="240" w:lineRule="auto"/>
      </w:pPr>
      <w:r w:rsidRPr="00BE5D69">
        <w:t>NAS level 2 cancer detection benchmark measures</w:t>
      </w:r>
      <w:r>
        <w:t>:</w:t>
      </w:r>
      <w:r w:rsidRPr="00BE5D69">
        <w:t xml:space="preserve"> </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662"/>
      </w:tblGrid>
      <w:tr w:rsidR="004960A0" w:rsidRPr="007622AF" w14:paraId="57D02F16" w14:textId="77777777" w:rsidTr="004960A0">
        <w:trPr>
          <w:trHeight w:val="390"/>
        </w:trPr>
        <w:tc>
          <w:tcPr>
            <w:tcW w:w="1588" w:type="dxa"/>
            <w:shd w:val="clear" w:color="auto" w:fill="auto"/>
            <w:noWrap/>
            <w:hideMark/>
          </w:tcPr>
          <w:p w14:paraId="64D855E7" w14:textId="77777777" w:rsidR="004960A0" w:rsidRPr="007622AF" w:rsidRDefault="004960A0" w:rsidP="004960A0">
            <w:pPr>
              <w:pStyle w:val="TableText"/>
              <w:rPr>
                <w:lang w:val="en-GB" w:eastAsia="en-GB"/>
              </w:rPr>
            </w:pPr>
            <w:r w:rsidRPr="007622AF">
              <w:rPr>
                <w:lang w:val="en-GB" w:eastAsia="en-GB"/>
              </w:rPr>
              <w:t>2.</w:t>
            </w:r>
            <w:r>
              <w:rPr>
                <w:lang w:val="en-GB" w:eastAsia="en-GB"/>
              </w:rPr>
              <w:t>6.3</w:t>
            </w:r>
            <w:r w:rsidRPr="007622AF">
              <w:rPr>
                <w:lang w:val="en-GB" w:eastAsia="en-GB"/>
              </w:rPr>
              <w:t>(b)</w:t>
            </w:r>
          </w:p>
        </w:tc>
        <w:tc>
          <w:tcPr>
            <w:tcW w:w="6662" w:type="dxa"/>
            <w:shd w:val="clear" w:color="auto" w:fill="auto"/>
            <w:noWrap/>
            <w:hideMark/>
          </w:tcPr>
          <w:p w14:paraId="5A646053" w14:textId="77777777" w:rsidR="004960A0" w:rsidRPr="007622AF" w:rsidRDefault="004960A0" w:rsidP="004960A0">
            <w:pPr>
              <w:pStyle w:val="TableText"/>
              <w:rPr>
                <w:lang w:val="en-GB" w:eastAsia="en-GB"/>
              </w:rPr>
            </w:pPr>
            <w:r>
              <w:rPr>
                <w:lang w:val="en-GB" w:eastAsia="en-GB"/>
              </w:rPr>
              <w:t xml:space="preserve">Recall </w:t>
            </w:r>
            <w:r w:rsidRPr="007622AF">
              <w:rPr>
                <w:lang w:val="en-GB" w:eastAsia="en-GB"/>
              </w:rPr>
              <w:t xml:space="preserve">R1 50-69 </w:t>
            </w:r>
            <w:r>
              <w:rPr>
                <w:lang w:val="en-GB" w:eastAsia="en-GB"/>
              </w:rPr>
              <w:t>(&lt;10%</w:t>
            </w:r>
            <w:r w:rsidRPr="007622AF">
              <w:rPr>
                <w:lang w:val="en-GB" w:eastAsia="en-GB"/>
              </w:rPr>
              <w:t>)</w:t>
            </w:r>
          </w:p>
        </w:tc>
      </w:tr>
      <w:tr w:rsidR="004960A0" w:rsidRPr="007622AF" w14:paraId="12ABCB5A" w14:textId="77777777" w:rsidTr="004960A0">
        <w:trPr>
          <w:trHeight w:val="390"/>
        </w:trPr>
        <w:tc>
          <w:tcPr>
            <w:tcW w:w="1588" w:type="dxa"/>
            <w:shd w:val="clear" w:color="auto" w:fill="auto"/>
            <w:noWrap/>
            <w:hideMark/>
          </w:tcPr>
          <w:p w14:paraId="68AB3E26" w14:textId="77777777" w:rsidR="004960A0" w:rsidRPr="007622AF" w:rsidRDefault="004960A0" w:rsidP="004960A0">
            <w:pPr>
              <w:pStyle w:val="TableText"/>
              <w:rPr>
                <w:lang w:val="en-GB" w:eastAsia="en-GB"/>
              </w:rPr>
            </w:pPr>
            <w:r w:rsidRPr="007622AF">
              <w:rPr>
                <w:lang w:val="en-GB" w:eastAsia="en-GB"/>
              </w:rPr>
              <w:t>2.</w:t>
            </w:r>
            <w:r>
              <w:rPr>
                <w:lang w:val="en-GB" w:eastAsia="en-GB"/>
              </w:rPr>
              <w:t>6.4</w:t>
            </w:r>
            <w:r w:rsidRPr="007622AF">
              <w:rPr>
                <w:lang w:val="en-GB" w:eastAsia="en-GB"/>
              </w:rPr>
              <w:t>(b)</w:t>
            </w:r>
          </w:p>
        </w:tc>
        <w:tc>
          <w:tcPr>
            <w:tcW w:w="6662" w:type="dxa"/>
            <w:shd w:val="clear" w:color="auto" w:fill="auto"/>
            <w:noWrap/>
            <w:hideMark/>
          </w:tcPr>
          <w:p w14:paraId="0C7C2BDF" w14:textId="77777777" w:rsidR="004960A0" w:rsidRPr="007622AF" w:rsidRDefault="004960A0" w:rsidP="004960A0">
            <w:pPr>
              <w:pStyle w:val="TableText"/>
              <w:rPr>
                <w:lang w:val="en-GB" w:eastAsia="en-GB"/>
              </w:rPr>
            </w:pPr>
            <w:r>
              <w:rPr>
                <w:lang w:val="en-GB" w:eastAsia="en-GB"/>
              </w:rPr>
              <w:t xml:space="preserve">Recall </w:t>
            </w:r>
            <w:r w:rsidRPr="007622AF">
              <w:rPr>
                <w:lang w:val="en-GB" w:eastAsia="en-GB"/>
              </w:rPr>
              <w:t>R</w:t>
            </w:r>
            <w:r>
              <w:rPr>
                <w:lang w:val="en-GB" w:eastAsia="en-GB"/>
              </w:rPr>
              <w:t>2+</w:t>
            </w:r>
            <w:r w:rsidRPr="007622AF">
              <w:rPr>
                <w:lang w:val="en-GB" w:eastAsia="en-GB"/>
              </w:rPr>
              <w:t xml:space="preserve"> 50-69 </w:t>
            </w:r>
            <w:r>
              <w:rPr>
                <w:lang w:val="en-GB" w:eastAsia="en-GB"/>
              </w:rPr>
              <w:t>(&lt;5%</w:t>
            </w:r>
            <w:r w:rsidRPr="007622AF">
              <w:rPr>
                <w:lang w:val="en-GB" w:eastAsia="en-GB"/>
              </w:rPr>
              <w:t>)</w:t>
            </w:r>
          </w:p>
        </w:tc>
      </w:tr>
    </w:tbl>
    <w:p w14:paraId="63A4FE28" w14:textId="77777777" w:rsidR="004960A0" w:rsidRPr="00794C1B" w:rsidRDefault="004960A0" w:rsidP="004960A0">
      <w:pPr>
        <w:pStyle w:val="ListNumber"/>
      </w:pPr>
      <w:r w:rsidRPr="00794C1B">
        <w:t xml:space="preserve">The NQMC </w:t>
      </w:r>
      <w:r>
        <w:t xml:space="preserve">will </w:t>
      </w:r>
      <w:r w:rsidRPr="00794C1B">
        <w:t xml:space="preserve">closely consider the information provided by Services/SCUs in the </w:t>
      </w:r>
      <w:r w:rsidRPr="00794C1B">
        <w:lastRenderedPageBreak/>
        <w:t>Accreditation Data Contextual Reporting Framework that accompanies each accreditation application or ADR and explicitly take that information into account in accreditation decision-making.</w:t>
      </w:r>
    </w:p>
    <w:p w14:paraId="4BB722CA" w14:textId="77777777" w:rsidR="004960A0" w:rsidRPr="00794C1B" w:rsidRDefault="004960A0" w:rsidP="004960A0">
      <w:pPr>
        <w:pStyle w:val="ListNumber"/>
      </w:pPr>
      <w:r w:rsidRPr="00794C1B">
        <w:t xml:space="preserve">During the COVID19 pandemic and recovery period, accreditation decisions </w:t>
      </w:r>
      <w:r>
        <w:t xml:space="preserve">will </w:t>
      </w:r>
      <w:r w:rsidRPr="00794C1B">
        <w:t>be made on the following basis:</w:t>
      </w:r>
    </w:p>
    <w:p w14:paraId="4BBE8C8E" w14:textId="77777777" w:rsidR="004960A0" w:rsidRDefault="004960A0" w:rsidP="004960A0">
      <w:pPr>
        <w:pStyle w:val="ListNumber2"/>
        <w:widowControl/>
        <w:numPr>
          <w:ilvl w:val="0"/>
          <w:numId w:val="43"/>
        </w:numPr>
        <w:spacing w:line="240" w:lineRule="auto"/>
        <w:ind w:left="714" w:hanging="357"/>
      </w:pPr>
      <w:r w:rsidRPr="00915963">
        <w:t xml:space="preserve">Acceptable performance against </w:t>
      </w:r>
      <w:r>
        <w:t xml:space="preserve">the following eight </w:t>
      </w:r>
      <w:r w:rsidRPr="00915963">
        <w:t xml:space="preserve">NAS level 1 benchmark measures: </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662"/>
      </w:tblGrid>
      <w:tr w:rsidR="004960A0" w:rsidRPr="007622AF" w14:paraId="087DF608" w14:textId="77777777" w:rsidTr="004960A0">
        <w:trPr>
          <w:trHeight w:val="390"/>
        </w:trPr>
        <w:tc>
          <w:tcPr>
            <w:tcW w:w="1588" w:type="dxa"/>
            <w:shd w:val="clear" w:color="auto" w:fill="auto"/>
            <w:noWrap/>
            <w:hideMark/>
          </w:tcPr>
          <w:p w14:paraId="6822F003" w14:textId="77777777" w:rsidR="004960A0" w:rsidRPr="007622AF" w:rsidRDefault="004960A0" w:rsidP="004960A0">
            <w:pPr>
              <w:pStyle w:val="TableText"/>
              <w:rPr>
                <w:lang w:val="en-GB" w:eastAsia="en-GB"/>
              </w:rPr>
            </w:pPr>
            <w:r w:rsidRPr="007622AF">
              <w:rPr>
                <w:lang w:val="en-GB" w:eastAsia="en-GB"/>
              </w:rPr>
              <w:t>2.1.1(b)</w:t>
            </w:r>
          </w:p>
        </w:tc>
        <w:tc>
          <w:tcPr>
            <w:tcW w:w="6662" w:type="dxa"/>
            <w:shd w:val="clear" w:color="auto" w:fill="auto"/>
            <w:noWrap/>
            <w:hideMark/>
          </w:tcPr>
          <w:p w14:paraId="1F5E876C" w14:textId="77777777" w:rsidR="004960A0" w:rsidRPr="007622AF" w:rsidRDefault="004960A0" w:rsidP="004960A0">
            <w:pPr>
              <w:pStyle w:val="TableText"/>
              <w:rPr>
                <w:lang w:val="en-GB" w:eastAsia="en-GB"/>
              </w:rPr>
            </w:pPr>
            <w:r w:rsidRPr="007622AF">
              <w:rPr>
                <w:lang w:val="en-GB" w:eastAsia="en-GB"/>
              </w:rPr>
              <w:t>Cancer invasive R1 50-69 (</w:t>
            </w:r>
            <w:r w:rsidRPr="005F09FA">
              <w:rPr>
                <w:u w:val="single"/>
                <w:lang w:val="en-GB" w:eastAsia="en-GB"/>
              </w:rPr>
              <w:t>&gt;</w:t>
            </w:r>
            <w:r w:rsidRPr="007622AF">
              <w:rPr>
                <w:lang w:val="en-GB" w:eastAsia="en-GB"/>
              </w:rPr>
              <w:t>50/10k)</w:t>
            </w:r>
          </w:p>
        </w:tc>
      </w:tr>
      <w:tr w:rsidR="004960A0" w:rsidRPr="007622AF" w14:paraId="4571D6A9" w14:textId="77777777" w:rsidTr="004960A0">
        <w:trPr>
          <w:trHeight w:val="390"/>
        </w:trPr>
        <w:tc>
          <w:tcPr>
            <w:tcW w:w="1588" w:type="dxa"/>
            <w:shd w:val="clear" w:color="auto" w:fill="auto"/>
            <w:noWrap/>
            <w:hideMark/>
          </w:tcPr>
          <w:p w14:paraId="6354426F" w14:textId="77777777" w:rsidR="004960A0" w:rsidRPr="007622AF" w:rsidRDefault="004960A0" w:rsidP="004960A0">
            <w:pPr>
              <w:pStyle w:val="TableText"/>
              <w:rPr>
                <w:lang w:val="en-GB" w:eastAsia="en-GB"/>
              </w:rPr>
            </w:pPr>
            <w:r w:rsidRPr="007622AF">
              <w:rPr>
                <w:lang w:val="en-GB" w:eastAsia="en-GB"/>
              </w:rPr>
              <w:t>2.1.2(b)</w:t>
            </w:r>
          </w:p>
        </w:tc>
        <w:tc>
          <w:tcPr>
            <w:tcW w:w="6662" w:type="dxa"/>
            <w:shd w:val="clear" w:color="auto" w:fill="auto"/>
            <w:noWrap/>
            <w:hideMark/>
          </w:tcPr>
          <w:p w14:paraId="328578A3" w14:textId="77777777" w:rsidR="004960A0" w:rsidRPr="007622AF" w:rsidRDefault="004960A0" w:rsidP="004960A0">
            <w:pPr>
              <w:pStyle w:val="TableText"/>
              <w:rPr>
                <w:lang w:val="en-GB" w:eastAsia="en-GB"/>
              </w:rPr>
            </w:pPr>
            <w:r w:rsidRPr="007622AF">
              <w:rPr>
                <w:lang w:val="en-GB" w:eastAsia="en-GB"/>
              </w:rPr>
              <w:t>Cancer invasive R2+ 50-69 (</w:t>
            </w:r>
            <w:r w:rsidRPr="005F09FA">
              <w:rPr>
                <w:u w:val="single"/>
                <w:lang w:val="en-GB" w:eastAsia="en-GB"/>
              </w:rPr>
              <w:t>&gt;</w:t>
            </w:r>
            <w:r w:rsidRPr="007622AF">
              <w:rPr>
                <w:lang w:val="en-GB" w:eastAsia="en-GB"/>
              </w:rPr>
              <w:t>35/10k)</w:t>
            </w:r>
          </w:p>
        </w:tc>
      </w:tr>
      <w:tr w:rsidR="004960A0" w:rsidRPr="007622AF" w14:paraId="36D0702A" w14:textId="77777777" w:rsidTr="004960A0">
        <w:trPr>
          <w:trHeight w:val="390"/>
        </w:trPr>
        <w:tc>
          <w:tcPr>
            <w:tcW w:w="1588" w:type="dxa"/>
            <w:shd w:val="clear" w:color="auto" w:fill="auto"/>
            <w:noWrap/>
            <w:hideMark/>
          </w:tcPr>
          <w:p w14:paraId="3B44FC3E" w14:textId="77777777" w:rsidR="004960A0" w:rsidRPr="007622AF" w:rsidRDefault="004960A0" w:rsidP="004960A0">
            <w:pPr>
              <w:pStyle w:val="TableText"/>
              <w:rPr>
                <w:lang w:val="en-GB" w:eastAsia="en-GB"/>
              </w:rPr>
            </w:pPr>
            <w:r w:rsidRPr="007622AF">
              <w:rPr>
                <w:lang w:val="en-GB" w:eastAsia="en-GB"/>
              </w:rPr>
              <w:t>2.1.3(c)</w:t>
            </w:r>
          </w:p>
        </w:tc>
        <w:tc>
          <w:tcPr>
            <w:tcW w:w="6662" w:type="dxa"/>
            <w:shd w:val="clear" w:color="auto" w:fill="auto"/>
            <w:noWrap/>
            <w:hideMark/>
          </w:tcPr>
          <w:p w14:paraId="608DB11C" w14:textId="77777777" w:rsidR="004960A0" w:rsidRPr="007622AF" w:rsidRDefault="004960A0" w:rsidP="004960A0">
            <w:pPr>
              <w:pStyle w:val="TableText"/>
              <w:rPr>
                <w:lang w:val="en-GB" w:eastAsia="en-GB"/>
              </w:rPr>
            </w:pPr>
            <w:r w:rsidRPr="007622AF">
              <w:rPr>
                <w:lang w:val="en-GB" w:eastAsia="en-GB"/>
              </w:rPr>
              <w:t>Cancer small 50-69 (</w:t>
            </w:r>
            <w:r w:rsidRPr="005F09FA">
              <w:rPr>
                <w:u w:val="single"/>
                <w:lang w:val="en-GB" w:eastAsia="en-GB"/>
              </w:rPr>
              <w:t>&gt;</w:t>
            </w:r>
            <w:r w:rsidRPr="007622AF">
              <w:rPr>
                <w:lang w:val="en-GB" w:eastAsia="en-GB"/>
              </w:rPr>
              <w:t>25/10K)</w:t>
            </w:r>
          </w:p>
        </w:tc>
      </w:tr>
      <w:tr w:rsidR="004960A0" w:rsidRPr="007622AF" w14:paraId="2A5F1F77"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756BD1CC" w14:textId="77777777" w:rsidR="004960A0" w:rsidRPr="007622AF" w:rsidRDefault="004960A0" w:rsidP="004960A0">
            <w:pPr>
              <w:pStyle w:val="TableText"/>
              <w:rPr>
                <w:lang w:val="en-GB" w:eastAsia="en-GB"/>
              </w:rPr>
            </w:pPr>
            <w:r w:rsidRPr="007622AF">
              <w:rPr>
                <w:lang w:val="en-GB" w:eastAsia="en-GB"/>
              </w:rPr>
              <w:t>3.1.4</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445C7772" w14:textId="77777777" w:rsidR="004960A0" w:rsidRPr="007622AF" w:rsidRDefault="004960A0" w:rsidP="004960A0">
            <w:pPr>
              <w:pStyle w:val="TableText"/>
              <w:rPr>
                <w:lang w:val="en-GB" w:eastAsia="en-GB"/>
              </w:rPr>
            </w:pPr>
            <w:r w:rsidRPr="007622AF">
              <w:rPr>
                <w:lang w:val="en-GB" w:eastAsia="en-GB"/>
              </w:rPr>
              <w:t>Open biopsies benign R1 (</w:t>
            </w:r>
            <w:r w:rsidRPr="005F09FA">
              <w:rPr>
                <w:u w:val="single"/>
                <w:lang w:val="en-GB" w:eastAsia="en-GB"/>
              </w:rPr>
              <w:t>&lt;</w:t>
            </w:r>
            <w:r w:rsidRPr="007622AF">
              <w:rPr>
                <w:lang w:val="en-GB" w:eastAsia="en-GB"/>
              </w:rPr>
              <w:t>0.35%)</w:t>
            </w:r>
          </w:p>
        </w:tc>
      </w:tr>
      <w:tr w:rsidR="004960A0" w:rsidRPr="007622AF" w14:paraId="07B1B9AD"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1E46E3E9" w14:textId="77777777" w:rsidR="004960A0" w:rsidRPr="007622AF" w:rsidRDefault="004960A0" w:rsidP="004960A0">
            <w:pPr>
              <w:pStyle w:val="TableText"/>
              <w:rPr>
                <w:lang w:val="en-GB" w:eastAsia="en-GB"/>
              </w:rPr>
            </w:pPr>
            <w:r w:rsidRPr="007622AF">
              <w:rPr>
                <w:lang w:val="en-GB" w:eastAsia="en-GB"/>
              </w:rPr>
              <w:t>3.1.5</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20A226A8" w14:textId="77777777" w:rsidR="004960A0" w:rsidRPr="007622AF" w:rsidRDefault="004960A0" w:rsidP="004960A0">
            <w:pPr>
              <w:pStyle w:val="TableText"/>
              <w:rPr>
                <w:lang w:val="en-GB" w:eastAsia="en-GB"/>
              </w:rPr>
            </w:pPr>
            <w:r w:rsidRPr="007622AF">
              <w:rPr>
                <w:lang w:val="en-GB" w:eastAsia="en-GB"/>
              </w:rPr>
              <w:t>Open biopsies benign R2+ (</w:t>
            </w:r>
            <w:r w:rsidRPr="005F09FA">
              <w:rPr>
                <w:u w:val="single"/>
                <w:lang w:val="en-GB" w:eastAsia="en-GB"/>
              </w:rPr>
              <w:t>&lt;</w:t>
            </w:r>
            <w:r w:rsidRPr="007622AF">
              <w:rPr>
                <w:lang w:val="en-GB" w:eastAsia="en-GB"/>
              </w:rPr>
              <w:t>0.16%)</w:t>
            </w:r>
          </w:p>
        </w:tc>
      </w:tr>
      <w:tr w:rsidR="004960A0" w:rsidRPr="007622AF" w14:paraId="258BE25A"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482CCFA1" w14:textId="77777777" w:rsidR="004960A0" w:rsidRPr="007622AF" w:rsidRDefault="004960A0" w:rsidP="004960A0">
            <w:pPr>
              <w:pStyle w:val="TableText"/>
              <w:rPr>
                <w:lang w:val="en-GB" w:eastAsia="en-GB"/>
              </w:rPr>
            </w:pPr>
            <w:r w:rsidRPr="007622AF">
              <w:rPr>
                <w:lang w:val="en-GB" w:eastAsia="en-GB"/>
              </w:rPr>
              <w:t>3.1.7</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7A262CA6" w14:textId="77777777" w:rsidR="004960A0" w:rsidRPr="007622AF" w:rsidRDefault="004960A0" w:rsidP="004960A0">
            <w:pPr>
              <w:pStyle w:val="TableText"/>
              <w:rPr>
                <w:lang w:val="en-GB" w:eastAsia="en-GB"/>
              </w:rPr>
            </w:pPr>
            <w:r w:rsidRPr="007622AF">
              <w:rPr>
                <w:lang w:val="en-GB" w:eastAsia="en-GB"/>
              </w:rPr>
              <w:t>Lesions identified first excision (</w:t>
            </w:r>
            <w:r w:rsidRPr="005F09FA">
              <w:rPr>
                <w:u w:val="single"/>
                <w:lang w:val="en-GB" w:eastAsia="en-GB"/>
              </w:rPr>
              <w:t>&gt;</w:t>
            </w:r>
            <w:r w:rsidRPr="007622AF">
              <w:rPr>
                <w:lang w:val="en-GB" w:eastAsia="en-GB"/>
              </w:rPr>
              <w:t>95%)</w:t>
            </w:r>
          </w:p>
        </w:tc>
      </w:tr>
      <w:tr w:rsidR="004960A0" w:rsidRPr="007622AF" w14:paraId="1CDAF3DA"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02776EE4" w14:textId="77777777" w:rsidR="004960A0" w:rsidRPr="007622AF" w:rsidRDefault="004960A0" w:rsidP="004960A0">
            <w:pPr>
              <w:pStyle w:val="TableText"/>
              <w:rPr>
                <w:lang w:val="en-GB" w:eastAsia="en-GB"/>
              </w:rPr>
            </w:pPr>
            <w:r w:rsidRPr="007622AF">
              <w:rPr>
                <w:lang w:val="en-GB" w:eastAsia="en-GB"/>
              </w:rPr>
              <w:t>3.1.8(a)</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3AE5CC4A" w14:textId="77777777" w:rsidR="004960A0" w:rsidRPr="007622AF" w:rsidRDefault="004960A0" w:rsidP="004960A0">
            <w:pPr>
              <w:pStyle w:val="TableText"/>
              <w:rPr>
                <w:lang w:val="en-GB" w:eastAsia="en-GB"/>
              </w:rPr>
            </w:pPr>
            <w:r w:rsidRPr="007622AF">
              <w:rPr>
                <w:lang w:val="en-GB" w:eastAsia="en-GB"/>
              </w:rPr>
              <w:t>Diagnosis without excision (</w:t>
            </w:r>
            <w:r w:rsidRPr="005F09FA">
              <w:rPr>
                <w:u w:val="single"/>
                <w:lang w:val="en-GB" w:eastAsia="en-GB"/>
              </w:rPr>
              <w:t>&gt;</w:t>
            </w:r>
            <w:r w:rsidRPr="007622AF">
              <w:rPr>
                <w:lang w:val="en-GB" w:eastAsia="en-GB"/>
              </w:rPr>
              <w:t>85%)</w:t>
            </w:r>
          </w:p>
        </w:tc>
      </w:tr>
      <w:tr w:rsidR="004960A0" w:rsidRPr="007622AF" w14:paraId="2858FC55" w14:textId="77777777" w:rsidTr="004960A0">
        <w:trPr>
          <w:trHeight w:val="390"/>
        </w:trPr>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16C9A8D2" w14:textId="77777777" w:rsidR="004960A0" w:rsidRPr="007622AF" w:rsidRDefault="004960A0" w:rsidP="004960A0">
            <w:pPr>
              <w:pStyle w:val="TableText"/>
              <w:rPr>
                <w:lang w:val="en-GB" w:eastAsia="en-GB"/>
              </w:rPr>
            </w:pPr>
            <w:r w:rsidRPr="007622AF">
              <w:rPr>
                <w:lang w:val="en-GB" w:eastAsia="en-GB"/>
              </w:rPr>
              <w:t>4.2.1(a)</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14:paraId="515E43B9" w14:textId="77777777" w:rsidR="004960A0" w:rsidRPr="007622AF" w:rsidRDefault="004960A0" w:rsidP="004960A0">
            <w:pPr>
              <w:pStyle w:val="TableText"/>
              <w:rPr>
                <w:lang w:val="en-GB" w:eastAsia="en-GB"/>
              </w:rPr>
            </w:pPr>
            <w:r w:rsidRPr="007622AF">
              <w:rPr>
                <w:lang w:val="en-GB" w:eastAsia="en-GB"/>
              </w:rPr>
              <w:t>Time to assessment 28 days (</w:t>
            </w:r>
            <w:r w:rsidRPr="005F09FA">
              <w:rPr>
                <w:u w:val="single"/>
                <w:lang w:val="en-GB" w:eastAsia="en-GB"/>
              </w:rPr>
              <w:t>&gt;</w:t>
            </w:r>
            <w:r w:rsidRPr="007622AF">
              <w:rPr>
                <w:lang w:val="en-GB" w:eastAsia="en-GB"/>
              </w:rPr>
              <w:t>90%)</w:t>
            </w:r>
          </w:p>
        </w:tc>
      </w:tr>
    </w:tbl>
    <w:p w14:paraId="78D50079" w14:textId="27D1B8CE" w:rsidR="004960A0" w:rsidRPr="00263D3B" w:rsidRDefault="004960A0" w:rsidP="004960A0">
      <w:pPr>
        <w:pStyle w:val="ListNumber2"/>
        <w:widowControl/>
        <w:spacing w:line="240" w:lineRule="auto"/>
      </w:pPr>
      <w:r w:rsidRPr="00263D3B">
        <w:t xml:space="preserve">Acceptable performance against </w:t>
      </w:r>
      <w:r>
        <w:t>the following</w:t>
      </w:r>
      <w:r w:rsidRPr="00263D3B">
        <w:t xml:space="preserve"> </w:t>
      </w:r>
      <w:r>
        <w:t xml:space="preserve">two </w:t>
      </w:r>
      <w:r w:rsidRPr="00263D3B">
        <w:t>NAS level 2 cance</w:t>
      </w:r>
      <w:r w:rsidR="00E22836">
        <w:t>r detection benchmark measures:</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662"/>
      </w:tblGrid>
      <w:tr w:rsidR="004960A0" w:rsidRPr="007622AF" w14:paraId="0FE65C67" w14:textId="77777777" w:rsidTr="004960A0">
        <w:trPr>
          <w:trHeight w:val="390"/>
        </w:trPr>
        <w:tc>
          <w:tcPr>
            <w:tcW w:w="1588" w:type="dxa"/>
            <w:shd w:val="clear" w:color="auto" w:fill="auto"/>
            <w:noWrap/>
            <w:hideMark/>
          </w:tcPr>
          <w:p w14:paraId="1E80199F" w14:textId="77777777" w:rsidR="004960A0" w:rsidRPr="007622AF" w:rsidRDefault="004960A0" w:rsidP="004960A0">
            <w:pPr>
              <w:pStyle w:val="TableText"/>
              <w:rPr>
                <w:lang w:val="en-GB" w:eastAsia="en-GB"/>
              </w:rPr>
            </w:pPr>
            <w:r w:rsidRPr="007622AF">
              <w:rPr>
                <w:lang w:val="en-GB" w:eastAsia="en-GB"/>
              </w:rPr>
              <w:t>2.</w:t>
            </w:r>
            <w:r>
              <w:rPr>
                <w:lang w:val="en-GB" w:eastAsia="en-GB"/>
              </w:rPr>
              <w:t>6.3</w:t>
            </w:r>
            <w:r w:rsidRPr="007622AF">
              <w:rPr>
                <w:lang w:val="en-GB" w:eastAsia="en-GB"/>
              </w:rPr>
              <w:t>(b)</w:t>
            </w:r>
          </w:p>
        </w:tc>
        <w:tc>
          <w:tcPr>
            <w:tcW w:w="6662" w:type="dxa"/>
            <w:shd w:val="clear" w:color="auto" w:fill="auto"/>
            <w:noWrap/>
            <w:hideMark/>
          </w:tcPr>
          <w:p w14:paraId="33639F63" w14:textId="77777777" w:rsidR="004960A0" w:rsidRPr="007622AF" w:rsidRDefault="004960A0" w:rsidP="004960A0">
            <w:pPr>
              <w:pStyle w:val="TableText"/>
              <w:rPr>
                <w:lang w:val="en-GB" w:eastAsia="en-GB"/>
              </w:rPr>
            </w:pPr>
            <w:r>
              <w:rPr>
                <w:lang w:val="en-GB" w:eastAsia="en-GB"/>
              </w:rPr>
              <w:t xml:space="preserve">Recall </w:t>
            </w:r>
            <w:r w:rsidRPr="007622AF">
              <w:rPr>
                <w:lang w:val="en-GB" w:eastAsia="en-GB"/>
              </w:rPr>
              <w:t xml:space="preserve">R1 50-69 </w:t>
            </w:r>
            <w:r>
              <w:rPr>
                <w:lang w:val="en-GB" w:eastAsia="en-GB"/>
              </w:rPr>
              <w:t>(&lt;10%</w:t>
            </w:r>
            <w:r w:rsidRPr="007622AF">
              <w:rPr>
                <w:lang w:val="en-GB" w:eastAsia="en-GB"/>
              </w:rPr>
              <w:t>)</w:t>
            </w:r>
          </w:p>
        </w:tc>
      </w:tr>
      <w:tr w:rsidR="004960A0" w:rsidRPr="007622AF" w14:paraId="1D06BD00" w14:textId="77777777" w:rsidTr="004960A0">
        <w:trPr>
          <w:trHeight w:val="390"/>
        </w:trPr>
        <w:tc>
          <w:tcPr>
            <w:tcW w:w="1588" w:type="dxa"/>
            <w:shd w:val="clear" w:color="auto" w:fill="auto"/>
            <w:noWrap/>
            <w:hideMark/>
          </w:tcPr>
          <w:p w14:paraId="1373A12E" w14:textId="77777777" w:rsidR="004960A0" w:rsidRPr="007622AF" w:rsidRDefault="004960A0" w:rsidP="004960A0">
            <w:pPr>
              <w:pStyle w:val="TableText"/>
              <w:rPr>
                <w:lang w:val="en-GB" w:eastAsia="en-GB"/>
              </w:rPr>
            </w:pPr>
            <w:r w:rsidRPr="007622AF">
              <w:rPr>
                <w:lang w:val="en-GB" w:eastAsia="en-GB"/>
              </w:rPr>
              <w:t>2.</w:t>
            </w:r>
            <w:r>
              <w:rPr>
                <w:lang w:val="en-GB" w:eastAsia="en-GB"/>
              </w:rPr>
              <w:t>6.4</w:t>
            </w:r>
            <w:r w:rsidRPr="007622AF">
              <w:rPr>
                <w:lang w:val="en-GB" w:eastAsia="en-GB"/>
              </w:rPr>
              <w:t>(b)</w:t>
            </w:r>
          </w:p>
        </w:tc>
        <w:tc>
          <w:tcPr>
            <w:tcW w:w="6662" w:type="dxa"/>
            <w:shd w:val="clear" w:color="auto" w:fill="auto"/>
            <w:noWrap/>
            <w:hideMark/>
          </w:tcPr>
          <w:p w14:paraId="55FB194F" w14:textId="77777777" w:rsidR="004960A0" w:rsidRPr="007622AF" w:rsidRDefault="004960A0" w:rsidP="004960A0">
            <w:pPr>
              <w:pStyle w:val="TableText"/>
              <w:rPr>
                <w:lang w:val="en-GB" w:eastAsia="en-GB"/>
              </w:rPr>
            </w:pPr>
            <w:r>
              <w:rPr>
                <w:lang w:val="en-GB" w:eastAsia="en-GB"/>
              </w:rPr>
              <w:t xml:space="preserve">Recall </w:t>
            </w:r>
            <w:r w:rsidRPr="007622AF">
              <w:rPr>
                <w:lang w:val="en-GB" w:eastAsia="en-GB"/>
              </w:rPr>
              <w:t>R</w:t>
            </w:r>
            <w:r>
              <w:rPr>
                <w:lang w:val="en-GB" w:eastAsia="en-GB"/>
              </w:rPr>
              <w:t>2+</w:t>
            </w:r>
            <w:r w:rsidRPr="007622AF">
              <w:rPr>
                <w:lang w:val="en-GB" w:eastAsia="en-GB"/>
              </w:rPr>
              <w:t xml:space="preserve"> 50-69 </w:t>
            </w:r>
            <w:r>
              <w:rPr>
                <w:lang w:val="en-GB" w:eastAsia="en-GB"/>
              </w:rPr>
              <w:t>(&lt;5%</w:t>
            </w:r>
            <w:r w:rsidRPr="007622AF">
              <w:rPr>
                <w:lang w:val="en-GB" w:eastAsia="en-GB"/>
              </w:rPr>
              <w:t>)</w:t>
            </w:r>
          </w:p>
        </w:tc>
      </w:tr>
    </w:tbl>
    <w:p w14:paraId="268D5F8D" w14:textId="77777777" w:rsidR="004960A0" w:rsidRPr="00D736E7" w:rsidRDefault="004960A0" w:rsidP="004960A0">
      <w:pPr>
        <w:pStyle w:val="ListNumber2"/>
        <w:widowControl/>
        <w:spacing w:line="240" w:lineRule="auto"/>
      </w:pPr>
      <w:r w:rsidRPr="00D736E7">
        <w:t>Explicit consideration of the accreditation data contextual reporting framework</w:t>
      </w:r>
    </w:p>
    <w:p w14:paraId="189760B1" w14:textId="77777777" w:rsidR="004960A0" w:rsidRPr="00794C1B" w:rsidRDefault="004960A0" w:rsidP="004960A0">
      <w:pPr>
        <w:pStyle w:val="ListNumber2"/>
        <w:widowControl/>
        <w:spacing w:line="240" w:lineRule="auto"/>
      </w:pPr>
      <w:r w:rsidRPr="00D736E7">
        <w:t>A consensus of the opinion of clinical and other experts of the NQMC based on the evidence</w:t>
      </w:r>
      <w:r w:rsidRPr="00794C1B">
        <w:t xml:space="preserve"> provided, </w:t>
      </w:r>
      <w:r>
        <w:t xml:space="preserve">as to </w:t>
      </w:r>
      <w:r w:rsidRPr="00794C1B">
        <w:t>whether the Service/SCU is able to take women undertaking a screening mammogram safely through the clinical pathway to a diagnosis and deliver services safely to women who participate in the program.</w:t>
      </w:r>
    </w:p>
    <w:p w14:paraId="0265302F" w14:textId="77777777" w:rsidR="004960A0" w:rsidRPr="00794C1B" w:rsidRDefault="004960A0" w:rsidP="004960A0">
      <w:pPr>
        <w:pStyle w:val="ListNumber"/>
      </w:pPr>
      <w:r w:rsidRPr="00794C1B">
        <w:t xml:space="preserve">During the COVID19 pandemic and recovery period, Services/SCUs </w:t>
      </w:r>
      <w:r>
        <w:t xml:space="preserve">will </w:t>
      </w:r>
      <w:r w:rsidRPr="00794C1B">
        <w:t>be awarded one of two categories of accreditation:</w:t>
      </w:r>
    </w:p>
    <w:p w14:paraId="7EF6324B" w14:textId="77777777" w:rsidR="004960A0" w:rsidRPr="00794C1B" w:rsidRDefault="004960A0" w:rsidP="004960A0">
      <w:pPr>
        <w:pStyle w:val="ListNumber2"/>
        <w:widowControl/>
        <w:numPr>
          <w:ilvl w:val="0"/>
          <w:numId w:val="44"/>
        </w:numPr>
        <w:spacing w:line="240" w:lineRule="auto"/>
        <w:ind w:left="714" w:hanging="357"/>
      </w:pPr>
      <w:r w:rsidRPr="00794C1B">
        <w:t>Accreditation; or</w:t>
      </w:r>
    </w:p>
    <w:p w14:paraId="45F4626E" w14:textId="77777777" w:rsidR="004960A0" w:rsidRPr="00794C1B" w:rsidRDefault="004960A0" w:rsidP="004960A0">
      <w:pPr>
        <w:pStyle w:val="ListNumber2"/>
        <w:widowControl/>
        <w:numPr>
          <w:ilvl w:val="0"/>
          <w:numId w:val="44"/>
        </w:numPr>
        <w:spacing w:line="240" w:lineRule="auto"/>
        <w:ind w:left="714" w:hanging="357"/>
      </w:pPr>
      <w:r w:rsidRPr="00794C1B">
        <w:t>Accreditation with conditions.</w:t>
      </w:r>
    </w:p>
    <w:p w14:paraId="4B70F831" w14:textId="0AB705E0" w:rsidR="004960A0" w:rsidRDefault="004960A0" w:rsidP="004960A0">
      <w:pPr>
        <w:pStyle w:val="ListNumber"/>
        <w:numPr>
          <w:ilvl w:val="0"/>
          <w:numId w:val="0"/>
        </w:numPr>
        <w:ind w:left="360"/>
      </w:pPr>
      <w:r>
        <w:rPr>
          <w:i/>
          <w:iCs/>
        </w:rPr>
        <w:t>‘</w:t>
      </w:r>
      <w:r w:rsidRPr="004960A0">
        <w:rPr>
          <w:i/>
          <w:iCs/>
        </w:rPr>
        <w:t>Accreditation with conditions</w:t>
      </w:r>
      <w:r>
        <w:t>’</w:t>
      </w:r>
      <w:r w:rsidRPr="005D4277">
        <w:t xml:space="preserve"> describes the outcome(s) that the Service/SCU must achieve in order for the condition to be lifted – it does not specify how or by what means the Service/SCU satisfies the condition(s) under which the accreditation is awarded.</w:t>
      </w:r>
    </w:p>
    <w:p w14:paraId="47EE4EA9" w14:textId="77777777" w:rsidR="004960A0" w:rsidRDefault="004960A0" w:rsidP="004960A0">
      <w:pPr>
        <w:pStyle w:val="ListNumber"/>
      </w:pPr>
      <w:r w:rsidRPr="00794C1B">
        <w:t>That where ‘</w:t>
      </w:r>
      <w:r w:rsidRPr="005D4277">
        <w:rPr>
          <w:i/>
          <w:iCs/>
        </w:rPr>
        <w:t>accreditation with conditions</w:t>
      </w:r>
      <w:r w:rsidRPr="00794C1B">
        <w:t>‘ is awarded, the Service/SCU is required to meet the condition(s) within the specified timeframe.</w:t>
      </w:r>
    </w:p>
    <w:p w14:paraId="606A4376" w14:textId="737151F7" w:rsidR="004960A0" w:rsidRPr="00F25C45" w:rsidRDefault="004960A0" w:rsidP="00E50571">
      <w:pPr>
        <w:pStyle w:val="ListNumber"/>
        <w:numPr>
          <w:ilvl w:val="0"/>
          <w:numId w:val="0"/>
        </w:numPr>
        <w:ind w:left="360"/>
      </w:pPr>
      <w:r>
        <w:t>The timeframe within which the condition(s) must be met will vary according to the clinical nature of the unmet measure(s) and the time within which it could reasonably be expected to be satisfied, particularly during pandemic conditions.</w:t>
      </w:r>
    </w:p>
    <w:sectPr w:rsidR="004960A0" w:rsidRPr="00F25C45" w:rsidSect="004960A0">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424F3" w14:textId="77777777" w:rsidR="0017165E" w:rsidRDefault="0017165E" w:rsidP="00AB1C35">
      <w:r>
        <w:separator/>
      </w:r>
    </w:p>
  </w:endnote>
  <w:endnote w:type="continuationSeparator" w:id="0">
    <w:p w14:paraId="7B98FDE8" w14:textId="77777777" w:rsidR="0017165E" w:rsidRDefault="0017165E" w:rsidP="00AB1C35">
      <w:r>
        <w:continuationSeparator/>
      </w:r>
    </w:p>
  </w:endnote>
  <w:endnote w:type="continuationNotice" w:id="1">
    <w:p w14:paraId="51D2B2BB" w14:textId="77777777" w:rsidR="0017165E" w:rsidRDefault="0017165E" w:rsidP="00AB1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396371"/>
      <w:docPartObj>
        <w:docPartGallery w:val="Page Numbers (Bottom of Page)"/>
        <w:docPartUnique/>
      </w:docPartObj>
    </w:sdtPr>
    <w:sdtContent>
      <w:sdt>
        <w:sdtPr>
          <w:id w:val="660124164"/>
          <w:docPartObj>
            <w:docPartGallery w:val="Page Numbers (Top of Page)"/>
            <w:docPartUnique/>
          </w:docPartObj>
        </w:sdtPr>
        <w:sdtContent>
          <w:p w14:paraId="43F9DA1A" w14:textId="13E3219B" w:rsidR="0017165E" w:rsidRDefault="0017165E" w:rsidP="00C46142">
            <w:pPr>
              <w:pStyle w:val="Footer"/>
            </w:pP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99</w:t>
            </w:r>
            <w:r>
              <w:fldChar w:fldCharType="end"/>
            </w:r>
          </w:p>
        </w:sdtContent>
      </w:sdt>
    </w:sdtContent>
  </w:sdt>
  <w:p w14:paraId="6330FAE0" w14:textId="77777777" w:rsidR="0017165E" w:rsidRDefault="0017165E" w:rsidP="00C4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041404"/>
      <w:docPartObj>
        <w:docPartGallery w:val="Page Numbers (Bottom of Page)"/>
        <w:docPartUnique/>
      </w:docPartObj>
    </w:sdtPr>
    <w:sdtContent>
      <w:p w14:paraId="6F10D631" w14:textId="55CF7490" w:rsidR="0017165E" w:rsidRDefault="0017165E" w:rsidP="00C46142">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5078" w14:textId="77777777" w:rsidR="0017165E" w:rsidRDefault="0017165E" w:rsidP="00AB1C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132836"/>
      <w:docPartObj>
        <w:docPartGallery w:val="Page Numbers (Bottom of Page)"/>
        <w:docPartUnique/>
      </w:docPartObj>
    </w:sdtPr>
    <w:sdtContent>
      <w:p w14:paraId="6ECD51FE" w14:textId="77777777" w:rsidR="0017165E" w:rsidRDefault="0017165E" w:rsidP="00C46142">
        <w:pPr>
          <w:pStyle w:val="Footer"/>
        </w:pPr>
        <w:r>
          <w:fldChar w:fldCharType="begin"/>
        </w:r>
        <w:r>
          <w:instrText xml:space="preserve"> PAGE   \* MERGEFORMAT </w:instrText>
        </w:r>
        <w:r>
          <w:fldChar w:fldCharType="separate"/>
        </w:r>
        <w:r>
          <w:t>81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2A1C" w14:textId="77777777" w:rsidR="0017165E" w:rsidRDefault="0017165E" w:rsidP="00AB1C3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C74F" w14:textId="1C6D3E89" w:rsidR="0017165E" w:rsidRPr="005D4277" w:rsidRDefault="0017165E" w:rsidP="004960A0">
    <w:pPr>
      <w:pStyle w:val="Footer"/>
    </w:pPr>
    <w:r w:rsidRPr="00EB1C87">
      <w:t xml:space="preserve">Page </w:t>
    </w:r>
    <w:sdt>
      <w:sdtPr>
        <w:id w:val="-2015292746"/>
        <w:docPartObj>
          <w:docPartGallery w:val="Page Numbers (Bottom of Page)"/>
          <w:docPartUnique/>
        </w:docPartObj>
      </w:sdtPr>
      <w:sdtContent>
        <w:r w:rsidRPr="00EB1C87">
          <w:fldChar w:fldCharType="begin"/>
        </w:r>
        <w:r w:rsidRPr="00EB1C87">
          <w:instrText xml:space="preserve"> PAGE   \* MERGEFORMAT </w:instrText>
        </w:r>
        <w:r w:rsidRPr="00EB1C87">
          <w:fldChar w:fldCharType="separate"/>
        </w:r>
        <w:r>
          <w:t>91</w:t>
        </w:r>
        <w:r w:rsidRPr="00EB1C8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D8873" w14:textId="77777777" w:rsidR="0017165E" w:rsidRDefault="0017165E" w:rsidP="00AB1C35">
      <w:r>
        <w:separator/>
      </w:r>
    </w:p>
  </w:footnote>
  <w:footnote w:type="continuationSeparator" w:id="0">
    <w:p w14:paraId="02E9BEA2" w14:textId="77777777" w:rsidR="0017165E" w:rsidRDefault="0017165E" w:rsidP="00AB1C35">
      <w:r>
        <w:continuationSeparator/>
      </w:r>
    </w:p>
  </w:footnote>
  <w:footnote w:type="continuationNotice" w:id="1">
    <w:p w14:paraId="124ADE5D" w14:textId="77777777" w:rsidR="0017165E" w:rsidRPr="00E22836" w:rsidRDefault="0017165E" w:rsidP="00E22836">
      <w:pPr>
        <w:pStyle w:val="Footer"/>
      </w:pPr>
    </w:p>
  </w:footnote>
  <w:footnote w:id="2">
    <w:p w14:paraId="5EC8D8C4" w14:textId="6C380C2F" w:rsidR="0017165E" w:rsidRPr="009E539F" w:rsidRDefault="0017165E" w:rsidP="00E65280">
      <w:pPr>
        <w:pStyle w:val="FootnoteText"/>
        <w:rPr>
          <w:lang w:val="en-AU"/>
        </w:rPr>
      </w:pPr>
      <w:r>
        <w:rPr>
          <w:rStyle w:val="FootnoteReference"/>
        </w:rPr>
        <w:footnoteRef/>
      </w:r>
      <w:r>
        <w:t xml:space="preserve"> </w:t>
      </w:r>
      <w:r>
        <w:tab/>
      </w:r>
      <w:r w:rsidRPr="00016895">
        <w:t>In 2004, the National Advisory Committee was replaced by the Australian Screening Advisory Committee. In 2006 the Screening Subcommittee was established, and in 2012, it was renamed as the Standing Committee on Screening.</w:t>
      </w:r>
    </w:p>
  </w:footnote>
  <w:footnote w:id="3">
    <w:p w14:paraId="1A973291" w14:textId="3CB44E99" w:rsidR="0017165E" w:rsidRPr="00C375C6" w:rsidRDefault="0017165E" w:rsidP="00E65280">
      <w:pPr>
        <w:pStyle w:val="FootnoteText"/>
        <w:rPr>
          <w:lang w:val="en-AU"/>
        </w:rPr>
      </w:pPr>
      <w:r w:rsidRPr="00C375C6">
        <w:rPr>
          <w:rStyle w:val="FootnoteReference"/>
          <w:sz w:val="16"/>
          <w:szCs w:val="16"/>
        </w:rPr>
        <w:footnoteRef/>
      </w:r>
      <w:r w:rsidRPr="00C375C6">
        <w:t xml:space="preserve"> </w:t>
      </w:r>
      <w:r>
        <w:tab/>
      </w:r>
      <w:r w:rsidRPr="00C375C6">
        <w:t>Robert I. Tricker, International Corporate Governance: Text Readings and Cases, New York: Prentice Hall, 1994</w:t>
      </w:r>
    </w:p>
  </w:footnote>
  <w:footnote w:id="4">
    <w:p w14:paraId="3D98389B" w14:textId="35A8C48E" w:rsidR="0017165E" w:rsidRPr="006C76F4" w:rsidRDefault="0017165E">
      <w:pPr>
        <w:pStyle w:val="FootnoteText"/>
        <w:rPr>
          <w:lang w:val="en-AU"/>
        </w:rPr>
      </w:pPr>
      <w:r>
        <w:rPr>
          <w:rStyle w:val="FootnoteReference"/>
        </w:rPr>
        <w:footnoteRef/>
      </w:r>
      <w:r>
        <w:t xml:space="preserve"> </w:t>
      </w:r>
      <w:r>
        <w:rPr>
          <w:lang w:val="en-AU"/>
        </w:rPr>
        <w:t xml:space="preserve">The show cause process is a mechanism by which the NQMC will state its intention to revise the accreditation status of a Service/SCU </w:t>
      </w:r>
      <w:r w:rsidRPr="0086758F">
        <w:rPr>
          <w:i/>
          <w:lang w:val="en-AU"/>
        </w:rPr>
        <w:t>unless</w:t>
      </w:r>
      <w:r>
        <w:rPr>
          <w:lang w:val="en-AU"/>
        </w:rPr>
        <w:t xml:space="preserve"> provided with relevant and sufficient evidence to the contrary within a specified timeframe. </w:t>
      </w:r>
    </w:p>
  </w:footnote>
  <w:footnote w:id="5">
    <w:p w14:paraId="6DCBC90C" w14:textId="4347E17C" w:rsidR="0017165E" w:rsidRDefault="0017165E">
      <w:pPr>
        <w:pStyle w:val="FootnoteText"/>
      </w:pPr>
      <w:r>
        <w:rPr>
          <w:rStyle w:val="FootnoteReference"/>
        </w:rPr>
        <w:footnoteRef/>
      </w:r>
      <w:r>
        <w:t xml:space="preserve"> </w:t>
      </w:r>
      <w:r>
        <w:tab/>
        <w:t>This will involve the appellant being invited to participate in a discussion on their appeal in the NQMC meeting at which the internal review is considered.</w:t>
      </w:r>
    </w:p>
  </w:footnote>
  <w:footnote w:id="6">
    <w:p w14:paraId="613E2533" w14:textId="2CE97BF8" w:rsidR="0017165E" w:rsidRPr="00B216A7" w:rsidRDefault="0017165E" w:rsidP="00E65280">
      <w:pPr>
        <w:pStyle w:val="FootnoteText"/>
        <w:rPr>
          <w:lang w:val="en-AU"/>
        </w:rPr>
      </w:pPr>
      <w:r w:rsidRPr="00683961">
        <w:rPr>
          <w:rStyle w:val="FootnoteReference"/>
          <w:rFonts w:eastAsiaTheme="majorEastAsia"/>
          <w:sz w:val="16"/>
          <w:szCs w:val="16"/>
        </w:rPr>
        <w:footnoteRef/>
      </w:r>
      <w:r w:rsidRPr="00683961">
        <w:rPr>
          <w:sz w:val="16"/>
        </w:rPr>
        <w:t xml:space="preserve"> </w:t>
      </w:r>
      <w:r>
        <w:rPr>
          <w:sz w:val="16"/>
        </w:rPr>
        <w:tab/>
      </w:r>
      <w:r w:rsidRPr="00916899">
        <w:t xml:space="preserve">Further information about SNOMED CT-AU is available from the </w:t>
      </w:r>
      <w:hyperlink r:id="rId1" w:history="1">
        <w:r w:rsidRPr="00CA2FBA">
          <w:rPr>
            <w:rStyle w:val="Hyperlink"/>
            <w:rFonts w:cs="Helvetica"/>
            <w:sz w:val="18"/>
            <w:szCs w:val="16"/>
            <w:lang w:val="en-GB"/>
          </w:rPr>
          <w:t>National E-Health Transition Authority (NEHTA) website</w:t>
        </w:r>
      </w:hyperlink>
    </w:p>
  </w:footnote>
  <w:footnote w:id="7">
    <w:p w14:paraId="56DA8717" w14:textId="52630D0E" w:rsidR="0017165E" w:rsidRPr="00722E87" w:rsidRDefault="0017165E" w:rsidP="00E65280">
      <w:pPr>
        <w:pStyle w:val="FootnoteText"/>
        <w:rPr>
          <w:lang w:val="en-AU"/>
        </w:rPr>
      </w:pPr>
      <w:r w:rsidRPr="0018207F">
        <w:rPr>
          <w:rStyle w:val="FootnoteReference"/>
          <w:rFonts w:ascii="Calibri" w:eastAsiaTheme="majorEastAsia" w:hAnsi="Calibri" w:cs="Calibri"/>
          <w:sz w:val="18"/>
          <w:szCs w:val="18"/>
        </w:rPr>
        <w:footnoteRef/>
      </w:r>
      <w:r w:rsidRPr="0018207F">
        <w:t xml:space="preserve"> </w:t>
      </w:r>
      <w:r>
        <w:tab/>
      </w:r>
      <w:r w:rsidRPr="0018207F">
        <w:t xml:space="preserve">Gliklich RE, Dreyer NA, editors. Registries for Evaluating Patient Outcomes: A User's Guide. 2nd edition. Rockville (MD): Agency for Healthcare Research and Quality (US); 2010 Sep. </w:t>
      </w:r>
    </w:p>
  </w:footnote>
  <w:footnote w:id="8">
    <w:p w14:paraId="759F90FA" w14:textId="63558F88" w:rsidR="0017165E" w:rsidRPr="004728D1" w:rsidRDefault="0017165E">
      <w:pPr>
        <w:pStyle w:val="FootnoteText"/>
        <w:rPr>
          <w:lang w:val="en-GB"/>
        </w:rPr>
      </w:pPr>
      <w:r>
        <w:rPr>
          <w:rStyle w:val="FootnoteReference"/>
        </w:rPr>
        <w:footnoteRef/>
      </w:r>
      <w:r>
        <w:t xml:space="preserve"> </w:t>
      </w:r>
      <w:r>
        <w:rPr>
          <w:lang w:val="en-GB"/>
        </w:rPr>
        <w:t>Implementation postponed.</w:t>
      </w:r>
    </w:p>
  </w:footnote>
  <w:footnote w:id="9">
    <w:p w14:paraId="13321892" w14:textId="18267B43" w:rsidR="0017165E" w:rsidRPr="007D0251" w:rsidRDefault="0017165E" w:rsidP="00E65280">
      <w:pPr>
        <w:pStyle w:val="FootnoteText"/>
        <w:rPr>
          <w:lang w:val="en-AU"/>
        </w:rPr>
      </w:pPr>
      <w:r>
        <w:rPr>
          <w:rStyle w:val="FootnoteReference"/>
        </w:rPr>
        <w:footnoteRef/>
      </w:r>
      <w:r>
        <w:t xml:space="preserve"> </w:t>
      </w:r>
      <w:r>
        <w:tab/>
      </w:r>
      <w:r>
        <w:rPr>
          <w:lang w:val="en-AU"/>
        </w:rPr>
        <w:t xml:space="preserve">Gail Ward, Report for the BreastScreen Australia National Quality Management Committee, Quality Improvement Recommendations to enhance the Rigour and Robustness of the </w:t>
      </w:r>
      <w:r w:rsidRPr="00673EE9">
        <w:rPr>
          <w:lang w:val="en-AU"/>
        </w:rPr>
        <w:t>Site Visit</w:t>
      </w:r>
      <w:r>
        <w:rPr>
          <w:lang w:val="en-AU"/>
        </w:rPr>
        <w:t xml:space="preserve"> (Survey) Element of the Accreditation System, August 2011.</w:t>
      </w:r>
    </w:p>
  </w:footnote>
  <w:footnote w:id="10">
    <w:p w14:paraId="187D57F2" w14:textId="23D5C2E4" w:rsidR="0017165E" w:rsidRPr="00E36FE7" w:rsidRDefault="0017165E" w:rsidP="00E65280">
      <w:pPr>
        <w:pStyle w:val="FootnoteText"/>
      </w:pPr>
      <w:r w:rsidRPr="00E36FE7">
        <w:rPr>
          <w:rStyle w:val="FootnoteReference"/>
          <w:sz w:val="16"/>
          <w:szCs w:val="16"/>
        </w:rPr>
        <w:footnoteRef/>
      </w:r>
      <w:r w:rsidRPr="00E36FE7">
        <w:t xml:space="preserve"> </w:t>
      </w:r>
      <w:r>
        <w:tab/>
      </w:r>
      <w:r w:rsidRPr="00E36FE7">
        <w:t>At the conclusion of step 5, the process re-commences, demonstrating a continuous cycle of quality improvement within the Program.</w:t>
      </w:r>
    </w:p>
  </w:footnote>
  <w:footnote w:id="11">
    <w:p w14:paraId="17290325" w14:textId="77777777" w:rsidR="0017165E" w:rsidRPr="006D3872" w:rsidRDefault="0017165E" w:rsidP="00535209">
      <w:pPr>
        <w:spacing w:before="0"/>
        <w:rPr>
          <w:sz w:val="20"/>
        </w:rPr>
      </w:pPr>
      <w:r>
        <w:rPr>
          <w:rStyle w:val="FootnoteReference"/>
        </w:rPr>
        <w:footnoteRef/>
      </w:r>
      <w:r>
        <w:t xml:space="preserve"> </w:t>
      </w:r>
      <w:r w:rsidRPr="006D3872">
        <w:rPr>
          <w:sz w:val="20"/>
        </w:rPr>
        <w:t xml:space="preserve">For the purposes of this </w:t>
      </w:r>
      <w:r>
        <w:rPr>
          <w:sz w:val="20"/>
        </w:rPr>
        <w:t>document</w:t>
      </w:r>
      <w:r w:rsidRPr="006D3872">
        <w:rPr>
          <w:sz w:val="20"/>
        </w:rPr>
        <w:t>, the “renewal” of NQMC roles refers to a rotation point with either:</w:t>
      </w:r>
    </w:p>
    <w:p w14:paraId="1B6A5AF1" w14:textId="77777777" w:rsidR="0017165E" w:rsidRPr="006D3872" w:rsidRDefault="0017165E" w:rsidP="00535209">
      <w:pPr>
        <w:pStyle w:val="ListBullet"/>
        <w:tabs>
          <w:tab w:val="clear" w:pos="360"/>
        </w:tabs>
        <w:rPr>
          <w:sz w:val="20"/>
        </w:rPr>
      </w:pPr>
      <w:r w:rsidRPr="006D3872">
        <w:rPr>
          <w:sz w:val="20"/>
        </w:rPr>
        <w:t>The current member choosing to continue in a second term: or</w:t>
      </w:r>
    </w:p>
    <w:p w14:paraId="6B83380F" w14:textId="4787A7AE" w:rsidR="0017165E" w:rsidRDefault="0017165E" w:rsidP="004269D5">
      <w:pPr>
        <w:pStyle w:val="ListBullet"/>
        <w:tabs>
          <w:tab w:val="clear" w:pos="360"/>
        </w:tabs>
        <w:ind w:left="0" w:firstLine="0"/>
      </w:pPr>
      <w:r w:rsidRPr="006D3872">
        <w:rPr>
          <w:sz w:val="20"/>
        </w:rPr>
        <w:t>A new person being sought to fill the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DC04" w14:textId="72A25AFD" w:rsidR="0017165E" w:rsidRDefault="0017165E" w:rsidP="00AB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51AA" w14:textId="2D066FA3" w:rsidR="0017165E" w:rsidRPr="00A3217B" w:rsidRDefault="0017165E" w:rsidP="00AB1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3C741" w14:textId="3528A082" w:rsidR="0017165E" w:rsidRDefault="0017165E" w:rsidP="00AB1C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5D78" w14:textId="77777777" w:rsidR="0017165E" w:rsidRDefault="0017165E" w:rsidP="00AB1C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47F3" w14:textId="539BF3F7" w:rsidR="0017165E" w:rsidRPr="00FC480D" w:rsidRDefault="0017165E" w:rsidP="00AB1C35">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9AC3" w14:textId="77777777" w:rsidR="0017165E" w:rsidRDefault="0017165E" w:rsidP="00AB1C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2950" w14:textId="77777777" w:rsidR="0017165E" w:rsidRDefault="0017165E" w:rsidP="004960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2A8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469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C22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148F42"/>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3DF2B6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E60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07743FD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0E8308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84C87A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3F6017"/>
    <w:multiLevelType w:val="hybridMultilevel"/>
    <w:tmpl w:val="4C3C3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F9443A"/>
    <w:multiLevelType w:val="hybridMultilevel"/>
    <w:tmpl w:val="4B288F12"/>
    <w:lvl w:ilvl="0" w:tplc="2CC83B68">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1" w15:restartNumberingAfterBreak="0">
    <w:nsid w:val="12974D14"/>
    <w:multiLevelType w:val="hybridMultilevel"/>
    <w:tmpl w:val="084A56B0"/>
    <w:lvl w:ilvl="0" w:tplc="AC24506E">
      <w:start w:val="2"/>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15:restartNumberingAfterBreak="0">
    <w:nsid w:val="2AA663F7"/>
    <w:multiLevelType w:val="multilevel"/>
    <w:tmpl w:val="65585DF4"/>
    <w:lvl w:ilvl="0">
      <w:start w:val="1"/>
      <w:numFmt w:val="decimal"/>
      <w:lvlText w:val="%1."/>
      <w:lvlJc w:val="left"/>
      <w:pPr>
        <w:tabs>
          <w:tab w:val="num" w:pos="0"/>
        </w:tabs>
        <w:ind w:left="360" w:hanging="360"/>
      </w:pPr>
      <w:rPr>
        <w:rFonts w:cs="Times New Roman" w:hint="default"/>
        <w:sz w:val="24"/>
      </w:rPr>
    </w:lvl>
    <w:lvl w:ilvl="1">
      <w:start w:val="1"/>
      <w:numFmt w:val="decimal"/>
      <w:isLgl/>
      <w:lvlText w:val="%1.%2"/>
      <w:lvlJc w:val="left"/>
      <w:pPr>
        <w:tabs>
          <w:tab w:val="num" w:pos="360"/>
        </w:tabs>
        <w:ind w:left="360" w:hanging="360"/>
      </w:pPr>
      <w:rPr>
        <w:rFonts w:cs="Times New Roman" w:hint="default"/>
      </w:rPr>
    </w:lvl>
    <w:lvl w:ilvl="2">
      <w:start w:val="1"/>
      <w:numFmt w:val="none"/>
      <w:pStyle w:val="NASStandard"/>
      <w:isLgl/>
      <w:lvlText w:val="2.1.1"/>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34DE751C"/>
    <w:multiLevelType w:val="multilevel"/>
    <w:tmpl w:val="0938135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3.2.1"/>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477BC1"/>
    <w:multiLevelType w:val="hybridMultilevel"/>
    <w:tmpl w:val="BF604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135062"/>
    <w:multiLevelType w:val="hybridMultilevel"/>
    <w:tmpl w:val="646889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4D1B07"/>
    <w:multiLevelType w:val="hybridMultilevel"/>
    <w:tmpl w:val="0C4A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B90AFD"/>
    <w:multiLevelType w:val="multilevel"/>
    <w:tmpl w:val="87042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652870"/>
    <w:multiLevelType w:val="multilevel"/>
    <w:tmpl w:val="99725AD0"/>
    <w:lvl w:ilvl="0">
      <w:start w:val="1"/>
      <w:numFmt w:val="decimal"/>
      <w:pStyle w:val="Heading1"/>
      <w:lvlText w:val="%1"/>
      <w:lvlJc w:val="left"/>
      <w:pPr>
        <w:ind w:left="1588" w:hanging="432"/>
      </w:pPr>
      <w:rPr>
        <w:color w:val="7F7F7F" w:themeColor="text1" w:themeTint="80"/>
        <w:sz w:val="144"/>
      </w:rPr>
    </w:lvl>
    <w:lvl w:ilvl="1">
      <w:start w:val="1"/>
      <w:numFmt w:val="decimal"/>
      <w:pStyle w:val="Heading2"/>
      <w:lvlText w:val="%1.%2"/>
      <w:lvlJc w:val="left"/>
      <w:pPr>
        <w:ind w:left="1732" w:hanging="576"/>
      </w:pPr>
    </w:lvl>
    <w:lvl w:ilvl="2">
      <w:start w:val="1"/>
      <w:numFmt w:val="decimal"/>
      <w:pStyle w:val="Heading3"/>
      <w:lvlText w:val="%1.%2.%3"/>
      <w:lvlJc w:val="left"/>
      <w:pPr>
        <w:ind w:left="1876" w:hanging="720"/>
      </w:pPr>
    </w:lvl>
    <w:lvl w:ilvl="3">
      <w:start w:val="1"/>
      <w:numFmt w:val="decimal"/>
      <w:lvlText w:val="%1.%2.%3.%4"/>
      <w:lvlJc w:val="left"/>
      <w:pPr>
        <w:ind w:left="2020" w:hanging="864"/>
      </w:pPr>
    </w:lvl>
    <w:lvl w:ilvl="4">
      <w:start w:val="1"/>
      <w:numFmt w:val="decimal"/>
      <w:lvlText w:val="%1.%2.%3.%4.%5"/>
      <w:lvlJc w:val="left"/>
      <w:pPr>
        <w:ind w:left="2164" w:hanging="1008"/>
      </w:pPr>
    </w:lvl>
    <w:lvl w:ilvl="5">
      <w:start w:val="1"/>
      <w:numFmt w:val="decimal"/>
      <w:pStyle w:val="Heading6"/>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pStyle w:val="Heading9"/>
      <w:lvlText w:val="%1.%2.%3.%4.%5.%6.%7.%8.%9"/>
      <w:lvlJc w:val="left"/>
      <w:pPr>
        <w:ind w:left="2740" w:hanging="1584"/>
      </w:pPr>
    </w:lvl>
  </w:abstractNum>
  <w:abstractNum w:abstractNumId="19" w15:restartNumberingAfterBreak="0">
    <w:nsid w:val="62BC15CC"/>
    <w:multiLevelType w:val="multilevel"/>
    <w:tmpl w:val="6ADCDB24"/>
    <w:lvl w:ilvl="0">
      <w:start w:val="1"/>
      <w:numFmt w:val="decimal"/>
      <w:pStyle w:val="BulletedListLevel1"/>
      <w:lvlText w:val="%1."/>
      <w:lvlJc w:val="left"/>
      <w:pPr>
        <w:tabs>
          <w:tab w:val="num" w:pos="1287"/>
        </w:tabs>
        <w:ind w:left="1287" w:hanging="567"/>
      </w:pPr>
      <w:rPr>
        <w:rFonts w:hint="default"/>
        <w:color w:val="auto"/>
      </w:rPr>
    </w:lvl>
    <w:lvl w:ilvl="1">
      <w:start w:val="1"/>
      <w:numFmt w:val="bullet"/>
      <w:lvlText w:val="o"/>
      <w:lvlJc w:val="left"/>
      <w:pPr>
        <w:tabs>
          <w:tab w:val="num" w:pos="1854"/>
        </w:tabs>
        <w:ind w:left="1854" w:hanging="567"/>
      </w:pPr>
      <w:rPr>
        <w:rFonts w:ascii="Courier New" w:hAnsi="Courier New" w:hint="default"/>
      </w:rPr>
    </w:lvl>
    <w:lvl w:ilvl="2">
      <w:start w:val="1"/>
      <w:numFmt w:val="bullet"/>
      <w:lvlText w:val=""/>
      <w:lvlJc w:val="left"/>
      <w:pPr>
        <w:tabs>
          <w:tab w:val="num" w:pos="2421"/>
        </w:tabs>
        <w:ind w:left="2421" w:hanging="567"/>
      </w:pPr>
      <w:rPr>
        <w:rFonts w:ascii="Symbol" w:hAnsi="Symbol"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0" w15:restartNumberingAfterBreak="0">
    <w:nsid w:val="6BB84CA8"/>
    <w:multiLevelType w:val="multilevel"/>
    <w:tmpl w:val="3AC88C8A"/>
    <w:lvl w:ilvl="0">
      <w:start w:val="2"/>
      <w:numFmt w:val="decimal"/>
      <w:lvlText w:val="%1"/>
      <w:lvlJc w:val="left"/>
      <w:pPr>
        <w:tabs>
          <w:tab w:val="num" w:pos="1125"/>
        </w:tabs>
        <w:ind w:left="1125" w:hanging="405"/>
      </w:pPr>
      <w:rPr>
        <w:rFonts w:cs="Times New Roman" w:hint="default"/>
        <w:b/>
      </w:rPr>
    </w:lvl>
    <w:lvl w:ilvl="1">
      <w:start w:val="1"/>
      <w:numFmt w:val="decimal"/>
      <w:lvlText w:val="%1.%2"/>
      <w:lvlJc w:val="left"/>
      <w:pPr>
        <w:tabs>
          <w:tab w:val="num" w:pos="1125"/>
        </w:tabs>
        <w:ind w:left="1125" w:hanging="405"/>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440"/>
        </w:tabs>
        <w:ind w:left="1440" w:hanging="720"/>
      </w:pPr>
      <w:rPr>
        <w:rFonts w:cs="Times New Roman" w:hint="default"/>
        <w:b/>
      </w:rPr>
    </w:lvl>
    <w:lvl w:ilvl="4">
      <w:start w:val="1"/>
      <w:numFmt w:val="decimal"/>
      <w:lvlText w:val="%1.%2.%3.%4.%5"/>
      <w:lvlJc w:val="left"/>
      <w:pPr>
        <w:tabs>
          <w:tab w:val="num" w:pos="1440"/>
        </w:tabs>
        <w:ind w:left="1440" w:hanging="720"/>
      </w:pPr>
      <w:rPr>
        <w:rFonts w:cs="Times New Roman" w:hint="default"/>
        <w:b/>
      </w:rPr>
    </w:lvl>
    <w:lvl w:ilvl="5">
      <w:start w:val="1"/>
      <w:numFmt w:val="decimal"/>
      <w:lvlText w:val="%1.%2.%3.%4.%5.%6"/>
      <w:lvlJc w:val="left"/>
      <w:pPr>
        <w:tabs>
          <w:tab w:val="num" w:pos="1800"/>
        </w:tabs>
        <w:ind w:left="1800" w:hanging="1080"/>
      </w:pPr>
      <w:rPr>
        <w:rFonts w:cs="Times New Roman" w:hint="default"/>
        <w:b/>
      </w:rPr>
    </w:lvl>
    <w:lvl w:ilvl="6">
      <w:start w:val="1"/>
      <w:numFmt w:val="decimal"/>
      <w:lvlText w:val="%1.%2.%3.%4.%5.%6.%7"/>
      <w:lvlJc w:val="left"/>
      <w:pPr>
        <w:tabs>
          <w:tab w:val="num" w:pos="1800"/>
        </w:tabs>
        <w:ind w:left="1800" w:hanging="1080"/>
      </w:pPr>
      <w:rPr>
        <w:rFonts w:cs="Times New Roman" w:hint="default"/>
        <w:b/>
      </w:rPr>
    </w:lvl>
    <w:lvl w:ilvl="7">
      <w:start w:val="1"/>
      <w:numFmt w:val="decimal"/>
      <w:lvlText w:val="%1.%2.%3.%4.%5.%6.%7.%8"/>
      <w:lvlJc w:val="left"/>
      <w:pPr>
        <w:tabs>
          <w:tab w:val="num" w:pos="2160"/>
        </w:tabs>
        <w:ind w:left="2160" w:hanging="1440"/>
      </w:pPr>
      <w:rPr>
        <w:rFonts w:cs="Times New Roman" w:hint="default"/>
        <w:b/>
      </w:rPr>
    </w:lvl>
    <w:lvl w:ilvl="8">
      <w:start w:val="1"/>
      <w:numFmt w:val="decimal"/>
      <w:lvlText w:val="%1.%2.%3.%4.%5.%6.%7.%8.%9"/>
      <w:lvlJc w:val="left"/>
      <w:pPr>
        <w:tabs>
          <w:tab w:val="num" w:pos="2160"/>
        </w:tabs>
        <w:ind w:left="2160" w:hanging="1440"/>
      </w:pPr>
      <w:rPr>
        <w:rFonts w:cs="Times New Roman" w:hint="default"/>
        <w:b/>
      </w:rPr>
    </w:lvl>
  </w:abstractNum>
  <w:abstractNum w:abstractNumId="21" w15:restartNumberingAfterBreak="0">
    <w:nsid w:val="6DE071A7"/>
    <w:multiLevelType w:val="hybridMultilevel"/>
    <w:tmpl w:val="966419D6"/>
    <w:lvl w:ilvl="0" w:tplc="7A186030">
      <w:start w:val="1"/>
      <w:numFmt w:val="bullet"/>
      <w:pStyle w:val="List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F37D2C"/>
    <w:multiLevelType w:val="multilevel"/>
    <w:tmpl w:val="51080B30"/>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0512E99"/>
    <w:multiLevelType w:val="hybridMultilevel"/>
    <w:tmpl w:val="AEFA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9B33CF"/>
    <w:multiLevelType w:val="hybridMultilevel"/>
    <w:tmpl w:val="15C21EF4"/>
    <w:lvl w:ilvl="0" w:tplc="C9C0541C">
      <w:start w:val="1"/>
      <w:numFmt w:val="bullet"/>
      <w:pStyle w:val="ListBullet3"/>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C86A42"/>
    <w:multiLevelType w:val="hybridMultilevel"/>
    <w:tmpl w:val="49D6F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077040"/>
    <w:multiLevelType w:val="hybridMultilevel"/>
    <w:tmpl w:val="28E89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274DA8"/>
    <w:multiLevelType w:val="hybridMultilevel"/>
    <w:tmpl w:val="D108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9"/>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18"/>
  </w:num>
  <w:num w:numId="8">
    <w:abstractNumId w:val="7"/>
  </w:num>
  <w:num w:numId="9">
    <w:abstractNumId w:val="2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
  </w:num>
  <w:num w:numId="18">
    <w:abstractNumId w:val="20"/>
  </w:num>
  <w:num w:numId="19">
    <w:abstractNumId w:val="11"/>
  </w:num>
  <w:num w:numId="20">
    <w:abstractNumId w:val="25"/>
  </w:num>
  <w:num w:numId="21">
    <w:abstractNumId w:val="22"/>
  </w:num>
  <w:num w:numId="22">
    <w:abstractNumId w:val="13"/>
  </w:num>
  <w:num w:numId="23">
    <w:abstractNumId w:val="18"/>
  </w:num>
  <w:num w:numId="24">
    <w:abstractNumId w:val="8"/>
  </w:num>
  <w:num w:numId="25">
    <w:abstractNumId w:val="8"/>
  </w:num>
  <w:num w:numId="26">
    <w:abstractNumId w:val="8"/>
  </w:num>
  <w:num w:numId="27">
    <w:abstractNumId w:val="18"/>
  </w:num>
  <w:num w:numId="28">
    <w:abstractNumId w:val="18"/>
  </w:num>
  <w:num w:numId="29">
    <w:abstractNumId w:val="18"/>
  </w:num>
  <w:num w:numId="30">
    <w:abstractNumId w:val="8"/>
  </w:num>
  <w:num w:numId="31">
    <w:abstractNumId w:val="8"/>
  </w:num>
  <w:num w:numId="32">
    <w:abstractNumId w:val="8"/>
  </w:num>
  <w:num w:numId="33">
    <w:abstractNumId w:val="6"/>
  </w:num>
  <w:num w:numId="34">
    <w:abstractNumId w:val="27"/>
  </w:num>
  <w:num w:numId="35">
    <w:abstractNumId w:val="23"/>
  </w:num>
  <w:num w:numId="36">
    <w:abstractNumId w:val="16"/>
  </w:num>
  <w:num w:numId="37">
    <w:abstractNumId w:val="14"/>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num>
  <w:num w:numId="41">
    <w:abstractNumId w:val="17"/>
  </w:num>
  <w:num w:numId="42">
    <w:abstractNumId w:val="26"/>
  </w:num>
  <w:num w:numId="43">
    <w:abstractNumId w:val="3"/>
    <w:lvlOverride w:ilvl="0">
      <w:startOverride w:val="1"/>
    </w:lvlOverride>
  </w:num>
  <w:num w:numId="44">
    <w:abstractNumId w:val="3"/>
    <w:lvlOverride w:ilvl="0">
      <w:startOverride w:val="1"/>
    </w:lvlOverride>
  </w:num>
  <w:num w:numId="45">
    <w:abstractNumId w:val="7"/>
    <w:lvlOverride w:ilvl="0">
      <w:startOverride w:val="1"/>
    </w:lvlOverride>
  </w:num>
  <w:num w:numId="46">
    <w:abstractNumId w:val="15"/>
  </w:num>
  <w:num w:numId="47">
    <w:abstractNumId w:val="18"/>
  </w:num>
  <w:num w:numId="48">
    <w:abstractNumId w:val="18"/>
  </w:num>
  <w:num w:numId="4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10"/>
    <w:rsid w:val="0000023E"/>
    <w:rsid w:val="00000761"/>
    <w:rsid w:val="00001662"/>
    <w:rsid w:val="00001E66"/>
    <w:rsid w:val="00001E6B"/>
    <w:rsid w:val="00002274"/>
    <w:rsid w:val="000037F5"/>
    <w:rsid w:val="00003A40"/>
    <w:rsid w:val="0000798F"/>
    <w:rsid w:val="000105C0"/>
    <w:rsid w:val="00011022"/>
    <w:rsid w:val="00011482"/>
    <w:rsid w:val="000119D0"/>
    <w:rsid w:val="00011EA7"/>
    <w:rsid w:val="00012B6E"/>
    <w:rsid w:val="00012D0C"/>
    <w:rsid w:val="000147F4"/>
    <w:rsid w:val="00015416"/>
    <w:rsid w:val="000159B3"/>
    <w:rsid w:val="00015A8A"/>
    <w:rsid w:val="00015AE1"/>
    <w:rsid w:val="00015D73"/>
    <w:rsid w:val="00016A03"/>
    <w:rsid w:val="000175FC"/>
    <w:rsid w:val="000202F9"/>
    <w:rsid w:val="000203D0"/>
    <w:rsid w:val="00020B91"/>
    <w:rsid w:val="00020F2B"/>
    <w:rsid w:val="0002374D"/>
    <w:rsid w:val="00025317"/>
    <w:rsid w:val="000256C7"/>
    <w:rsid w:val="00025C9A"/>
    <w:rsid w:val="00026495"/>
    <w:rsid w:val="00026650"/>
    <w:rsid w:val="00026C66"/>
    <w:rsid w:val="00027886"/>
    <w:rsid w:val="00027EA8"/>
    <w:rsid w:val="00031F03"/>
    <w:rsid w:val="00032FF6"/>
    <w:rsid w:val="000330B7"/>
    <w:rsid w:val="000335FC"/>
    <w:rsid w:val="00033622"/>
    <w:rsid w:val="000337FD"/>
    <w:rsid w:val="00034D58"/>
    <w:rsid w:val="000355E5"/>
    <w:rsid w:val="00036458"/>
    <w:rsid w:val="00036AB2"/>
    <w:rsid w:val="000374B1"/>
    <w:rsid w:val="0003761A"/>
    <w:rsid w:val="00037AAC"/>
    <w:rsid w:val="00037B8D"/>
    <w:rsid w:val="0004118D"/>
    <w:rsid w:val="00041332"/>
    <w:rsid w:val="00041C65"/>
    <w:rsid w:val="0004211F"/>
    <w:rsid w:val="000422CB"/>
    <w:rsid w:val="00042C3E"/>
    <w:rsid w:val="00042D78"/>
    <w:rsid w:val="0004334E"/>
    <w:rsid w:val="00043951"/>
    <w:rsid w:val="00043BAC"/>
    <w:rsid w:val="00045026"/>
    <w:rsid w:val="000455C5"/>
    <w:rsid w:val="00046718"/>
    <w:rsid w:val="0005011B"/>
    <w:rsid w:val="00050686"/>
    <w:rsid w:val="00051405"/>
    <w:rsid w:val="000524EF"/>
    <w:rsid w:val="000533CC"/>
    <w:rsid w:val="000540F5"/>
    <w:rsid w:val="00054891"/>
    <w:rsid w:val="00056EAC"/>
    <w:rsid w:val="00056F9D"/>
    <w:rsid w:val="000573AF"/>
    <w:rsid w:val="00057B1E"/>
    <w:rsid w:val="00060EDF"/>
    <w:rsid w:val="0006112F"/>
    <w:rsid w:val="00062F41"/>
    <w:rsid w:val="000631E7"/>
    <w:rsid w:val="00063E64"/>
    <w:rsid w:val="00064582"/>
    <w:rsid w:val="00064E7A"/>
    <w:rsid w:val="000659D2"/>
    <w:rsid w:val="00065CD8"/>
    <w:rsid w:val="00065D55"/>
    <w:rsid w:val="00066588"/>
    <w:rsid w:val="00066AD9"/>
    <w:rsid w:val="00067B4D"/>
    <w:rsid w:val="00067BF4"/>
    <w:rsid w:val="0007147D"/>
    <w:rsid w:val="000717B8"/>
    <w:rsid w:val="000723BF"/>
    <w:rsid w:val="00072CCB"/>
    <w:rsid w:val="000747C4"/>
    <w:rsid w:val="00074CA3"/>
    <w:rsid w:val="00074D9A"/>
    <w:rsid w:val="00075142"/>
    <w:rsid w:val="0007598C"/>
    <w:rsid w:val="00075EAE"/>
    <w:rsid w:val="0007627C"/>
    <w:rsid w:val="000775CA"/>
    <w:rsid w:val="00080133"/>
    <w:rsid w:val="00080CF9"/>
    <w:rsid w:val="00080ECA"/>
    <w:rsid w:val="000824A7"/>
    <w:rsid w:val="0008256F"/>
    <w:rsid w:val="00082AEC"/>
    <w:rsid w:val="0008326B"/>
    <w:rsid w:val="00083544"/>
    <w:rsid w:val="00083A84"/>
    <w:rsid w:val="00083C03"/>
    <w:rsid w:val="00083D30"/>
    <w:rsid w:val="0008406A"/>
    <w:rsid w:val="00084BD9"/>
    <w:rsid w:val="00085BB8"/>
    <w:rsid w:val="0008617F"/>
    <w:rsid w:val="000868FB"/>
    <w:rsid w:val="00086CBA"/>
    <w:rsid w:val="00086E1A"/>
    <w:rsid w:val="00086F54"/>
    <w:rsid w:val="0008705A"/>
    <w:rsid w:val="000917C6"/>
    <w:rsid w:val="00091B57"/>
    <w:rsid w:val="00092039"/>
    <w:rsid w:val="000929F7"/>
    <w:rsid w:val="00092BB1"/>
    <w:rsid w:val="000935A2"/>
    <w:rsid w:val="000947C9"/>
    <w:rsid w:val="00094B2E"/>
    <w:rsid w:val="00094BE7"/>
    <w:rsid w:val="00095744"/>
    <w:rsid w:val="0009614F"/>
    <w:rsid w:val="000A06F3"/>
    <w:rsid w:val="000A09D3"/>
    <w:rsid w:val="000A0F22"/>
    <w:rsid w:val="000A383C"/>
    <w:rsid w:val="000A43BD"/>
    <w:rsid w:val="000A48AB"/>
    <w:rsid w:val="000A539D"/>
    <w:rsid w:val="000A6C75"/>
    <w:rsid w:val="000A733C"/>
    <w:rsid w:val="000B0375"/>
    <w:rsid w:val="000B07DA"/>
    <w:rsid w:val="000B1764"/>
    <w:rsid w:val="000B1E2F"/>
    <w:rsid w:val="000B2A70"/>
    <w:rsid w:val="000B3478"/>
    <w:rsid w:val="000B383C"/>
    <w:rsid w:val="000B3F64"/>
    <w:rsid w:val="000B4118"/>
    <w:rsid w:val="000B51F8"/>
    <w:rsid w:val="000B5881"/>
    <w:rsid w:val="000B6953"/>
    <w:rsid w:val="000B7471"/>
    <w:rsid w:val="000B7CFB"/>
    <w:rsid w:val="000C0C19"/>
    <w:rsid w:val="000C123A"/>
    <w:rsid w:val="000C13C9"/>
    <w:rsid w:val="000C1500"/>
    <w:rsid w:val="000C1664"/>
    <w:rsid w:val="000C1C9D"/>
    <w:rsid w:val="000C1EE8"/>
    <w:rsid w:val="000C2986"/>
    <w:rsid w:val="000C2EE5"/>
    <w:rsid w:val="000C36BF"/>
    <w:rsid w:val="000C435B"/>
    <w:rsid w:val="000C4702"/>
    <w:rsid w:val="000C476C"/>
    <w:rsid w:val="000C4C19"/>
    <w:rsid w:val="000C4CEE"/>
    <w:rsid w:val="000C6441"/>
    <w:rsid w:val="000C6ACA"/>
    <w:rsid w:val="000D019B"/>
    <w:rsid w:val="000D0D30"/>
    <w:rsid w:val="000D1192"/>
    <w:rsid w:val="000D1BCB"/>
    <w:rsid w:val="000D2963"/>
    <w:rsid w:val="000D3823"/>
    <w:rsid w:val="000D4B9E"/>
    <w:rsid w:val="000D54ED"/>
    <w:rsid w:val="000D569F"/>
    <w:rsid w:val="000D589D"/>
    <w:rsid w:val="000D64DD"/>
    <w:rsid w:val="000E0338"/>
    <w:rsid w:val="000E04F6"/>
    <w:rsid w:val="000E0FA9"/>
    <w:rsid w:val="000E1FB7"/>
    <w:rsid w:val="000E2052"/>
    <w:rsid w:val="000E2236"/>
    <w:rsid w:val="000E26AF"/>
    <w:rsid w:val="000E2EC3"/>
    <w:rsid w:val="000E3415"/>
    <w:rsid w:val="000E351D"/>
    <w:rsid w:val="000E380F"/>
    <w:rsid w:val="000E512A"/>
    <w:rsid w:val="000E5A7D"/>
    <w:rsid w:val="000E6FC6"/>
    <w:rsid w:val="000F06ED"/>
    <w:rsid w:val="000F07EE"/>
    <w:rsid w:val="000F115C"/>
    <w:rsid w:val="000F3E6F"/>
    <w:rsid w:val="000F494A"/>
    <w:rsid w:val="000F4991"/>
    <w:rsid w:val="000F4D53"/>
    <w:rsid w:val="000F52B1"/>
    <w:rsid w:val="000F5505"/>
    <w:rsid w:val="000F569F"/>
    <w:rsid w:val="000F67EF"/>
    <w:rsid w:val="0010035D"/>
    <w:rsid w:val="001004E9"/>
    <w:rsid w:val="001005D4"/>
    <w:rsid w:val="00100BB5"/>
    <w:rsid w:val="00104DB6"/>
    <w:rsid w:val="00105618"/>
    <w:rsid w:val="001065D0"/>
    <w:rsid w:val="00106D93"/>
    <w:rsid w:val="00107D76"/>
    <w:rsid w:val="00107E60"/>
    <w:rsid w:val="0011017B"/>
    <w:rsid w:val="0011119D"/>
    <w:rsid w:val="0011141E"/>
    <w:rsid w:val="00111E2D"/>
    <w:rsid w:val="00112A77"/>
    <w:rsid w:val="00112F05"/>
    <w:rsid w:val="001136E4"/>
    <w:rsid w:val="00113CAF"/>
    <w:rsid w:val="00113EFF"/>
    <w:rsid w:val="001147A3"/>
    <w:rsid w:val="0011492A"/>
    <w:rsid w:val="00114A10"/>
    <w:rsid w:val="001153E6"/>
    <w:rsid w:val="001178E3"/>
    <w:rsid w:val="00120CCF"/>
    <w:rsid w:val="001214F9"/>
    <w:rsid w:val="001216F7"/>
    <w:rsid w:val="001216FC"/>
    <w:rsid w:val="00121D64"/>
    <w:rsid w:val="00121F9A"/>
    <w:rsid w:val="00122584"/>
    <w:rsid w:val="00122DF3"/>
    <w:rsid w:val="00122FAF"/>
    <w:rsid w:val="00123739"/>
    <w:rsid w:val="00124045"/>
    <w:rsid w:val="00124643"/>
    <w:rsid w:val="00126BE4"/>
    <w:rsid w:val="00127978"/>
    <w:rsid w:val="00130631"/>
    <w:rsid w:val="00130973"/>
    <w:rsid w:val="00130C9F"/>
    <w:rsid w:val="001311B2"/>
    <w:rsid w:val="0013147F"/>
    <w:rsid w:val="001317A2"/>
    <w:rsid w:val="001320C3"/>
    <w:rsid w:val="00132726"/>
    <w:rsid w:val="00132B5F"/>
    <w:rsid w:val="00132BF8"/>
    <w:rsid w:val="00132C0A"/>
    <w:rsid w:val="00132C26"/>
    <w:rsid w:val="00132E92"/>
    <w:rsid w:val="00132FB8"/>
    <w:rsid w:val="001333FD"/>
    <w:rsid w:val="0013360B"/>
    <w:rsid w:val="00133DB9"/>
    <w:rsid w:val="00135178"/>
    <w:rsid w:val="00136917"/>
    <w:rsid w:val="00137648"/>
    <w:rsid w:val="0013780B"/>
    <w:rsid w:val="001400C9"/>
    <w:rsid w:val="0014065D"/>
    <w:rsid w:val="00140FA6"/>
    <w:rsid w:val="00141023"/>
    <w:rsid w:val="001415BF"/>
    <w:rsid w:val="0014311E"/>
    <w:rsid w:val="001436AF"/>
    <w:rsid w:val="00143BA0"/>
    <w:rsid w:val="00143CDE"/>
    <w:rsid w:val="00143F09"/>
    <w:rsid w:val="0014407D"/>
    <w:rsid w:val="0014495C"/>
    <w:rsid w:val="00144A7A"/>
    <w:rsid w:val="00144CC7"/>
    <w:rsid w:val="00145595"/>
    <w:rsid w:val="00146064"/>
    <w:rsid w:val="00147877"/>
    <w:rsid w:val="0015021F"/>
    <w:rsid w:val="001504FA"/>
    <w:rsid w:val="0015091F"/>
    <w:rsid w:val="00150B30"/>
    <w:rsid w:val="00151305"/>
    <w:rsid w:val="00151836"/>
    <w:rsid w:val="001518A0"/>
    <w:rsid w:val="00152054"/>
    <w:rsid w:val="00152454"/>
    <w:rsid w:val="00153512"/>
    <w:rsid w:val="001536B7"/>
    <w:rsid w:val="00154EE9"/>
    <w:rsid w:val="00154FD3"/>
    <w:rsid w:val="001568FC"/>
    <w:rsid w:val="0015723C"/>
    <w:rsid w:val="00157B90"/>
    <w:rsid w:val="00157BC8"/>
    <w:rsid w:val="001607C0"/>
    <w:rsid w:val="00160F50"/>
    <w:rsid w:val="00161247"/>
    <w:rsid w:val="00161C28"/>
    <w:rsid w:val="00162F2B"/>
    <w:rsid w:val="00162F7D"/>
    <w:rsid w:val="001631B2"/>
    <w:rsid w:val="00163ADE"/>
    <w:rsid w:val="00164704"/>
    <w:rsid w:val="00164E6C"/>
    <w:rsid w:val="00166D8F"/>
    <w:rsid w:val="00167706"/>
    <w:rsid w:val="001678CF"/>
    <w:rsid w:val="0017165E"/>
    <w:rsid w:val="00171A7E"/>
    <w:rsid w:val="00171B69"/>
    <w:rsid w:val="00172103"/>
    <w:rsid w:val="00172C6D"/>
    <w:rsid w:val="00172FB0"/>
    <w:rsid w:val="001739AD"/>
    <w:rsid w:val="00173C4B"/>
    <w:rsid w:val="00174123"/>
    <w:rsid w:val="00174125"/>
    <w:rsid w:val="00174643"/>
    <w:rsid w:val="00174924"/>
    <w:rsid w:val="00175267"/>
    <w:rsid w:val="00175A52"/>
    <w:rsid w:val="001763F8"/>
    <w:rsid w:val="00176C16"/>
    <w:rsid w:val="00176D71"/>
    <w:rsid w:val="00176EAD"/>
    <w:rsid w:val="00177069"/>
    <w:rsid w:val="001803ED"/>
    <w:rsid w:val="0018051B"/>
    <w:rsid w:val="00180806"/>
    <w:rsid w:val="00180D22"/>
    <w:rsid w:val="0018113E"/>
    <w:rsid w:val="00181341"/>
    <w:rsid w:val="00181766"/>
    <w:rsid w:val="001817FA"/>
    <w:rsid w:val="00181EEA"/>
    <w:rsid w:val="00182991"/>
    <w:rsid w:val="001830AA"/>
    <w:rsid w:val="00183F7A"/>
    <w:rsid w:val="0018409B"/>
    <w:rsid w:val="001853FC"/>
    <w:rsid w:val="001861FD"/>
    <w:rsid w:val="001863EA"/>
    <w:rsid w:val="00186A5B"/>
    <w:rsid w:val="001877B3"/>
    <w:rsid w:val="00187A2A"/>
    <w:rsid w:val="00191649"/>
    <w:rsid w:val="001917AB"/>
    <w:rsid w:val="00191933"/>
    <w:rsid w:val="00191D2E"/>
    <w:rsid w:val="00192263"/>
    <w:rsid w:val="00192BF5"/>
    <w:rsid w:val="00192C03"/>
    <w:rsid w:val="00193382"/>
    <w:rsid w:val="00193EDE"/>
    <w:rsid w:val="001948B3"/>
    <w:rsid w:val="0019514B"/>
    <w:rsid w:val="00195437"/>
    <w:rsid w:val="00196C2E"/>
    <w:rsid w:val="001976D5"/>
    <w:rsid w:val="00197D51"/>
    <w:rsid w:val="001A07AF"/>
    <w:rsid w:val="001A0FAB"/>
    <w:rsid w:val="001A1075"/>
    <w:rsid w:val="001A179A"/>
    <w:rsid w:val="001A1836"/>
    <w:rsid w:val="001A3819"/>
    <w:rsid w:val="001A393C"/>
    <w:rsid w:val="001A3997"/>
    <w:rsid w:val="001A4757"/>
    <w:rsid w:val="001A5CC3"/>
    <w:rsid w:val="001A6485"/>
    <w:rsid w:val="001A6C5A"/>
    <w:rsid w:val="001A6E79"/>
    <w:rsid w:val="001A75AF"/>
    <w:rsid w:val="001B09E0"/>
    <w:rsid w:val="001B13D2"/>
    <w:rsid w:val="001B1C15"/>
    <w:rsid w:val="001B289C"/>
    <w:rsid w:val="001B3A01"/>
    <w:rsid w:val="001B3F84"/>
    <w:rsid w:val="001B491F"/>
    <w:rsid w:val="001B5ADF"/>
    <w:rsid w:val="001B5E58"/>
    <w:rsid w:val="001B76C1"/>
    <w:rsid w:val="001C0490"/>
    <w:rsid w:val="001C0C96"/>
    <w:rsid w:val="001C2511"/>
    <w:rsid w:val="001C25D3"/>
    <w:rsid w:val="001C2A7D"/>
    <w:rsid w:val="001C39AA"/>
    <w:rsid w:val="001C48C4"/>
    <w:rsid w:val="001C57FA"/>
    <w:rsid w:val="001C6086"/>
    <w:rsid w:val="001C7AD7"/>
    <w:rsid w:val="001C7C07"/>
    <w:rsid w:val="001D01BC"/>
    <w:rsid w:val="001D02B2"/>
    <w:rsid w:val="001D13E3"/>
    <w:rsid w:val="001D16E7"/>
    <w:rsid w:val="001D1887"/>
    <w:rsid w:val="001D25C7"/>
    <w:rsid w:val="001D277D"/>
    <w:rsid w:val="001D29C8"/>
    <w:rsid w:val="001D2A28"/>
    <w:rsid w:val="001D2FFC"/>
    <w:rsid w:val="001D3AF1"/>
    <w:rsid w:val="001D552D"/>
    <w:rsid w:val="001D601A"/>
    <w:rsid w:val="001D64DB"/>
    <w:rsid w:val="001D794D"/>
    <w:rsid w:val="001D7F54"/>
    <w:rsid w:val="001E05B3"/>
    <w:rsid w:val="001E0BCD"/>
    <w:rsid w:val="001E0EC2"/>
    <w:rsid w:val="001E1AA3"/>
    <w:rsid w:val="001E2C1B"/>
    <w:rsid w:val="001E2EA5"/>
    <w:rsid w:val="001E354B"/>
    <w:rsid w:val="001E3F9F"/>
    <w:rsid w:val="001E4460"/>
    <w:rsid w:val="001E474D"/>
    <w:rsid w:val="001E57D3"/>
    <w:rsid w:val="001E630D"/>
    <w:rsid w:val="001E64A6"/>
    <w:rsid w:val="001E654C"/>
    <w:rsid w:val="001E6AF5"/>
    <w:rsid w:val="001E7129"/>
    <w:rsid w:val="001E7229"/>
    <w:rsid w:val="001E78DB"/>
    <w:rsid w:val="001E7A00"/>
    <w:rsid w:val="001F02C4"/>
    <w:rsid w:val="001F039C"/>
    <w:rsid w:val="001F0737"/>
    <w:rsid w:val="001F1220"/>
    <w:rsid w:val="001F1F2D"/>
    <w:rsid w:val="001F241D"/>
    <w:rsid w:val="001F25E8"/>
    <w:rsid w:val="001F3430"/>
    <w:rsid w:val="001F371F"/>
    <w:rsid w:val="001F39A5"/>
    <w:rsid w:val="001F3CAE"/>
    <w:rsid w:val="001F4CDD"/>
    <w:rsid w:val="001F52EC"/>
    <w:rsid w:val="001F5A3B"/>
    <w:rsid w:val="001F5CC8"/>
    <w:rsid w:val="001F6B49"/>
    <w:rsid w:val="001F719B"/>
    <w:rsid w:val="0020179E"/>
    <w:rsid w:val="00202C21"/>
    <w:rsid w:val="00202D14"/>
    <w:rsid w:val="00203468"/>
    <w:rsid w:val="002044E4"/>
    <w:rsid w:val="00204C35"/>
    <w:rsid w:val="00205BC8"/>
    <w:rsid w:val="0020615D"/>
    <w:rsid w:val="00206AA5"/>
    <w:rsid w:val="00206FFF"/>
    <w:rsid w:val="00207CB4"/>
    <w:rsid w:val="002108FE"/>
    <w:rsid w:val="002113EE"/>
    <w:rsid w:val="00211E8A"/>
    <w:rsid w:val="00211EE8"/>
    <w:rsid w:val="00212370"/>
    <w:rsid w:val="00212EEC"/>
    <w:rsid w:val="0021394D"/>
    <w:rsid w:val="00213A6E"/>
    <w:rsid w:val="00213CDC"/>
    <w:rsid w:val="00215229"/>
    <w:rsid w:val="00215377"/>
    <w:rsid w:val="002157D8"/>
    <w:rsid w:val="002159EF"/>
    <w:rsid w:val="00215D82"/>
    <w:rsid w:val="00215F89"/>
    <w:rsid w:val="0021727C"/>
    <w:rsid w:val="002178E9"/>
    <w:rsid w:val="00217A2C"/>
    <w:rsid w:val="0022186E"/>
    <w:rsid w:val="00222F2D"/>
    <w:rsid w:val="0022303F"/>
    <w:rsid w:val="002231EC"/>
    <w:rsid w:val="002241AB"/>
    <w:rsid w:val="002249AB"/>
    <w:rsid w:val="00224F9F"/>
    <w:rsid w:val="00225D1E"/>
    <w:rsid w:val="00225E14"/>
    <w:rsid w:val="0022636E"/>
    <w:rsid w:val="002263EC"/>
    <w:rsid w:val="00227B3A"/>
    <w:rsid w:val="00230F72"/>
    <w:rsid w:val="002312F8"/>
    <w:rsid w:val="0023176C"/>
    <w:rsid w:val="0023186B"/>
    <w:rsid w:val="00231E58"/>
    <w:rsid w:val="00232840"/>
    <w:rsid w:val="00233AFB"/>
    <w:rsid w:val="00234A5B"/>
    <w:rsid w:val="0023519F"/>
    <w:rsid w:val="00235304"/>
    <w:rsid w:val="002360DA"/>
    <w:rsid w:val="002360F6"/>
    <w:rsid w:val="00236178"/>
    <w:rsid w:val="00236EE0"/>
    <w:rsid w:val="00237123"/>
    <w:rsid w:val="00237421"/>
    <w:rsid w:val="00243968"/>
    <w:rsid w:val="002448A7"/>
    <w:rsid w:val="00246CC9"/>
    <w:rsid w:val="00246DCD"/>
    <w:rsid w:val="00247107"/>
    <w:rsid w:val="00247D22"/>
    <w:rsid w:val="0025095D"/>
    <w:rsid w:val="002516F7"/>
    <w:rsid w:val="00251E58"/>
    <w:rsid w:val="002520DC"/>
    <w:rsid w:val="002528F3"/>
    <w:rsid w:val="00253B2F"/>
    <w:rsid w:val="00254E10"/>
    <w:rsid w:val="00255029"/>
    <w:rsid w:val="002553E6"/>
    <w:rsid w:val="0025644E"/>
    <w:rsid w:val="002578C9"/>
    <w:rsid w:val="002606A4"/>
    <w:rsid w:val="00260996"/>
    <w:rsid w:val="002615E0"/>
    <w:rsid w:val="00262AF8"/>
    <w:rsid w:val="002642AB"/>
    <w:rsid w:val="0026431D"/>
    <w:rsid w:val="00264423"/>
    <w:rsid w:val="00264513"/>
    <w:rsid w:val="00264967"/>
    <w:rsid w:val="002650F1"/>
    <w:rsid w:val="00265C02"/>
    <w:rsid w:val="00265C41"/>
    <w:rsid w:val="00266C4F"/>
    <w:rsid w:val="00267F6A"/>
    <w:rsid w:val="0027020A"/>
    <w:rsid w:val="00270A7A"/>
    <w:rsid w:val="002714D0"/>
    <w:rsid w:val="00271517"/>
    <w:rsid w:val="00271983"/>
    <w:rsid w:val="00272977"/>
    <w:rsid w:val="00273779"/>
    <w:rsid w:val="00273AAB"/>
    <w:rsid w:val="002754B7"/>
    <w:rsid w:val="00275AF7"/>
    <w:rsid w:val="00276A61"/>
    <w:rsid w:val="002804E9"/>
    <w:rsid w:val="002806DC"/>
    <w:rsid w:val="00280B2E"/>
    <w:rsid w:val="00280FD0"/>
    <w:rsid w:val="00281CEC"/>
    <w:rsid w:val="00281D71"/>
    <w:rsid w:val="002828BA"/>
    <w:rsid w:val="002837A5"/>
    <w:rsid w:val="002842B2"/>
    <w:rsid w:val="00285216"/>
    <w:rsid w:val="002852CC"/>
    <w:rsid w:val="0028542E"/>
    <w:rsid w:val="00285BCB"/>
    <w:rsid w:val="0028655B"/>
    <w:rsid w:val="002873C8"/>
    <w:rsid w:val="00287BF1"/>
    <w:rsid w:val="0029099B"/>
    <w:rsid w:val="002910F9"/>
    <w:rsid w:val="00291D12"/>
    <w:rsid w:val="00291E87"/>
    <w:rsid w:val="00292285"/>
    <w:rsid w:val="0029253F"/>
    <w:rsid w:val="00292D54"/>
    <w:rsid w:val="00293E73"/>
    <w:rsid w:val="002946DD"/>
    <w:rsid w:val="00296192"/>
    <w:rsid w:val="00296304"/>
    <w:rsid w:val="00297192"/>
    <w:rsid w:val="00297562"/>
    <w:rsid w:val="002975A7"/>
    <w:rsid w:val="002975D0"/>
    <w:rsid w:val="00297940"/>
    <w:rsid w:val="002A0336"/>
    <w:rsid w:val="002A0425"/>
    <w:rsid w:val="002A108F"/>
    <w:rsid w:val="002A14D8"/>
    <w:rsid w:val="002A1860"/>
    <w:rsid w:val="002A1CF5"/>
    <w:rsid w:val="002A1E3E"/>
    <w:rsid w:val="002A2BA1"/>
    <w:rsid w:val="002A33A2"/>
    <w:rsid w:val="002A340B"/>
    <w:rsid w:val="002A3732"/>
    <w:rsid w:val="002A5775"/>
    <w:rsid w:val="002B0F14"/>
    <w:rsid w:val="002B1B6D"/>
    <w:rsid w:val="002B279D"/>
    <w:rsid w:val="002B3F3A"/>
    <w:rsid w:val="002B4260"/>
    <w:rsid w:val="002B454B"/>
    <w:rsid w:val="002B4FC5"/>
    <w:rsid w:val="002B5927"/>
    <w:rsid w:val="002B766C"/>
    <w:rsid w:val="002B7B13"/>
    <w:rsid w:val="002B7DFB"/>
    <w:rsid w:val="002C00E6"/>
    <w:rsid w:val="002C0DBB"/>
    <w:rsid w:val="002C0F2D"/>
    <w:rsid w:val="002C2A53"/>
    <w:rsid w:val="002C2E7E"/>
    <w:rsid w:val="002C3FCC"/>
    <w:rsid w:val="002C489A"/>
    <w:rsid w:val="002C5799"/>
    <w:rsid w:val="002C6B20"/>
    <w:rsid w:val="002C79F7"/>
    <w:rsid w:val="002C79FE"/>
    <w:rsid w:val="002C7DB2"/>
    <w:rsid w:val="002D26D7"/>
    <w:rsid w:val="002D2AA4"/>
    <w:rsid w:val="002D370A"/>
    <w:rsid w:val="002D3990"/>
    <w:rsid w:val="002D39C4"/>
    <w:rsid w:val="002D3DE6"/>
    <w:rsid w:val="002D3E1B"/>
    <w:rsid w:val="002D50B6"/>
    <w:rsid w:val="002D5A0B"/>
    <w:rsid w:val="002D6AC7"/>
    <w:rsid w:val="002D6CA1"/>
    <w:rsid w:val="002D7934"/>
    <w:rsid w:val="002E136C"/>
    <w:rsid w:val="002E1A94"/>
    <w:rsid w:val="002E1B9A"/>
    <w:rsid w:val="002E1BE6"/>
    <w:rsid w:val="002E229E"/>
    <w:rsid w:val="002E2BBA"/>
    <w:rsid w:val="002E3913"/>
    <w:rsid w:val="002E3EDC"/>
    <w:rsid w:val="002E5C0E"/>
    <w:rsid w:val="002E5EBA"/>
    <w:rsid w:val="002E674A"/>
    <w:rsid w:val="002E6CC1"/>
    <w:rsid w:val="002E7BBF"/>
    <w:rsid w:val="002F08B2"/>
    <w:rsid w:val="002F38C0"/>
    <w:rsid w:val="002F3EE4"/>
    <w:rsid w:val="002F4FA0"/>
    <w:rsid w:val="002F5856"/>
    <w:rsid w:val="002F5FEB"/>
    <w:rsid w:val="002F760A"/>
    <w:rsid w:val="002F7770"/>
    <w:rsid w:val="00300158"/>
    <w:rsid w:val="00300726"/>
    <w:rsid w:val="0030108F"/>
    <w:rsid w:val="0030202A"/>
    <w:rsid w:val="00302821"/>
    <w:rsid w:val="0030366D"/>
    <w:rsid w:val="00304A60"/>
    <w:rsid w:val="003058AE"/>
    <w:rsid w:val="00305CD5"/>
    <w:rsid w:val="00306328"/>
    <w:rsid w:val="0030735F"/>
    <w:rsid w:val="0030760C"/>
    <w:rsid w:val="00310054"/>
    <w:rsid w:val="0031039F"/>
    <w:rsid w:val="00310A41"/>
    <w:rsid w:val="00310CAA"/>
    <w:rsid w:val="00311037"/>
    <w:rsid w:val="00311BBF"/>
    <w:rsid w:val="00312CB1"/>
    <w:rsid w:val="00313444"/>
    <w:rsid w:val="00313E5C"/>
    <w:rsid w:val="00314743"/>
    <w:rsid w:val="003157D0"/>
    <w:rsid w:val="00317445"/>
    <w:rsid w:val="003178E0"/>
    <w:rsid w:val="00317FE7"/>
    <w:rsid w:val="00320292"/>
    <w:rsid w:val="00320602"/>
    <w:rsid w:val="0032080C"/>
    <w:rsid w:val="00321571"/>
    <w:rsid w:val="003217A1"/>
    <w:rsid w:val="00321FAE"/>
    <w:rsid w:val="0032296D"/>
    <w:rsid w:val="003232BA"/>
    <w:rsid w:val="003232C6"/>
    <w:rsid w:val="00323AA5"/>
    <w:rsid w:val="00323FD3"/>
    <w:rsid w:val="003243EB"/>
    <w:rsid w:val="00324517"/>
    <w:rsid w:val="00324634"/>
    <w:rsid w:val="0032554E"/>
    <w:rsid w:val="00326D5F"/>
    <w:rsid w:val="003271FE"/>
    <w:rsid w:val="00327B94"/>
    <w:rsid w:val="00327C28"/>
    <w:rsid w:val="00330420"/>
    <w:rsid w:val="0033184D"/>
    <w:rsid w:val="00331B42"/>
    <w:rsid w:val="00332776"/>
    <w:rsid w:val="003329B5"/>
    <w:rsid w:val="00332A24"/>
    <w:rsid w:val="00333668"/>
    <w:rsid w:val="0033381D"/>
    <w:rsid w:val="0033454C"/>
    <w:rsid w:val="00334B62"/>
    <w:rsid w:val="00335313"/>
    <w:rsid w:val="0033586C"/>
    <w:rsid w:val="0033611B"/>
    <w:rsid w:val="0033686A"/>
    <w:rsid w:val="003374C0"/>
    <w:rsid w:val="00337E63"/>
    <w:rsid w:val="00341C11"/>
    <w:rsid w:val="00341EA8"/>
    <w:rsid w:val="00342115"/>
    <w:rsid w:val="003422B3"/>
    <w:rsid w:val="00342B6A"/>
    <w:rsid w:val="00343809"/>
    <w:rsid w:val="00343E9F"/>
    <w:rsid w:val="003467B6"/>
    <w:rsid w:val="00346F6D"/>
    <w:rsid w:val="003474CF"/>
    <w:rsid w:val="00347671"/>
    <w:rsid w:val="0035026C"/>
    <w:rsid w:val="00350474"/>
    <w:rsid w:val="00350D8A"/>
    <w:rsid w:val="0035132A"/>
    <w:rsid w:val="00351513"/>
    <w:rsid w:val="0035174A"/>
    <w:rsid w:val="00352D81"/>
    <w:rsid w:val="00354480"/>
    <w:rsid w:val="00357047"/>
    <w:rsid w:val="00360D08"/>
    <w:rsid w:val="00361593"/>
    <w:rsid w:val="00361FA8"/>
    <w:rsid w:val="00362350"/>
    <w:rsid w:val="00362D6C"/>
    <w:rsid w:val="0036325C"/>
    <w:rsid w:val="00363C3A"/>
    <w:rsid w:val="00365B90"/>
    <w:rsid w:val="00365D8D"/>
    <w:rsid w:val="00366487"/>
    <w:rsid w:val="00366489"/>
    <w:rsid w:val="003664C0"/>
    <w:rsid w:val="00366D64"/>
    <w:rsid w:val="00367110"/>
    <w:rsid w:val="00367843"/>
    <w:rsid w:val="003703AA"/>
    <w:rsid w:val="00371509"/>
    <w:rsid w:val="0037158B"/>
    <w:rsid w:val="00371645"/>
    <w:rsid w:val="00372064"/>
    <w:rsid w:val="003722AD"/>
    <w:rsid w:val="003724C6"/>
    <w:rsid w:val="0037319B"/>
    <w:rsid w:val="00373B7F"/>
    <w:rsid w:val="00374010"/>
    <w:rsid w:val="003742BF"/>
    <w:rsid w:val="0037556E"/>
    <w:rsid w:val="00376988"/>
    <w:rsid w:val="00376EAF"/>
    <w:rsid w:val="0037752B"/>
    <w:rsid w:val="00377F9C"/>
    <w:rsid w:val="00380827"/>
    <w:rsid w:val="00381E02"/>
    <w:rsid w:val="003834B6"/>
    <w:rsid w:val="00383E75"/>
    <w:rsid w:val="003844D9"/>
    <w:rsid w:val="00384A4E"/>
    <w:rsid w:val="00385AC8"/>
    <w:rsid w:val="00385DD3"/>
    <w:rsid w:val="003875CF"/>
    <w:rsid w:val="00390658"/>
    <w:rsid w:val="00391669"/>
    <w:rsid w:val="00392752"/>
    <w:rsid w:val="0039290C"/>
    <w:rsid w:val="003929FA"/>
    <w:rsid w:val="00392A54"/>
    <w:rsid w:val="00392AD6"/>
    <w:rsid w:val="003935C2"/>
    <w:rsid w:val="00394AD1"/>
    <w:rsid w:val="003951AA"/>
    <w:rsid w:val="003952B0"/>
    <w:rsid w:val="003960A0"/>
    <w:rsid w:val="003964B1"/>
    <w:rsid w:val="00396F6D"/>
    <w:rsid w:val="00397934"/>
    <w:rsid w:val="003A026D"/>
    <w:rsid w:val="003A06CB"/>
    <w:rsid w:val="003A076D"/>
    <w:rsid w:val="003A0BC4"/>
    <w:rsid w:val="003A16C8"/>
    <w:rsid w:val="003A18D9"/>
    <w:rsid w:val="003A1E05"/>
    <w:rsid w:val="003A2516"/>
    <w:rsid w:val="003A4A91"/>
    <w:rsid w:val="003A54BC"/>
    <w:rsid w:val="003A5785"/>
    <w:rsid w:val="003A6C80"/>
    <w:rsid w:val="003A7BFC"/>
    <w:rsid w:val="003A7EB0"/>
    <w:rsid w:val="003B0902"/>
    <w:rsid w:val="003B1387"/>
    <w:rsid w:val="003B17C4"/>
    <w:rsid w:val="003B2350"/>
    <w:rsid w:val="003B2F69"/>
    <w:rsid w:val="003B4098"/>
    <w:rsid w:val="003B422F"/>
    <w:rsid w:val="003B430E"/>
    <w:rsid w:val="003B4888"/>
    <w:rsid w:val="003B565C"/>
    <w:rsid w:val="003B5702"/>
    <w:rsid w:val="003B57C8"/>
    <w:rsid w:val="003B62D1"/>
    <w:rsid w:val="003B6CDC"/>
    <w:rsid w:val="003B6FC0"/>
    <w:rsid w:val="003B7250"/>
    <w:rsid w:val="003B7DB3"/>
    <w:rsid w:val="003C0442"/>
    <w:rsid w:val="003C0C7B"/>
    <w:rsid w:val="003C1CC3"/>
    <w:rsid w:val="003C3130"/>
    <w:rsid w:val="003C339B"/>
    <w:rsid w:val="003C5670"/>
    <w:rsid w:val="003D016F"/>
    <w:rsid w:val="003D0B2E"/>
    <w:rsid w:val="003D0C19"/>
    <w:rsid w:val="003D0D7B"/>
    <w:rsid w:val="003D0E0B"/>
    <w:rsid w:val="003D1C3A"/>
    <w:rsid w:val="003D226C"/>
    <w:rsid w:val="003D3594"/>
    <w:rsid w:val="003D37E7"/>
    <w:rsid w:val="003D3BBF"/>
    <w:rsid w:val="003D3EEB"/>
    <w:rsid w:val="003D462D"/>
    <w:rsid w:val="003D47A7"/>
    <w:rsid w:val="003D47F5"/>
    <w:rsid w:val="003D480F"/>
    <w:rsid w:val="003D573B"/>
    <w:rsid w:val="003D6178"/>
    <w:rsid w:val="003E0287"/>
    <w:rsid w:val="003E064E"/>
    <w:rsid w:val="003E2156"/>
    <w:rsid w:val="003E3538"/>
    <w:rsid w:val="003E4B28"/>
    <w:rsid w:val="003E538F"/>
    <w:rsid w:val="003E548C"/>
    <w:rsid w:val="003E5590"/>
    <w:rsid w:val="003E56F3"/>
    <w:rsid w:val="003E7265"/>
    <w:rsid w:val="003F0388"/>
    <w:rsid w:val="003F0705"/>
    <w:rsid w:val="003F0A2A"/>
    <w:rsid w:val="003F1046"/>
    <w:rsid w:val="003F11DE"/>
    <w:rsid w:val="003F1975"/>
    <w:rsid w:val="003F36AE"/>
    <w:rsid w:val="003F36CA"/>
    <w:rsid w:val="003F41F9"/>
    <w:rsid w:val="003F4BDF"/>
    <w:rsid w:val="003F4CC5"/>
    <w:rsid w:val="003F4E4A"/>
    <w:rsid w:val="003F6EBA"/>
    <w:rsid w:val="003F7C98"/>
    <w:rsid w:val="00400295"/>
    <w:rsid w:val="0040196B"/>
    <w:rsid w:val="00402733"/>
    <w:rsid w:val="00402763"/>
    <w:rsid w:val="00402801"/>
    <w:rsid w:val="00403829"/>
    <w:rsid w:val="00404BB8"/>
    <w:rsid w:val="00405284"/>
    <w:rsid w:val="00406422"/>
    <w:rsid w:val="004071B6"/>
    <w:rsid w:val="0040782E"/>
    <w:rsid w:val="00407CA9"/>
    <w:rsid w:val="00411E0E"/>
    <w:rsid w:val="00412CD0"/>
    <w:rsid w:val="0041322A"/>
    <w:rsid w:val="00415265"/>
    <w:rsid w:val="0041672B"/>
    <w:rsid w:val="00416E7F"/>
    <w:rsid w:val="0041700D"/>
    <w:rsid w:val="00420285"/>
    <w:rsid w:val="004204F2"/>
    <w:rsid w:val="00420D84"/>
    <w:rsid w:val="004233F0"/>
    <w:rsid w:val="00423F81"/>
    <w:rsid w:val="00424517"/>
    <w:rsid w:val="004258E0"/>
    <w:rsid w:val="0042684E"/>
    <w:rsid w:val="00427249"/>
    <w:rsid w:val="00427326"/>
    <w:rsid w:val="00427497"/>
    <w:rsid w:val="0043123A"/>
    <w:rsid w:val="00432492"/>
    <w:rsid w:val="00432D5D"/>
    <w:rsid w:val="00432DB0"/>
    <w:rsid w:val="00433228"/>
    <w:rsid w:val="00433DFC"/>
    <w:rsid w:val="004342A6"/>
    <w:rsid w:val="00434922"/>
    <w:rsid w:val="00434DE3"/>
    <w:rsid w:val="00437227"/>
    <w:rsid w:val="004374A3"/>
    <w:rsid w:val="004374E3"/>
    <w:rsid w:val="00437FD9"/>
    <w:rsid w:val="00441571"/>
    <w:rsid w:val="00441F9B"/>
    <w:rsid w:val="0044281E"/>
    <w:rsid w:val="00444FC9"/>
    <w:rsid w:val="004457A7"/>
    <w:rsid w:val="004460A0"/>
    <w:rsid w:val="0044679C"/>
    <w:rsid w:val="00446B6B"/>
    <w:rsid w:val="00446DB4"/>
    <w:rsid w:val="004474CC"/>
    <w:rsid w:val="00447AC7"/>
    <w:rsid w:val="00447E3E"/>
    <w:rsid w:val="00447F63"/>
    <w:rsid w:val="004500F3"/>
    <w:rsid w:val="004502E6"/>
    <w:rsid w:val="0045030C"/>
    <w:rsid w:val="00450A84"/>
    <w:rsid w:val="00451083"/>
    <w:rsid w:val="00451B3E"/>
    <w:rsid w:val="00451FB6"/>
    <w:rsid w:val="00452039"/>
    <w:rsid w:val="004520E5"/>
    <w:rsid w:val="00452466"/>
    <w:rsid w:val="00453493"/>
    <w:rsid w:val="0045397A"/>
    <w:rsid w:val="00456659"/>
    <w:rsid w:val="00457367"/>
    <w:rsid w:val="004576A1"/>
    <w:rsid w:val="00457B99"/>
    <w:rsid w:val="00460475"/>
    <w:rsid w:val="004615FA"/>
    <w:rsid w:val="00461BD3"/>
    <w:rsid w:val="00461C48"/>
    <w:rsid w:val="00461CA1"/>
    <w:rsid w:val="00463468"/>
    <w:rsid w:val="004635C4"/>
    <w:rsid w:val="00463E9D"/>
    <w:rsid w:val="00464814"/>
    <w:rsid w:val="00465687"/>
    <w:rsid w:val="00465F36"/>
    <w:rsid w:val="004660CA"/>
    <w:rsid w:val="004675F6"/>
    <w:rsid w:val="00467ECE"/>
    <w:rsid w:val="00470072"/>
    <w:rsid w:val="00470A89"/>
    <w:rsid w:val="00470F0B"/>
    <w:rsid w:val="004711C2"/>
    <w:rsid w:val="004712E5"/>
    <w:rsid w:val="00471328"/>
    <w:rsid w:val="00471B4A"/>
    <w:rsid w:val="00471C54"/>
    <w:rsid w:val="004728D1"/>
    <w:rsid w:val="00472E08"/>
    <w:rsid w:val="004734D5"/>
    <w:rsid w:val="004737E4"/>
    <w:rsid w:val="00474783"/>
    <w:rsid w:val="0047563A"/>
    <w:rsid w:val="00476042"/>
    <w:rsid w:val="00476200"/>
    <w:rsid w:val="00476E06"/>
    <w:rsid w:val="00477FFA"/>
    <w:rsid w:val="004802C0"/>
    <w:rsid w:val="00480630"/>
    <w:rsid w:val="00480C6F"/>
    <w:rsid w:val="00480CFD"/>
    <w:rsid w:val="00481769"/>
    <w:rsid w:val="00481E12"/>
    <w:rsid w:val="00482208"/>
    <w:rsid w:val="004827D6"/>
    <w:rsid w:val="004828E3"/>
    <w:rsid w:val="00482AA1"/>
    <w:rsid w:val="00482AE8"/>
    <w:rsid w:val="0048350A"/>
    <w:rsid w:val="0048401C"/>
    <w:rsid w:val="004844A5"/>
    <w:rsid w:val="00484BA3"/>
    <w:rsid w:val="004851B0"/>
    <w:rsid w:val="0048521F"/>
    <w:rsid w:val="00485C97"/>
    <w:rsid w:val="00485CA2"/>
    <w:rsid w:val="0048655E"/>
    <w:rsid w:val="0048671A"/>
    <w:rsid w:val="004872D6"/>
    <w:rsid w:val="004879D0"/>
    <w:rsid w:val="00487D0D"/>
    <w:rsid w:val="00490233"/>
    <w:rsid w:val="0049053E"/>
    <w:rsid w:val="0049066A"/>
    <w:rsid w:val="00491A24"/>
    <w:rsid w:val="0049222C"/>
    <w:rsid w:val="0049345B"/>
    <w:rsid w:val="00493BBA"/>
    <w:rsid w:val="0049444B"/>
    <w:rsid w:val="004944D3"/>
    <w:rsid w:val="00495332"/>
    <w:rsid w:val="004960A0"/>
    <w:rsid w:val="00496147"/>
    <w:rsid w:val="0049666D"/>
    <w:rsid w:val="00497711"/>
    <w:rsid w:val="00497AE0"/>
    <w:rsid w:val="00497BF1"/>
    <w:rsid w:val="004A0D13"/>
    <w:rsid w:val="004A17E1"/>
    <w:rsid w:val="004A2291"/>
    <w:rsid w:val="004A27EB"/>
    <w:rsid w:val="004A36B4"/>
    <w:rsid w:val="004A539E"/>
    <w:rsid w:val="004A5590"/>
    <w:rsid w:val="004A584B"/>
    <w:rsid w:val="004A618F"/>
    <w:rsid w:val="004B07A3"/>
    <w:rsid w:val="004B1E66"/>
    <w:rsid w:val="004B20D2"/>
    <w:rsid w:val="004B336C"/>
    <w:rsid w:val="004B4367"/>
    <w:rsid w:val="004B52CC"/>
    <w:rsid w:val="004B556E"/>
    <w:rsid w:val="004C0CBC"/>
    <w:rsid w:val="004C161B"/>
    <w:rsid w:val="004C203D"/>
    <w:rsid w:val="004C3373"/>
    <w:rsid w:val="004C3626"/>
    <w:rsid w:val="004C3F31"/>
    <w:rsid w:val="004C54A7"/>
    <w:rsid w:val="004C59CB"/>
    <w:rsid w:val="004C6362"/>
    <w:rsid w:val="004C6CC7"/>
    <w:rsid w:val="004D029F"/>
    <w:rsid w:val="004D04EB"/>
    <w:rsid w:val="004D0D46"/>
    <w:rsid w:val="004D1677"/>
    <w:rsid w:val="004D17DC"/>
    <w:rsid w:val="004D1826"/>
    <w:rsid w:val="004D1FA5"/>
    <w:rsid w:val="004D223A"/>
    <w:rsid w:val="004D36DC"/>
    <w:rsid w:val="004D40F2"/>
    <w:rsid w:val="004D5455"/>
    <w:rsid w:val="004D5539"/>
    <w:rsid w:val="004D5604"/>
    <w:rsid w:val="004D6708"/>
    <w:rsid w:val="004D7A83"/>
    <w:rsid w:val="004E0450"/>
    <w:rsid w:val="004E082E"/>
    <w:rsid w:val="004E158A"/>
    <w:rsid w:val="004E1C02"/>
    <w:rsid w:val="004E225E"/>
    <w:rsid w:val="004E297B"/>
    <w:rsid w:val="004E2EE2"/>
    <w:rsid w:val="004E3290"/>
    <w:rsid w:val="004E3C7A"/>
    <w:rsid w:val="004E3CA1"/>
    <w:rsid w:val="004E3F6B"/>
    <w:rsid w:val="004E45E8"/>
    <w:rsid w:val="004E4931"/>
    <w:rsid w:val="004E49EE"/>
    <w:rsid w:val="004E5FE1"/>
    <w:rsid w:val="004E6E75"/>
    <w:rsid w:val="004F0549"/>
    <w:rsid w:val="004F1DA9"/>
    <w:rsid w:val="004F2262"/>
    <w:rsid w:val="004F33AC"/>
    <w:rsid w:val="004F40AD"/>
    <w:rsid w:val="004F4637"/>
    <w:rsid w:val="004F50D4"/>
    <w:rsid w:val="004F5651"/>
    <w:rsid w:val="004F59D5"/>
    <w:rsid w:val="004F5EA5"/>
    <w:rsid w:val="004F62FD"/>
    <w:rsid w:val="004F65A2"/>
    <w:rsid w:val="00500310"/>
    <w:rsid w:val="0050072C"/>
    <w:rsid w:val="005007FA"/>
    <w:rsid w:val="00500C7F"/>
    <w:rsid w:val="005010EE"/>
    <w:rsid w:val="00501377"/>
    <w:rsid w:val="00501643"/>
    <w:rsid w:val="005017CB"/>
    <w:rsid w:val="0050205E"/>
    <w:rsid w:val="0050288F"/>
    <w:rsid w:val="0051003D"/>
    <w:rsid w:val="00510426"/>
    <w:rsid w:val="00510C39"/>
    <w:rsid w:val="00511070"/>
    <w:rsid w:val="0051118C"/>
    <w:rsid w:val="0051146C"/>
    <w:rsid w:val="00511674"/>
    <w:rsid w:val="00511D7B"/>
    <w:rsid w:val="00512A5E"/>
    <w:rsid w:val="0051316C"/>
    <w:rsid w:val="00513276"/>
    <w:rsid w:val="0051339F"/>
    <w:rsid w:val="00513795"/>
    <w:rsid w:val="005144AB"/>
    <w:rsid w:val="005157F3"/>
    <w:rsid w:val="005164F3"/>
    <w:rsid w:val="00516BE8"/>
    <w:rsid w:val="00520458"/>
    <w:rsid w:val="00520A1F"/>
    <w:rsid w:val="005214A4"/>
    <w:rsid w:val="005237F9"/>
    <w:rsid w:val="00523FEB"/>
    <w:rsid w:val="00524250"/>
    <w:rsid w:val="00524803"/>
    <w:rsid w:val="00524FB0"/>
    <w:rsid w:val="00525A48"/>
    <w:rsid w:val="005266F9"/>
    <w:rsid w:val="00526B3F"/>
    <w:rsid w:val="00526E8B"/>
    <w:rsid w:val="00527542"/>
    <w:rsid w:val="00527B10"/>
    <w:rsid w:val="00527DCE"/>
    <w:rsid w:val="00527E7E"/>
    <w:rsid w:val="00530F68"/>
    <w:rsid w:val="005319A7"/>
    <w:rsid w:val="005319D6"/>
    <w:rsid w:val="005324F4"/>
    <w:rsid w:val="005326D2"/>
    <w:rsid w:val="00532E3B"/>
    <w:rsid w:val="0053367D"/>
    <w:rsid w:val="005339A9"/>
    <w:rsid w:val="00534A78"/>
    <w:rsid w:val="00535209"/>
    <w:rsid w:val="00535A43"/>
    <w:rsid w:val="00535DDB"/>
    <w:rsid w:val="005360E1"/>
    <w:rsid w:val="005377C7"/>
    <w:rsid w:val="00537ED5"/>
    <w:rsid w:val="00540BCF"/>
    <w:rsid w:val="00541435"/>
    <w:rsid w:val="00542F82"/>
    <w:rsid w:val="005440BE"/>
    <w:rsid w:val="005448BD"/>
    <w:rsid w:val="005455AC"/>
    <w:rsid w:val="005455FC"/>
    <w:rsid w:val="005466B5"/>
    <w:rsid w:val="00546E70"/>
    <w:rsid w:val="00546F03"/>
    <w:rsid w:val="00547692"/>
    <w:rsid w:val="00547E19"/>
    <w:rsid w:val="005501B2"/>
    <w:rsid w:val="00550694"/>
    <w:rsid w:val="00550D6E"/>
    <w:rsid w:val="005512A8"/>
    <w:rsid w:val="005517A6"/>
    <w:rsid w:val="005527AA"/>
    <w:rsid w:val="00552943"/>
    <w:rsid w:val="005531F6"/>
    <w:rsid w:val="00553208"/>
    <w:rsid w:val="005532EC"/>
    <w:rsid w:val="00553ABD"/>
    <w:rsid w:val="00553DAE"/>
    <w:rsid w:val="005545EA"/>
    <w:rsid w:val="005563EB"/>
    <w:rsid w:val="0055648D"/>
    <w:rsid w:val="00556815"/>
    <w:rsid w:val="00557538"/>
    <w:rsid w:val="00560DCC"/>
    <w:rsid w:val="00560EA3"/>
    <w:rsid w:val="005613DC"/>
    <w:rsid w:val="0056268B"/>
    <w:rsid w:val="00562AC2"/>
    <w:rsid w:val="00562B4F"/>
    <w:rsid w:val="0056323E"/>
    <w:rsid w:val="00563D59"/>
    <w:rsid w:val="005641D3"/>
    <w:rsid w:val="00564B09"/>
    <w:rsid w:val="00565180"/>
    <w:rsid w:val="00565D54"/>
    <w:rsid w:val="00567147"/>
    <w:rsid w:val="005700BE"/>
    <w:rsid w:val="00570B23"/>
    <w:rsid w:val="00570F85"/>
    <w:rsid w:val="0057312A"/>
    <w:rsid w:val="005732CD"/>
    <w:rsid w:val="005739A3"/>
    <w:rsid w:val="005753DA"/>
    <w:rsid w:val="00575432"/>
    <w:rsid w:val="0057571A"/>
    <w:rsid w:val="005757CD"/>
    <w:rsid w:val="00575A17"/>
    <w:rsid w:val="00575ACE"/>
    <w:rsid w:val="00575F2D"/>
    <w:rsid w:val="0057799B"/>
    <w:rsid w:val="0058166D"/>
    <w:rsid w:val="0058184C"/>
    <w:rsid w:val="00581FA8"/>
    <w:rsid w:val="0058208F"/>
    <w:rsid w:val="00582260"/>
    <w:rsid w:val="005835C6"/>
    <w:rsid w:val="00583E69"/>
    <w:rsid w:val="00583F36"/>
    <w:rsid w:val="00583FDA"/>
    <w:rsid w:val="00584B80"/>
    <w:rsid w:val="00584ED4"/>
    <w:rsid w:val="00585568"/>
    <w:rsid w:val="005856FD"/>
    <w:rsid w:val="0058713C"/>
    <w:rsid w:val="0059026C"/>
    <w:rsid w:val="00590FAE"/>
    <w:rsid w:val="005910AC"/>
    <w:rsid w:val="00592201"/>
    <w:rsid w:val="00592AD0"/>
    <w:rsid w:val="00592B98"/>
    <w:rsid w:val="005934D5"/>
    <w:rsid w:val="00593509"/>
    <w:rsid w:val="00594601"/>
    <w:rsid w:val="00594778"/>
    <w:rsid w:val="00594856"/>
    <w:rsid w:val="0059602D"/>
    <w:rsid w:val="00596185"/>
    <w:rsid w:val="00597CC4"/>
    <w:rsid w:val="005A0A1D"/>
    <w:rsid w:val="005A1474"/>
    <w:rsid w:val="005A20DF"/>
    <w:rsid w:val="005A3B53"/>
    <w:rsid w:val="005A447E"/>
    <w:rsid w:val="005A47CB"/>
    <w:rsid w:val="005A5D01"/>
    <w:rsid w:val="005A6AF7"/>
    <w:rsid w:val="005B0007"/>
    <w:rsid w:val="005B131A"/>
    <w:rsid w:val="005B16E4"/>
    <w:rsid w:val="005B1B0D"/>
    <w:rsid w:val="005B3554"/>
    <w:rsid w:val="005B361A"/>
    <w:rsid w:val="005B4112"/>
    <w:rsid w:val="005B464C"/>
    <w:rsid w:val="005B5749"/>
    <w:rsid w:val="005B63DF"/>
    <w:rsid w:val="005C0EEF"/>
    <w:rsid w:val="005C1197"/>
    <w:rsid w:val="005C1403"/>
    <w:rsid w:val="005C217B"/>
    <w:rsid w:val="005C24C4"/>
    <w:rsid w:val="005C56EC"/>
    <w:rsid w:val="005D00E7"/>
    <w:rsid w:val="005D0885"/>
    <w:rsid w:val="005D0A08"/>
    <w:rsid w:val="005D1657"/>
    <w:rsid w:val="005D26BE"/>
    <w:rsid w:val="005D34AD"/>
    <w:rsid w:val="005D3D27"/>
    <w:rsid w:val="005D4202"/>
    <w:rsid w:val="005D594F"/>
    <w:rsid w:val="005D5A32"/>
    <w:rsid w:val="005D61C0"/>
    <w:rsid w:val="005D6A0B"/>
    <w:rsid w:val="005D7619"/>
    <w:rsid w:val="005D7873"/>
    <w:rsid w:val="005E010C"/>
    <w:rsid w:val="005E0BA7"/>
    <w:rsid w:val="005E1F92"/>
    <w:rsid w:val="005E2331"/>
    <w:rsid w:val="005E24AF"/>
    <w:rsid w:val="005E2517"/>
    <w:rsid w:val="005E25AA"/>
    <w:rsid w:val="005E4B3A"/>
    <w:rsid w:val="005E4E3F"/>
    <w:rsid w:val="005E52B3"/>
    <w:rsid w:val="005E6C4B"/>
    <w:rsid w:val="005E6E68"/>
    <w:rsid w:val="005E7AF3"/>
    <w:rsid w:val="005F1609"/>
    <w:rsid w:val="005F3DE2"/>
    <w:rsid w:val="005F46F4"/>
    <w:rsid w:val="005F4792"/>
    <w:rsid w:val="005F4AA3"/>
    <w:rsid w:val="005F501F"/>
    <w:rsid w:val="005F5402"/>
    <w:rsid w:val="005F5E92"/>
    <w:rsid w:val="005F6DFD"/>
    <w:rsid w:val="005F6F06"/>
    <w:rsid w:val="005F7460"/>
    <w:rsid w:val="005F7E85"/>
    <w:rsid w:val="006009E4"/>
    <w:rsid w:val="006019D0"/>
    <w:rsid w:val="00601DA7"/>
    <w:rsid w:val="00601FAC"/>
    <w:rsid w:val="006022A6"/>
    <w:rsid w:val="0060369F"/>
    <w:rsid w:val="00603C52"/>
    <w:rsid w:val="00604BE9"/>
    <w:rsid w:val="00605292"/>
    <w:rsid w:val="00610DDF"/>
    <w:rsid w:val="00610F0D"/>
    <w:rsid w:val="00611F91"/>
    <w:rsid w:val="00612243"/>
    <w:rsid w:val="00612FF8"/>
    <w:rsid w:val="0061320D"/>
    <w:rsid w:val="00613E81"/>
    <w:rsid w:val="00613EA6"/>
    <w:rsid w:val="006143D0"/>
    <w:rsid w:val="00615725"/>
    <w:rsid w:val="00615DBE"/>
    <w:rsid w:val="00617241"/>
    <w:rsid w:val="006176BA"/>
    <w:rsid w:val="00620E13"/>
    <w:rsid w:val="00620F83"/>
    <w:rsid w:val="006214E2"/>
    <w:rsid w:val="00621F89"/>
    <w:rsid w:val="00622D47"/>
    <w:rsid w:val="00623526"/>
    <w:rsid w:val="00623738"/>
    <w:rsid w:val="00623CCF"/>
    <w:rsid w:val="00623D74"/>
    <w:rsid w:val="006246B6"/>
    <w:rsid w:val="00624975"/>
    <w:rsid w:val="006255DD"/>
    <w:rsid w:val="00625AC1"/>
    <w:rsid w:val="00625D7C"/>
    <w:rsid w:val="0063047A"/>
    <w:rsid w:val="0063063B"/>
    <w:rsid w:val="00630914"/>
    <w:rsid w:val="00631F78"/>
    <w:rsid w:val="00631FAC"/>
    <w:rsid w:val="006321A6"/>
    <w:rsid w:val="00632C33"/>
    <w:rsid w:val="00633D7F"/>
    <w:rsid w:val="00634C47"/>
    <w:rsid w:val="006356AF"/>
    <w:rsid w:val="006359ED"/>
    <w:rsid w:val="00635B2F"/>
    <w:rsid w:val="00635B4B"/>
    <w:rsid w:val="0063675A"/>
    <w:rsid w:val="0064050B"/>
    <w:rsid w:val="0064116B"/>
    <w:rsid w:val="00641654"/>
    <w:rsid w:val="00641FC1"/>
    <w:rsid w:val="006425EA"/>
    <w:rsid w:val="006426FB"/>
    <w:rsid w:val="00642840"/>
    <w:rsid w:val="006438E8"/>
    <w:rsid w:val="006439A9"/>
    <w:rsid w:val="00643A5D"/>
    <w:rsid w:val="0064442E"/>
    <w:rsid w:val="00645C52"/>
    <w:rsid w:val="0064746C"/>
    <w:rsid w:val="0064776E"/>
    <w:rsid w:val="00650D4A"/>
    <w:rsid w:val="00650F37"/>
    <w:rsid w:val="00651944"/>
    <w:rsid w:val="00651D5F"/>
    <w:rsid w:val="00651F1D"/>
    <w:rsid w:val="006523BE"/>
    <w:rsid w:val="006524E9"/>
    <w:rsid w:val="00652636"/>
    <w:rsid w:val="006530E6"/>
    <w:rsid w:val="006536BE"/>
    <w:rsid w:val="00653E30"/>
    <w:rsid w:val="0065423E"/>
    <w:rsid w:val="006543C9"/>
    <w:rsid w:val="00654605"/>
    <w:rsid w:val="00655221"/>
    <w:rsid w:val="00655A3B"/>
    <w:rsid w:val="0065634F"/>
    <w:rsid w:val="0065660C"/>
    <w:rsid w:val="006576CD"/>
    <w:rsid w:val="00657734"/>
    <w:rsid w:val="006614E3"/>
    <w:rsid w:val="00661ED1"/>
    <w:rsid w:val="00662920"/>
    <w:rsid w:val="00662964"/>
    <w:rsid w:val="00662A5B"/>
    <w:rsid w:val="00663BC0"/>
    <w:rsid w:val="00663D97"/>
    <w:rsid w:val="006646E2"/>
    <w:rsid w:val="00664969"/>
    <w:rsid w:val="006662F2"/>
    <w:rsid w:val="00666CB0"/>
    <w:rsid w:val="0066757D"/>
    <w:rsid w:val="00667CDB"/>
    <w:rsid w:val="00667D73"/>
    <w:rsid w:val="006727DD"/>
    <w:rsid w:val="00673001"/>
    <w:rsid w:val="00673300"/>
    <w:rsid w:val="00673907"/>
    <w:rsid w:val="00673EE9"/>
    <w:rsid w:val="00673F22"/>
    <w:rsid w:val="006740DC"/>
    <w:rsid w:val="00674302"/>
    <w:rsid w:val="00674796"/>
    <w:rsid w:val="00675711"/>
    <w:rsid w:val="00676563"/>
    <w:rsid w:val="00676930"/>
    <w:rsid w:val="0067696C"/>
    <w:rsid w:val="00680F57"/>
    <w:rsid w:val="00681BF8"/>
    <w:rsid w:val="00683490"/>
    <w:rsid w:val="00683806"/>
    <w:rsid w:val="006856D0"/>
    <w:rsid w:val="0068594B"/>
    <w:rsid w:val="0068651C"/>
    <w:rsid w:val="006908C7"/>
    <w:rsid w:val="006909B3"/>
    <w:rsid w:val="00690F04"/>
    <w:rsid w:val="0069144E"/>
    <w:rsid w:val="0069191F"/>
    <w:rsid w:val="00691B6B"/>
    <w:rsid w:val="00692B35"/>
    <w:rsid w:val="00692BC2"/>
    <w:rsid w:val="00692D63"/>
    <w:rsid w:val="00694413"/>
    <w:rsid w:val="00694A9A"/>
    <w:rsid w:val="0069598D"/>
    <w:rsid w:val="00695F11"/>
    <w:rsid w:val="00695F75"/>
    <w:rsid w:val="00697BD1"/>
    <w:rsid w:val="006A09F3"/>
    <w:rsid w:val="006A0D07"/>
    <w:rsid w:val="006A11CC"/>
    <w:rsid w:val="006A4096"/>
    <w:rsid w:val="006A4DE3"/>
    <w:rsid w:val="006A695E"/>
    <w:rsid w:val="006A6EAC"/>
    <w:rsid w:val="006A6ED3"/>
    <w:rsid w:val="006B058A"/>
    <w:rsid w:val="006B2067"/>
    <w:rsid w:val="006B33C7"/>
    <w:rsid w:val="006B340B"/>
    <w:rsid w:val="006B39B8"/>
    <w:rsid w:val="006B3A7F"/>
    <w:rsid w:val="006B3A8B"/>
    <w:rsid w:val="006B3F79"/>
    <w:rsid w:val="006B4B10"/>
    <w:rsid w:val="006B4F14"/>
    <w:rsid w:val="006B5238"/>
    <w:rsid w:val="006B6173"/>
    <w:rsid w:val="006B61AA"/>
    <w:rsid w:val="006B63F7"/>
    <w:rsid w:val="006B6FF9"/>
    <w:rsid w:val="006B7737"/>
    <w:rsid w:val="006B7FA1"/>
    <w:rsid w:val="006C01AD"/>
    <w:rsid w:val="006C06A7"/>
    <w:rsid w:val="006C06B2"/>
    <w:rsid w:val="006C0ABF"/>
    <w:rsid w:val="006C0D75"/>
    <w:rsid w:val="006C11CE"/>
    <w:rsid w:val="006C19BF"/>
    <w:rsid w:val="006C2E26"/>
    <w:rsid w:val="006C34EF"/>
    <w:rsid w:val="006C3B7D"/>
    <w:rsid w:val="006C3CEB"/>
    <w:rsid w:val="006C43DD"/>
    <w:rsid w:val="006C477B"/>
    <w:rsid w:val="006C4ECE"/>
    <w:rsid w:val="006C52BE"/>
    <w:rsid w:val="006C5C59"/>
    <w:rsid w:val="006C6516"/>
    <w:rsid w:val="006C6F2E"/>
    <w:rsid w:val="006C76F4"/>
    <w:rsid w:val="006C7C5B"/>
    <w:rsid w:val="006D0B68"/>
    <w:rsid w:val="006D1233"/>
    <w:rsid w:val="006D1945"/>
    <w:rsid w:val="006D19A5"/>
    <w:rsid w:val="006D2034"/>
    <w:rsid w:val="006D25E3"/>
    <w:rsid w:val="006D2D85"/>
    <w:rsid w:val="006D3411"/>
    <w:rsid w:val="006D38A1"/>
    <w:rsid w:val="006D4CA1"/>
    <w:rsid w:val="006D4F66"/>
    <w:rsid w:val="006D53BD"/>
    <w:rsid w:val="006D572D"/>
    <w:rsid w:val="006D61D7"/>
    <w:rsid w:val="006D6EAD"/>
    <w:rsid w:val="006D73CD"/>
    <w:rsid w:val="006E1132"/>
    <w:rsid w:val="006E11DD"/>
    <w:rsid w:val="006E165B"/>
    <w:rsid w:val="006E1FFC"/>
    <w:rsid w:val="006E2797"/>
    <w:rsid w:val="006E37C9"/>
    <w:rsid w:val="006E3889"/>
    <w:rsid w:val="006E469F"/>
    <w:rsid w:val="006E4DCE"/>
    <w:rsid w:val="006E70A0"/>
    <w:rsid w:val="006F0D03"/>
    <w:rsid w:val="006F134B"/>
    <w:rsid w:val="006F181F"/>
    <w:rsid w:val="006F197F"/>
    <w:rsid w:val="006F2B09"/>
    <w:rsid w:val="006F3E5F"/>
    <w:rsid w:val="006F5C1A"/>
    <w:rsid w:val="006F5EAE"/>
    <w:rsid w:val="006F6BC8"/>
    <w:rsid w:val="006F6D92"/>
    <w:rsid w:val="006F799C"/>
    <w:rsid w:val="006F7A81"/>
    <w:rsid w:val="006F7BE5"/>
    <w:rsid w:val="00700A95"/>
    <w:rsid w:val="00700EC3"/>
    <w:rsid w:val="00700FA9"/>
    <w:rsid w:val="00701005"/>
    <w:rsid w:val="007016F8"/>
    <w:rsid w:val="00702478"/>
    <w:rsid w:val="00702AE3"/>
    <w:rsid w:val="0070332D"/>
    <w:rsid w:val="00703461"/>
    <w:rsid w:val="007045F2"/>
    <w:rsid w:val="00704D5D"/>
    <w:rsid w:val="0070500F"/>
    <w:rsid w:val="007054E4"/>
    <w:rsid w:val="00705F7B"/>
    <w:rsid w:val="007068B7"/>
    <w:rsid w:val="00707D09"/>
    <w:rsid w:val="00710A6C"/>
    <w:rsid w:val="007112DC"/>
    <w:rsid w:val="00711D4E"/>
    <w:rsid w:val="0071265E"/>
    <w:rsid w:val="007132FE"/>
    <w:rsid w:val="00714858"/>
    <w:rsid w:val="0071486D"/>
    <w:rsid w:val="00714D13"/>
    <w:rsid w:val="00714E38"/>
    <w:rsid w:val="007166CD"/>
    <w:rsid w:val="00717571"/>
    <w:rsid w:val="00720256"/>
    <w:rsid w:val="0072056A"/>
    <w:rsid w:val="00720ADA"/>
    <w:rsid w:val="00721F21"/>
    <w:rsid w:val="007224EE"/>
    <w:rsid w:val="0072260C"/>
    <w:rsid w:val="00722A39"/>
    <w:rsid w:val="00723D55"/>
    <w:rsid w:val="00723F95"/>
    <w:rsid w:val="00723FE1"/>
    <w:rsid w:val="007240A7"/>
    <w:rsid w:val="00725666"/>
    <w:rsid w:val="00725684"/>
    <w:rsid w:val="007275D5"/>
    <w:rsid w:val="00727C6E"/>
    <w:rsid w:val="00727DF3"/>
    <w:rsid w:val="00730635"/>
    <w:rsid w:val="0073124C"/>
    <w:rsid w:val="00731E5F"/>
    <w:rsid w:val="00732140"/>
    <w:rsid w:val="00732C11"/>
    <w:rsid w:val="00732CD6"/>
    <w:rsid w:val="0073427C"/>
    <w:rsid w:val="00734644"/>
    <w:rsid w:val="00734C4F"/>
    <w:rsid w:val="00734CFB"/>
    <w:rsid w:val="007356E3"/>
    <w:rsid w:val="007360ED"/>
    <w:rsid w:val="00736BE7"/>
    <w:rsid w:val="00737A2F"/>
    <w:rsid w:val="00737B38"/>
    <w:rsid w:val="00737C51"/>
    <w:rsid w:val="007402BF"/>
    <w:rsid w:val="00740DD9"/>
    <w:rsid w:val="0074240C"/>
    <w:rsid w:val="00742B8C"/>
    <w:rsid w:val="007438E1"/>
    <w:rsid w:val="00744263"/>
    <w:rsid w:val="007443F2"/>
    <w:rsid w:val="00745301"/>
    <w:rsid w:val="007457DB"/>
    <w:rsid w:val="00746CE3"/>
    <w:rsid w:val="00750432"/>
    <w:rsid w:val="00750997"/>
    <w:rsid w:val="00751751"/>
    <w:rsid w:val="00751995"/>
    <w:rsid w:val="00751AA6"/>
    <w:rsid w:val="00752B36"/>
    <w:rsid w:val="007534CE"/>
    <w:rsid w:val="0075520A"/>
    <w:rsid w:val="00757AD4"/>
    <w:rsid w:val="00760236"/>
    <w:rsid w:val="00760849"/>
    <w:rsid w:val="007609A5"/>
    <w:rsid w:val="00760DBD"/>
    <w:rsid w:val="00761719"/>
    <w:rsid w:val="007618DC"/>
    <w:rsid w:val="0076321A"/>
    <w:rsid w:val="007639F9"/>
    <w:rsid w:val="00763EDE"/>
    <w:rsid w:val="007643C1"/>
    <w:rsid w:val="007647B1"/>
    <w:rsid w:val="0076495D"/>
    <w:rsid w:val="00764F17"/>
    <w:rsid w:val="007652F6"/>
    <w:rsid w:val="00765D54"/>
    <w:rsid w:val="00765D57"/>
    <w:rsid w:val="00766EE3"/>
    <w:rsid w:val="00766F3D"/>
    <w:rsid w:val="00767798"/>
    <w:rsid w:val="00767A07"/>
    <w:rsid w:val="007703D0"/>
    <w:rsid w:val="00770959"/>
    <w:rsid w:val="007709B6"/>
    <w:rsid w:val="00771394"/>
    <w:rsid w:val="007714D5"/>
    <w:rsid w:val="00771AC3"/>
    <w:rsid w:val="00772A06"/>
    <w:rsid w:val="0077349D"/>
    <w:rsid w:val="007736B5"/>
    <w:rsid w:val="007742E2"/>
    <w:rsid w:val="00775600"/>
    <w:rsid w:val="00775AE9"/>
    <w:rsid w:val="00775F99"/>
    <w:rsid w:val="0077638E"/>
    <w:rsid w:val="007776C9"/>
    <w:rsid w:val="00777AED"/>
    <w:rsid w:val="007800D4"/>
    <w:rsid w:val="00780129"/>
    <w:rsid w:val="00780446"/>
    <w:rsid w:val="0078063A"/>
    <w:rsid w:val="007807E9"/>
    <w:rsid w:val="00780A5E"/>
    <w:rsid w:val="00780D0F"/>
    <w:rsid w:val="0078107F"/>
    <w:rsid w:val="007819D1"/>
    <w:rsid w:val="007821C0"/>
    <w:rsid w:val="007822D0"/>
    <w:rsid w:val="00782834"/>
    <w:rsid w:val="00783FFD"/>
    <w:rsid w:val="007844D6"/>
    <w:rsid w:val="00784E13"/>
    <w:rsid w:val="00787A1E"/>
    <w:rsid w:val="00787C65"/>
    <w:rsid w:val="00787CC8"/>
    <w:rsid w:val="00791EF3"/>
    <w:rsid w:val="00793673"/>
    <w:rsid w:val="00793ED4"/>
    <w:rsid w:val="0079523D"/>
    <w:rsid w:val="007979F0"/>
    <w:rsid w:val="00797AB0"/>
    <w:rsid w:val="00797D38"/>
    <w:rsid w:val="007A0B05"/>
    <w:rsid w:val="007A242C"/>
    <w:rsid w:val="007A2624"/>
    <w:rsid w:val="007A3A28"/>
    <w:rsid w:val="007A4482"/>
    <w:rsid w:val="007A5CF9"/>
    <w:rsid w:val="007A5F7C"/>
    <w:rsid w:val="007A6198"/>
    <w:rsid w:val="007A69F2"/>
    <w:rsid w:val="007A6AA8"/>
    <w:rsid w:val="007A6C05"/>
    <w:rsid w:val="007A705C"/>
    <w:rsid w:val="007A7650"/>
    <w:rsid w:val="007B3A85"/>
    <w:rsid w:val="007B3EA4"/>
    <w:rsid w:val="007B43D6"/>
    <w:rsid w:val="007B4CF4"/>
    <w:rsid w:val="007B4ECF"/>
    <w:rsid w:val="007B5763"/>
    <w:rsid w:val="007B5908"/>
    <w:rsid w:val="007B6339"/>
    <w:rsid w:val="007B656F"/>
    <w:rsid w:val="007B6691"/>
    <w:rsid w:val="007B6960"/>
    <w:rsid w:val="007B6B33"/>
    <w:rsid w:val="007B6C18"/>
    <w:rsid w:val="007B6E4E"/>
    <w:rsid w:val="007B702E"/>
    <w:rsid w:val="007B76E1"/>
    <w:rsid w:val="007C0A0C"/>
    <w:rsid w:val="007C0C0E"/>
    <w:rsid w:val="007C177E"/>
    <w:rsid w:val="007C17A0"/>
    <w:rsid w:val="007C2083"/>
    <w:rsid w:val="007C29B1"/>
    <w:rsid w:val="007C31B0"/>
    <w:rsid w:val="007C3BCA"/>
    <w:rsid w:val="007C4A42"/>
    <w:rsid w:val="007C4DB4"/>
    <w:rsid w:val="007C6E25"/>
    <w:rsid w:val="007C79DA"/>
    <w:rsid w:val="007D0251"/>
    <w:rsid w:val="007D0FFD"/>
    <w:rsid w:val="007D125B"/>
    <w:rsid w:val="007D2376"/>
    <w:rsid w:val="007D3115"/>
    <w:rsid w:val="007D3262"/>
    <w:rsid w:val="007D3A0A"/>
    <w:rsid w:val="007D3B3D"/>
    <w:rsid w:val="007D59D3"/>
    <w:rsid w:val="007D74A4"/>
    <w:rsid w:val="007D7FDB"/>
    <w:rsid w:val="007E01B4"/>
    <w:rsid w:val="007E038F"/>
    <w:rsid w:val="007E1031"/>
    <w:rsid w:val="007E1753"/>
    <w:rsid w:val="007E21D9"/>
    <w:rsid w:val="007E2A55"/>
    <w:rsid w:val="007E61B3"/>
    <w:rsid w:val="007E6309"/>
    <w:rsid w:val="007E633C"/>
    <w:rsid w:val="007E6740"/>
    <w:rsid w:val="007E6C77"/>
    <w:rsid w:val="007E7208"/>
    <w:rsid w:val="007E7FAC"/>
    <w:rsid w:val="007E7FDA"/>
    <w:rsid w:val="007F007F"/>
    <w:rsid w:val="007F11A2"/>
    <w:rsid w:val="007F140B"/>
    <w:rsid w:val="007F1587"/>
    <w:rsid w:val="007F1C35"/>
    <w:rsid w:val="007F272F"/>
    <w:rsid w:val="007F296E"/>
    <w:rsid w:val="007F2D87"/>
    <w:rsid w:val="007F36E6"/>
    <w:rsid w:val="007F38B0"/>
    <w:rsid w:val="007F39D6"/>
    <w:rsid w:val="007F3FD4"/>
    <w:rsid w:val="007F3FEE"/>
    <w:rsid w:val="007F50BF"/>
    <w:rsid w:val="007F51C8"/>
    <w:rsid w:val="007F57E9"/>
    <w:rsid w:val="007F5F02"/>
    <w:rsid w:val="007F6911"/>
    <w:rsid w:val="007F6BCE"/>
    <w:rsid w:val="007F7422"/>
    <w:rsid w:val="007F78D5"/>
    <w:rsid w:val="007F7A49"/>
    <w:rsid w:val="00800037"/>
    <w:rsid w:val="00800469"/>
    <w:rsid w:val="0080071D"/>
    <w:rsid w:val="00800ABC"/>
    <w:rsid w:val="00800E2A"/>
    <w:rsid w:val="00801B31"/>
    <w:rsid w:val="008020E9"/>
    <w:rsid w:val="0080217B"/>
    <w:rsid w:val="0080239C"/>
    <w:rsid w:val="008025E4"/>
    <w:rsid w:val="00802D02"/>
    <w:rsid w:val="00803796"/>
    <w:rsid w:val="00803BE4"/>
    <w:rsid w:val="00804143"/>
    <w:rsid w:val="00804F7C"/>
    <w:rsid w:val="0080546C"/>
    <w:rsid w:val="00805BF3"/>
    <w:rsid w:val="008063D1"/>
    <w:rsid w:val="00806585"/>
    <w:rsid w:val="00806CAD"/>
    <w:rsid w:val="00807712"/>
    <w:rsid w:val="0081069B"/>
    <w:rsid w:val="0081164B"/>
    <w:rsid w:val="008118FB"/>
    <w:rsid w:val="00811AA1"/>
    <w:rsid w:val="00812595"/>
    <w:rsid w:val="00812D7C"/>
    <w:rsid w:val="008131A2"/>
    <w:rsid w:val="00813259"/>
    <w:rsid w:val="0081327E"/>
    <w:rsid w:val="008140B5"/>
    <w:rsid w:val="0081590C"/>
    <w:rsid w:val="00815CC6"/>
    <w:rsid w:val="00820BB0"/>
    <w:rsid w:val="00821184"/>
    <w:rsid w:val="0082152D"/>
    <w:rsid w:val="00821A90"/>
    <w:rsid w:val="00822989"/>
    <w:rsid w:val="00825275"/>
    <w:rsid w:val="00825A69"/>
    <w:rsid w:val="0082698F"/>
    <w:rsid w:val="008309F5"/>
    <w:rsid w:val="008319BD"/>
    <w:rsid w:val="00831CBE"/>
    <w:rsid w:val="0083383E"/>
    <w:rsid w:val="00834461"/>
    <w:rsid w:val="0083460B"/>
    <w:rsid w:val="00835B8D"/>
    <w:rsid w:val="00835DAB"/>
    <w:rsid w:val="00836D3F"/>
    <w:rsid w:val="00837B1C"/>
    <w:rsid w:val="008406C4"/>
    <w:rsid w:val="0084072C"/>
    <w:rsid w:val="00840827"/>
    <w:rsid w:val="00840D07"/>
    <w:rsid w:val="00841181"/>
    <w:rsid w:val="00841342"/>
    <w:rsid w:val="00841F02"/>
    <w:rsid w:val="008423FF"/>
    <w:rsid w:val="008432C3"/>
    <w:rsid w:val="008432CC"/>
    <w:rsid w:val="008435FD"/>
    <w:rsid w:val="00843C8D"/>
    <w:rsid w:val="00844106"/>
    <w:rsid w:val="00844326"/>
    <w:rsid w:val="00844A31"/>
    <w:rsid w:val="008454FE"/>
    <w:rsid w:val="00851C66"/>
    <w:rsid w:val="0085205B"/>
    <w:rsid w:val="00852572"/>
    <w:rsid w:val="00853164"/>
    <w:rsid w:val="008534E7"/>
    <w:rsid w:val="008542E5"/>
    <w:rsid w:val="008557FB"/>
    <w:rsid w:val="00860BFA"/>
    <w:rsid w:val="00861D6E"/>
    <w:rsid w:val="0086247F"/>
    <w:rsid w:val="0086261D"/>
    <w:rsid w:val="00863DCD"/>
    <w:rsid w:val="008643C3"/>
    <w:rsid w:val="00864945"/>
    <w:rsid w:val="008650B1"/>
    <w:rsid w:val="008658B8"/>
    <w:rsid w:val="00865CF5"/>
    <w:rsid w:val="0086653F"/>
    <w:rsid w:val="0086722D"/>
    <w:rsid w:val="0086758F"/>
    <w:rsid w:val="00867BEF"/>
    <w:rsid w:val="00867D9A"/>
    <w:rsid w:val="00867F5E"/>
    <w:rsid w:val="008707E8"/>
    <w:rsid w:val="0087155E"/>
    <w:rsid w:val="008721C4"/>
    <w:rsid w:val="008726C2"/>
    <w:rsid w:val="008737E3"/>
    <w:rsid w:val="008750A6"/>
    <w:rsid w:val="0087593F"/>
    <w:rsid w:val="008767A8"/>
    <w:rsid w:val="00880014"/>
    <w:rsid w:val="00881288"/>
    <w:rsid w:val="008815BA"/>
    <w:rsid w:val="008815E3"/>
    <w:rsid w:val="00882380"/>
    <w:rsid w:val="00882553"/>
    <w:rsid w:val="00883B40"/>
    <w:rsid w:val="0088443E"/>
    <w:rsid w:val="00884C38"/>
    <w:rsid w:val="008854F1"/>
    <w:rsid w:val="00885FDE"/>
    <w:rsid w:val="008863B3"/>
    <w:rsid w:val="00886AEB"/>
    <w:rsid w:val="0088783F"/>
    <w:rsid w:val="0089032A"/>
    <w:rsid w:val="00890CD8"/>
    <w:rsid w:val="008916F9"/>
    <w:rsid w:val="00891857"/>
    <w:rsid w:val="00891A84"/>
    <w:rsid w:val="0089241D"/>
    <w:rsid w:val="008929E6"/>
    <w:rsid w:val="00894432"/>
    <w:rsid w:val="0089474F"/>
    <w:rsid w:val="0089540C"/>
    <w:rsid w:val="00895AA7"/>
    <w:rsid w:val="00895CAD"/>
    <w:rsid w:val="00896C46"/>
    <w:rsid w:val="00897030"/>
    <w:rsid w:val="008977A8"/>
    <w:rsid w:val="008A01A4"/>
    <w:rsid w:val="008A02AE"/>
    <w:rsid w:val="008A0F0F"/>
    <w:rsid w:val="008A1295"/>
    <w:rsid w:val="008A1F4B"/>
    <w:rsid w:val="008A23CB"/>
    <w:rsid w:val="008A242D"/>
    <w:rsid w:val="008A2810"/>
    <w:rsid w:val="008A2FD4"/>
    <w:rsid w:val="008A37CC"/>
    <w:rsid w:val="008A3C38"/>
    <w:rsid w:val="008A43C4"/>
    <w:rsid w:val="008A4664"/>
    <w:rsid w:val="008A5FCD"/>
    <w:rsid w:val="008A6080"/>
    <w:rsid w:val="008A6F22"/>
    <w:rsid w:val="008B0341"/>
    <w:rsid w:val="008B0AF5"/>
    <w:rsid w:val="008B0E00"/>
    <w:rsid w:val="008B1F9C"/>
    <w:rsid w:val="008B2226"/>
    <w:rsid w:val="008B2FEC"/>
    <w:rsid w:val="008B31BA"/>
    <w:rsid w:val="008B3BB0"/>
    <w:rsid w:val="008B424B"/>
    <w:rsid w:val="008B4877"/>
    <w:rsid w:val="008B54BA"/>
    <w:rsid w:val="008B5E6D"/>
    <w:rsid w:val="008B7552"/>
    <w:rsid w:val="008C012D"/>
    <w:rsid w:val="008C034A"/>
    <w:rsid w:val="008C0F33"/>
    <w:rsid w:val="008C3424"/>
    <w:rsid w:val="008C387A"/>
    <w:rsid w:val="008C45E1"/>
    <w:rsid w:val="008C5695"/>
    <w:rsid w:val="008C5E9A"/>
    <w:rsid w:val="008C634F"/>
    <w:rsid w:val="008C673D"/>
    <w:rsid w:val="008C7088"/>
    <w:rsid w:val="008C72CF"/>
    <w:rsid w:val="008C7B82"/>
    <w:rsid w:val="008C7C7D"/>
    <w:rsid w:val="008C7DB5"/>
    <w:rsid w:val="008D0222"/>
    <w:rsid w:val="008D1488"/>
    <w:rsid w:val="008D1989"/>
    <w:rsid w:val="008D1AF1"/>
    <w:rsid w:val="008D23E8"/>
    <w:rsid w:val="008D3615"/>
    <w:rsid w:val="008D4594"/>
    <w:rsid w:val="008D66FC"/>
    <w:rsid w:val="008D691D"/>
    <w:rsid w:val="008D7906"/>
    <w:rsid w:val="008E1068"/>
    <w:rsid w:val="008E2B21"/>
    <w:rsid w:val="008E2EE8"/>
    <w:rsid w:val="008E42E1"/>
    <w:rsid w:val="008E4C51"/>
    <w:rsid w:val="008E5155"/>
    <w:rsid w:val="008E52E3"/>
    <w:rsid w:val="008E5D1F"/>
    <w:rsid w:val="008E5FF4"/>
    <w:rsid w:val="008E6DB8"/>
    <w:rsid w:val="008F0142"/>
    <w:rsid w:val="008F01EE"/>
    <w:rsid w:val="008F03F4"/>
    <w:rsid w:val="008F0F0D"/>
    <w:rsid w:val="008F0FEC"/>
    <w:rsid w:val="008F2365"/>
    <w:rsid w:val="008F3926"/>
    <w:rsid w:val="008F4969"/>
    <w:rsid w:val="008F54CC"/>
    <w:rsid w:val="008F6004"/>
    <w:rsid w:val="008F7101"/>
    <w:rsid w:val="009011CB"/>
    <w:rsid w:val="00901776"/>
    <w:rsid w:val="00901917"/>
    <w:rsid w:val="0090260C"/>
    <w:rsid w:val="00902C9B"/>
    <w:rsid w:val="00903557"/>
    <w:rsid w:val="009051AF"/>
    <w:rsid w:val="00905DD9"/>
    <w:rsid w:val="00906070"/>
    <w:rsid w:val="009063C8"/>
    <w:rsid w:val="0090698F"/>
    <w:rsid w:val="00906DC1"/>
    <w:rsid w:val="00907FFB"/>
    <w:rsid w:val="0091284B"/>
    <w:rsid w:val="009133C5"/>
    <w:rsid w:val="009147ED"/>
    <w:rsid w:val="00914F7F"/>
    <w:rsid w:val="00915481"/>
    <w:rsid w:val="009154B1"/>
    <w:rsid w:val="00915C5F"/>
    <w:rsid w:val="009160CB"/>
    <w:rsid w:val="00916899"/>
    <w:rsid w:val="00916DD5"/>
    <w:rsid w:val="00917E8E"/>
    <w:rsid w:val="00920AAD"/>
    <w:rsid w:val="00920E36"/>
    <w:rsid w:val="00921704"/>
    <w:rsid w:val="00921D3F"/>
    <w:rsid w:val="0092222E"/>
    <w:rsid w:val="00922B9A"/>
    <w:rsid w:val="00923B98"/>
    <w:rsid w:val="00923DD7"/>
    <w:rsid w:val="00923F37"/>
    <w:rsid w:val="00924736"/>
    <w:rsid w:val="00925789"/>
    <w:rsid w:val="00925F73"/>
    <w:rsid w:val="0092627F"/>
    <w:rsid w:val="009265CC"/>
    <w:rsid w:val="009266EE"/>
    <w:rsid w:val="00927127"/>
    <w:rsid w:val="0092766F"/>
    <w:rsid w:val="00927C86"/>
    <w:rsid w:val="0093100E"/>
    <w:rsid w:val="00931209"/>
    <w:rsid w:val="00931494"/>
    <w:rsid w:val="009320F9"/>
    <w:rsid w:val="009322AF"/>
    <w:rsid w:val="0093248B"/>
    <w:rsid w:val="00933124"/>
    <w:rsid w:val="009332B7"/>
    <w:rsid w:val="009333FE"/>
    <w:rsid w:val="00933538"/>
    <w:rsid w:val="0093368D"/>
    <w:rsid w:val="00934993"/>
    <w:rsid w:val="0093665F"/>
    <w:rsid w:val="00937415"/>
    <w:rsid w:val="00937C90"/>
    <w:rsid w:val="00937E80"/>
    <w:rsid w:val="0094029F"/>
    <w:rsid w:val="00940D9C"/>
    <w:rsid w:val="0094115B"/>
    <w:rsid w:val="00941C20"/>
    <w:rsid w:val="009427EA"/>
    <w:rsid w:val="0094293E"/>
    <w:rsid w:val="0094340B"/>
    <w:rsid w:val="00945560"/>
    <w:rsid w:val="00945E93"/>
    <w:rsid w:val="0094628D"/>
    <w:rsid w:val="00946D04"/>
    <w:rsid w:val="0094702D"/>
    <w:rsid w:val="00950880"/>
    <w:rsid w:val="00950D00"/>
    <w:rsid w:val="00950EB5"/>
    <w:rsid w:val="00951520"/>
    <w:rsid w:val="009515C4"/>
    <w:rsid w:val="00951846"/>
    <w:rsid w:val="009523BA"/>
    <w:rsid w:val="0095287A"/>
    <w:rsid w:val="00953049"/>
    <w:rsid w:val="00953740"/>
    <w:rsid w:val="00954382"/>
    <w:rsid w:val="0095489E"/>
    <w:rsid w:val="009550A8"/>
    <w:rsid w:val="009550EB"/>
    <w:rsid w:val="00955359"/>
    <w:rsid w:val="009564BF"/>
    <w:rsid w:val="009568C2"/>
    <w:rsid w:val="00956E4E"/>
    <w:rsid w:val="00957EB0"/>
    <w:rsid w:val="009604FC"/>
    <w:rsid w:val="009607FD"/>
    <w:rsid w:val="0096086C"/>
    <w:rsid w:val="0096088C"/>
    <w:rsid w:val="00960A39"/>
    <w:rsid w:val="009613D3"/>
    <w:rsid w:val="00961F9A"/>
    <w:rsid w:val="009635A1"/>
    <w:rsid w:val="009641ED"/>
    <w:rsid w:val="00965503"/>
    <w:rsid w:val="00965C57"/>
    <w:rsid w:val="00966BD8"/>
    <w:rsid w:val="009675AF"/>
    <w:rsid w:val="00967E36"/>
    <w:rsid w:val="00970D97"/>
    <w:rsid w:val="00971739"/>
    <w:rsid w:val="0097188E"/>
    <w:rsid w:val="009719F7"/>
    <w:rsid w:val="009728C0"/>
    <w:rsid w:val="00972D53"/>
    <w:rsid w:val="00972EDB"/>
    <w:rsid w:val="009745B8"/>
    <w:rsid w:val="009755F2"/>
    <w:rsid w:val="00975844"/>
    <w:rsid w:val="00975AF0"/>
    <w:rsid w:val="009761AC"/>
    <w:rsid w:val="009762A7"/>
    <w:rsid w:val="00976654"/>
    <w:rsid w:val="00976801"/>
    <w:rsid w:val="0097706F"/>
    <w:rsid w:val="009778B1"/>
    <w:rsid w:val="00977EF2"/>
    <w:rsid w:val="00980BCA"/>
    <w:rsid w:val="00980DF3"/>
    <w:rsid w:val="00981348"/>
    <w:rsid w:val="0098156B"/>
    <w:rsid w:val="009816C6"/>
    <w:rsid w:val="00981A60"/>
    <w:rsid w:val="009828D5"/>
    <w:rsid w:val="00982AFC"/>
    <w:rsid w:val="009832E6"/>
    <w:rsid w:val="009858C3"/>
    <w:rsid w:val="00985D36"/>
    <w:rsid w:val="0098768E"/>
    <w:rsid w:val="00987693"/>
    <w:rsid w:val="00987CD3"/>
    <w:rsid w:val="00990AD1"/>
    <w:rsid w:val="009910D6"/>
    <w:rsid w:val="0099164B"/>
    <w:rsid w:val="00991CC4"/>
    <w:rsid w:val="00992623"/>
    <w:rsid w:val="00992677"/>
    <w:rsid w:val="009949E6"/>
    <w:rsid w:val="00995838"/>
    <w:rsid w:val="00995E10"/>
    <w:rsid w:val="0099620C"/>
    <w:rsid w:val="00996907"/>
    <w:rsid w:val="0099702B"/>
    <w:rsid w:val="00997900"/>
    <w:rsid w:val="00997DC9"/>
    <w:rsid w:val="009A0BE6"/>
    <w:rsid w:val="009A2351"/>
    <w:rsid w:val="009A26A5"/>
    <w:rsid w:val="009A4096"/>
    <w:rsid w:val="009A457C"/>
    <w:rsid w:val="009A475E"/>
    <w:rsid w:val="009A4881"/>
    <w:rsid w:val="009A4E55"/>
    <w:rsid w:val="009A55E8"/>
    <w:rsid w:val="009A6019"/>
    <w:rsid w:val="009A6A0E"/>
    <w:rsid w:val="009A6FBC"/>
    <w:rsid w:val="009A7A58"/>
    <w:rsid w:val="009A7F58"/>
    <w:rsid w:val="009A7FDD"/>
    <w:rsid w:val="009B0661"/>
    <w:rsid w:val="009B101E"/>
    <w:rsid w:val="009B1380"/>
    <w:rsid w:val="009B235A"/>
    <w:rsid w:val="009B2AE2"/>
    <w:rsid w:val="009B3643"/>
    <w:rsid w:val="009B3B32"/>
    <w:rsid w:val="009B3DC0"/>
    <w:rsid w:val="009B455B"/>
    <w:rsid w:val="009B4E04"/>
    <w:rsid w:val="009B542F"/>
    <w:rsid w:val="009B554C"/>
    <w:rsid w:val="009B5BB5"/>
    <w:rsid w:val="009B5DDB"/>
    <w:rsid w:val="009B5FC5"/>
    <w:rsid w:val="009B65A3"/>
    <w:rsid w:val="009B6CF6"/>
    <w:rsid w:val="009B6E0A"/>
    <w:rsid w:val="009C0075"/>
    <w:rsid w:val="009C03EC"/>
    <w:rsid w:val="009C0A32"/>
    <w:rsid w:val="009C0D4E"/>
    <w:rsid w:val="009C0E9A"/>
    <w:rsid w:val="009C249E"/>
    <w:rsid w:val="009C2A9F"/>
    <w:rsid w:val="009C301D"/>
    <w:rsid w:val="009C3F15"/>
    <w:rsid w:val="009C4DF6"/>
    <w:rsid w:val="009C76E8"/>
    <w:rsid w:val="009C796C"/>
    <w:rsid w:val="009D1288"/>
    <w:rsid w:val="009D200B"/>
    <w:rsid w:val="009D23D5"/>
    <w:rsid w:val="009D2DD8"/>
    <w:rsid w:val="009D3E15"/>
    <w:rsid w:val="009D4566"/>
    <w:rsid w:val="009D4981"/>
    <w:rsid w:val="009D5CE7"/>
    <w:rsid w:val="009D632D"/>
    <w:rsid w:val="009D6693"/>
    <w:rsid w:val="009D67DE"/>
    <w:rsid w:val="009D6CD9"/>
    <w:rsid w:val="009D7174"/>
    <w:rsid w:val="009D7304"/>
    <w:rsid w:val="009E0779"/>
    <w:rsid w:val="009E1221"/>
    <w:rsid w:val="009E175F"/>
    <w:rsid w:val="009E1E52"/>
    <w:rsid w:val="009E1F87"/>
    <w:rsid w:val="009E2084"/>
    <w:rsid w:val="009E21E4"/>
    <w:rsid w:val="009E2988"/>
    <w:rsid w:val="009E2B99"/>
    <w:rsid w:val="009E2C00"/>
    <w:rsid w:val="009E3330"/>
    <w:rsid w:val="009E335D"/>
    <w:rsid w:val="009E3EAD"/>
    <w:rsid w:val="009E4A81"/>
    <w:rsid w:val="009E539F"/>
    <w:rsid w:val="009E5557"/>
    <w:rsid w:val="009E56E0"/>
    <w:rsid w:val="009E57CB"/>
    <w:rsid w:val="009E5A5E"/>
    <w:rsid w:val="009E7429"/>
    <w:rsid w:val="009E790E"/>
    <w:rsid w:val="009F106B"/>
    <w:rsid w:val="009F1A93"/>
    <w:rsid w:val="009F2397"/>
    <w:rsid w:val="009F38EC"/>
    <w:rsid w:val="009F4201"/>
    <w:rsid w:val="009F535C"/>
    <w:rsid w:val="009F6E33"/>
    <w:rsid w:val="009F7189"/>
    <w:rsid w:val="009F743E"/>
    <w:rsid w:val="009F760C"/>
    <w:rsid w:val="009F778E"/>
    <w:rsid w:val="009F7C9D"/>
    <w:rsid w:val="00A00D06"/>
    <w:rsid w:val="00A0131D"/>
    <w:rsid w:val="00A0177F"/>
    <w:rsid w:val="00A01A6A"/>
    <w:rsid w:val="00A01D12"/>
    <w:rsid w:val="00A02467"/>
    <w:rsid w:val="00A027D4"/>
    <w:rsid w:val="00A03191"/>
    <w:rsid w:val="00A033E3"/>
    <w:rsid w:val="00A037DB"/>
    <w:rsid w:val="00A03965"/>
    <w:rsid w:val="00A040D8"/>
    <w:rsid w:val="00A04B9C"/>
    <w:rsid w:val="00A062B3"/>
    <w:rsid w:val="00A06941"/>
    <w:rsid w:val="00A07DF1"/>
    <w:rsid w:val="00A07FF1"/>
    <w:rsid w:val="00A101D5"/>
    <w:rsid w:val="00A107DB"/>
    <w:rsid w:val="00A141B8"/>
    <w:rsid w:val="00A143E7"/>
    <w:rsid w:val="00A14D59"/>
    <w:rsid w:val="00A15E40"/>
    <w:rsid w:val="00A1610E"/>
    <w:rsid w:val="00A2026B"/>
    <w:rsid w:val="00A20DB8"/>
    <w:rsid w:val="00A21246"/>
    <w:rsid w:val="00A21310"/>
    <w:rsid w:val="00A21D06"/>
    <w:rsid w:val="00A23FF2"/>
    <w:rsid w:val="00A24079"/>
    <w:rsid w:val="00A244E5"/>
    <w:rsid w:val="00A24FC1"/>
    <w:rsid w:val="00A253F5"/>
    <w:rsid w:val="00A25878"/>
    <w:rsid w:val="00A25A03"/>
    <w:rsid w:val="00A26AF7"/>
    <w:rsid w:val="00A270A7"/>
    <w:rsid w:val="00A2748A"/>
    <w:rsid w:val="00A274C3"/>
    <w:rsid w:val="00A27598"/>
    <w:rsid w:val="00A27D44"/>
    <w:rsid w:val="00A30349"/>
    <w:rsid w:val="00A30530"/>
    <w:rsid w:val="00A31339"/>
    <w:rsid w:val="00A316C0"/>
    <w:rsid w:val="00A3217B"/>
    <w:rsid w:val="00A323E7"/>
    <w:rsid w:val="00A325CE"/>
    <w:rsid w:val="00A32D84"/>
    <w:rsid w:val="00A34655"/>
    <w:rsid w:val="00A3480F"/>
    <w:rsid w:val="00A34CE1"/>
    <w:rsid w:val="00A353D6"/>
    <w:rsid w:val="00A35743"/>
    <w:rsid w:val="00A36223"/>
    <w:rsid w:val="00A3681B"/>
    <w:rsid w:val="00A36EE0"/>
    <w:rsid w:val="00A37325"/>
    <w:rsid w:val="00A37907"/>
    <w:rsid w:val="00A37911"/>
    <w:rsid w:val="00A40303"/>
    <w:rsid w:val="00A4057E"/>
    <w:rsid w:val="00A4067E"/>
    <w:rsid w:val="00A429F8"/>
    <w:rsid w:val="00A42B0E"/>
    <w:rsid w:val="00A439FB"/>
    <w:rsid w:val="00A451DB"/>
    <w:rsid w:val="00A46671"/>
    <w:rsid w:val="00A46CE0"/>
    <w:rsid w:val="00A47557"/>
    <w:rsid w:val="00A47A70"/>
    <w:rsid w:val="00A51A12"/>
    <w:rsid w:val="00A51ECB"/>
    <w:rsid w:val="00A51FB1"/>
    <w:rsid w:val="00A5231F"/>
    <w:rsid w:val="00A52B73"/>
    <w:rsid w:val="00A52FDE"/>
    <w:rsid w:val="00A53866"/>
    <w:rsid w:val="00A55621"/>
    <w:rsid w:val="00A5570D"/>
    <w:rsid w:val="00A55BF3"/>
    <w:rsid w:val="00A55EEE"/>
    <w:rsid w:val="00A561B5"/>
    <w:rsid w:val="00A56CE6"/>
    <w:rsid w:val="00A57F13"/>
    <w:rsid w:val="00A6047B"/>
    <w:rsid w:val="00A60F8F"/>
    <w:rsid w:val="00A615D4"/>
    <w:rsid w:val="00A615FF"/>
    <w:rsid w:val="00A6212E"/>
    <w:rsid w:val="00A624FF"/>
    <w:rsid w:val="00A63EC5"/>
    <w:rsid w:val="00A646ED"/>
    <w:rsid w:val="00A64851"/>
    <w:rsid w:val="00A64F2C"/>
    <w:rsid w:val="00A656E7"/>
    <w:rsid w:val="00A664FD"/>
    <w:rsid w:val="00A666BB"/>
    <w:rsid w:val="00A66C68"/>
    <w:rsid w:val="00A67745"/>
    <w:rsid w:val="00A70116"/>
    <w:rsid w:val="00A70BCB"/>
    <w:rsid w:val="00A70C24"/>
    <w:rsid w:val="00A71184"/>
    <w:rsid w:val="00A72BF0"/>
    <w:rsid w:val="00A72C7A"/>
    <w:rsid w:val="00A72E01"/>
    <w:rsid w:val="00A7323A"/>
    <w:rsid w:val="00A737CB"/>
    <w:rsid w:val="00A73C5C"/>
    <w:rsid w:val="00A740A4"/>
    <w:rsid w:val="00A75E71"/>
    <w:rsid w:val="00A75F76"/>
    <w:rsid w:val="00A77D86"/>
    <w:rsid w:val="00A77DCE"/>
    <w:rsid w:val="00A77FE4"/>
    <w:rsid w:val="00A80CC5"/>
    <w:rsid w:val="00A811DB"/>
    <w:rsid w:val="00A82491"/>
    <w:rsid w:val="00A82A2B"/>
    <w:rsid w:val="00A83A24"/>
    <w:rsid w:val="00A848C2"/>
    <w:rsid w:val="00A85184"/>
    <w:rsid w:val="00A86FC4"/>
    <w:rsid w:val="00A8744E"/>
    <w:rsid w:val="00A8767F"/>
    <w:rsid w:val="00A87AB9"/>
    <w:rsid w:val="00A87FEA"/>
    <w:rsid w:val="00A90551"/>
    <w:rsid w:val="00A91492"/>
    <w:rsid w:val="00A91CCE"/>
    <w:rsid w:val="00A92D25"/>
    <w:rsid w:val="00A93C95"/>
    <w:rsid w:val="00A93E43"/>
    <w:rsid w:val="00A96331"/>
    <w:rsid w:val="00A966E4"/>
    <w:rsid w:val="00A9671A"/>
    <w:rsid w:val="00A973FF"/>
    <w:rsid w:val="00A9743D"/>
    <w:rsid w:val="00A97AC0"/>
    <w:rsid w:val="00A97F09"/>
    <w:rsid w:val="00AA340F"/>
    <w:rsid w:val="00AA3677"/>
    <w:rsid w:val="00AA3FFB"/>
    <w:rsid w:val="00AA4668"/>
    <w:rsid w:val="00AA52B4"/>
    <w:rsid w:val="00AA530B"/>
    <w:rsid w:val="00AA5509"/>
    <w:rsid w:val="00AA6550"/>
    <w:rsid w:val="00AA6F1F"/>
    <w:rsid w:val="00AA724C"/>
    <w:rsid w:val="00AB033E"/>
    <w:rsid w:val="00AB0FB8"/>
    <w:rsid w:val="00AB1C35"/>
    <w:rsid w:val="00AB1CCA"/>
    <w:rsid w:val="00AB2E0A"/>
    <w:rsid w:val="00AB2EC8"/>
    <w:rsid w:val="00AB36FF"/>
    <w:rsid w:val="00AB3CE4"/>
    <w:rsid w:val="00AB453D"/>
    <w:rsid w:val="00AB666D"/>
    <w:rsid w:val="00AB6A02"/>
    <w:rsid w:val="00AB77B2"/>
    <w:rsid w:val="00AB7DA6"/>
    <w:rsid w:val="00AB7E75"/>
    <w:rsid w:val="00AC0EAF"/>
    <w:rsid w:val="00AC0F53"/>
    <w:rsid w:val="00AC1592"/>
    <w:rsid w:val="00AC26FB"/>
    <w:rsid w:val="00AC2DA2"/>
    <w:rsid w:val="00AC4897"/>
    <w:rsid w:val="00AC7099"/>
    <w:rsid w:val="00AD2738"/>
    <w:rsid w:val="00AD331D"/>
    <w:rsid w:val="00AD364C"/>
    <w:rsid w:val="00AD6DE2"/>
    <w:rsid w:val="00AD7AAE"/>
    <w:rsid w:val="00AE0A1B"/>
    <w:rsid w:val="00AE0E0F"/>
    <w:rsid w:val="00AE217E"/>
    <w:rsid w:val="00AE22DD"/>
    <w:rsid w:val="00AE2928"/>
    <w:rsid w:val="00AE2F89"/>
    <w:rsid w:val="00AE32FB"/>
    <w:rsid w:val="00AE354C"/>
    <w:rsid w:val="00AE3E01"/>
    <w:rsid w:val="00AE45C7"/>
    <w:rsid w:val="00AE4668"/>
    <w:rsid w:val="00AE497A"/>
    <w:rsid w:val="00AE4F3F"/>
    <w:rsid w:val="00AE4FE6"/>
    <w:rsid w:val="00AE5503"/>
    <w:rsid w:val="00AE6EEC"/>
    <w:rsid w:val="00AE7206"/>
    <w:rsid w:val="00AF0698"/>
    <w:rsid w:val="00AF14C7"/>
    <w:rsid w:val="00AF1CB3"/>
    <w:rsid w:val="00AF22BD"/>
    <w:rsid w:val="00AF320C"/>
    <w:rsid w:val="00AF46A9"/>
    <w:rsid w:val="00AF4E3C"/>
    <w:rsid w:val="00AF63EC"/>
    <w:rsid w:val="00AF6DF0"/>
    <w:rsid w:val="00AF7FEA"/>
    <w:rsid w:val="00B0109F"/>
    <w:rsid w:val="00B01EE3"/>
    <w:rsid w:val="00B02159"/>
    <w:rsid w:val="00B02488"/>
    <w:rsid w:val="00B0259A"/>
    <w:rsid w:val="00B0312E"/>
    <w:rsid w:val="00B03489"/>
    <w:rsid w:val="00B0478E"/>
    <w:rsid w:val="00B04E7B"/>
    <w:rsid w:val="00B04EBC"/>
    <w:rsid w:val="00B0536D"/>
    <w:rsid w:val="00B05BA4"/>
    <w:rsid w:val="00B05C54"/>
    <w:rsid w:val="00B05DA0"/>
    <w:rsid w:val="00B05EF6"/>
    <w:rsid w:val="00B061A6"/>
    <w:rsid w:val="00B06377"/>
    <w:rsid w:val="00B07A37"/>
    <w:rsid w:val="00B100DE"/>
    <w:rsid w:val="00B114E4"/>
    <w:rsid w:val="00B12534"/>
    <w:rsid w:val="00B126B2"/>
    <w:rsid w:val="00B1429D"/>
    <w:rsid w:val="00B1475D"/>
    <w:rsid w:val="00B15141"/>
    <w:rsid w:val="00B158B5"/>
    <w:rsid w:val="00B15B53"/>
    <w:rsid w:val="00B15B8A"/>
    <w:rsid w:val="00B16507"/>
    <w:rsid w:val="00B16B5B"/>
    <w:rsid w:val="00B17194"/>
    <w:rsid w:val="00B2046C"/>
    <w:rsid w:val="00B210F3"/>
    <w:rsid w:val="00B21768"/>
    <w:rsid w:val="00B21A46"/>
    <w:rsid w:val="00B21CD3"/>
    <w:rsid w:val="00B21E37"/>
    <w:rsid w:val="00B21FD1"/>
    <w:rsid w:val="00B222D7"/>
    <w:rsid w:val="00B22A24"/>
    <w:rsid w:val="00B22E2E"/>
    <w:rsid w:val="00B2400A"/>
    <w:rsid w:val="00B24C19"/>
    <w:rsid w:val="00B25D58"/>
    <w:rsid w:val="00B25E89"/>
    <w:rsid w:val="00B26212"/>
    <w:rsid w:val="00B2673D"/>
    <w:rsid w:val="00B26763"/>
    <w:rsid w:val="00B26A4E"/>
    <w:rsid w:val="00B26C16"/>
    <w:rsid w:val="00B27519"/>
    <w:rsid w:val="00B27AE9"/>
    <w:rsid w:val="00B27B1B"/>
    <w:rsid w:val="00B30499"/>
    <w:rsid w:val="00B31F69"/>
    <w:rsid w:val="00B326FE"/>
    <w:rsid w:val="00B32A2C"/>
    <w:rsid w:val="00B3422A"/>
    <w:rsid w:val="00B34BCA"/>
    <w:rsid w:val="00B35671"/>
    <w:rsid w:val="00B35E4C"/>
    <w:rsid w:val="00B35F4D"/>
    <w:rsid w:val="00B36432"/>
    <w:rsid w:val="00B36BEE"/>
    <w:rsid w:val="00B3710D"/>
    <w:rsid w:val="00B373FF"/>
    <w:rsid w:val="00B3787C"/>
    <w:rsid w:val="00B409E3"/>
    <w:rsid w:val="00B40D5A"/>
    <w:rsid w:val="00B41A96"/>
    <w:rsid w:val="00B41F80"/>
    <w:rsid w:val="00B42310"/>
    <w:rsid w:val="00B434E4"/>
    <w:rsid w:val="00B4363D"/>
    <w:rsid w:val="00B438D8"/>
    <w:rsid w:val="00B43B7C"/>
    <w:rsid w:val="00B4488F"/>
    <w:rsid w:val="00B4570E"/>
    <w:rsid w:val="00B45C5D"/>
    <w:rsid w:val="00B45F5F"/>
    <w:rsid w:val="00B47060"/>
    <w:rsid w:val="00B521EB"/>
    <w:rsid w:val="00B529E2"/>
    <w:rsid w:val="00B533B2"/>
    <w:rsid w:val="00B54307"/>
    <w:rsid w:val="00B54446"/>
    <w:rsid w:val="00B54934"/>
    <w:rsid w:val="00B54D3F"/>
    <w:rsid w:val="00B54D8D"/>
    <w:rsid w:val="00B54DA9"/>
    <w:rsid w:val="00B55B3E"/>
    <w:rsid w:val="00B562ED"/>
    <w:rsid w:val="00B56422"/>
    <w:rsid w:val="00B56695"/>
    <w:rsid w:val="00B56C81"/>
    <w:rsid w:val="00B61169"/>
    <w:rsid w:val="00B62217"/>
    <w:rsid w:val="00B63395"/>
    <w:rsid w:val="00B64AED"/>
    <w:rsid w:val="00B6511C"/>
    <w:rsid w:val="00B65AE6"/>
    <w:rsid w:val="00B6663C"/>
    <w:rsid w:val="00B67820"/>
    <w:rsid w:val="00B7046D"/>
    <w:rsid w:val="00B71D14"/>
    <w:rsid w:val="00B72100"/>
    <w:rsid w:val="00B721BB"/>
    <w:rsid w:val="00B73107"/>
    <w:rsid w:val="00B7361B"/>
    <w:rsid w:val="00B737A1"/>
    <w:rsid w:val="00B73805"/>
    <w:rsid w:val="00B759C1"/>
    <w:rsid w:val="00B7747F"/>
    <w:rsid w:val="00B80A45"/>
    <w:rsid w:val="00B80B3E"/>
    <w:rsid w:val="00B8387C"/>
    <w:rsid w:val="00B845AB"/>
    <w:rsid w:val="00B85DA9"/>
    <w:rsid w:val="00B86118"/>
    <w:rsid w:val="00B861A0"/>
    <w:rsid w:val="00B86301"/>
    <w:rsid w:val="00B8636A"/>
    <w:rsid w:val="00B86D11"/>
    <w:rsid w:val="00B90391"/>
    <w:rsid w:val="00B90585"/>
    <w:rsid w:val="00B90B61"/>
    <w:rsid w:val="00B90F7F"/>
    <w:rsid w:val="00B9121C"/>
    <w:rsid w:val="00B91401"/>
    <w:rsid w:val="00B926A5"/>
    <w:rsid w:val="00B93186"/>
    <w:rsid w:val="00B93693"/>
    <w:rsid w:val="00B94F9C"/>
    <w:rsid w:val="00B9570D"/>
    <w:rsid w:val="00B9627E"/>
    <w:rsid w:val="00BA05A7"/>
    <w:rsid w:val="00BA0A20"/>
    <w:rsid w:val="00BA2B55"/>
    <w:rsid w:val="00BA3B7F"/>
    <w:rsid w:val="00BA41EC"/>
    <w:rsid w:val="00BA42A0"/>
    <w:rsid w:val="00BA4C81"/>
    <w:rsid w:val="00BA4C87"/>
    <w:rsid w:val="00BA5D43"/>
    <w:rsid w:val="00BA5E98"/>
    <w:rsid w:val="00BA6E81"/>
    <w:rsid w:val="00BA7E98"/>
    <w:rsid w:val="00BB09F0"/>
    <w:rsid w:val="00BB0AA3"/>
    <w:rsid w:val="00BB0E7D"/>
    <w:rsid w:val="00BB1319"/>
    <w:rsid w:val="00BB1AB6"/>
    <w:rsid w:val="00BB278A"/>
    <w:rsid w:val="00BB285E"/>
    <w:rsid w:val="00BB29E7"/>
    <w:rsid w:val="00BB2C4A"/>
    <w:rsid w:val="00BB456C"/>
    <w:rsid w:val="00BB5457"/>
    <w:rsid w:val="00BB5F6D"/>
    <w:rsid w:val="00BB6AAD"/>
    <w:rsid w:val="00BB7A24"/>
    <w:rsid w:val="00BB7D88"/>
    <w:rsid w:val="00BC0670"/>
    <w:rsid w:val="00BC09FE"/>
    <w:rsid w:val="00BC1060"/>
    <w:rsid w:val="00BC10E1"/>
    <w:rsid w:val="00BC1179"/>
    <w:rsid w:val="00BC15EA"/>
    <w:rsid w:val="00BC2B15"/>
    <w:rsid w:val="00BC4467"/>
    <w:rsid w:val="00BC4B9B"/>
    <w:rsid w:val="00BC5593"/>
    <w:rsid w:val="00BC5B98"/>
    <w:rsid w:val="00BC5D42"/>
    <w:rsid w:val="00BC6B81"/>
    <w:rsid w:val="00BC7A85"/>
    <w:rsid w:val="00BD03BE"/>
    <w:rsid w:val="00BD0595"/>
    <w:rsid w:val="00BD1055"/>
    <w:rsid w:val="00BD1351"/>
    <w:rsid w:val="00BD21AF"/>
    <w:rsid w:val="00BD2A2B"/>
    <w:rsid w:val="00BD2BE4"/>
    <w:rsid w:val="00BD3510"/>
    <w:rsid w:val="00BD43C2"/>
    <w:rsid w:val="00BD43D4"/>
    <w:rsid w:val="00BD4874"/>
    <w:rsid w:val="00BD578F"/>
    <w:rsid w:val="00BD5A23"/>
    <w:rsid w:val="00BD61FE"/>
    <w:rsid w:val="00BD625A"/>
    <w:rsid w:val="00BD6556"/>
    <w:rsid w:val="00BE0DEB"/>
    <w:rsid w:val="00BE0FD1"/>
    <w:rsid w:val="00BE1668"/>
    <w:rsid w:val="00BE1AAB"/>
    <w:rsid w:val="00BE245A"/>
    <w:rsid w:val="00BE250A"/>
    <w:rsid w:val="00BE2BE5"/>
    <w:rsid w:val="00BE2C4C"/>
    <w:rsid w:val="00BE3272"/>
    <w:rsid w:val="00BE391A"/>
    <w:rsid w:val="00BE3A47"/>
    <w:rsid w:val="00BE416C"/>
    <w:rsid w:val="00BE4418"/>
    <w:rsid w:val="00BE451B"/>
    <w:rsid w:val="00BE5063"/>
    <w:rsid w:val="00BE69BB"/>
    <w:rsid w:val="00BE6DEF"/>
    <w:rsid w:val="00BE725E"/>
    <w:rsid w:val="00BF0600"/>
    <w:rsid w:val="00BF11E1"/>
    <w:rsid w:val="00BF2716"/>
    <w:rsid w:val="00BF3910"/>
    <w:rsid w:val="00BF3937"/>
    <w:rsid w:val="00BF3B74"/>
    <w:rsid w:val="00BF4BC7"/>
    <w:rsid w:val="00BF5B21"/>
    <w:rsid w:val="00BF5D59"/>
    <w:rsid w:val="00BF7509"/>
    <w:rsid w:val="00BF7867"/>
    <w:rsid w:val="00BF78FC"/>
    <w:rsid w:val="00C00191"/>
    <w:rsid w:val="00C00A90"/>
    <w:rsid w:val="00C0113F"/>
    <w:rsid w:val="00C011B6"/>
    <w:rsid w:val="00C0162B"/>
    <w:rsid w:val="00C0181F"/>
    <w:rsid w:val="00C035E7"/>
    <w:rsid w:val="00C03BF6"/>
    <w:rsid w:val="00C04B88"/>
    <w:rsid w:val="00C04FEB"/>
    <w:rsid w:val="00C05D14"/>
    <w:rsid w:val="00C06079"/>
    <w:rsid w:val="00C06390"/>
    <w:rsid w:val="00C06B77"/>
    <w:rsid w:val="00C0706C"/>
    <w:rsid w:val="00C10171"/>
    <w:rsid w:val="00C118FB"/>
    <w:rsid w:val="00C128DF"/>
    <w:rsid w:val="00C1333F"/>
    <w:rsid w:val="00C14F0F"/>
    <w:rsid w:val="00C152C0"/>
    <w:rsid w:val="00C16D82"/>
    <w:rsid w:val="00C177B9"/>
    <w:rsid w:val="00C1797B"/>
    <w:rsid w:val="00C17CAB"/>
    <w:rsid w:val="00C20690"/>
    <w:rsid w:val="00C2199B"/>
    <w:rsid w:val="00C22EA0"/>
    <w:rsid w:val="00C23148"/>
    <w:rsid w:val="00C257E5"/>
    <w:rsid w:val="00C25B9C"/>
    <w:rsid w:val="00C26207"/>
    <w:rsid w:val="00C30E62"/>
    <w:rsid w:val="00C330A1"/>
    <w:rsid w:val="00C33C31"/>
    <w:rsid w:val="00C35F4D"/>
    <w:rsid w:val="00C36027"/>
    <w:rsid w:val="00C36AA8"/>
    <w:rsid w:val="00C37214"/>
    <w:rsid w:val="00C37225"/>
    <w:rsid w:val="00C375C6"/>
    <w:rsid w:val="00C37A93"/>
    <w:rsid w:val="00C37BD0"/>
    <w:rsid w:val="00C41314"/>
    <w:rsid w:val="00C41F53"/>
    <w:rsid w:val="00C42470"/>
    <w:rsid w:val="00C42EA3"/>
    <w:rsid w:val="00C43F16"/>
    <w:rsid w:val="00C44A4C"/>
    <w:rsid w:val="00C44CA7"/>
    <w:rsid w:val="00C460F8"/>
    <w:rsid w:val="00C46142"/>
    <w:rsid w:val="00C4644A"/>
    <w:rsid w:val="00C46548"/>
    <w:rsid w:val="00C46A0C"/>
    <w:rsid w:val="00C46E3C"/>
    <w:rsid w:val="00C47DD3"/>
    <w:rsid w:val="00C501A9"/>
    <w:rsid w:val="00C50940"/>
    <w:rsid w:val="00C51817"/>
    <w:rsid w:val="00C52188"/>
    <w:rsid w:val="00C5244F"/>
    <w:rsid w:val="00C53D9D"/>
    <w:rsid w:val="00C56054"/>
    <w:rsid w:val="00C568FF"/>
    <w:rsid w:val="00C5699F"/>
    <w:rsid w:val="00C56F43"/>
    <w:rsid w:val="00C57529"/>
    <w:rsid w:val="00C611B2"/>
    <w:rsid w:val="00C614FB"/>
    <w:rsid w:val="00C6151D"/>
    <w:rsid w:val="00C61CFE"/>
    <w:rsid w:val="00C61D93"/>
    <w:rsid w:val="00C62145"/>
    <w:rsid w:val="00C62518"/>
    <w:rsid w:val="00C62DD3"/>
    <w:rsid w:val="00C638AB"/>
    <w:rsid w:val="00C64018"/>
    <w:rsid w:val="00C65760"/>
    <w:rsid w:val="00C66101"/>
    <w:rsid w:val="00C66257"/>
    <w:rsid w:val="00C6628C"/>
    <w:rsid w:val="00C66980"/>
    <w:rsid w:val="00C71877"/>
    <w:rsid w:val="00C71F57"/>
    <w:rsid w:val="00C7226C"/>
    <w:rsid w:val="00C72C9C"/>
    <w:rsid w:val="00C739ED"/>
    <w:rsid w:val="00C753B9"/>
    <w:rsid w:val="00C75408"/>
    <w:rsid w:val="00C756CD"/>
    <w:rsid w:val="00C756E0"/>
    <w:rsid w:val="00C761AD"/>
    <w:rsid w:val="00C76371"/>
    <w:rsid w:val="00C76570"/>
    <w:rsid w:val="00C76A37"/>
    <w:rsid w:val="00C76F6D"/>
    <w:rsid w:val="00C779DD"/>
    <w:rsid w:val="00C80BBD"/>
    <w:rsid w:val="00C80EEA"/>
    <w:rsid w:val="00C81034"/>
    <w:rsid w:val="00C818A0"/>
    <w:rsid w:val="00C82F92"/>
    <w:rsid w:val="00C83224"/>
    <w:rsid w:val="00C83567"/>
    <w:rsid w:val="00C83E76"/>
    <w:rsid w:val="00C84228"/>
    <w:rsid w:val="00C857B2"/>
    <w:rsid w:val="00C85865"/>
    <w:rsid w:val="00C85905"/>
    <w:rsid w:val="00C85A37"/>
    <w:rsid w:val="00C860F8"/>
    <w:rsid w:val="00C86CFA"/>
    <w:rsid w:val="00C871D2"/>
    <w:rsid w:val="00C876F1"/>
    <w:rsid w:val="00C902CD"/>
    <w:rsid w:val="00C90408"/>
    <w:rsid w:val="00C91E71"/>
    <w:rsid w:val="00C930D0"/>
    <w:rsid w:val="00C93395"/>
    <w:rsid w:val="00C93CA1"/>
    <w:rsid w:val="00C941AB"/>
    <w:rsid w:val="00C942F8"/>
    <w:rsid w:val="00C94C0D"/>
    <w:rsid w:val="00C94F64"/>
    <w:rsid w:val="00C95477"/>
    <w:rsid w:val="00C956AF"/>
    <w:rsid w:val="00C959FA"/>
    <w:rsid w:val="00C95BFB"/>
    <w:rsid w:val="00C963E9"/>
    <w:rsid w:val="00C96580"/>
    <w:rsid w:val="00C969DB"/>
    <w:rsid w:val="00C96C2F"/>
    <w:rsid w:val="00C96DED"/>
    <w:rsid w:val="00C96E6E"/>
    <w:rsid w:val="00C975D7"/>
    <w:rsid w:val="00CA0904"/>
    <w:rsid w:val="00CA0CE1"/>
    <w:rsid w:val="00CA0D4B"/>
    <w:rsid w:val="00CA102C"/>
    <w:rsid w:val="00CA23E6"/>
    <w:rsid w:val="00CA2FBA"/>
    <w:rsid w:val="00CA3364"/>
    <w:rsid w:val="00CA4896"/>
    <w:rsid w:val="00CA6B7D"/>
    <w:rsid w:val="00CA6C36"/>
    <w:rsid w:val="00CA79D9"/>
    <w:rsid w:val="00CA7C24"/>
    <w:rsid w:val="00CB0B44"/>
    <w:rsid w:val="00CB0EB7"/>
    <w:rsid w:val="00CB269D"/>
    <w:rsid w:val="00CB2A8A"/>
    <w:rsid w:val="00CB30BC"/>
    <w:rsid w:val="00CB3362"/>
    <w:rsid w:val="00CB57B2"/>
    <w:rsid w:val="00CB5E1C"/>
    <w:rsid w:val="00CB5EB6"/>
    <w:rsid w:val="00CB674A"/>
    <w:rsid w:val="00CB6ACB"/>
    <w:rsid w:val="00CB7DA7"/>
    <w:rsid w:val="00CC1103"/>
    <w:rsid w:val="00CC1DAA"/>
    <w:rsid w:val="00CC2E72"/>
    <w:rsid w:val="00CC3717"/>
    <w:rsid w:val="00CC4FC8"/>
    <w:rsid w:val="00CC527B"/>
    <w:rsid w:val="00CC55FC"/>
    <w:rsid w:val="00CC5C90"/>
    <w:rsid w:val="00CC6497"/>
    <w:rsid w:val="00CC68FD"/>
    <w:rsid w:val="00CC7890"/>
    <w:rsid w:val="00CC78B6"/>
    <w:rsid w:val="00CC7DBB"/>
    <w:rsid w:val="00CD00D6"/>
    <w:rsid w:val="00CD0B10"/>
    <w:rsid w:val="00CD1E54"/>
    <w:rsid w:val="00CD1F1C"/>
    <w:rsid w:val="00CD2083"/>
    <w:rsid w:val="00CD3186"/>
    <w:rsid w:val="00CD5A00"/>
    <w:rsid w:val="00CD5EB8"/>
    <w:rsid w:val="00CD6042"/>
    <w:rsid w:val="00CD6284"/>
    <w:rsid w:val="00CD6746"/>
    <w:rsid w:val="00CD7039"/>
    <w:rsid w:val="00CD7397"/>
    <w:rsid w:val="00CD7AF7"/>
    <w:rsid w:val="00CE0133"/>
    <w:rsid w:val="00CE0CED"/>
    <w:rsid w:val="00CE1946"/>
    <w:rsid w:val="00CE1C04"/>
    <w:rsid w:val="00CE1F5C"/>
    <w:rsid w:val="00CE2392"/>
    <w:rsid w:val="00CE2F24"/>
    <w:rsid w:val="00CE3E1B"/>
    <w:rsid w:val="00CE3FF5"/>
    <w:rsid w:val="00CE42E7"/>
    <w:rsid w:val="00CE598A"/>
    <w:rsid w:val="00CE5E9C"/>
    <w:rsid w:val="00CE607B"/>
    <w:rsid w:val="00CE631D"/>
    <w:rsid w:val="00CF0430"/>
    <w:rsid w:val="00CF0EC9"/>
    <w:rsid w:val="00CF151F"/>
    <w:rsid w:val="00CF2EFA"/>
    <w:rsid w:val="00CF382E"/>
    <w:rsid w:val="00CF4428"/>
    <w:rsid w:val="00CF5A62"/>
    <w:rsid w:val="00CF5B8E"/>
    <w:rsid w:val="00CF61E7"/>
    <w:rsid w:val="00CF66E2"/>
    <w:rsid w:val="00D00D29"/>
    <w:rsid w:val="00D01944"/>
    <w:rsid w:val="00D01D68"/>
    <w:rsid w:val="00D020DA"/>
    <w:rsid w:val="00D02100"/>
    <w:rsid w:val="00D0244B"/>
    <w:rsid w:val="00D0285B"/>
    <w:rsid w:val="00D02895"/>
    <w:rsid w:val="00D03EE8"/>
    <w:rsid w:val="00D04438"/>
    <w:rsid w:val="00D0475B"/>
    <w:rsid w:val="00D04F6E"/>
    <w:rsid w:val="00D060F9"/>
    <w:rsid w:val="00D07858"/>
    <w:rsid w:val="00D10676"/>
    <w:rsid w:val="00D10891"/>
    <w:rsid w:val="00D10BDD"/>
    <w:rsid w:val="00D11DF2"/>
    <w:rsid w:val="00D11E7F"/>
    <w:rsid w:val="00D120B8"/>
    <w:rsid w:val="00D12B22"/>
    <w:rsid w:val="00D12C1B"/>
    <w:rsid w:val="00D13271"/>
    <w:rsid w:val="00D13B03"/>
    <w:rsid w:val="00D148AD"/>
    <w:rsid w:val="00D15B02"/>
    <w:rsid w:val="00D15BF4"/>
    <w:rsid w:val="00D16202"/>
    <w:rsid w:val="00D16C2F"/>
    <w:rsid w:val="00D177E2"/>
    <w:rsid w:val="00D21D51"/>
    <w:rsid w:val="00D223E2"/>
    <w:rsid w:val="00D2334F"/>
    <w:rsid w:val="00D24016"/>
    <w:rsid w:val="00D257F9"/>
    <w:rsid w:val="00D25A3B"/>
    <w:rsid w:val="00D25CC0"/>
    <w:rsid w:val="00D26483"/>
    <w:rsid w:val="00D26CB3"/>
    <w:rsid w:val="00D270E3"/>
    <w:rsid w:val="00D27FFC"/>
    <w:rsid w:val="00D30B69"/>
    <w:rsid w:val="00D31BA6"/>
    <w:rsid w:val="00D32B7B"/>
    <w:rsid w:val="00D33677"/>
    <w:rsid w:val="00D33FA0"/>
    <w:rsid w:val="00D34690"/>
    <w:rsid w:val="00D347B8"/>
    <w:rsid w:val="00D35580"/>
    <w:rsid w:val="00D35735"/>
    <w:rsid w:val="00D35FBC"/>
    <w:rsid w:val="00D364A4"/>
    <w:rsid w:val="00D3655F"/>
    <w:rsid w:val="00D37B03"/>
    <w:rsid w:val="00D40684"/>
    <w:rsid w:val="00D40BFF"/>
    <w:rsid w:val="00D40EB8"/>
    <w:rsid w:val="00D41380"/>
    <w:rsid w:val="00D4160D"/>
    <w:rsid w:val="00D41AF5"/>
    <w:rsid w:val="00D43B1F"/>
    <w:rsid w:val="00D44AB1"/>
    <w:rsid w:val="00D460FA"/>
    <w:rsid w:val="00D46522"/>
    <w:rsid w:val="00D46E94"/>
    <w:rsid w:val="00D47CF0"/>
    <w:rsid w:val="00D503AA"/>
    <w:rsid w:val="00D50638"/>
    <w:rsid w:val="00D50724"/>
    <w:rsid w:val="00D50E06"/>
    <w:rsid w:val="00D5236D"/>
    <w:rsid w:val="00D52FFD"/>
    <w:rsid w:val="00D5346F"/>
    <w:rsid w:val="00D53F59"/>
    <w:rsid w:val="00D543B3"/>
    <w:rsid w:val="00D546A5"/>
    <w:rsid w:val="00D54708"/>
    <w:rsid w:val="00D547B3"/>
    <w:rsid w:val="00D557DC"/>
    <w:rsid w:val="00D55A1A"/>
    <w:rsid w:val="00D55C40"/>
    <w:rsid w:val="00D563D5"/>
    <w:rsid w:val="00D5661D"/>
    <w:rsid w:val="00D5746D"/>
    <w:rsid w:val="00D576EF"/>
    <w:rsid w:val="00D57833"/>
    <w:rsid w:val="00D600B2"/>
    <w:rsid w:val="00D60101"/>
    <w:rsid w:val="00D606C2"/>
    <w:rsid w:val="00D6159E"/>
    <w:rsid w:val="00D62489"/>
    <w:rsid w:val="00D635DB"/>
    <w:rsid w:val="00D63C40"/>
    <w:rsid w:val="00D64008"/>
    <w:rsid w:val="00D64552"/>
    <w:rsid w:val="00D648D5"/>
    <w:rsid w:val="00D6573A"/>
    <w:rsid w:val="00D65E9C"/>
    <w:rsid w:val="00D660BD"/>
    <w:rsid w:val="00D66B3E"/>
    <w:rsid w:val="00D674FD"/>
    <w:rsid w:val="00D676BC"/>
    <w:rsid w:val="00D7068A"/>
    <w:rsid w:val="00D70C9A"/>
    <w:rsid w:val="00D72462"/>
    <w:rsid w:val="00D73848"/>
    <w:rsid w:val="00D73C62"/>
    <w:rsid w:val="00D7514F"/>
    <w:rsid w:val="00D754E4"/>
    <w:rsid w:val="00D75670"/>
    <w:rsid w:val="00D763FE"/>
    <w:rsid w:val="00D767FE"/>
    <w:rsid w:val="00D76FA1"/>
    <w:rsid w:val="00D7733B"/>
    <w:rsid w:val="00D7742F"/>
    <w:rsid w:val="00D776E0"/>
    <w:rsid w:val="00D77B9E"/>
    <w:rsid w:val="00D80A85"/>
    <w:rsid w:val="00D80E34"/>
    <w:rsid w:val="00D80F16"/>
    <w:rsid w:val="00D818E0"/>
    <w:rsid w:val="00D81FD0"/>
    <w:rsid w:val="00D824A6"/>
    <w:rsid w:val="00D8295C"/>
    <w:rsid w:val="00D8299A"/>
    <w:rsid w:val="00D83059"/>
    <w:rsid w:val="00D83C23"/>
    <w:rsid w:val="00D84AF3"/>
    <w:rsid w:val="00D85B7B"/>
    <w:rsid w:val="00D861CF"/>
    <w:rsid w:val="00D8649C"/>
    <w:rsid w:val="00D86CCF"/>
    <w:rsid w:val="00D86D4B"/>
    <w:rsid w:val="00D8731D"/>
    <w:rsid w:val="00D87F4F"/>
    <w:rsid w:val="00D909D2"/>
    <w:rsid w:val="00D90E3D"/>
    <w:rsid w:val="00D9116D"/>
    <w:rsid w:val="00D91208"/>
    <w:rsid w:val="00D929DC"/>
    <w:rsid w:val="00D92C71"/>
    <w:rsid w:val="00D932EF"/>
    <w:rsid w:val="00D93E71"/>
    <w:rsid w:val="00D940EB"/>
    <w:rsid w:val="00D946D6"/>
    <w:rsid w:val="00D94941"/>
    <w:rsid w:val="00D95024"/>
    <w:rsid w:val="00D95331"/>
    <w:rsid w:val="00D95BC6"/>
    <w:rsid w:val="00D969BB"/>
    <w:rsid w:val="00D97964"/>
    <w:rsid w:val="00D9796E"/>
    <w:rsid w:val="00DA019B"/>
    <w:rsid w:val="00DA0C91"/>
    <w:rsid w:val="00DA11DA"/>
    <w:rsid w:val="00DA15D4"/>
    <w:rsid w:val="00DA220D"/>
    <w:rsid w:val="00DA30FB"/>
    <w:rsid w:val="00DA39F3"/>
    <w:rsid w:val="00DA4131"/>
    <w:rsid w:val="00DA52A5"/>
    <w:rsid w:val="00DA672A"/>
    <w:rsid w:val="00DA6EDB"/>
    <w:rsid w:val="00DB0DFF"/>
    <w:rsid w:val="00DB1FFC"/>
    <w:rsid w:val="00DB2C64"/>
    <w:rsid w:val="00DB2EC8"/>
    <w:rsid w:val="00DB5046"/>
    <w:rsid w:val="00DB5351"/>
    <w:rsid w:val="00DB6961"/>
    <w:rsid w:val="00DB6C37"/>
    <w:rsid w:val="00DB7369"/>
    <w:rsid w:val="00DB7CB6"/>
    <w:rsid w:val="00DB7E05"/>
    <w:rsid w:val="00DC054C"/>
    <w:rsid w:val="00DC061F"/>
    <w:rsid w:val="00DC0BCF"/>
    <w:rsid w:val="00DC1250"/>
    <w:rsid w:val="00DC1A1C"/>
    <w:rsid w:val="00DC1C88"/>
    <w:rsid w:val="00DC2669"/>
    <w:rsid w:val="00DC2A2F"/>
    <w:rsid w:val="00DC2E7D"/>
    <w:rsid w:val="00DC3EB1"/>
    <w:rsid w:val="00DC61B1"/>
    <w:rsid w:val="00DC6272"/>
    <w:rsid w:val="00DC7030"/>
    <w:rsid w:val="00DC709D"/>
    <w:rsid w:val="00DC7FF8"/>
    <w:rsid w:val="00DD0120"/>
    <w:rsid w:val="00DD08F1"/>
    <w:rsid w:val="00DD091C"/>
    <w:rsid w:val="00DD13DA"/>
    <w:rsid w:val="00DD1C18"/>
    <w:rsid w:val="00DD1C57"/>
    <w:rsid w:val="00DD36D9"/>
    <w:rsid w:val="00DD3DD9"/>
    <w:rsid w:val="00DD4CC0"/>
    <w:rsid w:val="00DD5266"/>
    <w:rsid w:val="00DD5508"/>
    <w:rsid w:val="00DD5B11"/>
    <w:rsid w:val="00DD5C9C"/>
    <w:rsid w:val="00DD5DDA"/>
    <w:rsid w:val="00DD6103"/>
    <w:rsid w:val="00DD6388"/>
    <w:rsid w:val="00DD6587"/>
    <w:rsid w:val="00DD670E"/>
    <w:rsid w:val="00DD7143"/>
    <w:rsid w:val="00DD7453"/>
    <w:rsid w:val="00DE0793"/>
    <w:rsid w:val="00DE0951"/>
    <w:rsid w:val="00DE1BC0"/>
    <w:rsid w:val="00DE1D52"/>
    <w:rsid w:val="00DE20D7"/>
    <w:rsid w:val="00DE2890"/>
    <w:rsid w:val="00DE289E"/>
    <w:rsid w:val="00DE3AF7"/>
    <w:rsid w:val="00DE3B8F"/>
    <w:rsid w:val="00DE3F96"/>
    <w:rsid w:val="00DE40E6"/>
    <w:rsid w:val="00DE4103"/>
    <w:rsid w:val="00DE5A23"/>
    <w:rsid w:val="00DE69E8"/>
    <w:rsid w:val="00DE6D7E"/>
    <w:rsid w:val="00DE7CB5"/>
    <w:rsid w:val="00DE7DFA"/>
    <w:rsid w:val="00DF02F6"/>
    <w:rsid w:val="00DF05CC"/>
    <w:rsid w:val="00DF0754"/>
    <w:rsid w:val="00DF07E9"/>
    <w:rsid w:val="00DF0FA1"/>
    <w:rsid w:val="00DF1494"/>
    <w:rsid w:val="00DF1BB2"/>
    <w:rsid w:val="00DF2368"/>
    <w:rsid w:val="00DF3925"/>
    <w:rsid w:val="00DF392A"/>
    <w:rsid w:val="00DF39B3"/>
    <w:rsid w:val="00DF4F4B"/>
    <w:rsid w:val="00DF5021"/>
    <w:rsid w:val="00DF5AAB"/>
    <w:rsid w:val="00DF6EA8"/>
    <w:rsid w:val="00DF7073"/>
    <w:rsid w:val="00DF7A3A"/>
    <w:rsid w:val="00DF7B3C"/>
    <w:rsid w:val="00DF7E7F"/>
    <w:rsid w:val="00E012E2"/>
    <w:rsid w:val="00E02685"/>
    <w:rsid w:val="00E02C24"/>
    <w:rsid w:val="00E03939"/>
    <w:rsid w:val="00E041C6"/>
    <w:rsid w:val="00E05E45"/>
    <w:rsid w:val="00E07130"/>
    <w:rsid w:val="00E07881"/>
    <w:rsid w:val="00E07C5B"/>
    <w:rsid w:val="00E10AE3"/>
    <w:rsid w:val="00E10E9F"/>
    <w:rsid w:val="00E11110"/>
    <w:rsid w:val="00E124D3"/>
    <w:rsid w:val="00E12891"/>
    <w:rsid w:val="00E12B26"/>
    <w:rsid w:val="00E130D5"/>
    <w:rsid w:val="00E14BDA"/>
    <w:rsid w:val="00E15078"/>
    <w:rsid w:val="00E150B0"/>
    <w:rsid w:val="00E1585D"/>
    <w:rsid w:val="00E15BBA"/>
    <w:rsid w:val="00E17332"/>
    <w:rsid w:val="00E17D86"/>
    <w:rsid w:val="00E17E03"/>
    <w:rsid w:val="00E20F69"/>
    <w:rsid w:val="00E21FBA"/>
    <w:rsid w:val="00E22367"/>
    <w:rsid w:val="00E22836"/>
    <w:rsid w:val="00E2338C"/>
    <w:rsid w:val="00E234DA"/>
    <w:rsid w:val="00E247B4"/>
    <w:rsid w:val="00E25998"/>
    <w:rsid w:val="00E25A1D"/>
    <w:rsid w:val="00E26D77"/>
    <w:rsid w:val="00E27CCA"/>
    <w:rsid w:val="00E300F4"/>
    <w:rsid w:val="00E30B85"/>
    <w:rsid w:val="00E31236"/>
    <w:rsid w:val="00E313EE"/>
    <w:rsid w:val="00E3140A"/>
    <w:rsid w:val="00E31A4A"/>
    <w:rsid w:val="00E31BC9"/>
    <w:rsid w:val="00E320FB"/>
    <w:rsid w:val="00E3323B"/>
    <w:rsid w:val="00E33424"/>
    <w:rsid w:val="00E33575"/>
    <w:rsid w:val="00E34CB1"/>
    <w:rsid w:val="00E36322"/>
    <w:rsid w:val="00E36F2B"/>
    <w:rsid w:val="00E36FE7"/>
    <w:rsid w:val="00E37EBA"/>
    <w:rsid w:val="00E407D3"/>
    <w:rsid w:val="00E408C4"/>
    <w:rsid w:val="00E41240"/>
    <w:rsid w:val="00E41FD2"/>
    <w:rsid w:val="00E42AAA"/>
    <w:rsid w:val="00E42CC3"/>
    <w:rsid w:val="00E4339C"/>
    <w:rsid w:val="00E4506A"/>
    <w:rsid w:val="00E4618C"/>
    <w:rsid w:val="00E46686"/>
    <w:rsid w:val="00E47AE8"/>
    <w:rsid w:val="00E503AD"/>
    <w:rsid w:val="00E50571"/>
    <w:rsid w:val="00E50A1A"/>
    <w:rsid w:val="00E52772"/>
    <w:rsid w:val="00E5283D"/>
    <w:rsid w:val="00E529C8"/>
    <w:rsid w:val="00E53058"/>
    <w:rsid w:val="00E54C38"/>
    <w:rsid w:val="00E568A0"/>
    <w:rsid w:val="00E60E80"/>
    <w:rsid w:val="00E61A84"/>
    <w:rsid w:val="00E639CC"/>
    <w:rsid w:val="00E6415D"/>
    <w:rsid w:val="00E65280"/>
    <w:rsid w:val="00E653F5"/>
    <w:rsid w:val="00E654D3"/>
    <w:rsid w:val="00E658A4"/>
    <w:rsid w:val="00E65D74"/>
    <w:rsid w:val="00E66430"/>
    <w:rsid w:val="00E66834"/>
    <w:rsid w:val="00E706A5"/>
    <w:rsid w:val="00E709AE"/>
    <w:rsid w:val="00E737D4"/>
    <w:rsid w:val="00E7418E"/>
    <w:rsid w:val="00E75007"/>
    <w:rsid w:val="00E75165"/>
    <w:rsid w:val="00E761E9"/>
    <w:rsid w:val="00E775CA"/>
    <w:rsid w:val="00E77D36"/>
    <w:rsid w:val="00E81719"/>
    <w:rsid w:val="00E81D88"/>
    <w:rsid w:val="00E8278D"/>
    <w:rsid w:val="00E82A42"/>
    <w:rsid w:val="00E82A84"/>
    <w:rsid w:val="00E830CE"/>
    <w:rsid w:val="00E83387"/>
    <w:rsid w:val="00E840D6"/>
    <w:rsid w:val="00E8440C"/>
    <w:rsid w:val="00E84A3F"/>
    <w:rsid w:val="00E84A8E"/>
    <w:rsid w:val="00E85C48"/>
    <w:rsid w:val="00E85E27"/>
    <w:rsid w:val="00E867AF"/>
    <w:rsid w:val="00E87B30"/>
    <w:rsid w:val="00E87FC6"/>
    <w:rsid w:val="00E9013C"/>
    <w:rsid w:val="00E904CE"/>
    <w:rsid w:val="00E9313F"/>
    <w:rsid w:val="00E934CC"/>
    <w:rsid w:val="00E947C9"/>
    <w:rsid w:val="00E97839"/>
    <w:rsid w:val="00EA00EF"/>
    <w:rsid w:val="00EA016F"/>
    <w:rsid w:val="00EA1085"/>
    <w:rsid w:val="00EA17EB"/>
    <w:rsid w:val="00EA2636"/>
    <w:rsid w:val="00EA30EE"/>
    <w:rsid w:val="00EA4A31"/>
    <w:rsid w:val="00EA4BE1"/>
    <w:rsid w:val="00EA666D"/>
    <w:rsid w:val="00EA6991"/>
    <w:rsid w:val="00EA6ADF"/>
    <w:rsid w:val="00EA7135"/>
    <w:rsid w:val="00EA7777"/>
    <w:rsid w:val="00EB06D5"/>
    <w:rsid w:val="00EB27FC"/>
    <w:rsid w:val="00EB2CD6"/>
    <w:rsid w:val="00EB2D05"/>
    <w:rsid w:val="00EB2DC7"/>
    <w:rsid w:val="00EB3B83"/>
    <w:rsid w:val="00EB3D5C"/>
    <w:rsid w:val="00EB400D"/>
    <w:rsid w:val="00EB4644"/>
    <w:rsid w:val="00EB5E8C"/>
    <w:rsid w:val="00EB664A"/>
    <w:rsid w:val="00EB686A"/>
    <w:rsid w:val="00EB6ED2"/>
    <w:rsid w:val="00EB7141"/>
    <w:rsid w:val="00EB71BE"/>
    <w:rsid w:val="00EC053B"/>
    <w:rsid w:val="00EC0895"/>
    <w:rsid w:val="00EC12CD"/>
    <w:rsid w:val="00EC2438"/>
    <w:rsid w:val="00EC2512"/>
    <w:rsid w:val="00EC3826"/>
    <w:rsid w:val="00EC3C85"/>
    <w:rsid w:val="00EC427A"/>
    <w:rsid w:val="00EC4413"/>
    <w:rsid w:val="00EC5E01"/>
    <w:rsid w:val="00EC5FF0"/>
    <w:rsid w:val="00EC6615"/>
    <w:rsid w:val="00EC6C54"/>
    <w:rsid w:val="00EC7F43"/>
    <w:rsid w:val="00ED0090"/>
    <w:rsid w:val="00ED05DD"/>
    <w:rsid w:val="00ED063D"/>
    <w:rsid w:val="00ED0BF7"/>
    <w:rsid w:val="00ED1C1D"/>
    <w:rsid w:val="00ED2147"/>
    <w:rsid w:val="00ED2F55"/>
    <w:rsid w:val="00ED55DF"/>
    <w:rsid w:val="00ED6BCB"/>
    <w:rsid w:val="00ED70A9"/>
    <w:rsid w:val="00ED7BCE"/>
    <w:rsid w:val="00EE03DB"/>
    <w:rsid w:val="00EE079B"/>
    <w:rsid w:val="00EE0E12"/>
    <w:rsid w:val="00EE1035"/>
    <w:rsid w:val="00EE1AFA"/>
    <w:rsid w:val="00EE3ACB"/>
    <w:rsid w:val="00EE4133"/>
    <w:rsid w:val="00EE42EA"/>
    <w:rsid w:val="00EE47F9"/>
    <w:rsid w:val="00EE4C63"/>
    <w:rsid w:val="00EE5168"/>
    <w:rsid w:val="00EE73E7"/>
    <w:rsid w:val="00EF0DA6"/>
    <w:rsid w:val="00EF2777"/>
    <w:rsid w:val="00EF2F20"/>
    <w:rsid w:val="00EF2F47"/>
    <w:rsid w:val="00EF3CF3"/>
    <w:rsid w:val="00EF4966"/>
    <w:rsid w:val="00EF4E8B"/>
    <w:rsid w:val="00EF601F"/>
    <w:rsid w:val="00EF60A3"/>
    <w:rsid w:val="00EF72A4"/>
    <w:rsid w:val="00EF7DEE"/>
    <w:rsid w:val="00F01794"/>
    <w:rsid w:val="00F02CED"/>
    <w:rsid w:val="00F034FA"/>
    <w:rsid w:val="00F04D58"/>
    <w:rsid w:val="00F05A2F"/>
    <w:rsid w:val="00F05D1B"/>
    <w:rsid w:val="00F06A8A"/>
    <w:rsid w:val="00F06D47"/>
    <w:rsid w:val="00F073B9"/>
    <w:rsid w:val="00F075B9"/>
    <w:rsid w:val="00F12C86"/>
    <w:rsid w:val="00F15E27"/>
    <w:rsid w:val="00F165A8"/>
    <w:rsid w:val="00F21FCA"/>
    <w:rsid w:val="00F2329C"/>
    <w:rsid w:val="00F24448"/>
    <w:rsid w:val="00F2500F"/>
    <w:rsid w:val="00F2596C"/>
    <w:rsid w:val="00F25C45"/>
    <w:rsid w:val="00F262FC"/>
    <w:rsid w:val="00F2711F"/>
    <w:rsid w:val="00F27413"/>
    <w:rsid w:val="00F27941"/>
    <w:rsid w:val="00F279EF"/>
    <w:rsid w:val="00F306AF"/>
    <w:rsid w:val="00F31229"/>
    <w:rsid w:val="00F32AE2"/>
    <w:rsid w:val="00F3322D"/>
    <w:rsid w:val="00F3331B"/>
    <w:rsid w:val="00F33620"/>
    <w:rsid w:val="00F347C0"/>
    <w:rsid w:val="00F34C51"/>
    <w:rsid w:val="00F3536B"/>
    <w:rsid w:val="00F35871"/>
    <w:rsid w:val="00F37470"/>
    <w:rsid w:val="00F4010E"/>
    <w:rsid w:val="00F412FD"/>
    <w:rsid w:val="00F416C4"/>
    <w:rsid w:val="00F43645"/>
    <w:rsid w:val="00F44110"/>
    <w:rsid w:val="00F449C8"/>
    <w:rsid w:val="00F44EA0"/>
    <w:rsid w:val="00F45BD4"/>
    <w:rsid w:val="00F464A0"/>
    <w:rsid w:val="00F467A4"/>
    <w:rsid w:val="00F467DC"/>
    <w:rsid w:val="00F4695B"/>
    <w:rsid w:val="00F469F3"/>
    <w:rsid w:val="00F5048A"/>
    <w:rsid w:val="00F518B4"/>
    <w:rsid w:val="00F521E9"/>
    <w:rsid w:val="00F52E70"/>
    <w:rsid w:val="00F5328E"/>
    <w:rsid w:val="00F5367E"/>
    <w:rsid w:val="00F54AEC"/>
    <w:rsid w:val="00F56D66"/>
    <w:rsid w:val="00F56E00"/>
    <w:rsid w:val="00F57524"/>
    <w:rsid w:val="00F575A8"/>
    <w:rsid w:val="00F57845"/>
    <w:rsid w:val="00F61329"/>
    <w:rsid w:val="00F61BA3"/>
    <w:rsid w:val="00F620DB"/>
    <w:rsid w:val="00F6271A"/>
    <w:rsid w:val="00F62D86"/>
    <w:rsid w:val="00F63066"/>
    <w:rsid w:val="00F638DB"/>
    <w:rsid w:val="00F648AE"/>
    <w:rsid w:val="00F64B8A"/>
    <w:rsid w:val="00F65221"/>
    <w:rsid w:val="00F661AF"/>
    <w:rsid w:val="00F66755"/>
    <w:rsid w:val="00F66A12"/>
    <w:rsid w:val="00F66D79"/>
    <w:rsid w:val="00F67D6E"/>
    <w:rsid w:val="00F71B41"/>
    <w:rsid w:val="00F71EA4"/>
    <w:rsid w:val="00F7231C"/>
    <w:rsid w:val="00F74546"/>
    <w:rsid w:val="00F752BE"/>
    <w:rsid w:val="00F759AF"/>
    <w:rsid w:val="00F77282"/>
    <w:rsid w:val="00F77378"/>
    <w:rsid w:val="00F77B11"/>
    <w:rsid w:val="00F77EA9"/>
    <w:rsid w:val="00F81460"/>
    <w:rsid w:val="00F81F99"/>
    <w:rsid w:val="00F8255A"/>
    <w:rsid w:val="00F831CE"/>
    <w:rsid w:val="00F83849"/>
    <w:rsid w:val="00F841AB"/>
    <w:rsid w:val="00F847AB"/>
    <w:rsid w:val="00F85487"/>
    <w:rsid w:val="00F868CE"/>
    <w:rsid w:val="00F86C25"/>
    <w:rsid w:val="00F86D7D"/>
    <w:rsid w:val="00F86EAE"/>
    <w:rsid w:val="00F87770"/>
    <w:rsid w:val="00F87BBB"/>
    <w:rsid w:val="00F87C78"/>
    <w:rsid w:val="00F9132D"/>
    <w:rsid w:val="00F91C9C"/>
    <w:rsid w:val="00F91DAB"/>
    <w:rsid w:val="00F93666"/>
    <w:rsid w:val="00F93CEC"/>
    <w:rsid w:val="00F9422D"/>
    <w:rsid w:val="00F94BBE"/>
    <w:rsid w:val="00F95211"/>
    <w:rsid w:val="00F95C20"/>
    <w:rsid w:val="00F96C7F"/>
    <w:rsid w:val="00F97287"/>
    <w:rsid w:val="00F97FD2"/>
    <w:rsid w:val="00FA0C1A"/>
    <w:rsid w:val="00FA0D0E"/>
    <w:rsid w:val="00FA1CFD"/>
    <w:rsid w:val="00FA2BA7"/>
    <w:rsid w:val="00FA2EE6"/>
    <w:rsid w:val="00FA2F8B"/>
    <w:rsid w:val="00FA3457"/>
    <w:rsid w:val="00FA3F7F"/>
    <w:rsid w:val="00FA449B"/>
    <w:rsid w:val="00FA47C9"/>
    <w:rsid w:val="00FA5113"/>
    <w:rsid w:val="00FA6B2D"/>
    <w:rsid w:val="00FA6B78"/>
    <w:rsid w:val="00FB07D4"/>
    <w:rsid w:val="00FB0854"/>
    <w:rsid w:val="00FB17E5"/>
    <w:rsid w:val="00FB1B62"/>
    <w:rsid w:val="00FB22E4"/>
    <w:rsid w:val="00FB36A5"/>
    <w:rsid w:val="00FB491F"/>
    <w:rsid w:val="00FB4982"/>
    <w:rsid w:val="00FB5F31"/>
    <w:rsid w:val="00FB624A"/>
    <w:rsid w:val="00FB76F3"/>
    <w:rsid w:val="00FB7830"/>
    <w:rsid w:val="00FC009F"/>
    <w:rsid w:val="00FC0FFB"/>
    <w:rsid w:val="00FC11BA"/>
    <w:rsid w:val="00FC13F9"/>
    <w:rsid w:val="00FC1460"/>
    <w:rsid w:val="00FC219F"/>
    <w:rsid w:val="00FC245F"/>
    <w:rsid w:val="00FC2BF7"/>
    <w:rsid w:val="00FC2CC7"/>
    <w:rsid w:val="00FC37D1"/>
    <w:rsid w:val="00FC3AAE"/>
    <w:rsid w:val="00FC480D"/>
    <w:rsid w:val="00FC4BFF"/>
    <w:rsid w:val="00FD00C9"/>
    <w:rsid w:val="00FD07FA"/>
    <w:rsid w:val="00FD10B4"/>
    <w:rsid w:val="00FD140C"/>
    <w:rsid w:val="00FD1C45"/>
    <w:rsid w:val="00FD1F73"/>
    <w:rsid w:val="00FD2222"/>
    <w:rsid w:val="00FD44C9"/>
    <w:rsid w:val="00FD4F05"/>
    <w:rsid w:val="00FD5054"/>
    <w:rsid w:val="00FD5075"/>
    <w:rsid w:val="00FD5236"/>
    <w:rsid w:val="00FD55CA"/>
    <w:rsid w:val="00FD560D"/>
    <w:rsid w:val="00FD5E3F"/>
    <w:rsid w:val="00FD6A2E"/>
    <w:rsid w:val="00FD7338"/>
    <w:rsid w:val="00FE0232"/>
    <w:rsid w:val="00FE031E"/>
    <w:rsid w:val="00FE1605"/>
    <w:rsid w:val="00FE1C62"/>
    <w:rsid w:val="00FE1CAA"/>
    <w:rsid w:val="00FE1EC6"/>
    <w:rsid w:val="00FE2AEA"/>
    <w:rsid w:val="00FE40CE"/>
    <w:rsid w:val="00FE423A"/>
    <w:rsid w:val="00FE4A74"/>
    <w:rsid w:val="00FE542E"/>
    <w:rsid w:val="00FE5514"/>
    <w:rsid w:val="00FE58C0"/>
    <w:rsid w:val="00FE5D6B"/>
    <w:rsid w:val="00FE68CC"/>
    <w:rsid w:val="00FE6B20"/>
    <w:rsid w:val="00FE7496"/>
    <w:rsid w:val="00FF0302"/>
    <w:rsid w:val="00FF0EC5"/>
    <w:rsid w:val="00FF12FD"/>
    <w:rsid w:val="00FF163E"/>
    <w:rsid w:val="00FF16B2"/>
    <w:rsid w:val="00FF26E6"/>
    <w:rsid w:val="00FF26FD"/>
    <w:rsid w:val="00FF2FB2"/>
    <w:rsid w:val="00FF446C"/>
    <w:rsid w:val="00FF4A97"/>
    <w:rsid w:val="00FF5356"/>
    <w:rsid w:val="00FF5B5E"/>
    <w:rsid w:val="00FF5C81"/>
    <w:rsid w:val="00FF6704"/>
    <w:rsid w:val="00FF68E9"/>
    <w:rsid w:val="00FF6C65"/>
    <w:rsid w:val="00FF74E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F83B667"/>
  <w15:docId w15:val="{28D3DCF9-FCD8-4AC3-96BC-B418007B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35"/>
    <w:pPr>
      <w:widowControl w:val="0"/>
      <w:spacing w:before="120" w:after="120"/>
    </w:pPr>
    <w:rPr>
      <w:sz w:val="24"/>
      <w:szCs w:val="24"/>
      <w:lang w:val="en-US"/>
    </w:rPr>
  </w:style>
  <w:style w:type="paragraph" w:styleId="Heading1">
    <w:name w:val="heading 1"/>
    <w:basedOn w:val="Normal"/>
    <w:next w:val="Normal"/>
    <w:link w:val="Heading1Char"/>
    <w:uiPriority w:val="9"/>
    <w:qFormat/>
    <w:rsid w:val="0008617F"/>
    <w:pPr>
      <w:pageBreakBefore/>
      <w:numPr>
        <w:numId w:val="27"/>
      </w:numPr>
      <w:pBdr>
        <w:bottom w:val="single" w:sz="24" w:space="4" w:color="7F7F7F" w:themeColor="text1" w:themeTint="80"/>
      </w:pBdr>
      <w:spacing w:after="0" w:line="240" w:lineRule="auto"/>
      <w:ind w:left="3686" w:hanging="3544"/>
      <w:outlineLvl w:val="0"/>
    </w:pPr>
    <w:rPr>
      <w:rFonts w:eastAsia="Times New Roman" w:cstheme="minorHAnsi"/>
      <w:b/>
      <w:bCs/>
      <w:snapToGrid w:val="0"/>
      <w:color w:val="7F7F7F" w:themeColor="text1" w:themeTint="80"/>
      <w:sz w:val="44"/>
      <w:szCs w:val="28"/>
    </w:rPr>
  </w:style>
  <w:style w:type="paragraph" w:styleId="Heading2">
    <w:name w:val="heading 2"/>
    <w:basedOn w:val="Normal"/>
    <w:link w:val="Heading2Char"/>
    <w:uiPriority w:val="9"/>
    <w:qFormat/>
    <w:rsid w:val="0017165E"/>
    <w:pPr>
      <w:keepNext/>
      <w:widowControl/>
      <w:numPr>
        <w:ilvl w:val="1"/>
        <w:numId w:val="27"/>
      </w:numPr>
      <w:spacing w:before="360" w:after="240" w:line="240" w:lineRule="auto"/>
      <w:ind w:left="578" w:hanging="578"/>
      <w:outlineLvl w:val="1"/>
    </w:pPr>
    <w:rPr>
      <w:rFonts w:cstheme="minorHAnsi"/>
      <w:b/>
      <w:snapToGrid w:val="0"/>
      <w:color w:val="17365D" w:themeColor="text2" w:themeShade="BF"/>
      <w:sz w:val="28"/>
    </w:rPr>
  </w:style>
  <w:style w:type="paragraph" w:styleId="Heading3">
    <w:name w:val="heading 3"/>
    <w:basedOn w:val="Normal"/>
    <w:next w:val="Normal"/>
    <w:link w:val="Heading3Char"/>
    <w:uiPriority w:val="9"/>
    <w:unhideWhenUsed/>
    <w:qFormat/>
    <w:rsid w:val="006D2034"/>
    <w:pPr>
      <w:keepNext/>
      <w:keepLines/>
      <w:numPr>
        <w:ilvl w:val="2"/>
        <w:numId w:val="27"/>
      </w:numPr>
      <w:spacing w:before="360"/>
      <w:ind w:left="709" w:hanging="709"/>
      <w:outlineLvl w:val="2"/>
    </w:pPr>
    <w:rPr>
      <w:rFonts w:eastAsiaTheme="majorEastAsia" w:cstheme="majorBidi"/>
      <w:b/>
      <w:bCs/>
      <w:snapToGrid w:val="0"/>
      <w:color w:val="365F91" w:themeColor="accent1" w:themeShade="BF"/>
      <w:sz w:val="26"/>
    </w:rPr>
  </w:style>
  <w:style w:type="paragraph" w:styleId="Heading4">
    <w:name w:val="heading 4"/>
    <w:basedOn w:val="Normal"/>
    <w:next w:val="Normal"/>
    <w:link w:val="Heading4Char"/>
    <w:uiPriority w:val="9"/>
    <w:unhideWhenUsed/>
    <w:qFormat/>
    <w:rsid w:val="007742E2"/>
    <w:pPr>
      <w:keepNext/>
      <w:widowControl/>
      <w:spacing w:before="240"/>
      <w:outlineLvl w:val="3"/>
    </w:pPr>
    <w:rPr>
      <w:rFonts w:cstheme="minorHAnsi"/>
      <w:b/>
      <w:i/>
      <w:snapToGrid w:val="0"/>
      <w:color w:val="17365D" w:themeColor="text2" w:themeShade="BF"/>
    </w:rPr>
  </w:style>
  <w:style w:type="paragraph" w:styleId="Heading5">
    <w:name w:val="heading 5"/>
    <w:basedOn w:val="Normal"/>
    <w:next w:val="Normal"/>
    <w:link w:val="Heading5Char"/>
    <w:uiPriority w:val="9"/>
    <w:unhideWhenUsed/>
    <w:qFormat/>
    <w:rsid w:val="00FF5C81"/>
    <w:pPr>
      <w:spacing w:line="240" w:lineRule="auto"/>
      <w:outlineLvl w:val="4"/>
    </w:pPr>
    <w:rPr>
      <w:rFonts w:cstheme="minorHAnsi"/>
      <w:i/>
      <w:snapToGrid w:val="0"/>
    </w:rPr>
  </w:style>
  <w:style w:type="paragraph" w:styleId="Heading6">
    <w:name w:val="heading 6"/>
    <w:basedOn w:val="Normal"/>
    <w:next w:val="Normal"/>
    <w:link w:val="Heading6Char"/>
    <w:uiPriority w:val="9"/>
    <w:unhideWhenUsed/>
    <w:qFormat/>
    <w:rsid w:val="006F5EAE"/>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
    <w:unhideWhenUsed/>
    <w:qFormat/>
    <w:rsid w:val="00C46142"/>
    <w:pPr>
      <w:numPr>
        <w:numId w:val="0"/>
      </w:numPr>
      <w:jc w:val="right"/>
      <w:outlineLvl w:val="6"/>
    </w:pPr>
    <w:rPr>
      <w:u w:color="BFBFBF" w:themeColor="background1" w:themeShade="BF"/>
    </w:rPr>
  </w:style>
  <w:style w:type="paragraph" w:styleId="Heading8">
    <w:name w:val="heading 8"/>
    <w:basedOn w:val="Heading1"/>
    <w:next w:val="Normal"/>
    <w:link w:val="Heading8Char"/>
    <w:uiPriority w:val="9"/>
    <w:unhideWhenUsed/>
    <w:qFormat/>
    <w:rsid w:val="00B54DA9"/>
    <w:pPr>
      <w:numPr>
        <w:numId w:val="0"/>
      </w:numPr>
      <w:ind w:left="2835" w:hanging="2835"/>
      <w:outlineLvl w:val="7"/>
    </w:pPr>
  </w:style>
  <w:style w:type="paragraph" w:styleId="Heading9">
    <w:name w:val="heading 9"/>
    <w:basedOn w:val="Normal"/>
    <w:next w:val="Normal"/>
    <w:link w:val="Heading9Char"/>
    <w:uiPriority w:val="9"/>
    <w:semiHidden/>
    <w:unhideWhenUsed/>
    <w:qFormat/>
    <w:rsid w:val="00A966E4"/>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7F"/>
    <w:rPr>
      <w:rFonts w:eastAsia="Times New Roman" w:cstheme="minorHAnsi"/>
      <w:b/>
      <w:bCs/>
      <w:snapToGrid w:val="0"/>
      <w:color w:val="7F7F7F" w:themeColor="text1" w:themeTint="80"/>
      <w:sz w:val="44"/>
      <w:szCs w:val="28"/>
      <w:lang w:val="en-US"/>
    </w:rPr>
  </w:style>
  <w:style w:type="character" w:customStyle="1" w:styleId="Heading2Char">
    <w:name w:val="Heading 2 Char"/>
    <w:basedOn w:val="DefaultParagraphFont"/>
    <w:link w:val="Heading2"/>
    <w:uiPriority w:val="9"/>
    <w:rsid w:val="0017165E"/>
    <w:rPr>
      <w:rFonts w:cstheme="minorHAnsi"/>
      <w:b/>
      <w:snapToGrid w:val="0"/>
      <w:color w:val="17365D" w:themeColor="text2" w:themeShade="BF"/>
      <w:sz w:val="28"/>
      <w:szCs w:val="24"/>
      <w:lang w:val="en-US"/>
    </w:rPr>
  </w:style>
  <w:style w:type="character" w:customStyle="1" w:styleId="Heading3Char">
    <w:name w:val="Heading 3 Char"/>
    <w:basedOn w:val="DefaultParagraphFont"/>
    <w:link w:val="Heading3"/>
    <w:rsid w:val="006D2034"/>
    <w:rPr>
      <w:rFonts w:eastAsiaTheme="majorEastAsia" w:cstheme="majorBidi"/>
      <w:b/>
      <w:bCs/>
      <w:snapToGrid w:val="0"/>
      <w:color w:val="365F91" w:themeColor="accent1" w:themeShade="BF"/>
      <w:sz w:val="26"/>
      <w:szCs w:val="24"/>
      <w:lang w:val="en-US"/>
    </w:rPr>
  </w:style>
  <w:style w:type="character" w:customStyle="1" w:styleId="Heading4Char">
    <w:name w:val="Heading 4 Char"/>
    <w:basedOn w:val="DefaultParagraphFont"/>
    <w:link w:val="Heading4"/>
    <w:uiPriority w:val="9"/>
    <w:rsid w:val="007742E2"/>
    <w:rPr>
      <w:rFonts w:cstheme="minorHAnsi"/>
      <w:b/>
      <w:i/>
      <w:snapToGrid w:val="0"/>
      <w:color w:val="17365D" w:themeColor="text2" w:themeShade="BF"/>
      <w:sz w:val="24"/>
      <w:szCs w:val="24"/>
      <w:lang w:val="en-US"/>
    </w:rPr>
  </w:style>
  <w:style w:type="character" w:customStyle="1" w:styleId="Heading5Char">
    <w:name w:val="Heading 5 Char"/>
    <w:basedOn w:val="DefaultParagraphFont"/>
    <w:link w:val="Heading5"/>
    <w:uiPriority w:val="9"/>
    <w:rsid w:val="00FF5C81"/>
    <w:rPr>
      <w:rFonts w:cstheme="minorHAnsi"/>
      <w:i/>
      <w:snapToGrid w:val="0"/>
      <w:sz w:val="24"/>
      <w:szCs w:val="24"/>
      <w:lang w:val="en-US"/>
    </w:rPr>
  </w:style>
  <w:style w:type="character" w:customStyle="1" w:styleId="Heading6Char">
    <w:name w:val="Heading 6 Char"/>
    <w:basedOn w:val="DefaultParagraphFont"/>
    <w:link w:val="Heading6"/>
    <w:uiPriority w:val="9"/>
    <w:rsid w:val="006F5EAE"/>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rsid w:val="00C46142"/>
    <w:rPr>
      <w:rFonts w:eastAsia="Times New Roman" w:cstheme="minorHAnsi"/>
      <w:b/>
      <w:bCs/>
      <w:color w:val="7F7F7F" w:themeColor="text1" w:themeTint="80"/>
      <w:sz w:val="44"/>
      <w:szCs w:val="28"/>
      <w:u w:color="BFBFBF" w:themeColor="background1" w:themeShade="BF"/>
      <w:lang w:val="en-US"/>
    </w:rPr>
  </w:style>
  <w:style w:type="paragraph" w:styleId="Footer">
    <w:name w:val="footer"/>
    <w:basedOn w:val="Normal"/>
    <w:link w:val="FooterChar"/>
    <w:unhideWhenUsed/>
    <w:qFormat/>
    <w:rsid w:val="00C46142"/>
    <w:pPr>
      <w:tabs>
        <w:tab w:val="center" w:pos="4513"/>
        <w:tab w:val="right" w:pos="9026"/>
      </w:tabs>
      <w:spacing w:after="0" w:line="240" w:lineRule="auto"/>
      <w:jc w:val="right"/>
    </w:pPr>
    <w:rPr>
      <w:noProof/>
    </w:rPr>
  </w:style>
  <w:style w:type="character" w:customStyle="1" w:styleId="FooterChar">
    <w:name w:val="Footer Char"/>
    <w:basedOn w:val="DefaultParagraphFont"/>
    <w:link w:val="Footer"/>
    <w:rsid w:val="00C46142"/>
    <w:rPr>
      <w:noProof/>
      <w:sz w:val="24"/>
      <w:szCs w:val="24"/>
      <w:lang w:val="en-US"/>
    </w:rPr>
  </w:style>
  <w:style w:type="table" w:styleId="TableGrid">
    <w:name w:val="Table Grid"/>
    <w:basedOn w:val="TableNormal"/>
    <w:uiPriority w:val="59"/>
    <w:rsid w:val="00A2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310"/>
    <w:rPr>
      <w:lang w:val="en-US"/>
    </w:rPr>
  </w:style>
  <w:style w:type="paragraph" w:styleId="Revision">
    <w:name w:val="Revision"/>
    <w:hidden/>
    <w:uiPriority w:val="99"/>
    <w:semiHidden/>
    <w:rsid w:val="00A21310"/>
    <w:pPr>
      <w:spacing w:after="0" w:line="240" w:lineRule="auto"/>
    </w:pPr>
    <w:rPr>
      <w:lang w:val="en-US"/>
    </w:rPr>
  </w:style>
  <w:style w:type="paragraph" w:styleId="BalloonText">
    <w:name w:val="Balloon Text"/>
    <w:basedOn w:val="Normal"/>
    <w:link w:val="BalloonTextChar"/>
    <w:uiPriority w:val="99"/>
    <w:semiHidden/>
    <w:unhideWhenUsed/>
    <w:rsid w:val="00A2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310"/>
    <w:rPr>
      <w:rFonts w:ascii="Tahoma" w:hAnsi="Tahoma" w:cs="Tahoma"/>
      <w:sz w:val="16"/>
      <w:szCs w:val="16"/>
      <w:lang w:val="en-US"/>
    </w:rPr>
  </w:style>
  <w:style w:type="paragraph" w:styleId="FootnoteText">
    <w:name w:val="footnote text"/>
    <w:basedOn w:val="Normal"/>
    <w:link w:val="FootnoteTextChar"/>
    <w:uiPriority w:val="99"/>
    <w:unhideWhenUsed/>
    <w:rsid w:val="00E65280"/>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rsid w:val="00E65280"/>
    <w:rPr>
      <w:sz w:val="20"/>
      <w:szCs w:val="20"/>
      <w:lang w:val="en-US"/>
    </w:rPr>
  </w:style>
  <w:style w:type="character" w:styleId="FootnoteReference">
    <w:name w:val="footnote reference"/>
    <w:basedOn w:val="DefaultParagraphFont"/>
    <w:uiPriority w:val="99"/>
    <w:semiHidden/>
    <w:unhideWhenUsed/>
    <w:rsid w:val="00B9627E"/>
    <w:rPr>
      <w:vertAlign w:val="superscript"/>
    </w:rPr>
  </w:style>
  <w:style w:type="paragraph" w:styleId="BodyText">
    <w:name w:val="Body Text"/>
    <w:basedOn w:val="Normal"/>
    <w:link w:val="BodyTextChar"/>
    <w:semiHidden/>
    <w:rsid w:val="00CC1DAA"/>
    <w:pPr>
      <w:widowControl/>
      <w:spacing w:after="0" w:line="240" w:lineRule="auto"/>
      <w:jc w:val="both"/>
    </w:pPr>
    <w:rPr>
      <w:rFonts w:ascii="Times New Roman" w:eastAsia="Times New Roman" w:hAnsi="Times New Roman" w:cs="Times New Roman"/>
      <w:szCs w:val="20"/>
      <w:lang w:val="en-AU"/>
    </w:rPr>
  </w:style>
  <w:style w:type="character" w:customStyle="1" w:styleId="BodyTextChar">
    <w:name w:val="Body Text Char"/>
    <w:basedOn w:val="DefaultParagraphFont"/>
    <w:link w:val="BodyText"/>
    <w:semiHidden/>
    <w:rsid w:val="00CC1DAA"/>
    <w:rPr>
      <w:rFonts w:ascii="Times New Roman" w:eastAsia="Times New Roman" w:hAnsi="Times New Roman" w:cs="Times New Roman"/>
      <w:sz w:val="24"/>
      <w:szCs w:val="20"/>
    </w:rPr>
  </w:style>
  <w:style w:type="paragraph" w:styleId="ListParagraph">
    <w:name w:val="List Paragraph"/>
    <w:basedOn w:val="Normal"/>
    <w:link w:val="ListParagraphChar"/>
    <w:qFormat/>
    <w:rsid w:val="00CC1DAA"/>
    <w:pPr>
      <w:ind w:left="720"/>
      <w:contextualSpacing/>
    </w:pPr>
  </w:style>
  <w:style w:type="paragraph" w:customStyle="1" w:styleId="BulletedListLevel1">
    <w:name w:val="Bulleted List Level 1"/>
    <w:basedOn w:val="Normal"/>
    <w:rsid w:val="00CC1DAA"/>
    <w:pPr>
      <w:numPr>
        <w:numId w:val="1"/>
      </w:numPr>
    </w:pPr>
  </w:style>
  <w:style w:type="paragraph" w:styleId="CommentText">
    <w:name w:val="annotation text"/>
    <w:basedOn w:val="Normal"/>
    <w:link w:val="CommentTextChar"/>
    <w:uiPriority w:val="99"/>
    <w:unhideWhenUsed/>
    <w:rsid w:val="00DA30FB"/>
    <w:pPr>
      <w:spacing w:line="240" w:lineRule="auto"/>
    </w:pPr>
    <w:rPr>
      <w:sz w:val="20"/>
      <w:szCs w:val="20"/>
    </w:rPr>
  </w:style>
  <w:style w:type="character" w:customStyle="1" w:styleId="CommentTextChar">
    <w:name w:val="Comment Text Char"/>
    <w:basedOn w:val="DefaultParagraphFont"/>
    <w:link w:val="CommentText"/>
    <w:uiPriority w:val="99"/>
    <w:rsid w:val="00DA30FB"/>
    <w:rPr>
      <w:sz w:val="20"/>
      <w:szCs w:val="20"/>
      <w:lang w:val="en-US"/>
    </w:rPr>
  </w:style>
  <w:style w:type="paragraph" w:styleId="NormalWeb">
    <w:name w:val="Normal (Web)"/>
    <w:basedOn w:val="Normal"/>
    <w:uiPriority w:val="99"/>
    <w:unhideWhenUsed/>
    <w:rsid w:val="002828BA"/>
    <w:pPr>
      <w:widowControl/>
      <w:spacing w:before="100" w:beforeAutospacing="1" w:after="100" w:afterAutospacing="1" w:line="240" w:lineRule="auto"/>
    </w:pPr>
    <w:rPr>
      <w:rFonts w:ascii="Times New Roman" w:eastAsia="Times New Roman" w:hAnsi="Times New Roman" w:cs="Times New Roman"/>
      <w:lang w:val="en-AU" w:eastAsia="en-AU"/>
    </w:rPr>
  </w:style>
  <w:style w:type="character" w:styleId="Emphasis">
    <w:name w:val="Emphasis"/>
    <w:basedOn w:val="DefaultParagraphFont"/>
    <w:rsid w:val="00957EB0"/>
    <w:rPr>
      <w:rFonts w:cs="Times New Roman"/>
      <w:i/>
      <w:iCs/>
    </w:rPr>
  </w:style>
  <w:style w:type="character" w:styleId="PageNumber">
    <w:name w:val="page number"/>
    <w:basedOn w:val="DefaultParagraphFont"/>
    <w:rsid w:val="00487D0D"/>
  </w:style>
  <w:style w:type="paragraph" w:styleId="BodyText2">
    <w:name w:val="Body Text 2"/>
    <w:basedOn w:val="Normal"/>
    <w:link w:val="BodyText2Char"/>
    <w:uiPriority w:val="99"/>
    <w:unhideWhenUsed/>
    <w:rsid w:val="00451083"/>
    <w:pPr>
      <w:spacing w:line="480" w:lineRule="auto"/>
    </w:pPr>
  </w:style>
  <w:style w:type="character" w:customStyle="1" w:styleId="BodyText2Char">
    <w:name w:val="Body Text 2 Char"/>
    <w:basedOn w:val="DefaultParagraphFont"/>
    <w:link w:val="BodyText2"/>
    <w:uiPriority w:val="99"/>
    <w:rsid w:val="00451083"/>
    <w:rPr>
      <w:lang w:val="en-US"/>
    </w:rPr>
  </w:style>
  <w:style w:type="paragraph" w:styleId="Caption">
    <w:name w:val="caption"/>
    <w:basedOn w:val="Normal"/>
    <w:next w:val="Normal"/>
    <w:link w:val="CaptionChar"/>
    <w:uiPriority w:val="99"/>
    <w:qFormat/>
    <w:rsid w:val="00C46142"/>
    <w:pPr>
      <w:keepNext/>
      <w:widowControl/>
      <w:spacing w:line="240" w:lineRule="auto"/>
      <w:ind w:left="1134" w:hanging="1134"/>
    </w:pPr>
    <w:rPr>
      <w:rFonts w:eastAsia="Times New Roman" w:cs="Times New Roman"/>
      <w:b/>
      <w:sz w:val="22"/>
      <w:szCs w:val="20"/>
      <w:lang w:val="en-AU" w:eastAsia="en-AU"/>
    </w:rPr>
  </w:style>
  <w:style w:type="character" w:styleId="CommentReference">
    <w:name w:val="annotation reference"/>
    <w:basedOn w:val="DefaultParagraphFont"/>
    <w:uiPriority w:val="99"/>
    <w:semiHidden/>
    <w:unhideWhenUsed/>
    <w:rsid w:val="00A71184"/>
    <w:rPr>
      <w:sz w:val="16"/>
      <w:szCs w:val="16"/>
    </w:rPr>
  </w:style>
  <w:style w:type="paragraph" w:styleId="CommentSubject">
    <w:name w:val="annotation subject"/>
    <w:basedOn w:val="CommentText"/>
    <w:next w:val="CommentText"/>
    <w:link w:val="CommentSubjectChar"/>
    <w:uiPriority w:val="99"/>
    <w:semiHidden/>
    <w:unhideWhenUsed/>
    <w:rsid w:val="00A71184"/>
    <w:rPr>
      <w:b/>
      <w:bCs/>
    </w:rPr>
  </w:style>
  <w:style w:type="character" w:customStyle="1" w:styleId="CommentSubjectChar">
    <w:name w:val="Comment Subject Char"/>
    <w:basedOn w:val="CommentTextChar"/>
    <w:link w:val="CommentSubject"/>
    <w:uiPriority w:val="99"/>
    <w:semiHidden/>
    <w:rsid w:val="00A71184"/>
    <w:rPr>
      <w:b/>
      <w:bCs/>
      <w:sz w:val="20"/>
      <w:szCs w:val="20"/>
      <w:lang w:val="en-US"/>
    </w:rPr>
  </w:style>
  <w:style w:type="paragraph" w:customStyle="1" w:styleId="Default">
    <w:name w:val="Default"/>
    <w:rsid w:val="007E61B3"/>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EE1035"/>
    <w:pPr>
      <w:keepNext/>
      <w:keepLines/>
      <w:widowControl/>
      <w:spacing w:before="480" w:line="276" w:lineRule="auto"/>
      <w:outlineLvl w:val="9"/>
    </w:pPr>
    <w:rPr>
      <w:rFonts w:asciiTheme="majorHAnsi" w:eastAsiaTheme="majorEastAsia" w:hAnsiTheme="majorHAnsi" w:cstheme="majorBidi"/>
      <w:color w:val="4F81BD" w:themeColor="accent1"/>
      <w14:textFill>
        <w14:solidFill>
          <w14:schemeClr w14:val="accent1">
            <w14:lumMod w14:val="75000"/>
            <w14:lumMod w14:val="50000"/>
            <w14:lumOff w14:val="50000"/>
          </w14:schemeClr>
        </w14:solidFill>
      </w14:textFill>
    </w:rPr>
  </w:style>
  <w:style w:type="paragraph" w:styleId="TOC1">
    <w:name w:val="toc 1"/>
    <w:basedOn w:val="Normal"/>
    <w:next w:val="Normal"/>
    <w:uiPriority w:val="39"/>
    <w:unhideWhenUsed/>
    <w:rsid w:val="00B90F7F"/>
    <w:pPr>
      <w:tabs>
        <w:tab w:val="right" w:leader="dot" w:pos="9016"/>
      </w:tabs>
      <w:spacing w:after="100"/>
      <w:ind w:left="426" w:hanging="426"/>
    </w:pPr>
  </w:style>
  <w:style w:type="paragraph" w:styleId="TOC2">
    <w:name w:val="toc 2"/>
    <w:basedOn w:val="Normal"/>
    <w:next w:val="Normal"/>
    <w:autoRedefine/>
    <w:uiPriority w:val="39"/>
    <w:unhideWhenUsed/>
    <w:rsid w:val="00383E75"/>
    <w:pPr>
      <w:tabs>
        <w:tab w:val="left" w:pos="880"/>
        <w:tab w:val="right" w:leader="dot" w:pos="9016"/>
      </w:tabs>
      <w:spacing w:after="100"/>
      <w:ind w:left="851" w:hanging="425"/>
    </w:pPr>
    <w:rPr>
      <w:noProof/>
    </w:rPr>
  </w:style>
  <w:style w:type="paragraph" w:styleId="TOC3">
    <w:name w:val="toc 3"/>
    <w:basedOn w:val="Normal"/>
    <w:next w:val="Normal"/>
    <w:autoRedefine/>
    <w:uiPriority w:val="39"/>
    <w:unhideWhenUsed/>
    <w:rsid w:val="00383E75"/>
    <w:pPr>
      <w:tabs>
        <w:tab w:val="left" w:pos="1560"/>
        <w:tab w:val="right" w:leader="dot" w:pos="9016"/>
      </w:tabs>
      <w:spacing w:after="100"/>
      <w:ind w:left="1560" w:hanging="709"/>
    </w:pPr>
    <w:rPr>
      <w:noProof/>
    </w:rPr>
  </w:style>
  <w:style w:type="paragraph" w:styleId="DocumentMap">
    <w:name w:val="Document Map"/>
    <w:basedOn w:val="Normal"/>
    <w:link w:val="DocumentMapChar"/>
    <w:uiPriority w:val="99"/>
    <w:semiHidden/>
    <w:unhideWhenUsed/>
    <w:rsid w:val="00EE10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1035"/>
    <w:rPr>
      <w:rFonts w:ascii="Tahoma" w:hAnsi="Tahoma" w:cs="Tahoma"/>
      <w:sz w:val="16"/>
      <w:szCs w:val="16"/>
      <w:lang w:val="en-US"/>
    </w:rPr>
  </w:style>
  <w:style w:type="character" w:styleId="Hyperlink">
    <w:name w:val="Hyperlink"/>
    <w:basedOn w:val="DefaultParagraphFont"/>
    <w:uiPriority w:val="99"/>
    <w:unhideWhenUsed/>
    <w:rsid w:val="00EE1035"/>
    <w:rPr>
      <w:color w:val="0000FF" w:themeColor="hyperlink"/>
      <w:u w:val="single"/>
    </w:rPr>
  </w:style>
  <w:style w:type="paragraph" w:styleId="TOC4">
    <w:name w:val="toc 4"/>
    <w:basedOn w:val="Normal"/>
    <w:next w:val="Normal"/>
    <w:autoRedefine/>
    <w:uiPriority w:val="39"/>
    <w:unhideWhenUsed/>
    <w:rsid w:val="00F61BA3"/>
    <w:pPr>
      <w:widowControl/>
      <w:spacing w:after="100"/>
      <w:ind w:left="660"/>
    </w:pPr>
    <w:rPr>
      <w:rFonts w:eastAsiaTheme="minorEastAsia"/>
      <w:lang w:val="en-AU" w:eastAsia="en-AU"/>
    </w:rPr>
  </w:style>
  <w:style w:type="paragraph" w:styleId="TOC5">
    <w:name w:val="toc 5"/>
    <w:basedOn w:val="Normal"/>
    <w:next w:val="Normal"/>
    <w:autoRedefine/>
    <w:uiPriority w:val="39"/>
    <w:unhideWhenUsed/>
    <w:rsid w:val="00F61BA3"/>
    <w:pPr>
      <w:widowControl/>
      <w:spacing w:after="100"/>
      <w:ind w:left="880"/>
    </w:pPr>
    <w:rPr>
      <w:rFonts w:eastAsiaTheme="minorEastAsia"/>
      <w:lang w:val="en-AU" w:eastAsia="en-AU"/>
    </w:rPr>
  </w:style>
  <w:style w:type="paragraph" w:styleId="TOC6">
    <w:name w:val="toc 6"/>
    <w:basedOn w:val="Normal"/>
    <w:next w:val="Normal"/>
    <w:autoRedefine/>
    <w:uiPriority w:val="39"/>
    <w:unhideWhenUsed/>
    <w:rsid w:val="00F61BA3"/>
    <w:pPr>
      <w:widowControl/>
      <w:spacing w:after="100"/>
      <w:ind w:left="1100"/>
    </w:pPr>
    <w:rPr>
      <w:rFonts w:eastAsiaTheme="minorEastAsia"/>
      <w:lang w:val="en-AU" w:eastAsia="en-AU"/>
    </w:rPr>
  </w:style>
  <w:style w:type="paragraph" w:styleId="TOC7">
    <w:name w:val="toc 7"/>
    <w:basedOn w:val="Normal"/>
    <w:next w:val="Normal"/>
    <w:autoRedefine/>
    <w:uiPriority w:val="39"/>
    <w:unhideWhenUsed/>
    <w:rsid w:val="00F61BA3"/>
    <w:pPr>
      <w:widowControl/>
      <w:spacing w:after="100"/>
      <w:ind w:left="1320"/>
    </w:pPr>
    <w:rPr>
      <w:rFonts w:eastAsiaTheme="minorEastAsia"/>
      <w:lang w:val="en-AU" w:eastAsia="en-AU"/>
    </w:rPr>
  </w:style>
  <w:style w:type="paragraph" w:styleId="TOC8">
    <w:name w:val="toc 8"/>
    <w:basedOn w:val="Normal"/>
    <w:next w:val="Normal"/>
    <w:autoRedefine/>
    <w:uiPriority w:val="39"/>
    <w:unhideWhenUsed/>
    <w:rsid w:val="00F61BA3"/>
    <w:pPr>
      <w:widowControl/>
      <w:spacing w:after="100"/>
      <w:ind w:left="1540"/>
    </w:pPr>
    <w:rPr>
      <w:rFonts w:eastAsiaTheme="minorEastAsia"/>
      <w:lang w:val="en-AU" w:eastAsia="en-AU"/>
    </w:rPr>
  </w:style>
  <w:style w:type="paragraph" w:styleId="TOC9">
    <w:name w:val="toc 9"/>
    <w:basedOn w:val="Normal"/>
    <w:next w:val="Normal"/>
    <w:autoRedefine/>
    <w:uiPriority w:val="39"/>
    <w:unhideWhenUsed/>
    <w:rsid w:val="00F61BA3"/>
    <w:pPr>
      <w:widowControl/>
      <w:spacing w:after="100"/>
      <w:ind w:left="1760"/>
    </w:pPr>
    <w:rPr>
      <w:rFonts w:eastAsiaTheme="minorEastAsia"/>
      <w:lang w:val="en-AU" w:eastAsia="en-AU"/>
    </w:rPr>
  </w:style>
  <w:style w:type="character" w:customStyle="1" w:styleId="st1">
    <w:name w:val="st1"/>
    <w:basedOn w:val="DefaultParagraphFont"/>
    <w:rsid w:val="00B65AE6"/>
  </w:style>
  <w:style w:type="paragraph" w:customStyle="1" w:styleId="Pa11">
    <w:name w:val="Pa11"/>
    <w:basedOn w:val="Normal"/>
    <w:next w:val="Normal"/>
    <w:uiPriority w:val="99"/>
    <w:rsid w:val="0099164B"/>
    <w:pPr>
      <w:widowControl/>
      <w:autoSpaceDE w:val="0"/>
      <w:autoSpaceDN w:val="0"/>
      <w:adjustRightInd w:val="0"/>
      <w:spacing w:after="280" w:line="221" w:lineRule="atLeast"/>
    </w:pPr>
    <w:rPr>
      <w:rFonts w:ascii="Frutiger LT" w:eastAsia="Times New Roman" w:hAnsi="Frutiger LT" w:cs="Times New Roman"/>
      <w:lang w:val="en-AU" w:eastAsia="en-AU"/>
    </w:rPr>
  </w:style>
  <w:style w:type="character" w:styleId="PlaceholderText">
    <w:name w:val="Placeholder Text"/>
    <w:basedOn w:val="DefaultParagraphFont"/>
    <w:uiPriority w:val="99"/>
    <w:semiHidden/>
    <w:rsid w:val="006022A6"/>
    <w:rPr>
      <w:color w:val="808080"/>
    </w:rPr>
  </w:style>
  <w:style w:type="paragraph" w:styleId="NoSpacing">
    <w:name w:val="No Spacing"/>
    <w:uiPriority w:val="1"/>
    <w:rsid w:val="0079523D"/>
    <w:pPr>
      <w:widowControl w:val="0"/>
      <w:spacing w:after="0" w:line="240" w:lineRule="auto"/>
    </w:pPr>
    <w:rPr>
      <w:lang w:val="en-US"/>
    </w:rPr>
  </w:style>
  <w:style w:type="paragraph" w:customStyle="1" w:styleId="BodyText1">
    <w:name w:val="Body Text1"/>
    <w:basedOn w:val="Normal"/>
    <w:qFormat/>
    <w:rsid w:val="00326D5F"/>
    <w:pPr>
      <w:widowControl/>
      <w:autoSpaceDE w:val="0"/>
      <w:autoSpaceDN w:val="0"/>
      <w:adjustRightInd w:val="0"/>
      <w:spacing w:before="60" w:line="260" w:lineRule="atLeast"/>
    </w:pPr>
    <w:rPr>
      <w:rFonts w:ascii="Arial" w:eastAsia="Times New Roman" w:hAnsi="Arial" w:cs="Book Antiqua"/>
      <w:sz w:val="20"/>
      <w:szCs w:val="20"/>
      <w:shd w:val="clear" w:color="auto" w:fill="FFFFFF" w:themeFill="background1"/>
      <w:lang w:val="en-AU"/>
    </w:rPr>
  </w:style>
  <w:style w:type="paragraph" w:customStyle="1" w:styleId="TableHeading">
    <w:name w:val="Table Heading"/>
    <w:basedOn w:val="Caption"/>
    <w:next w:val="Normal"/>
    <w:rsid w:val="003C0C7B"/>
    <w:pPr>
      <w:ind w:left="34" w:firstLine="0"/>
    </w:pPr>
    <w:rPr>
      <w:rFonts w:ascii="Calibri" w:hAnsi="Calibri" w:cs="Calibri"/>
    </w:rPr>
  </w:style>
  <w:style w:type="paragraph" w:customStyle="1" w:styleId="TableText">
    <w:name w:val="Table Text"/>
    <w:basedOn w:val="Normal"/>
    <w:rsid w:val="003C0C7B"/>
    <w:pPr>
      <w:widowControl/>
      <w:spacing w:before="60" w:after="60" w:line="240" w:lineRule="auto"/>
    </w:pPr>
    <w:rPr>
      <w:rFonts w:eastAsia="Times New Roman" w:cs="Times New Roman"/>
      <w:sz w:val="22"/>
      <w:szCs w:val="20"/>
      <w:lang w:val="en-AU"/>
    </w:rPr>
  </w:style>
  <w:style w:type="paragraph" w:customStyle="1" w:styleId="Tablelistbullet">
    <w:name w:val="Table list bullet"/>
    <w:basedOn w:val="TableText"/>
    <w:next w:val="TableText"/>
    <w:rsid w:val="003C0C7B"/>
    <w:pPr>
      <w:numPr>
        <w:numId w:val="4"/>
      </w:numPr>
      <w:tabs>
        <w:tab w:val="clear" w:pos="720"/>
        <w:tab w:val="num" w:pos="459"/>
      </w:tabs>
      <w:ind w:left="459" w:hanging="425"/>
    </w:pPr>
    <w:rPr>
      <w:rFonts w:cs="Calibri"/>
    </w:rPr>
  </w:style>
  <w:style w:type="table" w:customStyle="1" w:styleId="GridTable5Dark-Accent11">
    <w:name w:val="Grid Table 5 Dark - Accent 11"/>
    <w:basedOn w:val="TableNormal"/>
    <w:uiPriority w:val="50"/>
    <w:rsid w:val="00E6415D"/>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Shading-Accent1">
    <w:name w:val="Light Shading Accent 1"/>
    <w:basedOn w:val="TableNormal"/>
    <w:uiPriority w:val="60"/>
    <w:rsid w:val="00FC245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F43645"/>
    <w:rPr>
      <w:b/>
      <w:bCs/>
      <w:i/>
      <w:iCs/>
      <w:color w:val="4F81BD" w:themeColor="accent1"/>
    </w:rPr>
  </w:style>
  <w:style w:type="paragraph" w:styleId="Title">
    <w:name w:val="Title"/>
    <w:basedOn w:val="Normal"/>
    <w:next w:val="Normal"/>
    <w:link w:val="TitleChar"/>
    <w:uiPriority w:val="10"/>
    <w:qFormat/>
    <w:rsid w:val="00FC219F"/>
    <w:pPr>
      <w:pBdr>
        <w:bottom w:val="single" w:sz="8" w:space="4" w:color="4F81BD" w:themeColor="accent1"/>
      </w:pBdr>
      <w:spacing w:after="300" w:line="240" w:lineRule="auto"/>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C219F"/>
    <w:rPr>
      <w:rFonts w:eastAsiaTheme="majorEastAsia" w:cstheme="majorBidi"/>
      <w:spacing w:val="5"/>
      <w:kern w:val="28"/>
      <w:sz w:val="52"/>
      <w:szCs w:val="52"/>
      <w:lang w:val="en-US"/>
    </w:rPr>
  </w:style>
  <w:style w:type="character" w:styleId="Strong">
    <w:name w:val="Strong"/>
    <w:basedOn w:val="DefaultParagraphFont"/>
    <w:uiPriority w:val="22"/>
    <w:qFormat/>
    <w:rsid w:val="00E22836"/>
    <w:rPr>
      <w:b/>
    </w:rPr>
  </w:style>
  <w:style w:type="character" w:customStyle="1" w:styleId="Heading8Char">
    <w:name w:val="Heading 8 Char"/>
    <w:basedOn w:val="DefaultParagraphFont"/>
    <w:link w:val="Heading8"/>
    <w:uiPriority w:val="9"/>
    <w:rsid w:val="00B54DA9"/>
    <w:rPr>
      <w:rFonts w:eastAsia="Times New Roman" w:cstheme="minorHAnsi"/>
      <w:b/>
      <w:bCs/>
      <w:color w:val="7F7F7F" w:themeColor="text1" w:themeTint="80"/>
      <w:sz w:val="44"/>
      <w:szCs w:val="28"/>
      <w:lang w:val="en-US"/>
    </w:rPr>
  </w:style>
  <w:style w:type="character" w:customStyle="1" w:styleId="Heading9Char">
    <w:name w:val="Heading 9 Char"/>
    <w:basedOn w:val="DefaultParagraphFont"/>
    <w:link w:val="Heading9"/>
    <w:uiPriority w:val="9"/>
    <w:semiHidden/>
    <w:rsid w:val="00A966E4"/>
    <w:rPr>
      <w:rFonts w:asciiTheme="majorHAnsi" w:eastAsiaTheme="majorEastAsia" w:hAnsiTheme="majorHAnsi" w:cstheme="majorBidi"/>
      <w:i/>
      <w:iCs/>
      <w:color w:val="272727" w:themeColor="text1" w:themeTint="D8"/>
      <w:sz w:val="21"/>
      <w:szCs w:val="21"/>
      <w:lang w:val="en-US"/>
    </w:rPr>
  </w:style>
  <w:style w:type="paragraph" w:styleId="ListBullet">
    <w:name w:val="List Bullet"/>
    <w:basedOn w:val="Normal"/>
    <w:unhideWhenUsed/>
    <w:rsid w:val="004712E5"/>
    <w:pPr>
      <w:numPr>
        <w:numId w:val="5"/>
      </w:numPr>
    </w:pPr>
  </w:style>
  <w:style w:type="paragraph" w:styleId="ListBullet2">
    <w:name w:val="List Bullet 2"/>
    <w:basedOn w:val="Normal"/>
    <w:uiPriority w:val="99"/>
    <w:unhideWhenUsed/>
    <w:rsid w:val="0017165E"/>
    <w:pPr>
      <w:numPr>
        <w:numId w:val="6"/>
      </w:numPr>
      <w:tabs>
        <w:tab w:val="left" w:pos="1134"/>
      </w:tabs>
      <w:ind w:left="714" w:hanging="357"/>
    </w:pPr>
  </w:style>
  <w:style w:type="paragraph" w:styleId="ListNumber">
    <w:name w:val="List Number"/>
    <w:basedOn w:val="Normal"/>
    <w:uiPriority w:val="99"/>
    <w:unhideWhenUsed/>
    <w:rsid w:val="007F7A49"/>
    <w:pPr>
      <w:numPr>
        <w:numId w:val="8"/>
      </w:numPr>
      <w:contextualSpacing/>
    </w:pPr>
  </w:style>
  <w:style w:type="paragraph" w:styleId="TableofAuthorities">
    <w:name w:val="table of authorities"/>
    <w:basedOn w:val="Normal"/>
    <w:next w:val="Normal"/>
    <w:uiPriority w:val="99"/>
    <w:unhideWhenUsed/>
    <w:rsid w:val="003C0C7B"/>
    <w:pPr>
      <w:spacing w:after="0"/>
      <w:ind w:left="240" w:hanging="240"/>
    </w:pPr>
  </w:style>
  <w:style w:type="paragraph" w:customStyle="1" w:styleId="NASStandard">
    <w:name w:val="NAS Standard"/>
    <w:basedOn w:val="ListParagraph"/>
    <w:qFormat/>
    <w:rsid w:val="00AE2F89"/>
    <w:pPr>
      <w:numPr>
        <w:ilvl w:val="2"/>
        <w:numId w:val="2"/>
      </w:numPr>
    </w:pPr>
    <w:rPr>
      <w:lang w:val="en-AU"/>
    </w:rPr>
  </w:style>
  <w:style w:type="paragraph" w:styleId="ListBullet3">
    <w:name w:val="List Bullet 3"/>
    <w:basedOn w:val="Normal"/>
    <w:uiPriority w:val="99"/>
    <w:unhideWhenUsed/>
    <w:rsid w:val="00DE3B8F"/>
    <w:pPr>
      <w:numPr>
        <w:numId w:val="9"/>
      </w:numPr>
      <w:tabs>
        <w:tab w:val="left" w:pos="1560"/>
      </w:tabs>
      <w:ind w:left="1071" w:hanging="357"/>
    </w:pPr>
  </w:style>
  <w:style w:type="paragraph" w:styleId="TableofFigures">
    <w:name w:val="table of figures"/>
    <w:basedOn w:val="Normal"/>
    <w:next w:val="Normal"/>
    <w:uiPriority w:val="99"/>
    <w:unhideWhenUsed/>
    <w:rsid w:val="00032FF6"/>
    <w:pPr>
      <w:spacing w:after="0"/>
    </w:pPr>
  </w:style>
  <w:style w:type="table" w:styleId="ColorfulList-Accent2">
    <w:name w:val="Colorful List Accent 2"/>
    <w:basedOn w:val="TableNormal"/>
    <w:uiPriority w:val="72"/>
    <w:rsid w:val="000B3478"/>
    <w:pPr>
      <w:spacing w:after="0" w:line="240" w:lineRule="auto"/>
    </w:pPr>
    <w:rPr>
      <w:rFonts w:ascii="Arial" w:eastAsia="Times New Roman" w:hAnsi="Arial" w:cs="Times New Roman"/>
      <w:color w:val="000000" w:themeColor="text1"/>
      <w:sz w:val="20"/>
      <w:szCs w:val="20"/>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AB7DA6"/>
    <w:rPr>
      <w:color w:val="800080" w:themeColor="followedHyperlink"/>
      <w:u w:val="single"/>
    </w:rPr>
  </w:style>
  <w:style w:type="character" w:customStyle="1" w:styleId="Mention1">
    <w:name w:val="Mention1"/>
    <w:basedOn w:val="DefaultParagraphFont"/>
    <w:uiPriority w:val="99"/>
    <w:semiHidden/>
    <w:unhideWhenUsed/>
    <w:rsid w:val="00D01D68"/>
    <w:rPr>
      <w:color w:val="2B579A"/>
      <w:shd w:val="clear" w:color="auto" w:fill="E6E6E6"/>
    </w:rPr>
  </w:style>
  <w:style w:type="character" w:customStyle="1" w:styleId="Mention2">
    <w:name w:val="Mention2"/>
    <w:basedOn w:val="DefaultParagraphFont"/>
    <w:uiPriority w:val="99"/>
    <w:semiHidden/>
    <w:unhideWhenUsed/>
    <w:rsid w:val="0056268B"/>
    <w:rPr>
      <w:color w:val="2B579A"/>
      <w:shd w:val="clear" w:color="auto" w:fill="E6E6E6"/>
    </w:rPr>
  </w:style>
  <w:style w:type="character" w:customStyle="1" w:styleId="CaptionChar">
    <w:name w:val="Caption Char"/>
    <w:link w:val="Caption"/>
    <w:uiPriority w:val="99"/>
    <w:rsid w:val="00DB6C37"/>
    <w:rPr>
      <w:rFonts w:eastAsia="Times New Roman" w:cs="Times New Roman"/>
      <w:b/>
      <w:szCs w:val="20"/>
      <w:lang w:eastAsia="en-AU"/>
    </w:rPr>
  </w:style>
  <w:style w:type="character" w:customStyle="1" w:styleId="UnresolvedMention1">
    <w:name w:val="Unresolved Mention1"/>
    <w:basedOn w:val="DefaultParagraphFont"/>
    <w:uiPriority w:val="99"/>
    <w:semiHidden/>
    <w:unhideWhenUsed/>
    <w:rsid w:val="00B42310"/>
    <w:rPr>
      <w:color w:val="808080"/>
      <w:shd w:val="clear" w:color="auto" w:fill="E6E6E6"/>
    </w:rPr>
  </w:style>
  <w:style w:type="table" w:customStyle="1" w:styleId="TableGrid1">
    <w:name w:val="Table Grid1"/>
    <w:basedOn w:val="TableNormal"/>
    <w:next w:val="TableGrid"/>
    <w:uiPriority w:val="59"/>
    <w:rsid w:val="00535209"/>
    <w:pPr>
      <w:spacing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35209"/>
    <w:pPr>
      <w:spacing w:after="0" w:line="240" w:lineRule="auto"/>
    </w:pPr>
    <w:rPr>
      <w:rFonts w:ascii="Arial" w:eastAsia="Times New Roman" w:hAnsi="Arial"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Body">
    <w:name w:val="Body"/>
    <w:basedOn w:val="Normal"/>
    <w:link w:val="BodyChar"/>
    <w:qFormat/>
    <w:rsid w:val="004A584B"/>
    <w:pPr>
      <w:widowControl/>
      <w:spacing w:line="240" w:lineRule="auto"/>
    </w:pPr>
    <w:rPr>
      <w:rFonts w:ascii="Arial" w:eastAsia="Calibri" w:hAnsi="Arial" w:cs="Times New Roman"/>
      <w:sz w:val="22"/>
      <w:lang w:val="en-AU"/>
    </w:rPr>
  </w:style>
  <w:style w:type="character" w:customStyle="1" w:styleId="BodyChar">
    <w:name w:val="Body Char"/>
    <w:link w:val="Body"/>
    <w:rsid w:val="004A584B"/>
    <w:rPr>
      <w:rFonts w:ascii="Arial" w:eastAsia="Calibri" w:hAnsi="Arial" w:cs="Times New Roman"/>
      <w:szCs w:val="24"/>
    </w:rPr>
  </w:style>
  <w:style w:type="character" w:customStyle="1" w:styleId="ListParagraphChar">
    <w:name w:val="List Paragraph Char"/>
    <w:basedOn w:val="DefaultParagraphFont"/>
    <w:link w:val="ListParagraph"/>
    <w:rsid w:val="00592201"/>
    <w:rPr>
      <w:sz w:val="24"/>
      <w:szCs w:val="24"/>
      <w:lang w:val="en-US"/>
    </w:rPr>
  </w:style>
  <w:style w:type="paragraph" w:styleId="ListNumber2">
    <w:name w:val="List Number 2"/>
    <w:basedOn w:val="Normal"/>
    <w:uiPriority w:val="99"/>
    <w:unhideWhenUsed/>
    <w:rsid w:val="004960A0"/>
    <w:pPr>
      <w:numPr>
        <w:numId w:val="13"/>
      </w:numPr>
      <w:ind w:left="714" w:hanging="357"/>
    </w:pPr>
  </w:style>
  <w:style w:type="character" w:styleId="UnresolvedMention">
    <w:name w:val="Unresolved Mention"/>
    <w:basedOn w:val="DefaultParagraphFont"/>
    <w:uiPriority w:val="99"/>
    <w:semiHidden/>
    <w:unhideWhenUsed/>
    <w:rsid w:val="0032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7975">
      <w:bodyDiv w:val="1"/>
      <w:marLeft w:val="0"/>
      <w:marRight w:val="0"/>
      <w:marTop w:val="0"/>
      <w:marBottom w:val="0"/>
      <w:divBdr>
        <w:top w:val="none" w:sz="0" w:space="0" w:color="auto"/>
        <w:left w:val="none" w:sz="0" w:space="0" w:color="auto"/>
        <w:bottom w:val="none" w:sz="0" w:space="0" w:color="auto"/>
        <w:right w:val="none" w:sz="0" w:space="0" w:color="auto"/>
      </w:divBdr>
      <w:divsChild>
        <w:div w:id="694814757">
          <w:marLeft w:val="0"/>
          <w:marRight w:val="0"/>
          <w:marTop w:val="0"/>
          <w:marBottom w:val="0"/>
          <w:divBdr>
            <w:top w:val="none" w:sz="0" w:space="0" w:color="auto"/>
            <w:left w:val="none" w:sz="0" w:space="0" w:color="auto"/>
            <w:bottom w:val="none" w:sz="0" w:space="0" w:color="auto"/>
            <w:right w:val="none" w:sz="0" w:space="0" w:color="auto"/>
          </w:divBdr>
          <w:divsChild>
            <w:div w:id="1928272715">
              <w:marLeft w:val="0"/>
              <w:marRight w:val="0"/>
              <w:marTop w:val="0"/>
              <w:marBottom w:val="0"/>
              <w:divBdr>
                <w:top w:val="none" w:sz="0" w:space="0" w:color="auto"/>
                <w:left w:val="none" w:sz="0" w:space="0" w:color="auto"/>
                <w:bottom w:val="none" w:sz="0" w:space="0" w:color="auto"/>
                <w:right w:val="none" w:sz="0" w:space="0" w:color="auto"/>
              </w:divBdr>
              <w:divsChild>
                <w:div w:id="1332560470">
                  <w:marLeft w:val="0"/>
                  <w:marRight w:val="0"/>
                  <w:marTop w:val="0"/>
                  <w:marBottom w:val="0"/>
                  <w:divBdr>
                    <w:top w:val="none" w:sz="0" w:space="0" w:color="auto"/>
                    <w:left w:val="none" w:sz="0" w:space="0" w:color="auto"/>
                    <w:bottom w:val="none" w:sz="0" w:space="0" w:color="auto"/>
                    <w:right w:val="none" w:sz="0" w:space="0" w:color="auto"/>
                  </w:divBdr>
                  <w:divsChild>
                    <w:div w:id="8671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7832">
      <w:bodyDiv w:val="1"/>
      <w:marLeft w:val="0"/>
      <w:marRight w:val="0"/>
      <w:marTop w:val="0"/>
      <w:marBottom w:val="0"/>
      <w:divBdr>
        <w:top w:val="none" w:sz="0" w:space="0" w:color="auto"/>
        <w:left w:val="none" w:sz="0" w:space="0" w:color="auto"/>
        <w:bottom w:val="none" w:sz="0" w:space="0" w:color="auto"/>
        <w:right w:val="none" w:sz="0" w:space="0" w:color="auto"/>
      </w:divBdr>
    </w:div>
    <w:div w:id="1408306933">
      <w:bodyDiv w:val="1"/>
      <w:marLeft w:val="0"/>
      <w:marRight w:val="0"/>
      <w:marTop w:val="0"/>
      <w:marBottom w:val="0"/>
      <w:divBdr>
        <w:top w:val="none" w:sz="0" w:space="0" w:color="auto"/>
        <w:left w:val="none" w:sz="0" w:space="0" w:color="auto"/>
        <w:bottom w:val="none" w:sz="0" w:space="0" w:color="auto"/>
        <w:right w:val="none" w:sz="0" w:space="0" w:color="auto"/>
      </w:divBdr>
    </w:div>
    <w:div w:id="16132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afetyandquality.gov.au/publications/windows-into-safety-and-quality-in-health-care-20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ncerscreening.gov.au/internet/screening/publishing.nsf/Content/links" TargetMode="Externa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ncerscreening.gov.au/"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screening.gov.au"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yperlink" Target="http://www.cancerscreening.gov.au" TargetMode="Externa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s://www.remtribunal.gov.au/offices/part-time-offices" TargetMode="External"/><Relationship Id="rId30" Type="http://schemas.openxmlformats.org/officeDocument/2006/relationships/image" Target="media/image6.emf"/><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ehta.gov.au/our-work/clinical-terminology/snomed-clinical-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2E9F4-EED2-4AEE-A80B-7504401C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106</Pages>
  <Words>30348</Words>
  <Characters>172985</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BreastScreen Australia National Accreditation Handbook</vt:lpstr>
    </vt:vector>
  </TitlesOfParts>
  <Company>Hewlett-Packard Company</Company>
  <LinksUpToDate>false</LinksUpToDate>
  <CharactersWithSpaces>202928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National Accreditation Handbook</dc:title>
  <dc:subject>BreastScreen</dc:subject>
  <dc:creator>Australian Government Department of Health</dc:creator>
  <cp:keywords>BreastScreen</cp:keywords>
  <cp:lastModifiedBy>Nick McShane</cp:lastModifiedBy>
  <cp:revision>7</cp:revision>
  <cp:lastPrinted>2021-02-12T04:17:00Z</cp:lastPrinted>
  <dcterms:created xsi:type="dcterms:W3CDTF">2021-03-11T23:49:00Z</dcterms:created>
  <dcterms:modified xsi:type="dcterms:W3CDTF">2021-03-12T00:12:00Z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