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B8C" w:rsidRDefault="00A43065" w:rsidP="00492B8C">
      <w:pPr>
        <w:pStyle w:val="BodyText"/>
      </w:pPr>
      <w:r>
        <w:rPr>
          <w:noProof/>
          <w:lang w:eastAsia="en-AU"/>
        </w:rPr>
        <w:drawing>
          <wp:inline distT="0" distB="0" distL="0" distR="0">
            <wp:extent cx="2076450" cy="495300"/>
            <wp:effectExtent l="0" t="0" r="0" b="0"/>
            <wp:docPr id="1" name="Picture 1" title="Australian Government -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495300"/>
                    </a:xfrm>
                    <a:prstGeom prst="rect">
                      <a:avLst/>
                    </a:prstGeom>
                    <a:noFill/>
                    <a:ln>
                      <a:noFill/>
                    </a:ln>
                  </pic:spPr>
                </pic:pic>
              </a:graphicData>
            </a:graphic>
          </wp:inline>
        </w:drawing>
      </w:r>
    </w:p>
    <w:p w:rsidR="00492B8C" w:rsidRDefault="00492B8C" w:rsidP="00492B8C">
      <w:pPr>
        <w:pStyle w:val="BodyText"/>
      </w:pPr>
    </w:p>
    <w:p w:rsidR="00492B8C" w:rsidRDefault="00492B8C" w:rsidP="00492B8C">
      <w:pPr>
        <w:pStyle w:val="Heading1"/>
      </w:pPr>
    </w:p>
    <w:p w:rsidR="00A43065" w:rsidRPr="00492B8C" w:rsidRDefault="00A43065" w:rsidP="00492B8C">
      <w:pPr>
        <w:pStyle w:val="Heading1"/>
        <w:rPr>
          <w:sz w:val="40"/>
          <w:szCs w:val="40"/>
        </w:rPr>
      </w:pPr>
      <w:r w:rsidRPr="00492B8C">
        <w:rPr>
          <w:sz w:val="40"/>
          <w:szCs w:val="40"/>
        </w:rPr>
        <w:t>Australia’s physical activity and sedentary behaviour guidelines</w:t>
      </w:r>
    </w:p>
    <w:p w:rsidR="00A43065" w:rsidRDefault="00A43065">
      <w:pPr>
        <w:pStyle w:val="Title"/>
      </w:pPr>
    </w:p>
    <w:p w:rsidR="000E776E" w:rsidRPr="00492B8C" w:rsidRDefault="0068420C" w:rsidP="00492B8C">
      <w:pPr>
        <w:pStyle w:val="Heading1"/>
        <w:rPr>
          <w:sz w:val="40"/>
          <w:szCs w:val="40"/>
        </w:rPr>
      </w:pPr>
      <w:r w:rsidRPr="00492B8C">
        <w:rPr>
          <w:sz w:val="40"/>
          <w:szCs w:val="40"/>
        </w:rPr>
        <w:t>Guidelines Evidence Summary</w:t>
      </w:r>
    </w:p>
    <w:p w:rsidR="000E776E" w:rsidRDefault="0068420C">
      <w:pPr>
        <w:pStyle w:val="BodyText"/>
        <w:spacing w:before="381" w:line="360" w:lineRule="auto"/>
        <w:ind w:left="115"/>
      </w:pPr>
      <w:r>
        <w:t>A summary of the new guidelines and changes from the existing guidelines is provided below. Each of the revised guidelines is supported by a rigorous evidence review process and has been considered through a stakeholder and expert consensus process. Furthe</w:t>
      </w:r>
      <w:r>
        <w:t xml:space="preserve">r information is available at </w:t>
      </w:r>
      <w:hyperlink r:id="rId8">
        <w:r>
          <w:rPr>
            <w:color w:val="0000FF"/>
            <w:u w:val="single" w:color="0000FF"/>
          </w:rPr>
          <w:t>www.health.gov.au</w:t>
        </w:r>
      </w:hyperlink>
      <w:r>
        <w:t>.</w:t>
      </w:r>
    </w:p>
    <w:p w:rsidR="000E776E" w:rsidRDefault="0068420C" w:rsidP="00492B8C">
      <w:pPr>
        <w:pStyle w:val="BodyText"/>
        <w:spacing w:before="120"/>
        <w:ind w:left="115"/>
        <w:rPr>
          <w:sz w:val="24"/>
        </w:rPr>
      </w:pPr>
      <w:r>
        <w:t>The revised guidelines provide greater consistency with international evidence and guidelines*.</w:t>
      </w:r>
    </w:p>
    <w:p w:rsidR="000E776E" w:rsidRDefault="000E776E">
      <w:pPr>
        <w:pStyle w:val="BodyText"/>
        <w:rPr>
          <w:sz w:val="24"/>
        </w:rPr>
      </w:pPr>
    </w:p>
    <w:p w:rsidR="000E776E" w:rsidRDefault="000E776E">
      <w:pPr>
        <w:pStyle w:val="BodyText"/>
        <w:spacing w:before="10"/>
        <w:rPr>
          <w:sz w:val="19"/>
        </w:rPr>
      </w:pPr>
    </w:p>
    <w:p w:rsidR="000E776E" w:rsidRDefault="0068420C">
      <w:pPr>
        <w:pStyle w:val="Heading1"/>
        <w:spacing w:line="360" w:lineRule="auto"/>
        <w:ind w:right="605"/>
      </w:pPr>
      <w:r>
        <w:rPr>
          <w:color w:val="333333"/>
        </w:rPr>
        <w:t>Physical Activity Guidelines for Children (5-12 years) and Youn</w:t>
      </w:r>
      <w:r>
        <w:rPr>
          <w:color w:val="333333"/>
        </w:rPr>
        <w:t>g People (13-17 years)</w:t>
      </w:r>
    </w:p>
    <w:p w:rsidR="000E776E" w:rsidRDefault="0068420C">
      <w:pPr>
        <w:spacing w:before="120" w:line="362" w:lineRule="auto"/>
        <w:ind w:left="115" w:right="360"/>
        <w:rPr>
          <w:i/>
        </w:rPr>
      </w:pPr>
      <w:r>
        <w:rPr>
          <w:i/>
        </w:rPr>
        <w:t>For health benefits, children aged 5-12 years / young people aged 13-17 years should accumulate at least 60 minutes of moderate- to vigorous-intensity physical activity every day.</w:t>
      </w:r>
    </w:p>
    <w:p w:rsidR="000E776E" w:rsidRDefault="0068420C">
      <w:pPr>
        <w:pStyle w:val="ListParagraph"/>
        <w:numPr>
          <w:ilvl w:val="0"/>
          <w:numId w:val="2"/>
        </w:numPr>
        <w:tabs>
          <w:tab w:val="left" w:pos="474"/>
        </w:tabs>
        <w:spacing w:before="56"/>
        <w:jc w:val="both"/>
      </w:pPr>
      <w:r>
        <w:t>This guideline is consistent with the existing</w:t>
      </w:r>
      <w:r>
        <w:rPr>
          <w:spacing w:val="-3"/>
        </w:rPr>
        <w:t xml:space="preserve"> </w:t>
      </w:r>
      <w:r>
        <w:t>guidel</w:t>
      </w:r>
      <w:r>
        <w:t>ine.</w:t>
      </w:r>
    </w:p>
    <w:p w:rsidR="000E776E" w:rsidRDefault="000E776E">
      <w:pPr>
        <w:pStyle w:val="BodyText"/>
        <w:rPr>
          <w:sz w:val="26"/>
        </w:rPr>
      </w:pPr>
    </w:p>
    <w:p w:rsidR="000E776E" w:rsidRDefault="0068420C">
      <w:pPr>
        <w:spacing w:before="205" w:line="360" w:lineRule="auto"/>
        <w:ind w:left="115" w:right="172"/>
        <w:jc w:val="both"/>
        <w:rPr>
          <w:i/>
        </w:rPr>
      </w:pPr>
      <w:r>
        <w:rPr>
          <w:i/>
        </w:rPr>
        <w:t>Children / Young people’s physical activity should include a variety of aerobic activities, including some vigorous-intensity activity.</w:t>
      </w:r>
    </w:p>
    <w:p w:rsidR="000E776E" w:rsidRDefault="0068420C">
      <w:pPr>
        <w:pStyle w:val="ListParagraph"/>
        <w:numPr>
          <w:ilvl w:val="0"/>
          <w:numId w:val="2"/>
        </w:numPr>
        <w:tabs>
          <w:tab w:val="left" w:pos="474"/>
        </w:tabs>
        <w:spacing w:before="59"/>
        <w:jc w:val="both"/>
      </w:pPr>
      <w:r>
        <w:t>This is a new</w:t>
      </w:r>
      <w:r>
        <w:rPr>
          <w:spacing w:val="-7"/>
        </w:rPr>
        <w:t xml:space="preserve"> </w:t>
      </w:r>
      <w:r>
        <w:t>guideline.</w:t>
      </w:r>
    </w:p>
    <w:p w:rsidR="000E776E" w:rsidRDefault="0068420C">
      <w:pPr>
        <w:pStyle w:val="ListParagraph"/>
        <w:numPr>
          <w:ilvl w:val="0"/>
          <w:numId w:val="2"/>
        </w:numPr>
        <w:tabs>
          <w:tab w:val="left" w:pos="474"/>
        </w:tabs>
        <w:spacing w:before="187" w:line="355" w:lineRule="auto"/>
        <w:ind w:right="157"/>
        <w:jc w:val="both"/>
      </w:pPr>
      <w:r>
        <w:t>A range of activities are preferred for children and young people. This also takes into consideration the many different contexts in which physical activity could and should take place and that different types of physical activity provide different health</w:t>
      </w:r>
      <w:r>
        <w:rPr>
          <w:spacing w:val="-2"/>
        </w:rPr>
        <w:t xml:space="preserve"> </w:t>
      </w:r>
      <w:r>
        <w:t>benefits.</w:t>
      </w:r>
    </w:p>
    <w:p w:rsidR="000E776E" w:rsidRDefault="0068420C">
      <w:pPr>
        <w:pStyle w:val="ListParagraph"/>
        <w:numPr>
          <w:ilvl w:val="0"/>
          <w:numId w:val="2"/>
        </w:numPr>
        <w:tabs>
          <w:tab w:val="left" w:pos="474"/>
        </w:tabs>
        <w:spacing w:before="64" w:line="355" w:lineRule="auto"/>
        <w:ind w:right="150"/>
        <w:jc w:val="both"/>
      </w:pPr>
      <w:r>
        <w:t>There is evidence that vigorous physical activity provides health benefits (e.g. musculoskeletal and cardiorespiratory health benefits) and that these benefits may be additional to the benefits found for lower intensity</w:t>
      </w:r>
      <w:r>
        <w:rPr>
          <w:spacing w:val="-2"/>
        </w:rPr>
        <w:t xml:space="preserve"> </w:t>
      </w:r>
      <w:r>
        <w:t>activity.</w:t>
      </w:r>
    </w:p>
    <w:p w:rsidR="000E776E" w:rsidRDefault="000E776E">
      <w:pPr>
        <w:pStyle w:val="BodyText"/>
        <w:rPr>
          <w:sz w:val="24"/>
        </w:rPr>
      </w:pPr>
    </w:p>
    <w:p w:rsidR="000E776E" w:rsidRDefault="000E776E">
      <w:pPr>
        <w:pStyle w:val="BodyText"/>
        <w:spacing w:before="6"/>
        <w:rPr>
          <w:sz w:val="30"/>
        </w:rPr>
      </w:pPr>
    </w:p>
    <w:p w:rsidR="000E776E" w:rsidRDefault="0068420C" w:rsidP="006B2B7D">
      <w:pPr>
        <w:pStyle w:val="ListParagraph"/>
        <w:numPr>
          <w:ilvl w:val="0"/>
          <w:numId w:val="1"/>
        </w:numPr>
        <w:tabs>
          <w:tab w:val="left" w:pos="262"/>
        </w:tabs>
        <w:spacing w:before="0" w:line="700" w:lineRule="auto"/>
        <w:ind w:right="3154" w:firstLine="0"/>
        <w:sectPr w:rsidR="000E776E">
          <w:headerReference w:type="even" r:id="rId9"/>
          <w:headerReference w:type="default" r:id="rId10"/>
          <w:footerReference w:type="even" r:id="rId11"/>
          <w:footerReference w:type="default" r:id="rId12"/>
          <w:headerReference w:type="first" r:id="rId13"/>
          <w:footerReference w:type="first" r:id="rId14"/>
          <w:type w:val="continuous"/>
          <w:pgSz w:w="11900" w:h="16850"/>
          <w:pgMar w:top="1600" w:right="840" w:bottom="280" w:left="780" w:header="720" w:footer="720" w:gutter="0"/>
          <w:cols w:space="720"/>
        </w:sectPr>
      </w:pPr>
      <w:r>
        <w:t>This statement</w:t>
      </w:r>
      <w:r>
        <w:t xml:space="preserve"> was correct at the time of publication in February 2014. </w:t>
      </w:r>
    </w:p>
    <w:p w:rsidR="000E776E" w:rsidRDefault="0068420C">
      <w:pPr>
        <w:spacing w:line="360" w:lineRule="auto"/>
        <w:ind w:left="115" w:right="471"/>
        <w:rPr>
          <w:i/>
        </w:rPr>
      </w:pPr>
      <w:r>
        <w:rPr>
          <w:i/>
        </w:rPr>
        <w:lastRenderedPageBreak/>
        <w:t>O</w:t>
      </w:r>
      <w:r>
        <w:rPr>
          <w:i/>
        </w:rPr>
        <w:t>n at least three days per week, children / young people should engage in activities that strengthen muscle and bone.</w:t>
      </w:r>
    </w:p>
    <w:p w:rsidR="000E776E" w:rsidRDefault="0068420C">
      <w:pPr>
        <w:pStyle w:val="ListParagraph"/>
        <w:numPr>
          <w:ilvl w:val="0"/>
          <w:numId w:val="2"/>
        </w:numPr>
        <w:tabs>
          <w:tab w:val="left" w:pos="473"/>
          <w:tab w:val="left" w:pos="474"/>
        </w:tabs>
        <w:spacing w:before="59"/>
      </w:pPr>
      <w:r>
        <w:t>This is a new</w:t>
      </w:r>
      <w:r>
        <w:rPr>
          <w:spacing w:val="-7"/>
        </w:rPr>
        <w:t xml:space="preserve"> </w:t>
      </w:r>
      <w:r>
        <w:t>guideline.</w:t>
      </w:r>
    </w:p>
    <w:p w:rsidR="000E776E" w:rsidRDefault="0068420C">
      <w:pPr>
        <w:pStyle w:val="ListParagraph"/>
        <w:numPr>
          <w:ilvl w:val="0"/>
          <w:numId w:val="2"/>
        </w:numPr>
        <w:tabs>
          <w:tab w:val="left" w:pos="473"/>
          <w:tab w:val="left" w:pos="474"/>
        </w:tabs>
        <w:spacing w:before="185" w:line="350" w:lineRule="auto"/>
        <w:ind w:right="470"/>
      </w:pPr>
      <w:r>
        <w:t>Based on evidence used by the Canadian, United States and World Health Organization (WHO) guidelines.</w:t>
      </w:r>
    </w:p>
    <w:p w:rsidR="000E776E" w:rsidRDefault="000E776E">
      <w:pPr>
        <w:pStyle w:val="BodyText"/>
        <w:rPr>
          <w:sz w:val="34"/>
        </w:rPr>
      </w:pPr>
    </w:p>
    <w:p w:rsidR="000E776E" w:rsidRDefault="0068420C">
      <w:pPr>
        <w:spacing w:before="1"/>
        <w:ind w:left="115"/>
        <w:rPr>
          <w:i/>
        </w:rPr>
      </w:pPr>
      <w:r>
        <w:rPr>
          <w:i/>
        </w:rPr>
        <w:t>More activity – up to several hours per day – is associated with additional health benefits.</w:t>
      </w:r>
    </w:p>
    <w:p w:rsidR="000E776E" w:rsidRDefault="0068420C">
      <w:pPr>
        <w:pStyle w:val="ListParagraph"/>
        <w:numPr>
          <w:ilvl w:val="0"/>
          <w:numId w:val="2"/>
        </w:numPr>
        <w:tabs>
          <w:tab w:val="left" w:pos="473"/>
          <w:tab w:val="left" w:pos="474"/>
        </w:tabs>
        <w:spacing w:before="185" w:line="350" w:lineRule="auto"/>
        <w:ind w:right="336"/>
      </w:pPr>
      <w:r>
        <w:t>This guideline includes new detail to further expand upon an</w:t>
      </w:r>
      <w:r>
        <w:t xml:space="preserve"> existing guideline in relation to doing more activity to achieve greater health</w:t>
      </w:r>
      <w:r>
        <w:rPr>
          <w:spacing w:val="-9"/>
        </w:rPr>
        <w:t xml:space="preserve"> </w:t>
      </w:r>
      <w:r>
        <w:t>benefits.</w:t>
      </w:r>
    </w:p>
    <w:p w:rsidR="000E776E" w:rsidRDefault="0068420C">
      <w:pPr>
        <w:pStyle w:val="ListParagraph"/>
        <w:numPr>
          <w:ilvl w:val="0"/>
          <w:numId w:val="2"/>
        </w:numPr>
        <w:tabs>
          <w:tab w:val="left" w:pos="473"/>
          <w:tab w:val="left" w:pos="474"/>
        </w:tabs>
        <w:spacing w:before="70"/>
      </w:pPr>
      <w:r>
        <w:t>This concept is well supported by the</w:t>
      </w:r>
      <w:r>
        <w:rPr>
          <w:spacing w:val="-8"/>
        </w:rPr>
        <w:t xml:space="preserve"> </w:t>
      </w:r>
      <w:r>
        <w:t>evidence.</w:t>
      </w:r>
    </w:p>
    <w:p w:rsidR="000E776E" w:rsidRDefault="0068420C">
      <w:pPr>
        <w:pStyle w:val="ListParagraph"/>
        <w:numPr>
          <w:ilvl w:val="0"/>
          <w:numId w:val="2"/>
        </w:numPr>
        <w:tabs>
          <w:tab w:val="left" w:pos="473"/>
          <w:tab w:val="left" w:pos="474"/>
        </w:tabs>
      </w:pPr>
      <w:r>
        <w:t>In practical terms, up to several hours should be interpreted as up to three hours per</w:t>
      </w:r>
      <w:r>
        <w:rPr>
          <w:spacing w:val="-35"/>
        </w:rPr>
        <w:t xml:space="preserve"> </w:t>
      </w:r>
      <w:r>
        <w:t>day.</w:t>
      </w:r>
    </w:p>
    <w:p w:rsidR="000E776E" w:rsidRDefault="000E776E">
      <w:pPr>
        <w:pStyle w:val="BodyText"/>
        <w:rPr>
          <w:sz w:val="26"/>
        </w:rPr>
      </w:pPr>
    </w:p>
    <w:p w:rsidR="000E776E" w:rsidRDefault="000E776E">
      <w:pPr>
        <w:pStyle w:val="BodyText"/>
        <w:spacing w:before="10"/>
        <w:rPr>
          <w:sz w:val="20"/>
        </w:rPr>
      </w:pPr>
    </w:p>
    <w:p w:rsidR="000E776E" w:rsidRDefault="0068420C">
      <w:pPr>
        <w:pStyle w:val="Heading1"/>
        <w:spacing w:line="360" w:lineRule="auto"/>
        <w:ind w:right="1960"/>
      </w:pPr>
      <w:r>
        <w:rPr>
          <w:color w:val="333333"/>
        </w:rPr>
        <w:t>Sedentary Behaviour Guidelines for Children (5-12 years) and Young People (13-17 years)</w:t>
      </w:r>
    </w:p>
    <w:p w:rsidR="000E776E" w:rsidRDefault="0068420C">
      <w:pPr>
        <w:spacing w:before="123" w:line="360" w:lineRule="auto"/>
        <w:ind w:left="115" w:right="92"/>
        <w:rPr>
          <w:i/>
        </w:rPr>
      </w:pPr>
      <w:r>
        <w:rPr>
          <w:i/>
        </w:rPr>
        <w:t>To reduce health risks, children aged 5-12 years / young people aged 13-17 years, should minimise the time they spend being sedentary every day.</w:t>
      </w:r>
    </w:p>
    <w:p w:rsidR="000E776E" w:rsidRDefault="0068420C">
      <w:pPr>
        <w:pStyle w:val="ListParagraph"/>
        <w:numPr>
          <w:ilvl w:val="0"/>
          <w:numId w:val="2"/>
        </w:numPr>
        <w:tabs>
          <w:tab w:val="left" w:pos="473"/>
          <w:tab w:val="left" w:pos="474"/>
        </w:tabs>
        <w:spacing w:before="59"/>
      </w:pPr>
      <w:r>
        <w:t>This is a new</w:t>
      </w:r>
      <w:r>
        <w:rPr>
          <w:spacing w:val="-7"/>
        </w:rPr>
        <w:t xml:space="preserve"> </w:t>
      </w:r>
      <w:r>
        <w:t>guideline</w:t>
      </w:r>
      <w:r>
        <w:t>.</w:t>
      </w:r>
    </w:p>
    <w:p w:rsidR="000E776E" w:rsidRDefault="0068420C">
      <w:pPr>
        <w:pStyle w:val="ListParagraph"/>
        <w:numPr>
          <w:ilvl w:val="0"/>
          <w:numId w:val="2"/>
        </w:numPr>
        <w:tabs>
          <w:tab w:val="left" w:pos="473"/>
          <w:tab w:val="left" w:pos="474"/>
        </w:tabs>
        <w:spacing w:line="350" w:lineRule="auto"/>
        <w:ind w:right="498"/>
      </w:pPr>
      <w:r>
        <w:t>This new guideline is consistent with and expands upon the existing guideline relating to limiting screen-time (which is retained in the revised guidelines – see</w:t>
      </w:r>
      <w:r>
        <w:rPr>
          <w:spacing w:val="-9"/>
        </w:rPr>
        <w:t xml:space="preserve"> </w:t>
      </w:r>
      <w:r>
        <w:t>below).</w:t>
      </w:r>
    </w:p>
    <w:p w:rsidR="000E776E" w:rsidRDefault="0068420C">
      <w:pPr>
        <w:pStyle w:val="ListParagraph"/>
        <w:numPr>
          <w:ilvl w:val="0"/>
          <w:numId w:val="2"/>
        </w:numPr>
        <w:tabs>
          <w:tab w:val="left" w:pos="473"/>
          <w:tab w:val="left" w:pos="474"/>
        </w:tabs>
        <w:spacing w:before="71"/>
      </w:pPr>
      <w:r>
        <w:t>Consistent with the Canadian and United Kingdom sedentary behaviour</w:t>
      </w:r>
      <w:r>
        <w:rPr>
          <w:spacing w:val="-11"/>
        </w:rPr>
        <w:t xml:space="preserve"> </w:t>
      </w:r>
      <w:r>
        <w:t>guidelines*.</w:t>
      </w:r>
    </w:p>
    <w:p w:rsidR="000E776E" w:rsidRDefault="0068420C">
      <w:pPr>
        <w:pStyle w:val="ListParagraph"/>
        <w:numPr>
          <w:ilvl w:val="0"/>
          <w:numId w:val="2"/>
        </w:numPr>
        <w:tabs>
          <w:tab w:val="left" w:pos="473"/>
          <w:tab w:val="left" w:pos="474"/>
        </w:tabs>
        <w:spacing w:before="186" w:line="350" w:lineRule="auto"/>
        <w:ind w:right="276"/>
      </w:pPr>
      <w:r>
        <w:t>Consistent with the new evidence included as part of this review, which outlines that overall health risk can be reduced through minimising sedentary</w:t>
      </w:r>
      <w:r>
        <w:rPr>
          <w:spacing w:val="-10"/>
        </w:rPr>
        <w:t xml:space="preserve"> </w:t>
      </w:r>
      <w:r>
        <w:t>time.</w:t>
      </w:r>
    </w:p>
    <w:p w:rsidR="000E776E" w:rsidRDefault="0068420C">
      <w:pPr>
        <w:pStyle w:val="ListParagraph"/>
        <w:numPr>
          <w:ilvl w:val="0"/>
          <w:numId w:val="1"/>
        </w:numPr>
        <w:tabs>
          <w:tab w:val="left" w:pos="262"/>
        </w:tabs>
        <w:spacing w:before="130"/>
        <w:ind w:left="261"/>
      </w:pPr>
      <w:r>
        <w:t>This statement was correct at the time of publication in February</w:t>
      </w:r>
      <w:r>
        <w:rPr>
          <w:spacing w:val="-6"/>
        </w:rPr>
        <w:t xml:space="preserve"> </w:t>
      </w:r>
      <w:r>
        <w:t>2014.</w:t>
      </w:r>
    </w:p>
    <w:p w:rsidR="000E776E" w:rsidRDefault="000E776E">
      <w:pPr>
        <w:pStyle w:val="BodyText"/>
        <w:rPr>
          <w:sz w:val="24"/>
        </w:rPr>
      </w:pPr>
    </w:p>
    <w:p w:rsidR="000E776E" w:rsidRDefault="000E776E">
      <w:pPr>
        <w:pStyle w:val="BodyText"/>
        <w:spacing w:before="5"/>
        <w:rPr>
          <w:sz w:val="30"/>
        </w:rPr>
      </w:pPr>
    </w:p>
    <w:p w:rsidR="000E776E" w:rsidRDefault="000E776E">
      <w:pPr>
        <w:sectPr w:rsidR="000E776E">
          <w:pgSz w:w="11900" w:h="16850"/>
          <w:pgMar w:top="1600" w:right="840" w:bottom="280" w:left="780" w:header="720" w:footer="720" w:gutter="0"/>
          <w:cols w:space="720"/>
        </w:sectPr>
      </w:pPr>
    </w:p>
    <w:p w:rsidR="000E776E" w:rsidRDefault="0068420C">
      <w:pPr>
        <w:spacing w:before="93" w:line="360" w:lineRule="auto"/>
        <w:ind w:left="141" w:right="189"/>
        <w:rPr>
          <w:i/>
        </w:rPr>
      </w:pPr>
      <w:r>
        <w:rPr>
          <w:i/>
        </w:rPr>
        <w:lastRenderedPageBreak/>
        <w:t>To achieve this: Limit electronic media for entertainment (e.g., television, seated electronic games and computer use) to no more than two hours a day; lower levels are associated with reduced health risks.</w:t>
      </w:r>
    </w:p>
    <w:p w:rsidR="000E776E" w:rsidRDefault="0068420C">
      <w:pPr>
        <w:pStyle w:val="ListParagraph"/>
        <w:numPr>
          <w:ilvl w:val="0"/>
          <w:numId w:val="2"/>
        </w:numPr>
        <w:tabs>
          <w:tab w:val="left" w:pos="499"/>
          <w:tab w:val="left" w:pos="500"/>
        </w:tabs>
        <w:spacing w:before="59"/>
        <w:ind w:left="499"/>
      </w:pPr>
      <w:r>
        <w:t>This sub-guideline is consistent with the existing</w:t>
      </w:r>
      <w:r>
        <w:rPr>
          <w:spacing w:val="-7"/>
        </w:rPr>
        <w:t xml:space="preserve"> </w:t>
      </w:r>
      <w:r>
        <w:t>guideline.</w:t>
      </w:r>
    </w:p>
    <w:p w:rsidR="000E776E" w:rsidRDefault="000E776E">
      <w:pPr>
        <w:pStyle w:val="BodyText"/>
        <w:rPr>
          <w:sz w:val="26"/>
        </w:rPr>
      </w:pPr>
    </w:p>
    <w:p w:rsidR="000E776E" w:rsidRDefault="0068420C">
      <w:pPr>
        <w:spacing w:before="208"/>
        <w:ind w:left="141"/>
        <w:rPr>
          <w:i/>
        </w:rPr>
      </w:pPr>
      <w:r>
        <w:rPr>
          <w:i/>
        </w:rPr>
        <w:t>To achieve this: Break up long periods of sitting as often as possible.</w:t>
      </w:r>
    </w:p>
    <w:p w:rsidR="000E776E" w:rsidRDefault="0068420C">
      <w:pPr>
        <w:pStyle w:val="ListParagraph"/>
        <w:numPr>
          <w:ilvl w:val="0"/>
          <w:numId w:val="2"/>
        </w:numPr>
        <w:tabs>
          <w:tab w:val="left" w:pos="499"/>
          <w:tab w:val="left" w:pos="500"/>
        </w:tabs>
        <w:spacing w:before="186"/>
        <w:ind w:left="499"/>
      </w:pPr>
      <w:r>
        <w:t>This is a new</w:t>
      </w:r>
      <w:r>
        <w:rPr>
          <w:spacing w:val="-4"/>
        </w:rPr>
        <w:t xml:space="preserve"> </w:t>
      </w:r>
      <w:r>
        <w:t>sub-guideline.</w:t>
      </w:r>
    </w:p>
    <w:p w:rsidR="000E776E" w:rsidRDefault="0068420C">
      <w:pPr>
        <w:pStyle w:val="ListParagraph"/>
        <w:numPr>
          <w:ilvl w:val="0"/>
          <w:numId w:val="2"/>
        </w:numPr>
        <w:tabs>
          <w:tab w:val="left" w:pos="499"/>
          <w:tab w:val="left" w:pos="500"/>
        </w:tabs>
        <w:spacing w:line="350" w:lineRule="auto"/>
        <w:ind w:left="499" w:right="100"/>
      </w:pPr>
      <w:r>
        <w:t>The evidence used to inform the Canadian Sedentary Behaviour Guidelines was used to inform t</w:t>
      </w:r>
      <w:r>
        <w:t>his sub-guideline*.</w:t>
      </w:r>
    </w:p>
    <w:p w:rsidR="000E776E" w:rsidRDefault="0068420C">
      <w:pPr>
        <w:pStyle w:val="ListParagraph"/>
        <w:numPr>
          <w:ilvl w:val="0"/>
          <w:numId w:val="1"/>
        </w:numPr>
        <w:tabs>
          <w:tab w:val="left" w:pos="288"/>
        </w:tabs>
        <w:spacing w:before="130"/>
        <w:ind w:left="287"/>
      </w:pPr>
      <w:r>
        <w:t>This statement was correct at the time of publication in February</w:t>
      </w:r>
      <w:r>
        <w:rPr>
          <w:spacing w:val="-7"/>
        </w:rPr>
        <w:t xml:space="preserve"> </w:t>
      </w:r>
      <w:r>
        <w:t>2014.</w:t>
      </w:r>
    </w:p>
    <w:p w:rsidR="000E776E" w:rsidRDefault="000E776E">
      <w:pPr>
        <w:pStyle w:val="BodyText"/>
        <w:rPr>
          <w:sz w:val="24"/>
        </w:rPr>
      </w:pPr>
    </w:p>
    <w:p w:rsidR="000E776E" w:rsidRDefault="000E776E">
      <w:pPr>
        <w:pStyle w:val="BodyText"/>
        <w:spacing w:before="1"/>
        <w:rPr>
          <w:sz w:val="29"/>
        </w:rPr>
      </w:pPr>
    </w:p>
    <w:p w:rsidR="000E776E" w:rsidRDefault="0068420C">
      <w:pPr>
        <w:pStyle w:val="Heading1"/>
        <w:ind w:left="141"/>
      </w:pPr>
      <w:r>
        <w:t>Physical Activity Guidelines for Adults (18-64 years)</w:t>
      </w:r>
    </w:p>
    <w:p w:rsidR="000E776E" w:rsidRDefault="000E776E">
      <w:pPr>
        <w:pStyle w:val="BodyText"/>
        <w:spacing w:before="6"/>
        <w:rPr>
          <w:b/>
          <w:sz w:val="24"/>
        </w:rPr>
      </w:pPr>
    </w:p>
    <w:p w:rsidR="000E776E" w:rsidRDefault="0068420C">
      <w:pPr>
        <w:spacing w:line="360" w:lineRule="auto"/>
        <w:ind w:left="141" w:right="446"/>
        <w:rPr>
          <w:i/>
        </w:rPr>
      </w:pPr>
      <w:r>
        <w:rPr>
          <w:i/>
        </w:rPr>
        <w:t xml:space="preserve">Doing any physical activity is better than doing none. If you currently do no physical activity, start by </w:t>
      </w:r>
      <w:r>
        <w:rPr>
          <w:i/>
        </w:rPr>
        <w:t>doing some, and gradually build up to the recommended amount.</w:t>
      </w:r>
    </w:p>
    <w:p w:rsidR="000E776E" w:rsidRDefault="0068420C">
      <w:pPr>
        <w:pStyle w:val="ListParagraph"/>
        <w:numPr>
          <w:ilvl w:val="0"/>
          <w:numId w:val="2"/>
        </w:numPr>
        <w:tabs>
          <w:tab w:val="left" w:pos="499"/>
          <w:tab w:val="left" w:pos="500"/>
        </w:tabs>
        <w:spacing w:before="59"/>
        <w:ind w:left="499"/>
      </w:pPr>
      <w:r>
        <w:t>This is a new</w:t>
      </w:r>
      <w:r>
        <w:rPr>
          <w:spacing w:val="-7"/>
        </w:rPr>
        <w:t xml:space="preserve"> </w:t>
      </w:r>
      <w:r>
        <w:t>guideline.</w:t>
      </w:r>
    </w:p>
    <w:p w:rsidR="000E776E" w:rsidRDefault="0068420C">
      <w:pPr>
        <w:pStyle w:val="ListParagraph"/>
        <w:numPr>
          <w:ilvl w:val="0"/>
          <w:numId w:val="2"/>
        </w:numPr>
        <w:tabs>
          <w:tab w:val="left" w:pos="499"/>
          <w:tab w:val="left" w:pos="500"/>
        </w:tabs>
        <w:spacing w:line="355" w:lineRule="auto"/>
        <w:ind w:left="499" w:right="114"/>
      </w:pPr>
      <w:r>
        <w:t>Evidence suggests that there is a greater rate of risk reduction at the lower end of the activity scale, and that significant public health benefits can be achieved by persuading adults who do no moderate or vigorous intensity activity to do</w:t>
      </w:r>
      <w:r>
        <w:rPr>
          <w:spacing w:val="-4"/>
        </w:rPr>
        <w:t xml:space="preserve"> </w:t>
      </w:r>
      <w:r>
        <w:t>some.</w:t>
      </w:r>
    </w:p>
    <w:p w:rsidR="000E776E" w:rsidRDefault="0068420C">
      <w:pPr>
        <w:pStyle w:val="ListParagraph"/>
        <w:numPr>
          <w:ilvl w:val="1"/>
          <w:numId w:val="2"/>
        </w:numPr>
        <w:tabs>
          <w:tab w:val="left" w:pos="993"/>
          <w:tab w:val="left" w:pos="995"/>
        </w:tabs>
        <w:spacing w:before="7" w:line="350" w:lineRule="auto"/>
        <w:ind w:right="660"/>
      </w:pPr>
      <w:r>
        <w:t>In addit</w:t>
      </w:r>
      <w:r>
        <w:t>ion, there is no obvious lower threshold, indicating the some activity is better than none.</w:t>
      </w:r>
    </w:p>
    <w:p w:rsidR="00492B8C" w:rsidRDefault="0068420C" w:rsidP="00492B8C">
      <w:pPr>
        <w:pStyle w:val="ListParagraph"/>
        <w:numPr>
          <w:ilvl w:val="0"/>
          <w:numId w:val="2"/>
        </w:numPr>
        <w:tabs>
          <w:tab w:val="left" w:pos="499"/>
          <w:tab w:val="left" w:pos="500"/>
        </w:tabs>
        <w:spacing w:before="70" w:line="352" w:lineRule="auto"/>
        <w:ind w:left="499" w:right="633"/>
      </w:pPr>
      <w:r>
        <w:t>The</w:t>
      </w:r>
      <w:r>
        <w:rPr>
          <w:spacing w:val="-7"/>
        </w:rPr>
        <w:t xml:space="preserve"> </w:t>
      </w:r>
      <w:r>
        <w:t>health</w:t>
      </w:r>
      <w:r>
        <w:rPr>
          <w:spacing w:val="-4"/>
        </w:rPr>
        <w:t xml:space="preserve"> </w:t>
      </w:r>
      <w:r>
        <w:t>benefits</w:t>
      </w:r>
      <w:r>
        <w:rPr>
          <w:spacing w:val="-6"/>
        </w:rPr>
        <w:t xml:space="preserve"> </w:t>
      </w:r>
      <w:r>
        <w:t>of</w:t>
      </w:r>
      <w:r>
        <w:rPr>
          <w:spacing w:val="-2"/>
        </w:rPr>
        <w:t xml:space="preserve"> </w:t>
      </w:r>
      <w:r>
        <w:t>physical</w:t>
      </w:r>
      <w:r>
        <w:rPr>
          <w:spacing w:val="-5"/>
        </w:rPr>
        <w:t xml:space="preserve"> </w:t>
      </w:r>
      <w:r>
        <w:t>activity</w:t>
      </w:r>
      <w:r>
        <w:rPr>
          <w:spacing w:val="-6"/>
        </w:rPr>
        <w:t xml:space="preserve"> </w:t>
      </w:r>
      <w:r>
        <w:t>are</w:t>
      </w:r>
      <w:r>
        <w:rPr>
          <w:spacing w:val="-4"/>
        </w:rPr>
        <w:t xml:space="preserve"> </w:t>
      </w:r>
      <w:r>
        <w:t>continuous,</w:t>
      </w:r>
      <w:r>
        <w:rPr>
          <w:spacing w:val="-2"/>
        </w:rPr>
        <w:t xml:space="preserve"> </w:t>
      </w:r>
      <w:r>
        <w:t>beginning</w:t>
      </w:r>
      <w:r>
        <w:rPr>
          <w:spacing w:val="-2"/>
        </w:rPr>
        <w:t xml:space="preserve"> </w:t>
      </w:r>
      <w:r>
        <w:t>with</w:t>
      </w:r>
      <w:r>
        <w:rPr>
          <w:spacing w:val="-4"/>
        </w:rPr>
        <w:t xml:space="preserve"> </w:t>
      </w:r>
      <w:r>
        <w:t>any</w:t>
      </w:r>
      <w:r>
        <w:rPr>
          <w:spacing w:val="-6"/>
        </w:rPr>
        <w:t xml:space="preserve"> </w:t>
      </w:r>
      <w:r>
        <w:t>increment</w:t>
      </w:r>
      <w:r>
        <w:rPr>
          <w:spacing w:val="-3"/>
        </w:rPr>
        <w:t xml:space="preserve"> </w:t>
      </w:r>
      <w:r>
        <w:t>in</w:t>
      </w:r>
      <w:r>
        <w:rPr>
          <w:spacing w:val="-6"/>
        </w:rPr>
        <w:t xml:space="preserve"> </w:t>
      </w:r>
      <w:r>
        <w:t>activity above</w:t>
      </w:r>
      <w:r>
        <w:rPr>
          <w:spacing w:val="-1"/>
        </w:rPr>
        <w:t xml:space="preserve"> </w:t>
      </w:r>
      <w:r>
        <w:t>zero.</w:t>
      </w:r>
    </w:p>
    <w:p w:rsidR="000E776E" w:rsidRDefault="000E776E">
      <w:pPr>
        <w:sectPr w:rsidR="000E776E">
          <w:pgSz w:w="11900" w:h="16850"/>
          <w:pgMar w:top="1600" w:right="840" w:bottom="280" w:left="780" w:header="720" w:footer="720" w:gutter="0"/>
          <w:cols w:space="720"/>
        </w:sectPr>
      </w:pPr>
    </w:p>
    <w:p w:rsidR="000E776E" w:rsidRDefault="0068420C">
      <w:pPr>
        <w:spacing w:line="360" w:lineRule="auto"/>
        <w:ind w:left="120"/>
      </w:pPr>
      <w:r>
        <w:rPr>
          <w:i/>
        </w:rPr>
        <w:lastRenderedPageBreak/>
        <w:t>Accumulate 150 to 300</w:t>
      </w:r>
      <w:r>
        <w:rPr>
          <w:i/>
        </w:rPr>
        <w:t xml:space="preserve"> minutes of moderate intensity physical activity or 75 to 150 minutes of vigorous intensity physical activity, or an equivalent combination of both moderate and vigorous activities, each week</w:t>
      </w:r>
      <w:r>
        <w:t>.</w:t>
      </w:r>
    </w:p>
    <w:p w:rsidR="000E776E" w:rsidRDefault="0068420C">
      <w:pPr>
        <w:pStyle w:val="ListParagraph"/>
        <w:numPr>
          <w:ilvl w:val="0"/>
          <w:numId w:val="2"/>
        </w:numPr>
        <w:tabs>
          <w:tab w:val="left" w:pos="477"/>
          <w:tab w:val="left" w:pos="479"/>
        </w:tabs>
        <w:spacing w:before="59"/>
        <w:ind w:left="478"/>
      </w:pPr>
      <w:r>
        <w:t>This is a new</w:t>
      </w:r>
      <w:r>
        <w:rPr>
          <w:spacing w:val="-7"/>
        </w:rPr>
        <w:t xml:space="preserve"> </w:t>
      </w:r>
      <w:r>
        <w:t>guideline.</w:t>
      </w:r>
    </w:p>
    <w:p w:rsidR="000E776E" w:rsidRDefault="0068420C">
      <w:pPr>
        <w:pStyle w:val="ListParagraph"/>
        <w:numPr>
          <w:ilvl w:val="0"/>
          <w:numId w:val="2"/>
        </w:numPr>
        <w:tabs>
          <w:tab w:val="left" w:pos="477"/>
          <w:tab w:val="left" w:pos="479"/>
        </w:tabs>
        <w:spacing w:line="357" w:lineRule="auto"/>
        <w:ind w:left="478" w:right="630"/>
      </w:pPr>
      <w:r>
        <w:t>No</w:t>
      </w:r>
      <w:r>
        <w:rPr>
          <w:spacing w:val="-5"/>
        </w:rPr>
        <w:t xml:space="preserve"> </w:t>
      </w:r>
      <w:r>
        <w:t>definitive</w:t>
      </w:r>
      <w:r>
        <w:rPr>
          <w:spacing w:val="-4"/>
        </w:rPr>
        <w:t xml:space="preserve"> </w:t>
      </w:r>
      <w:r>
        <w:t>optimal</w:t>
      </w:r>
      <w:r>
        <w:rPr>
          <w:spacing w:val="-5"/>
        </w:rPr>
        <w:t xml:space="preserve"> </w:t>
      </w:r>
      <w:r>
        <w:t>amount</w:t>
      </w:r>
      <w:r>
        <w:rPr>
          <w:spacing w:val="-3"/>
        </w:rPr>
        <w:t xml:space="preserve"> </w:t>
      </w:r>
      <w:r>
        <w:t>of</w:t>
      </w:r>
      <w:r>
        <w:rPr>
          <w:spacing w:val="-3"/>
        </w:rPr>
        <w:t xml:space="preserve"> </w:t>
      </w:r>
      <w:r>
        <w:t>physical</w:t>
      </w:r>
      <w:r>
        <w:rPr>
          <w:spacing w:val="-5"/>
        </w:rPr>
        <w:t xml:space="preserve"> </w:t>
      </w:r>
      <w:r>
        <w:t>activity</w:t>
      </w:r>
      <w:r>
        <w:rPr>
          <w:spacing w:val="-6"/>
        </w:rPr>
        <w:t xml:space="preserve"> </w:t>
      </w:r>
      <w:r>
        <w:t>is</w:t>
      </w:r>
      <w:r>
        <w:rPr>
          <w:spacing w:val="-3"/>
        </w:rPr>
        <w:t xml:space="preserve"> </w:t>
      </w:r>
      <w:r>
        <w:t>available,</w:t>
      </w:r>
      <w:r>
        <w:rPr>
          <w:spacing w:val="-3"/>
        </w:rPr>
        <w:t xml:space="preserve"> </w:t>
      </w:r>
      <w:r>
        <w:t>but</w:t>
      </w:r>
      <w:r>
        <w:rPr>
          <w:spacing w:val="-3"/>
        </w:rPr>
        <w:t xml:space="preserve"> </w:t>
      </w:r>
      <w:r>
        <w:t>substantial</w:t>
      </w:r>
      <w:r>
        <w:rPr>
          <w:spacing w:val="-5"/>
        </w:rPr>
        <w:t xml:space="preserve"> </w:t>
      </w:r>
      <w:r>
        <w:t>health</w:t>
      </w:r>
      <w:r>
        <w:rPr>
          <w:spacing w:val="-4"/>
        </w:rPr>
        <w:t xml:space="preserve"> </w:t>
      </w:r>
      <w:r>
        <w:t>benefits</w:t>
      </w:r>
      <w:r>
        <w:rPr>
          <w:spacing w:val="-3"/>
        </w:rPr>
        <w:t xml:space="preserve"> </w:t>
      </w:r>
      <w:r>
        <w:t>are gained from an overall volume or amount of activity ranging from about 150-300 minutes of moderate-intensity or 75-150 minutes of vigorous-intensity activity each week, or various combinations of moderate and vigorous</w:t>
      </w:r>
      <w:r>
        <w:rPr>
          <w:spacing w:val="-1"/>
        </w:rPr>
        <w:t xml:space="preserve"> </w:t>
      </w:r>
      <w:r>
        <w:t>activity.</w:t>
      </w:r>
    </w:p>
    <w:p w:rsidR="000E776E" w:rsidRDefault="0068420C">
      <w:pPr>
        <w:pStyle w:val="ListParagraph"/>
        <w:numPr>
          <w:ilvl w:val="1"/>
          <w:numId w:val="2"/>
        </w:numPr>
        <w:tabs>
          <w:tab w:val="left" w:pos="972"/>
          <w:tab w:val="left" w:pos="973"/>
        </w:tabs>
        <w:spacing w:before="2" w:line="355" w:lineRule="auto"/>
        <w:ind w:left="972" w:right="116"/>
      </w:pPr>
      <w:r>
        <w:t>Activity at the lower en</w:t>
      </w:r>
      <w:r>
        <w:t>d of scale (i.e. 150min of moderate /75min of vigorous) provides considerable health benefits, including reduced risk of CVD, type 2 diabetes, psychosocial and musculoskeletal</w:t>
      </w:r>
      <w:r>
        <w:rPr>
          <w:spacing w:val="-1"/>
        </w:rPr>
        <w:t xml:space="preserve"> </w:t>
      </w:r>
      <w:r>
        <w:t>problems.</w:t>
      </w:r>
    </w:p>
    <w:p w:rsidR="000E776E" w:rsidRDefault="0068420C">
      <w:pPr>
        <w:pStyle w:val="ListParagraph"/>
        <w:numPr>
          <w:ilvl w:val="1"/>
          <w:numId w:val="2"/>
        </w:numPr>
        <w:tabs>
          <w:tab w:val="left" w:pos="972"/>
          <w:tab w:val="left" w:pos="973"/>
        </w:tabs>
        <w:spacing w:before="4" w:line="352" w:lineRule="auto"/>
        <w:ind w:left="972" w:right="108"/>
      </w:pPr>
      <w:r>
        <w:t>Activity at the upper end of the scale (i.e. 300min of moderate / 150m</w:t>
      </w:r>
      <w:r>
        <w:t>in of vigorous) is required for the prevention of unhealthy weight gain and some</w:t>
      </w:r>
      <w:r>
        <w:rPr>
          <w:spacing w:val="-8"/>
        </w:rPr>
        <w:t xml:space="preserve"> </w:t>
      </w:r>
      <w:r>
        <w:t>cancers.</w:t>
      </w:r>
    </w:p>
    <w:p w:rsidR="000E776E" w:rsidRDefault="000E776E">
      <w:pPr>
        <w:pStyle w:val="BodyText"/>
        <w:spacing w:before="7"/>
        <w:rPr>
          <w:sz w:val="33"/>
        </w:rPr>
      </w:pPr>
    </w:p>
    <w:p w:rsidR="000E776E" w:rsidRDefault="0068420C">
      <w:pPr>
        <w:ind w:left="120"/>
        <w:rPr>
          <w:i/>
        </w:rPr>
      </w:pPr>
      <w:r>
        <w:rPr>
          <w:i/>
        </w:rPr>
        <w:t>Be active on most, preferably all, days every week.</w:t>
      </w:r>
    </w:p>
    <w:p w:rsidR="000E776E" w:rsidRDefault="0068420C">
      <w:pPr>
        <w:pStyle w:val="ListParagraph"/>
        <w:numPr>
          <w:ilvl w:val="0"/>
          <w:numId w:val="2"/>
        </w:numPr>
        <w:tabs>
          <w:tab w:val="left" w:pos="477"/>
          <w:tab w:val="left" w:pos="479"/>
        </w:tabs>
        <w:spacing w:before="186"/>
        <w:ind w:left="478"/>
      </w:pPr>
      <w:r>
        <w:t>This guideline is consistent with the existing</w:t>
      </w:r>
      <w:r>
        <w:rPr>
          <w:spacing w:val="-3"/>
        </w:rPr>
        <w:t xml:space="preserve"> </w:t>
      </w:r>
      <w:r>
        <w:t>guideline.</w:t>
      </w:r>
    </w:p>
    <w:p w:rsidR="000E776E" w:rsidRDefault="000E776E">
      <w:pPr>
        <w:pStyle w:val="BodyText"/>
        <w:rPr>
          <w:sz w:val="26"/>
        </w:rPr>
      </w:pPr>
    </w:p>
    <w:p w:rsidR="000E776E" w:rsidRDefault="0068420C">
      <w:pPr>
        <w:spacing w:before="205"/>
        <w:ind w:left="120"/>
        <w:rPr>
          <w:i/>
        </w:rPr>
      </w:pPr>
      <w:r>
        <w:rPr>
          <w:i/>
        </w:rPr>
        <w:t xml:space="preserve">Do muscle strengthening activities on at least 2 days </w:t>
      </w:r>
      <w:r>
        <w:rPr>
          <w:i/>
        </w:rPr>
        <w:t>each week.</w:t>
      </w:r>
    </w:p>
    <w:p w:rsidR="000E776E" w:rsidRDefault="0068420C">
      <w:pPr>
        <w:pStyle w:val="ListParagraph"/>
        <w:numPr>
          <w:ilvl w:val="0"/>
          <w:numId w:val="2"/>
        </w:numPr>
        <w:tabs>
          <w:tab w:val="left" w:pos="477"/>
          <w:tab w:val="left" w:pos="479"/>
        </w:tabs>
        <w:spacing w:before="188"/>
        <w:ind w:left="478"/>
      </w:pPr>
      <w:r>
        <w:t>This is a new</w:t>
      </w:r>
      <w:r>
        <w:rPr>
          <w:spacing w:val="-7"/>
        </w:rPr>
        <w:t xml:space="preserve"> </w:t>
      </w:r>
      <w:r>
        <w:t>guideline.</w:t>
      </w:r>
    </w:p>
    <w:p w:rsidR="000E776E" w:rsidRDefault="0068420C">
      <w:pPr>
        <w:pStyle w:val="ListParagraph"/>
        <w:numPr>
          <w:ilvl w:val="0"/>
          <w:numId w:val="2"/>
        </w:numPr>
        <w:tabs>
          <w:tab w:val="left" w:pos="477"/>
          <w:tab w:val="left" w:pos="479"/>
        </w:tabs>
        <w:spacing w:line="350" w:lineRule="auto"/>
        <w:ind w:left="478" w:right="154"/>
      </w:pPr>
      <w:r>
        <w:t>Resistance</w:t>
      </w:r>
      <w:r>
        <w:rPr>
          <w:spacing w:val="-6"/>
        </w:rPr>
        <w:t xml:space="preserve"> </w:t>
      </w:r>
      <w:r>
        <w:t>training</w:t>
      </w:r>
      <w:r>
        <w:rPr>
          <w:spacing w:val="-3"/>
        </w:rPr>
        <w:t xml:space="preserve"> </w:t>
      </w:r>
      <w:r>
        <w:t>is</w:t>
      </w:r>
      <w:r>
        <w:rPr>
          <w:spacing w:val="-2"/>
        </w:rPr>
        <w:t xml:space="preserve"> </w:t>
      </w:r>
      <w:r>
        <w:t>important</w:t>
      </w:r>
      <w:r>
        <w:rPr>
          <w:spacing w:val="-5"/>
        </w:rPr>
        <w:t xml:space="preserve"> </w:t>
      </w:r>
      <w:r>
        <w:t>for</w:t>
      </w:r>
      <w:r>
        <w:rPr>
          <w:spacing w:val="-4"/>
        </w:rPr>
        <w:t xml:space="preserve"> </w:t>
      </w:r>
      <w:r>
        <w:t>maintaining</w:t>
      </w:r>
      <w:r>
        <w:rPr>
          <w:spacing w:val="-3"/>
        </w:rPr>
        <w:t xml:space="preserve"> </w:t>
      </w:r>
      <w:r>
        <w:t>strength,</w:t>
      </w:r>
      <w:r>
        <w:rPr>
          <w:spacing w:val="-2"/>
        </w:rPr>
        <w:t xml:space="preserve"> </w:t>
      </w:r>
      <w:r>
        <w:t>and</w:t>
      </w:r>
      <w:r>
        <w:rPr>
          <w:spacing w:val="-5"/>
        </w:rPr>
        <w:t xml:space="preserve"> </w:t>
      </w:r>
      <w:r>
        <w:t>also</w:t>
      </w:r>
      <w:r>
        <w:rPr>
          <w:spacing w:val="-5"/>
        </w:rPr>
        <w:t xml:space="preserve"> </w:t>
      </w:r>
      <w:r>
        <w:t>for</w:t>
      </w:r>
      <w:r>
        <w:rPr>
          <w:spacing w:val="-5"/>
        </w:rPr>
        <w:t xml:space="preserve"> </w:t>
      </w:r>
      <w:r>
        <w:t>the</w:t>
      </w:r>
      <w:r>
        <w:rPr>
          <w:spacing w:val="-5"/>
        </w:rPr>
        <w:t xml:space="preserve"> </w:t>
      </w:r>
      <w:r>
        <w:t>prevention</w:t>
      </w:r>
      <w:r>
        <w:rPr>
          <w:spacing w:val="-3"/>
        </w:rPr>
        <w:t xml:space="preserve"> </w:t>
      </w:r>
      <w:r>
        <w:t>of</w:t>
      </w:r>
      <w:r>
        <w:rPr>
          <w:spacing w:val="-2"/>
        </w:rPr>
        <w:t xml:space="preserve"> </w:t>
      </w:r>
      <w:r>
        <w:t>falls,</w:t>
      </w:r>
      <w:r>
        <w:rPr>
          <w:spacing w:val="-4"/>
        </w:rPr>
        <w:t xml:space="preserve"> </w:t>
      </w:r>
      <w:r>
        <w:t>as</w:t>
      </w:r>
      <w:r>
        <w:rPr>
          <w:spacing w:val="-3"/>
        </w:rPr>
        <w:t xml:space="preserve"> </w:t>
      </w:r>
      <w:r>
        <w:t>well as to reduce risk factors for CVD and type 2</w:t>
      </w:r>
      <w:r>
        <w:rPr>
          <w:spacing w:val="-12"/>
        </w:rPr>
        <w:t xml:space="preserve"> </w:t>
      </w:r>
      <w:r>
        <w:t>diabetes.</w:t>
      </w:r>
    </w:p>
    <w:p w:rsidR="000E776E" w:rsidRDefault="000E776E">
      <w:pPr>
        <w:pStyle w:val="BodyText"/>
        <w:spacing w:before="9"/>
        <w:rPr>
          <w:sz w:val="33"/>
        </w:rPr>
      </w:pPr>
    </w:p>
    <w:p w:rsidR="000E776E" w:rsidRDefault="0068420C">
      <w:pPr>
        <w:pStyle w:val="Heading1"/>
        <w:ind w:left="120"/>
      </w:pPr>
      <w:r>
        <w:t>Sedentary Behaviour Guideline for Adults (18-64 years)</w:t>
      </w:r>
    </w:p>
    <w:p w:rsidR="000E776E" w:rsidRDefault="000E776E">
      <w:pPr>
        <w:pStyle w:val="BodyText"/>
        <w:spacing w:before="9"/>
        <w:rPr>
          <w:b/>
          <w:sz w:val="24"/>
        </w:rPr>
      </w:pPr>
    </w:p>
    <w:p w:rsidR="000E776E" w:rsidRDefault="0068420C">
      <w:pPr>
        <w:spacing w:line="360" w:lineRule="auto"/>
        <w:ind w:left="120" w:right="601"/>
        <w:rPr>
          <w:i/>
        </w:rPr>
      </w:pPr>
      <w:r>
        <w:rPr>
          <w:i/>
        </w:rPr>
        <w:t>Minimise the amount of time spent in prolonged sitting. Break up long periods of sitting as often as possible.</w:t>
      </w:r>
    </w:p>
    <w:p w:rsidR="000E776E" w:rsidRDefault="0068420C">
      <w:pPr>
        <w:pStyle w:val="ListParagraph"/>
        <w:numPr>
          <w:ilvl w:val="0"/>
          <w:numId w:val="2"/>
        </w:numPr>
        <w:tabs>
          <w:tab w:val="left" w:pos="477"/>
          <w:tab w:val="left" w:pos="479"/>
        </w:tabs>
        <w:spacing w:before="59"/>
        <w:ind w:left="478"/>
      </w:pPr>
      <w:r>
        <w:t>This is a new</w:t>
      </w:r>
      <w:r>
        <w:rPr>
          <w:spacing w:val="-7"/>
        </w:rPr>
        <w:t xml:space="preserve"> </w:t>
      </w:r>
      <w:r>
        <w:t>guideline.</w:t>
      </w:r>
    </w:p>
    <w:p w:rsidR="000E776E" w:rsidRDefault="0068420C">
      <w:pPr>
        <w:pStyle w:val="ListParagraph"/>
        <w:numPr>
          <w:ilvl w:val="0"/>
          <w:numId w:val="2"/>
        </w:numPr>
        <w:tabs>
          <w:tab w:val="left" w:pos="477"/>
          <w:tab w:val="left" w:pos="479"/>
        </w:tabs>
        <w:spacing w:line="350" w:lineRule="auto"/>
        <w:ind w:left="478" w:right="484"/>
      </w:pPr>
      <w:r>
        <w:t>This</w:t>
      </w:r>
      <w:r>
        <w:rPr>
          <w:spacing w:val="-2"/>
        </w:rPr>
        <w:t xml:space="preserve"> </w:t>
      </w:r>
      <w:r>
        <w:t>is</w:t>
      </w:r>
      <w:r>
        <w:rPr>
          <w:spacing w:val="-5"/>
        </w:rPr>
        <w:t xml:space="preserve"> </w:t>
      </w:r>
      <w:r>
        <w:t>important</w:t>
      </w:r>
      <w:r>
        <w:rPr>
          <w:spacing w:val="-1"/>
        </w:rPr>
        <w:t xml:space="preserve"> </w:t>
      </w:r>
      <w:r>
        <w:t>as</w:t>
      </w:r>
      <w:r>
        <w:rPr>
          <w:spacing w:val="-3"/>
        </w:rPr>
        <w:t xml:space="preserve"> </w:t>
      </w:r>
      <w:r>
        <w:t>people</w:t>
      </w:r>
      <w:r>
        <w:rPr>
          <w:spacing w:val="-3"/>
        </w:rPr>
        <w:t xml:space="preserve"> </w:t>
      </w:r>
      <w:r>
        <w:t>may</w:t>
      </w:r>
      <w:r>
        <w:rPr>
          <w:spacing w:val="-4"/>
        </w:rPr>
        <w:t xml:space="preserve"> </w:t>
      </w:r>
      <w:r>
        <w:t>meet</w:t>
      </w:r>
      <w:r>
        <w:rPr>
          <w:spacing w:val="-4"/>
        </w:rPr>
        <w:t xml:space="preserve"> </w:t>
      </w:r>
      <w:r>
        <w:t>the</w:t>
      </w:r>
      <w:r>
        <w:rPr>
          <w:spacing w:val="-3"/>
        </w:rPr>
        <w:t xml:space="preserve"> </w:t>
      </w:r>
      <w:r>
        <w:t>physical</w:t>
      </w:r>
      <w:r>
        <w:rPr>
          <w:spacing w:val="-3"/>
        </w:rPr>
        <w:t xml:space="preserve"> </w:t>
      </w:r>
      <w:r>
        <w:t>activity</w:t>
      </w:r>
      <w:r>
        <w:rPr>
          <w:spacing w:val="-5"/>
        </w:rPr>
        <w:t xml:space="preserve"> </w:t>
      </w:r>
      <w:r>
        <w:t>guidelines,</w:t>
      </w:r>
      <w:r>
        <w:rPr>
          <w:spacing w:val="-1"/>
        </w:rPr>
        <w:t xml:space="preserve"> </w:t>
      </w:r>
      <w:r>
        <w:t>and</w:t>
      </w:r>
      <w:r>
        <w:rPr>
          <w:spacing w:val="-4"/>
        </w:rPr>
        <w:t xml:space="preserve"> </w:t>
      </w:r>
      <w:r>
        <w:t>yet</w:t>
      </w:r>
      <w:r>
        <w:rPr>
          <w:spacing w:val="-2"/>
        </w:rPr>
        <w:t xml:space="preserve"> </w:t>
      </w:r>
      <w:r>
        <w:t>sit</w:t>
      </w:r>
      <w:r>
        <w:rPr>
          <w:spacing w:val="-5"/>
        </w:rPr>
        <w:t xml:space="preserve"> </w:t>
      </w:r>
      <w:r>
        <w:t>for</w:t>
      </w:r>
      <w:r>
        <w:rPr>
          <w:spacing w:val="-4"/>
        </w:rPr>
        <w:t xml:space="preserve"> </w:t>
      </w:r>
      <w:r>
        <w:t>many</w:t>
      </w:r>
      <w:r>
        <w:rPr>
          <w:spacing w:val="-5"/>
        </w:rPr>
        <w:t xml:space="preserve"> </w:t>
      </w:r>
      <w:r>
        <w:t>hours each day, with adverse</w:t>
      </w:r>
      <w:r>
        <w:t xml:space="preserve"> metabolic effects over time resulting in poorer health</w:t>
      </w:r>
      <w:r>
        <w:rPr>
          <w:spacing w:val="-22"/>
        </w:rPr>
        <w:t xml:space="preserve"> </w:t>
      </w:r>
      <w:r>
        <w:t>outcomes.</w:t>
      </w:r>
      <w:bookmarkStart w:id="0" w:name="_GoBack"/>
      <w:bookmarkEnd w:id="0"/>
    </w:p>
    <w:sectPr w:rsidR="000E776E">
      <w:pgSz w:w="11900" w:h="16850"/>
      <w:pgMar w:top="1600" w:right="84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20C" w:rsidRDefault="0068420C" w:rsidP="0068420C">
      <w:r>
        <w:separator/>
      </w:r>
    </w:p>
  </w:endnote>
  <w:endnote w:type="continuationSeparator" w:id="0">
    <w:p w:rsidR="0068420C" w:rsidRDefault="0068420C" w:rsidP="0068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0C" w:rsidRDefault="00684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0C" w:rsidRDefault="006842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0C" w:rsidRDefault="00684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20C" w:rsidRDefault="0068420C" w:rsidP="0068420C">
      <w:r>
        <w:separator/>
      </w:r>
    </w:p>
  </w:footnote>
  <w:footnote w:type="continuationSeparator" w:id="0">
    <w:p w:rsidR="0068420C" w:rsidRDefault="0068420C" w:rsidP="00684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0C" w:rsidRDefault="00684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0C" w:rsidRDefault="00684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0C" w:rsidRDefault="00684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E16F9"/>
    <w:multiLevelType w:val="hybridMultilevel"/>
    <w:tmpl w:val="F7727D78"/>
    <w:lvl w:ilvl="0" w:tplc="DD7EAC16">
      <w:numFmt w:val="bullet"/>
      <w:lvlText w:val=""/>
      <w:lvlJc w:val="left"/>
      <w:pPr>
        <w:ind w:left="473" w:hanging="359"/>
      </w:pPr>
      <w:rPr>
        <w:rFonts w:ascii="Symbol" w:eastAsia="Symbol" w:hAnsi="Symbol" w:cs="Symbol" w:hint="default"/>
        <w:w w:val="100"/>
        <w:sz w:val="22"/>
        <w:szCs w:val="22"/>
        <w:lang w:val="en-AU" w:eastAsia="en-US" w:bidi="ar-SA"/>
      </w:rPr>
    </w:lvl>
    <w:lvl w:ilvl="1" w:tplc="7D82778E">
      <w:numFmt w:val="bullet"/>
      <w:lvlText w:val=""/>
      <w:lvlJc w:val="left"/>
      <w:pPr>
        <w:ind w:left="994" w:hanging="360"/>
      </w:pPr>
      <w:rPr>
        <w:rFonts w:ascii="Symbol" w:eastAsia="Symbol" w:hAnsi="Symbol" w:cs="Symbol" w:hint="default"/>
        <w:w w:val="100"/>
        <w:sz w:val="22"/>
        <w:szCs w:val="22"/>
        <w:lang w:val="en-AU" w:eastAsia="en-US" w:bidi="ar-SA"/>
      </w:rPr>
    </w:lvl>
    <w:lvl w:ilvl="2" w:tplc="F2D68858">
      <w:numFmt w:val="bullet"/>
      <w:lvlText w:val="•"/>
      <w:lvlJc w:val="left"/>
      <w:pPr>
        <w:ind w:left="1000" w:hanging="360"/>
      </w:pPr>
      <w:rPr>
        <w:rFonts w:hint="default"/>
        <w:lang w:val="en-AU" w:eastAsia="en-US" w:bidi="ar-SA"/>
      </w:rPr>
    </w:lvl>
    <w:lvl w:ilvl="3" w:tplc="34646088">
      <w:numFmt w:val="bullet"/>
      <w:lvlText w:val="•"/>
      <w:lvlJc w:val="left"/>
      <w:pPr>
        <w:ind w:left="2159" w:hanging="360"/>
      </w:pPr>
      <w:rPr>
        <w:rFonts w:hint="default"/>
        <w:lang w:val="en-AU" w:eastAsia="en-US" w:bidi="ar-SA"/>
      </w:rPr>
    </w:lvl>
    <w:lvl w:ilvl="4" w:tplc="A4666C54">
      <w:numFmt w:val="bullet"/>
      <w:lvlText w:val="•"/>
      <w:lvlJc w:val="left"/>
      <w:pPr>
        <w:ind w:left="3319" w:hanging="360"/>
      </w:pPr>
      <w:rPr>
        <w:rFonts w:hint="default"/>
        <w:lang w:val="en-AU" w:eastAsia="en-US" w:bidi="ar-SA"/>
      </w:rPr>
    </w:lvl>
    <w:lvl w:ilvl="5" w:tplc="450C6938">
      <w:numFmt w:val="bullet"/>
      <w:lvlText w:val="•"/>
      <w:lvlJc w:val="left"/>
      <w:pPr>
        <w:ind w:left="4479" w:hanging="360"/>
      </w:pPr>
      <w:rPr>
        <w:rFonts w:hint="default"/>
        <w:lang w:val="en-AU" w:eastAsia="en-US" w:bidi="ar-SA"/>
      </w:rPr>
    </w:lvl>
    <w:lvl w:ilvl="6" w:tplc="EE3ACB3E">
      <w:numFmt w:val="bullet"/>
      <w:lvlText w:val="•"/>
      <w:lvlJc w:val="left"/>
      <w:pPr>
        <w:ind w:left="5639" w:hanging="360"/>
      </w:pPr>
      <w:rPr>
        <w:rFonts w:hint="default"/>
        <w:lang w:val="en-AU" w:eastAsia="en-US" w:bidi="ar-SA"/>
      </w:rPr>
    </w:lvl>
    <w:lvl w:ilvl="7" w:tplc="96106646">
      <w:numFmt w:val="bullet"/>
      <w:lvlText w:val="•"/>
      <w:lvlJc w:val="left"/>
      <w:pPr>
        <w:ind w:left="6799" w:hanging="360"/>
      </w:pPr>
      <w:rPr>
        <w:rFonts w:hint="default"/>
        <w:lang w:val="en-AU" w:eastAsia="en-US" w:bidi="ar-SA"/>
      </w:rPr>
    </w:lvl>
    <w:lvl w:ilvl="8" w:tplc="E6921A3C">
      <w:numFmt w:val="bullet"/>
      <w:lvlText w:val="•"/>
      <w:lvlJc w:val="left"/>
      <w:pPr>
        <w:ind w:left="7959" w:hanging="360"/>
      </w:pPr>
      <w:rPr>
        <w:rFonts w:hint="default"/>
        <w:lang w:val="en-AU" w:eastAsia="en-US" w:bidi="ar-SA"/>
      </w:rPr>
    </w:lvl>
  </w:abstractNum>
  <w:abstractNum w:abstractNumId="1" w15:restartNumberingAfterBreak="0">
    <w:nsid w:val="47763149"/>
    <w:multiLevelType w:val="hybridMultilevel"/>
    <w:tmpl w:val="EDC8D36C"/>
    <w:lvl w:ilvl="0" w:tplc="8C7A8964">
      <w:numFmt w:val="bullet"/>
      <w:lvlText w:val="*"/>
      <w:lvlJc w:val="left"/>
      <w:pPr>
        <w:ind w:left="115" w:hanging="147"/>
      </w:pPr>
      <w:rPr>
        <w:rFonts w:ascii="Arial" w:eastAsia="Arial" w:hAnsi="Arial" w:cs="Arial" w:hint="default"/>
        <w:w w:val="100"/>
        <w:sz w:val="22"/>
        <w:szCs w:val="22"/>
        <w:lang w:val="en-AU" w:eastAsia="en-US" w:bidi="ar-SA"/>
      </w:rPr>
    </w:lvl>
    <w:lvl w:ilvl="1" w:tplc="335A499A">
      <w:numFmt w:val="bullet"/>
      <w:lvlText w:val="•"/>
      <w:lvlJc w:val="left"/>
      <w:pPr>
        <w:ind w:left="1135" w:hanging="147"/>
      </w:pPr>
      <w:rPr>
        <w:rFonts w:hint="default"/>
        <w:lang w:val="en-AU" w:eastAsia="en-US" w:bidi="ar-SA"/>
      </w:rPr>
    </w:lvl>
    <w:lvl w:ilvl="2" w:tplc="FEDA8530">
      <w:numFmt w:val="bullet"/>
      <w:lvlText w:val="•"/>
      <w:lvlJc w:val="left"/>
      <w:pPr>
        <w:ind w:left="2151" w:hanging="147"/>
      </w:pPr>
      <w:rPr>
        <w:rFonts w:hint="default"/>
        <w:lang w:val="en-AU" w:eastAsia="en-US" w:bidi="ar-SA"/>
      </w:rPr>
    </w:lvl>
    <w:lvl w:ilvl="3" w:tplc="E946D59A">
      <w:numFmt w:val="bullet"/>
      <w:lvlText w:val="•"/>
      <w:lvlJc w:val="left"/>
      <w:pPr>
        <w:ind w:left="3167" w:hanging="147"/>
      </w:pPr>
      <w:rPr>
        <w:rFonts w:hint="default"/>
        <w:lang w:val="en-AU" w:eastAsia="en-US" w:bidi="ar-SA"/>
      </w:rPr>
    </w:lvl>
    <w:lvl w:ilvl="4" w:tplc="FADE9838">
      <w:numFmt w:val="bullet"/>
      <w:lvlText w:val="•"/>
      <w:lvlJc w:val="left"/>
      <w:pPr>
        <w:ind w:left="4183" w:hanging="147"/>
      </w:pPr>
      <w:rPr>
        <w:rFonts w:hint="default"/>
        <w:lang w:val="en-AU" w:eastAsia="en-US" w:bidi="ar-SA"/>
      </w:rPr>
    </w:lvl>
    <w:lvl w:ilvl="5" w:tplc="191E0FB4">
      <w:numFmt w:val="bullet"/>
      <w:lvlText w:val="•"/>
      <w:lvlJc w:val="left"/>
      <w:pPr>
        <w:ind w:left="5199" w:hanging="147"/>
      </w:pPr>
      <w:rPr>
        <w:rFonts w:hint="default"/>
        <w:lang w:val="en-AU" w:eastAsia="en-US" w:bidi="ar-SA"/>
      </w:rPr>
    </w:lvl>
    <w:lvl w:ilvl="6" w:tplc="B128D44E">
      <w:numFmt w:val="bullet"/>
      <w:lvlText w:val="•"/>
      <w:lvlJc w:val="left"/>
      <w:pPr>
        <w:ind w:left="6215" w:hanging="147"/>
      </w:pPr>
      <w:rPr>
        <w:rFonts w:hint="default"/>
        <w:lang w:val="en-AU" w:eastAsia="en-US" w:bidi="ar-SA"/>
      </w:rPr>
    </w:lvl>
    <w:lvl w:ilvl="7" w:tplc="4EEC22FC">
      <w:numFmt w:val="bullet"/>
      <w:lvlText w:val="•"/>
      <w:lvlJc w:val="left"/>
      <w:pPr>
        <w:ind w:left="7231" w:hanging="147"/>
      </w:pPr>
      <w:rPr>
        <w:rFonts w:hint="default"/>
        <w:lang w:val="en-AU" w:eastAsia="en-US" w:bidi="ar-SA"/>
      </w:rPr>
    </w:lvl>
    <w:lvl w:ilvl="8" w:tplc="7FCC1864">
      <w:numFmt w:val="bullet"/>
      <w:lvlText w:val="•"/>
      <w:lvlJc w:val="left"/>
      <w:pPr>
        <w:ind w:left="8247" w:hanging="147"/>
      </w:pPr>
      <w:rPr>
        <w:rFonts w:hint="default"/>
        <w:lang w:val="en-A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76E"/>
    <w:rsid w:val="000E776E"/>
    <w:rsid w:val="00492B8C"/>
    <w:rsid w:val="0068420C"/>
    <w:rsid w:val="00A430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2BDBE"/>
  <w15:docId w15:val="{8DC10027-6801-4B2A-9EAB-603D7F97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AU"/>
    </w:rPr>
  </w:style>
  <w:style w:type="paragraph" w:styleId="Heading1">
    <w:name w:val="heading 1"/>
    <w:basedOn w:val="Normal"/>
    <w:uiPriority w:val="1"/>
    <w:qFormat/>
    <w:pPr>
      <w:ind w:left="11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87"/>
      <w:ind w:left="112"/>
    </w:pPr>
    <w:rPr>
      <w:b/>
      <w:bCs/>
      <w:sz w:val="40"/>
      <w:szCs w:val="40"/>
    </w:rPr>
  </w:style>
  <w:style w:type="paragraph" w:styleId="ListParagraph">
    <w:name w:val="List Paragraph"/>
    <w:basedOn w:val="Normal"/>
    <w:uiPriority w:val="1"/>
    <w:qFormat/>
    <w:pPr>
      <w:spacing w:before="184"/>
      <w:ind w:left="473"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8420C"/>
    <w:pPr>
      <w:tabs>
        <w:tab w:val="center" w:pos="4513"/>
        <w:tab w:val="right" w:pos="9026"/>
      </w:tabs>
    </w:pPr>
  </w:style>
  <w:style w:type="character" w:customStyle="1" w:styleId="HeaderChar">
    <w:name w:val="Header Char"/>
    <w:basedOn w:val="DefaultParagraphFont"/>
    <w:link w:val="Header"/>
    <w:uiPriority w:val="99"/>
    <w:rsid w:val="0068420C"/>
    <w:rPr>
      <w:rFonts w:ascii="Arial" w:eastAsia="Arial" w:hAnsi="Arial" w:cs="Arial"/>
      <w:lang w:val="en-AU"/>
    </w:rPr>
  </w:style>
  <w:style w:type="paragraph" w:styleId="Footer">
    <w:name w:val="footer"/>
    <w:basedOn w:val="Normal"/>
    <w:link w:val="FooterChar"/>
    <w:uiPriority w:val="99"/>
    <w:unhideWhenUsed/>
    <w:rsid w:val="0068420C"/>
    <w:pPr>
      <w:tabs>
        <w:tab w:val="center" w:pos="4513"/>
        <w:tab w:val="right" w:pos="9026"/>
      </w:tabs>
    </w:pPr>
  </w:style>
  <w:style w:type="character" w:customStyle="1" w:styleId="FooterChar">
    <w:name w:val="Footer Char"/>
    <w:basedOn w:val="DefaultParagraphFont"/>
    <w:link w:val="Footer"/>
    <w:uiPriority w:val="99"/>
    <w:rsid w:val="0068420C"/>
    <w:rPr>
      <w:rFonts w:ascii="Arial" w:eastAsia="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ealth.gov.au/"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16" ma:contentTypeDescription="Create a new document." ma:contentTypeScope="" ma:versionID="9df34c50d087ac73e645bebf37be71ca">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a10b7c6b2bdffd3aa1d9fd76c1e6f657"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BFEDC6-A484-481C-BC1D-9CA628EC9AF2}"/>
</file>

<file path=customXml/itemProps2.xml><?xml version="1.0" encoding="utf-8"?>
<ds:datastoreItem xmlns:ds="http://schemas.openxmlformats.org/officeDocument/2006/customXml" ds:itemID="{0983E9A1-9690-485D-814B-DD6F4FF8FA20}"/>
</file>

<file path=customXml/itemProps3.xml><?xml version="1.0" encoding="utf-8"?>
<ds:datastoreItem xmlns:ds="http://schemas.openxmlformats.org/officeDocument/2006/customXml" ds:itemID="{1A565CAF-2496-46DA-93EC-3FDA4A92A873}"/>
</file>

<file path=docProps/app.xml><?xml version="1.0" encoding="utf-8"?>
<Properties xmlns="http://schemas.openxmlformats.org/officeDocument/2006/extended-properties" xmlns:vt="http://schemas.openxmlformats.org/officeDocument/2006/docPropsVTypes">
  <Template>Normal.dotm</Template>
  <TotalTime>4</TotalTime>
  <Pages>4</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Physical activity and sedentary behaviour guideline evidence summary</vt:lpstr>
    </vt:vector>
  </TitlesOfParts>
  <Company>Department of Health</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activity and sedentary behaviour guideline evidence summary</dc:title>
  <dc:subject>Physical activity guidelines</dc:subject>
  <dc:creator>Department of Health</dc:creator>
  <cp:keywords>healthy living, exercise, physical activity, sedentary behaviour, sleep</cp:keywords>
  <cp:lastModifiedBy>KNOWLES, Chris</cp:lastModifiedBy>
  <cp:revision>4</cp:revision>
  <dcterms:created xsi:type="dcterms:W3CDTF">2021-02-10T04:32:00Z</dcterms:created>
  <dcterms:modified xsi:type="dcterms:W3CDTF">2021-02-10T04:35:00Z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2014-02-05T00:00:00Z</vt:filetime>
  </property>
  <property fmtid="{D5CDD505-2E9C-101B-9397-08002B2CF9AE}" pid="3" name="LastSaved">
    <vt:filetime>2021-02-10T00:00:00Z</vt:filetime>
  </property>
  <property fmtid="{D5CDD505-2E9C-101B-9397-08002B2CF9AE}" pid="4" name="ContentTypeId">
    <vt:lpwstr>0x010100BA217076F0871349BCBE5A6EC7EEC4B3</vt:lpwstr>
  </property>
</Properties>
</file>