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FCC44" w14:textId="77777777" w:rsidR="00CE615D" w:rsidRPr="00C04139" w:rsidRDefault="00CE615D" w:rsidP="00CE615D">
      <w:pPr>
        <w:pStyle w:val="Subtitle"/>
        <w:spacing w:before="0" w:after="0" w:line="360" w:lineRule="auto"/>
        <w:rPr>
          <w:sz w:val="40"/>
        </w:rPr>
      </w:pPr>
      <w:r w:rsidRPr="00C04139">
        <w:rPr>
          <w:sz w:val="40"/>
        </w:rPr>
        <w:t>Medicare Benefits Schedule Review Taskforce</w:t>
      </w:r>
    </w:p>
    <w:p w14:paraId="2CAC1D41" w14:textId="77777777" w:rsidR="00CE615D" w:rsidRPr="006E45AF" w:rsidRDefault="00CE615D" w:rsidP="00CE615D">
      <w:pPr>
        <w:pStyle w:val="Title"/>
        <w:spacing w:before="0" w:after="0" w:line="360" w:lineRule="auto"/>
      </w:pPr>
      <w:r w:rsidRPr="006E45AF">
        <w:t>Taskforce Findings</w:t>
      </w:r>
    </w:p>
    <w:p w14:paraId="61EB0434" w14:textId="7FFFA5F3" w:rsidR="00CE615D" w:rsidRPr="00C04139" w:rsidRDefault="00772362" w:rsidP="00CE615D">
      <w:pPr>
        <w:pStyle w:val="Title"/>
        <w:spacing w:before="0" w:after="0" w:line="360" w:lineRule="auto"/>
        <w:rPr>
          <w:sz w:val="48"/>
        </w:rPr>
      </w:pPr>
      <w:r>
        <w:t>Colorectal</w:t>
      </w:r>
      <w:r w:rsidR="00FA744E">
        <w:t xml:space="preserve"> Surgery</w:t>
      </w:r>
      <w:r w:rsidR="00CE615D" w:rsidRPr="005C7FB0">
        <w:t xml:space="preserve"> </w:t>
      </w:r>
      <w:r w:rsidR="00CE615D">
        <w:t xml:space="preserve">Clinical Committee </w:t>
      </w:r>
      <w:r w:rsidR="00CE615D" w:rsidRPr="00C04139">
        <w:rPr>
          <w:sz w:val="48"/>
        </w:rPr>
        <w:t>Report</w:t>
      </w:r>
    </w:p>
    <w:p w14:paraId="100D2492" w14:textId="6958159D" w:rsidR="00CE615D" w:rsidRPr="00AB469A" w:rsidRDefault="00CE615D" w:rsidP="00CE615D">
      <w:pPr>
        <w:spacing w:before="0" w:after="0" w:line="360" w:lineRule="auto"/>
        <w:rPr>
          <w:rFonts w:cs="Arial"/>
          <w:color w:val="000000" w:themeColor="text1"/>
          <w:szCs w:val="22"/>
        </w:rPr>
      </w:pPr>
      <w:r w:rsidRPr="00AB469A">
        <w:rPr>
          <w:rFonts w:cs="Arial"/>
          <w:color w:val="000000" w:themeColor="text1"/>
          <w:szCs w:val="22"/>
        </w:rPr>
        <w:t>This document outlines the Medica</w:t>
      </w:r>
      <w:r>
        <w:rPr>
          <w:rFonts w:cs="Arial"/>
          <w:color w:val="000000" w:themeColor="text1"/>
          <w:szCs w:val="22"/>
        </w:rPr>
        <w:t>re</w:t>
      </w:r>
      <w:r w:rsidRPr="00AB469A">
        <w:rPr>
          <w:rFonts w:cs="Arial"/>
          <w:color w:val="000000" w:themeColor="text1"/>
          <w:szCs w:val="22"/>
        </w:rPr>
        <w:t xml:space="preserve"> Benefits Schedule (MBS) Taskforce’s recommendations in response </w:t>
      </w:r>
      <w:r>
        <w:rPr>
          <w:rFonts w:cs="Arial"/>
          <w:color w:val="000000" w:themeColor="text1"/>
          <w:szCs w:val="22"/>
        </w:rPr>
        <w:t xml:space="preserve">to the </w:t>
      </w:r>
      <w:r w:rsidR="00772362">
        <w:rPr>
          <w:rFonts w:cs="Arial"/>
          <w:color w:val="000000" w:themeColor="text1"/>
          <w:szCs w:val="22"/>
        </w:rPr>
        <w:t>Colorectal</w:t>
      </w:r>
      <w:r w:rsidR="00922250">
        <w:rPr>
          <w:rFonts w:cs="Arial"/>
          <w:color w:val="000000" w:themeColor="text1"/>
          <w:szCs w:val="22"/>
        </w:rPr>
        <w:t xml:space="preserve"> Surgery</w:t>
      </w:r>
      <w:r w:rsidRPr="005C7FB0">
        <w:t xml:space="preserve"> </w:t>
      </w:r>
      <w:r w:rsidRPr="00AB469A">
        <w:rPr>
          <w:rFonts w:cs="Arial"/>
          <w:color w:val="000000" w:themeColor="text1"/>
          <w:szCs w:val="22"/>
        </w:rPr>
        <w:t xml:space="preserve">Clinical Committee Report. </w:t>
      </w:r>
    </w:p>
    <w:p w14:paraId="6340BB2C" w14:textId="314729C4" w:rsidR="00CE615D" w:rsidRPr="00AB469A" w:rsidRDefault="00CE615D" w:rsidP="00CE615D">
      <w:pPr>
        <w:spacing w:before="0" w:after="0" w:line="360" w:lineRule="auto"/>
        <w:rPr>
          <w:rFonts w:cs="Arial"/>
          <w:color w:val="000000" w:themeColor="text1"/>
          <w:szCs w:val="22"/>
        </w:rPr>
      </w:pPr>
      <w:r w:rsidRPr="00AB469A">
        <w:rPr>
          <w:rFonts w:cs="Arial"/>
          <w:color w:val="000000" w:themeColor="text1"/>
          <w:szCs w:val="22"/>
        </w:rPr>
        <w:t xml:space="preserve">The </w:t>
      </w:r>
      <w:r>
        <w:rPr>
          <w:rFonts w:cs="Arial"/>
          <w:color w:val="000000" w:themeColor="text1"/>
          <w:szCs w:val="22"/>
        </w:rPr>
        <w:t>Taskforce</w:t>
      </w:r>
      <w:r w:rsidRPr="00AB469A">
        <w:rPr>
          <w:rFonts w:cs="Arial"/>
          <w:color w:val="000000" w:themeColor="text1"/>
          <w:szCs w:val="22"/>
        </w:rPr>
        <w:t xml:space="preserve"> considered the recommendations from the </w:t>
      </w:r>
      <w:r w:rsidR="00772362">
        <w:rPr>
          <w:rFonts w:cs="Arial"/>
          <w:color w:val="000000" w:themeColor="text1"/>
          <w:szCs w:val="22"/>
        </w:rPr>
        <w:t>Colorectal</w:t>
      </w:r>
      <w:r w:rsidR="00922250">
        <w:rPr>
          <w:rFonts w:cs="Arial"/>
          <w:color w:val="000000" w:themeColor="text1"/>
          <w:szCs w:val="22"/>
        </w:rPr>
        <w:t xml:space="preserve"> Surgery</w:t>
      </w:r>
      <w:r w:rsidRPr="005C7FB0">
        <w:t xml:space="preserve"> </w:t>
      </w:r>
      <w:r>
        <w:t xml:space="preserve">Clinical </w:t>
      </w:r>
      <w:r w:rsidRPr="00AB469A">
        <w:rPr>
          <w:rFonts w:cs="Arial"/>
          <w:color w:val="000000" w:themeColor="text1"/>
          <w:szCs w:val="22"/>
        </w:rPr>
        <w:t xml:space="preserve">Committee and feedback from </w:t>
      </w:r>
      <w:r>
        <w:rPr>
          <w:rFonts w:cs="Arial"/>
          <w:color w:val="000000" w:themeColor="text1"/>
          <w:szCs w:val="22"/>
        </w:rPr>
        <w:t>stakeholders received during a targeted consultation period</w:t>
      </w:r>
      <w:r w:rsidRPr="00AB469A">
        <w:rPr>
          <w:rFonts w:cs="Arial"/>
          <w:color w:val="000000" w:themeColor="text1"/>
          <w:szCs w:val="22"/>
        </w:rPr>
        <w:t>.</w:t>
      </w:r>
    </w:p>
    <w:tbl>
      <w:tblPr>
        <w:tblStyle w:val="TableGrid"/>
        <w:tblpPr w:leftFromText="180" w:rightFromText="180" w:vertAnchor="text" w:horzAnchor="page" w:tblpX="6848" w:tblpY="56"/>
        <w:tblW w:w="2298"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1 lists the panel members for the Obstetrics Clinical Committee and their positions. The table also shows that they have no declared conflicts of interest."/>
      </w:tblPr>
      <w:tblGrid>
        <w:gridCol w:w="3006"/>
        <w:gridCol w:w="811"/>
      </w:tblGrid>
      <w:tr w:rsidR="00F011AE" w:rsidRPr="00F011AE" w14:paraId="141DA8AC" w14:textId="77777777" w:rsidTr="009D406B">
        <w:trPr>
          <w:trHeight w:val="208"/>
          <w:tblHeader/>
        </w:trPr>
        <w:tc>
          <w:tcPr>
            <w:tcW w:w="3938" w:type="pct"/>
            <w:shd w:val="clear" w:color="auto" w:fill="FFFFFF" w:themeFill="background1"/>
          </w:tcPr>
          <w:p w14:paraId="4559616C" w14:textId="77777777" w:rsidR="00CE615D" w:rsidRPr="00AB469A" w:rsidRDefault="00CE615D" w:rsidP="009D406B">
            <w:pPr>
              <w:spacing w:before="0" w:after="0" w:line="360" w:lineRule="auto"/>
              <w:rPr>
                <w:b/>
                <w:szCs w:val="22"/>
              </w:rPr>
            </w:pPr>
            <w:r w:rsidRPr="00AB469A">
              <w:rPr>
                <w:b/>
                <w:szCs w:val="22"/>
              </w:rPr>
              <w:t>Number of items reviewed</w:t>
            </w:r>
          </w:p>
        </w:tc>
        <w:tc>
          <w:tcPr>
            <w:tcW w:w="1062" w:type="pct"/>
            <w:shd w:val="clear" w:color="auto" w:fill="auto"/>
            <w:vAlign w:val="center"/>
          </w:tcPr>
          <w:p w14:paraId="10FB4F4B" w14:textId="7302F5AA" w:rsidR="00CE615D" w:rsidRPr="00F011AE" w:rsidRDefault="00772362" w:rsidP="00922250">
            <w:pPr>
              <w:spacing w:before="0" w:after="0" w:line="360" w:lineRule="auto"/>
              <w:jc w:val="center"/>
              <w:rPr>
                <w:szCs w:val="22"/>
              </w:rPr>
            </w:pPr>
            <w:r w:rsidRPr="00F011AE">
              <w:rPr>
                <w:szCs w:val="22"/>
              </w:rPr>
              <w:t>85</w:t>
            </w:r>
          </w:p>
        </w:tc>
      </w:tr>
      <w:tr w:rsidR="00F011AE" w:rsidRPr="00F011AE" w14:paraId="5A7DEE16" w14:textId="77777777" w:rsidTr="009D406B">
        <w:trPr>
          <w:trHeight w:val="297"/>
        </w:trPr>
        <w:tc>
          <w:tcPr>
            <w:tcW w:w="3938" w:type="pct"/>
            <w:shd w:val="clear" w:color="auto" w:fill="FFFFFF" w:themeFill="background1"/>
            <w:hideMark/>
          </w:tcPr>
          <w:p w14:paraId="50DC7958" w14:textId="77777777" w:rsidR="00CE615D" w:rsidRPr="00AB469A" w:rsidRDefault="00CE615D" w:rsidP="009D406B">
            <w:pPr>
              <w:spacing w:before="0" w:after="0" w:line="360" w:lineRule="auto"/>
              <w:rPr>
                <w:b/>
                <w:szCs w:val="22"/>
              </w:rPr>
            </w:pPr>
            <w:r w:rsidRPr="00AB469A">
              <w:rPr>
                <w:b/>
                <w:szCs w:val="22"/>
              </w:rPr>
              <w:t>Number of recommendations made</w:t>
            </w:r>
          </w:p>
        </w:tc>
        <w:tc>
          <w:tcPr>
            <w:tcW w:w="1062" w:type="pct"/>
            <w:shd w:val="clear" w:color="auto" w:fill="auto"/>
            <w:vAlign w:val="center"/>
          </w:tcPr>
          <w:p w14:paraId="3527FAEA" w14:textId="3BAF2B98" w:rsidR="00CE615D" w:rsidRPr="00F011AE" w:rsidRDefault="00772362" w:rsidP="007D441B">
            <w:pPr>
              <w:spacing w:before="0" w:after="0" w:line="360" w:lineRule="auto"/>
              <w:jc w:val="center"/>
              <w:rPr>
                <w:szCs w:val="22"/>
              </w:rPr>
            </w:pPr>
            <w:r w:rsidRPr="00F011AE">
              <w:rPr>
                <w:szCs w:val="22"/>
              </w:rPr>
              <w:t>39</w:t>
            </w:r>
          </w:p>
          <w:p w14:paraId="59D1A398" w14:textId="77777777" w:rsidR="00B803FB" w:rsidRPr="00F011AE" w:rsidRDefault="00B803FB" w:rsidP="007D441B">
            <w:pPr>
              <w:spacing w:before="0" w:after="0" w:line="360" w:lineRule="auto"/>
              <w:jc w:val="center"/>
              <w:rPr>
                <w:szCs w:val="22"/>
              </w:rPr>
            </w:pPr>
          </w:p>
        </w:tc>
      </w:tr>
    </w:tbl>
    <w:p w14:paraId="2C23A31A" w14:textId="1C001B0C" w:rsidR="00CE615D" w:rsidRPr="00AB469A" w:rsidRDefault="00CE615D" w:rsidP="00CE615D">
      <w:pPr>
        <w:spacing w:before="0" w:after="0" w:line="360" w:lineRule="auto"/>
        <w:rPr>
          <w:rFonts w:cs="Arial"/>
          <w:color w:val="000000" w:themeColor="text1"/>
          <w:szCs w:val="22"/>
        </w:rPr>
      </w:pPr>
      <w:r>
        <w:rPr>
          <w:rFonts w:cs="Arial"/>
          <w:color w:val="000000" w:themeColor="text1"/>
          <w:szCs w:val="22"/>
        </w:rPr>
        <w:t xml:space="preserve">The Taskforce </w:t>
      </w:r>
      <w:r w:rsidRPr="00AB469A">
        <w:rPr>
          <w:rFonts w:cs="Arial"/>
          <w:color w:val="000000" w:themeColor="text1"/>
          <w:szCs w:val="22"/>
        </w:rPr>
        <w:t xml:space="preserve">endorsed </w:t>
      </w:r>
      <w:r w:rsidRPr="00F011AE">
        <w:rPr>
          <w:rFonts w:cs="Arial"/>
          <w:szCs w:val="22"/>
        </w:rPr>
        <w:t>all</w:t>
      </w:r>
      <w:r w:rsidRPr="00772362">
        <w:rPr>
          <w:rFonts w:cs="Arial"/>
          <w:color w:val="FF0000"/>
          <w:szCs w:val="22"/>
        </w:rPr>
        <w:t xml:space="preserve"> </w:t>
      </w:r>
      <w:r w:rsidRPr="00AB469A">
        <w:rPr>
          <w:rFonts w:cs="Arial"/>
          <w:color w:val="000000" w:themeColor="text1"/>
          <w:szCs w:val="22"/>
        </w:rPr>
        <w:t xml:space="preserve">recommendations from </w:t>
      </w:r>
      <w:r>
        <w:rPr>
          <w:rFonts w:cs="Arial"/>
          <w:color w:val="000000" w:themeColor="text1"/>
          <w:szCs w:val="22"/>
        </w:rPr>
        <w:t xml:space="preserve">the </w:t>
      </w:r>
      <w:r w:rsidR="00772362">
        <w:t>Colorectal</w:t>
      </w:r>
      <w:r w:rsidR="00922250">
        <w:t xml:space="preserve"> Surgery</w:t>
      </w:r>
      <w:r w:rsidRPr="005C7FB0">
        <w:t xml:space="preserve"> </w:t>
      </w:r>
      <w:r w:rsidRPr="00AB469A">
        <w:rPr>
          <w:rFonts w:cs="Arial"/>
          <w:color w:val="000000" w:themeColor="text1"/>
          <w:szCs w:val="22"/>
        </w:rPr>
        <w:t>Clinical Committee</w:t>
      </w:r>
      <w:r w:rsidR="00C970D1">
        <w:rPr>
          <w:rFonts w:cs="Arial"/>
          <w:color w:val="000000" w:themeColor="text1"/>
          <w:szCs w:val="22"/>
        </w:rPr>
        <w:t xml:space="preserve"> (CRSCC)</w:t>
      </w:r>
      <w:r w:rsidRPr="00AB469A">
        <w:rPr>
          <w:rFonts w:cs="Arial"/>
          <w:color w:val="000000" w:themeColor="text1"/>
          <w:szCs w:val="22"/>
        </w:rPr>
        <w:t xml:space="preserve"> and submit</w:t>
      </w:r>
      <w:r w:rsidR="009B0618">
        <w:rPr>
          <w:rFonts w:cs="Arial"/>
          <w:color w:val="000000" w:themeColor="text1"/>
          <w:szCs w:val="22"/>
        </w:rPr>
        <w:t>s</w:t>
      </w:r>
      <w:r w:rsidRPr="00AB469A">
        <w:rPr>
          <w:rFonts w:cs="Arial"/>
          <w:color w:val="000000" w:themeColor="text1"/>
          <w:szCs w:val="22"/>
        </w:rPr>
        <w:t xml:space="preserve"> them to the Minister for Health for Government consideration. </w:t>
      </w:r>
    </w:p>
    <w:p w14:paraId="6E34DF81" w14:textId="2DB473ED" w:rsidR="00CE615D" w:rsidRDefault="00CE615D" w:rsidP="00CE615D">
      <w:pPr>
        <w:spacing w:before="0" w:after="0" w:line="360" w:lineRule="auto"/>
      </w:pPr>
      <w:r w:rsidRPr="00AB469A">
        <w:rPr>
          <w:rFonts w:cs="Arial"/>
          <w:color w:val="000000" w:themeColor="text1"/>
          <w:szCs w:val="22"/>
        </w:rPr>
        <w:t xml:space="preserve">The recommendations are intended to </w:t>
      </w:r>
      <w:r w:rsidRPr="00B0157E">
        <w:t>encourag</w:t>
      </w:r>
      <w:r>
        <w:t>e</w:t>
      </w:r>
      <w:r w:rsidRPr="00B0157E">
        <w:t xml:space="preserve"> best practice, improv</w:t>
      </w:r>
      <w:r>
        <w:t>e</w:t>
      </w:r>
      <w:r w:rsidRPr="00B0157E">
        <w:t xml:space="preserve"> patient care and safety, and ensu</w:t>
      </w:r>
      <w:r>
        <w:t>re</w:t>
      </w:r>
      <w:r w:rsidRPr="00B0157E">
        <w:t xml:space="preserve"> that MBS services provide value for the patient and the healthcare system</w:t>
      </w:r>
      <w:r>
        <w:t xml:space="preserve"> through deleting obsolete or low clinical value items; consolidating or splitting items to address potential misuse; modernising item descriptors to reflect best practice; and providing clinical guidance for appropriate item use through explanatory notes. </w:t>
      </w:r>
      <w:r w:rsidR="004544E7" w:rsidRPr="00AF2F3D">
        <w:t>This report included</w:t>
      </w:r>
      <w:r w:rsidR="004544E7" w:rsidRPr="00F011AE">
        <w:t xml:space="preserve"> </w:t>
      </w:r>
      <w:r w:rsidR="008D3D37" w:rsidRPr="00F011AE">
        <w:t>39</w:t>
      </w:r>
      <w:r w:rsidR="00772362" w:rsidRPr="00F011AE">
        <w:t xml:space="preserve"> </w:t>
      </w:r>
      <w:r w:rsidR="00772362">
        <w:t>recommendations made by the C</w:t>
      </w:r>
      <w:r w:rsidR="00C970D1">
        <w:t>R</w:t>
      </w:r>
      <w:r w:rsidR="00772362">
        <w:t>SCC.</w:t>
      </w:r>
    </w:p>
    <w:p w14:paraId="7D6F4781" w14:textId="77777777" w:rsidR="00CE615D" w:rsidRPr="008D58B8" w:rsidRDefault="00CE615D" w:rsidP="00CE615D">
      <w:pPr>
        <w:pStyle w:val="Heading1"/>
        <w:spacing w:before="0" w:after="0" w:line="360" w:lineRule="auto"/>
        <w:rPr>
          <w:b w:val="0"/>
          <w:sz w:val="22"/>
          <w:szCs w:val="22"/>
        </w:rPr>
      </w:pPr>
    </w:p>
    <w:p w14:paraId="31171294" w14:textId="4D8629A6" w:rsidR="00CE615D" w:rsidRDefault="008D3D37" w:rsidP="00CE615D">
      <w:pPr>
        <w:pStyle w:val="Heading1"/>
        <w:spacing w:before="0" w:after="0" w:line="360" w:lineRule="auto"/>
      </w:pPr>
      <w:r>
        <w:t>List of Taskforce non-item level</w:t>
      </w:r>
      <w:r w:rsidR="00CE615D" w:rsidRPr="00A22898">
        <w:t xml:space="preserve"> recommendations</w:t>
      </w:r>
    </w:p>
    <w:p w14:paraId="76A10218" w14:textId="55699F99" w:rsidR="008D3D37" w:rsidRPr="008D3D37" w:rsidRDefault="008D3D37" w:rsidP="008D3D37">
      <w:pPr>
        <w:pStyle w:val="Bullet-green"/>
        <w:rPr>
          <w:rStyle w:val="None"/>
          <w:b/>
          <w:lang w:val="en-US"/>
        </w:rPr>
      </w:pPr>
      <w:bookmarkStart w:id="0" w:name="_Toc14949029"/>
      <w:r w:rsidRPr="008D3D37">
        <w:rPr>
          <w:rStyle w:val="None"/>
          <w:b/>
          <w:lang w:val="en-US"/>
        </w:rPr>
        <w:t>Access to Stomal Therapy Nurses</w:t>
      </w:r>
      <w:bookmarkEnd w:id="0"/>
    </w:p>
    <w:p w14:paraId="574677FF" w14:textId="77777777" w:rsidR="00056592" w:rsidRDefault="008D3D37" w:rsidP="008D3D37">
      <w:pPr>
        <w:pStyle w:val="Body"/>
        <w:spacing w:before="120" w:after="0" w:line="360" w:lineRule="auto"/>
      </w:pPr>
      <w:r>
        <w:t>T</w:t>
      </w:r>
      <w:r w:rsidRPr="001E76F3">
        <w:t xml:space="preserve">here is wide disparity in </w:t>
      </w:r>
      <w:r>
        <w:t xml:space="preserve">patient </w:t>
      </w:r>
      <w:r w:rsidRPr="001E76F3">
        <w:t xml:space="preserve">access to </w:t>
      </w:r>
      <w:r>
        <w:t xml:space="preserve">stomal therapy nursing </w:t>
      </w:r>
      <w:r w:rsidRPr="001E76F3">
        <w:t xml:space="preserve">services across Australia. This </w:t>
      </w:r>
      <w:r>
        <w:t>can</w:t>
      </w:r>
      <w:r w:rsidRPr="001E76F3">
        <w:t xml:space="preserve"> compromise appropriate care for patients who have had ostomy surgery and impact on the patient’s physical, social and emotional outcomes.</w:t>
      </w:r>
      <w:r>
        <w:t xml:space="preserve"> Recommendations to improve access to</w:t>
      </w:r>
      <w:r w:rsidR="00056592">
        <w:t xml:space="preserve"> stomal therapy nurses include:</w:t>
      </w:r>
    </w:p>
    <w:p w14:paraId="7917E61E" w14:textId="77777777" w:rsidR="00056592" w:rsidRDefault="00056592" w:rsidP="00056592">
      <w:pPr>
        <w:pStyle w:val="Body"/>
        <w:numPr>
          <w:ilvl w:val="0"/>
          <w:numId w:val="38"/>
        </w:numPr>
        <w:spacing w:before="120" w:after="0" w:line="360" w:lineRule="auto"/>
      </w:pPr>
      <w:r>
        <w:rPr>
          <w:rStyle w:val="None"/>
        </w:rPr>
        <w:t xml:space="preserve">Amending </w:t>
      </w:r>
      <w:r w:rsidR="00F011AE">
        <w:rPr>
          <w:rStyle w:val="None"/>
        </w:rPr>
        <w:t>explanatory n</w:t>
      </w:r>
      <w:r w:rsidR="008D3D37" w:rsidRPr="00837DE9">
        <w:rPr>
          <w:rStyle w:val="None"/>
        </w:rPr>
        <w:t xml:space="preserve">otes for items </w:t>
      </w:r>
      <w:r w:rsidR="008D3D37" w:rsidRPr="00837DE9">
        <w:t>32025, 32026 and 32028 to state that these procedures should be performed in a setting with adequate access t</w:t>
      </w:r>
      <w:r w:rsidR="00F011AE">
        <w:t>o stomal therapy nurse services;</w:t>
      </w:r>
    </w:p>
    <w:p w14:paraId="0A2D7919" w14:textId="77777777" w:rsidR="00056592" w:rsidRDefault="008D3D37" w:rsidP="00056592">
      <w:pPr>
        <w:pStyle w:val="Body"/>
        <w:numPr>
          <w:ilvl w:val="0"/>
          <w:numId w:val="38"/>
        </w:numPr>
        <w:spacing w:before="120" w:after="0" w:line="360" w:lineRule="auto"/>
        <w:rPr>
          <w:rStyle w:val="None"/>
        </w:rPr>
      </w:pPr>
      <w:r w:rsidRPr="00837DE9">
        <w:rPr>
          <w:rStyle w:val="None"/>
        </w:rPr>
        <w:lastRenderedPageBreak/>
        <w:t>Consider creating new items for services pro</w:t>
      </w:r>
      <w:r>
        <w:rPr>
          <w:rStyle w:val="None"/>
        </w:rPr>
        <w:t>vide</w:t>
      </w:r>
      <w:r w:rsidR="00056592">
        <w:rPr>
          <w:rStyle w:val="None"/>
        </w:rPr>
        <w:t>d by stomal therapy nurses and;</w:t>
      </w:r>
    </w:p>
    <w:p w14:paraId="1F25E9FE" w14:textId="6ECEBB42" w:rsidR="008D3D37" w:rsidRPr="00837DE9" w:rsidRDefault="00056592" w:rsidP="00056592">
      <w:pPr>
        <w:pStyle w:val="Body"/>
        <w:numPr>
          <w:ilvl w:val="0"/>
          <w:numId w:val="38"/>
        </w:numPr>
        <w:spacing w:before="120" w:after="0" w:line="360" w:lineRule="auto"/>
      </w:pPr>
      <w:r>
        <w:rPr>
          <w:rStyle w:val="None"/>
        </w:rPr>
        <w:t>T</w:t>
      </w:r>
      <w:r w:rsidR="008D3D37">
        <w:rPr>
          <w:rStyle w:val="None"/>
        </w:rPr>
        <w:t>hat the Government c</w:t>
      </w:r>
      <w:r w:rsidR="008D3D37" w:rsidRPr="00837DE9">
        <w:rPr>
          <w:rStyle w:val="None"/>
        </w:rPr>
        <w:t>onsider</w:t>
      </w:r>
      <w:r w:rsidR="008D3D37">
        <w:rPr>
          <w:rStyle w:val="None"/>
        </w:rPr>
        <w:t>s</w:t>
      </w:r>
      <w:r w:rsidR="008D3D37" w:rsidRPr="00837DE9">
        <w:rPr>
          <w:rStyle w:val="None"/>
        </w:rPr>
        <w:t xml:space="preserve"> what</w:t>
      </w:r>
      <w:r w:rsidR="008D3D37">
        <w:rPr>
          <w:rStyle w:val="None"/>
        </w:rPr>
        <w:t xml:space="preserve"> additional </w:t>
      </w:r>
      <w:r w:rsidR="008D3D37" w:rsidRPr="00837DE9">
        <w:rPr>
          <w:rStyle w:val="None"/>
        </w:rPr>
        <w:t xml:space="preserve">steps could be taken to ensure that the extent and nature of the work performed by stomal therapy nurses is captured by the MBS. </w:t>
      </w:r>
    </w:p>
    <w:p w14:paraId="6032BD2B" w14:textId="51FADEEA" w:rsidR="008D3D37" w:rsidRDefault="008D3D37" w:rsidP="008D3D37">
      <w:pPr>
        <w:pStyle w:val="Bullet-green"/>
        <w:rPr>
          <w:b/>
        </w:rPr>
      </w:pPr>
      <w:bookmarkStart w:id="1" w:name="_Toc14949030"/>
      <w:r w:rsidRPr="008D3D37">
        <w:rPr>
          <w:b/>
        </w:rPr>
        <w:t>Enhanced Recovery after Surgery (ERAS)</w:t>
      </w:r>
      <w:bookmarkEnd w:id="1"/>
    </w:p>
    <w:p w14:paraId="6B26D319" w14:textId="77777777" w:rsidR="00056592" w:rsidRDefault="008D3D37" w:rsidP="00234896">
      <w:pPr>
        <w:pStyle w:val="Body"/>
        <w:spacing w:before="120" w:after="0" w:line="360" w:lineRule="auto"/>
        <w:rPr>
          <w:lang w:val="en-US"/>
        </w:rPr>
      </w:pPr>
      <w:r w:rsidRPr="005B07EC">
        <w:rPr>
          <w:lang w:val="en-US"/>
        </w:rPr>
        <w:t>Enhanced recovery after surgery (ERAS) (fast-track) programs are comprehensive multimodal perioperative pathways which aim to reduce surgical stress, maintain postoperative physiological function, and enhance mobilisation after surgery.</w:t>
      </w:r>
      <w:r>
        <w:rPr>
          <w:lang w:val="en-US"/>
        </w:rPr>
        <w:t xml:space="preserve"> Recommendations to improve ERAS programs include</w:t>
      </w:r>
      <w:r w:rsidR="00056592">
        <w:rPr>
          <w:lang w:val="en-US"/>
        </w:rPr>
        <w:t>:</w:t>
      </w:r>
    </w:p>
    <w:p w14:paraId="33BF13BC" w14:textId="77777777" w:rsidR="00116191" w:rsidRDefault="00F011AE" w:rsidP="00116191">
      <w:pPr>
        <w:pStyle w:val="Bullet-green"/>
        <w:numPr>
          <w:ilvl w:val="1"/>
          <w:numId w:val="4"/>
        </w:numPr>
        <w:ind w:left="851" w:hanging="284"/>
        <w:rPr>
          <w:lang w:val="en-US"/>
        </w:rPr>
      </w:pPr>
      <w:r>
        <w:rPr>
          <w:lang w:val="en-US"/>
        </w:rPr>
        <w:t>Amend the explanatory n</w:t>
      </w:r>
      <w:r w:rsidR="008D3D37" w:rsidRPr="008848C9">
        <w:rPr>
          <w:lang w:val="en-US"/>
        </w:rPr>
        <w:t xml:space="preserve">otes of MBS items </w:t>
      </w:r>
      <w:r w:rsidR="008D3D37">
        <w:rPr>
          <w:lang w:val="en-US"/>
        </w:rPr>
        <w:t xml:space="preserve">32000, 32003, 32004, 32005, 32009, 32012, 32015, 32018, 32021, 32024, </w:t>
      </w:r>
      <w:r w:rsidR="008D3D37" w:rsidRPr="008848C9">
        <w:rPr>
          <w:lang w:val="en-US"/>
        </w:rPr>
        <w:t xml:space="preserve">32025, 32026 and 32028 to </w:t>
      </w:r>
      <w:r w:rsidR="008D3D37">
        <w:rPr>
          <w:lang w:val="en-US"/>
        </w:rPr>
        <w:t>include advice</w:t>
      </w:r>
      <w:r w:rsidR="008D3D37" w:rsidRPr="008848C9">
        <w:rPr>
          <w:lang w:val="en-US"/>
        </w:rPr>
        <w:t xml:space="preserve"> </w:t>
      </w:r>
      <w:r w:rsidR="008D3D37">
        <w:rPr>
          <w:lang w:val="en-US"/>
        </w:rPr>
        <w:t xml:space="preserve">that </w:t>
      </w:r>
      <w:r w:rsidR="008D3D37" w:rsidRPr="008848C9">
        <w:rPr>
          <w:lang w:val="en-US"/>
        </w:rPr>
        <w:t xml:space="preserve">for these procedures, the patient should be managed </w:t>
      </w:r>
      <w:r w:rsidR="008D3D37">
        <w:rPr>
          <w:lang w:val="en-US"/>
        </w:rPr>
        <w:t>utitilising ERAS principles where</w:t>
      </w:r>
      <w:r w:rsidR="00234896">
        <w:rPr>
          <w:lang w:val="en-US"/>
        </w:rPr>
        <w:t xml:space="preserve"> appropriate, and</w:t>
      </w:r>
    </w:p>
    <w:p w14:paraId="0A0915C6" w14:textId="76E8D8C6" w:rsidR="008D3D37" w:rsidRPr="008D788C" w:rsidRDefault="008D3D37" w:rsidP="00116191">
      <w:pPr>
        <w:pStyle w:val="Bullet-green"/>
        <w:numPr>
          <w:ilvl w:val="1"/>
          <w:numId w:val="4"/>
        </w:numPr>
        <w:ind w:left="851" w:hanging="284"/>
        <w:rPr>
          <w:lang w:val="en-US"/>
        </w:rPr>
      </w:pPr>
      <w:r w:rsidRPr="008D788C">
        <w:rPr>
          <w:lang w:val="en-US"/>
        </w:rPr>
        <w:t xml:space="preserve">Recommend that the MBS Review Taskforce consider providing advice to the Department of Health </w:t>
      </w:r>
      <w:r>
        <w:rPr>
          <w:lang w:val="en-US"/>
        </w:rPr>
        <w:t xml:space="preserve">suggesting </w:t>
      </w:r>
      <w:r w:rsidRPr="008D788C">
        <w:rPr>
          <w:lang w:val="en-US"/>
        </w:rPr>
        <w:t>the need for ERAS protoco</w:t>
      </w:r>
      <w:r w:rsidR="00F011AE">
        <w:rPr>
          <w:lang w:val="en-US"/>
        </w:rPr>
        <w:t>ls to be incorporated into the explanatory n</w:t>
      </w:r>
      <w:r w:rsidRPr="008D788C">
        <w:rPr>
          <w:lang w:val="en-US"/>
        </w:rPr>
        <w:t>otes of all suitable surgical procedures including colorectal, orthopaedic, urolog</w:t>
      </w:r>
      <w:r>
        <w:rPr>
          <w:lang w:val="en-US"/>
        </w:rPr>
        <w:t>ical</w:t>
      </w:r>
      <w:r w:rsidRPr="008D788C">
        <w:rPr>
          <w:lang w:val="en-US"/>
        </w:rPr>
        <w:t xml:space="preserve"> and pancreatic surgeries.</w:t>
      </w:r>
      <w:r w:rsidR="00234896">
        <w:rPr>
          <w:lang w:val="en-US"/>
        </w:rPr>
        <w:t xml:space="preserve"> </w:t>
      </w:r>
      <w:r w:rsidRPr="008D788C">
        <w:rPr>
          <w:lang w:val="en-US"/>
        </w:rPr>
        <w:t xml:space="preserve">These recommendations seek to </w:t>
      </w:r>
      <w:r>
        <w:rPr>
          <w:lang w:val="en-US"/>
        </w:rPr>
        <w:t>optimise</w:t>
      </w:r>
      <w:r w:rsidRPr="008D788C">
        <w:rPr>
          <w:lang w:val="en-US"/>
        </w:rPr>
        <w:t xml:space="preserve"> recovery for surgical patients through decreased length of hospital stay, faster re</w:t>
      </w:r>
      <w:r>
        <w:rPr>
          <w:lang w:val="en-US"/>
        </w:rPr>
        <w:t xml:space="preserve">storation of gut function, </w:t>
      </w:r>
      <w:r w:rsidRPr="008D788C">
        <w:rPr>
          <w:lang w:val="en-US"/>
        </w:rPr>
        <w:t xml:space="preserve">reduced morbidity and an early return to normal activities </w:t>
      </w:r>
      <w:r>
        <w:rPr>
          <w:lang w:val="en-US"/>
        </w:rPr>
        <w:t>among</w:t>
      </w:r>
      <w:r w:rsidRPr="008D788C">
        <w:rPr>
          <w:lang w:val="en-US"/>
        </w:rPr>
        <w:t xml:space="preserve"> colorectal surgery patients.</w:t>
      </w:r>
      <w:r>
        <w:rPr>
          <w:lang w:val="en-US"/>
        </w:rPr>
        <w:t xml:space="preserve"> </w:t>
      </w:r>
    </w:p>
    <w:p w14:paraId="3FA8C312" w14:textId="77777777" w:rsidR="008D3D37" w:rsidRPr="00234896" w:rsidRDefault="008D3D37" w:rsidP="00234896">
      <w:pPr>
        <w:pStyle w:val="Bullet-green"/>
        <w:rPr>
          <w:b/>
        </w:rPr>
      </w:pPr>
      <w:bookmarkStart w:id="2" w:name="_Toc14949031"/>
      <w:r w:rsidRPr="00234896">
        <w:rPr>
          <w:b/>
        </w:rPr>
        <w:t>Consumer Health Literacy</w:t>
      </w:r>
      <w:bookmarkEnd w:id="2"/>
    </w:p>
    <w:p w14:paraId="2E075073" w14:textId="71F2379D" w:rsidR="008D3D37" w:rsidRDefault="008D3D37" w:rsidP="00234896">
      <w:pPr>
        <w:spacing w:line="360" w:lineRule="auto"/>
        <w:rPr>
          <w:rFonts w:ascii="Calibri" w:hAnsi="Calibri" w:cs="Calibri"/>
          <w:szCs w:val="22"/>
        </w:rPr>
      </w:pPr>
      <w:r w:rsidRPr="00990DD4">
        <w:rPr>
          <w:rFonts w:ascii="Calibri" w:hAnsi="Calibri" w:cs="Calibri"/>
          <w:szCs w:val="22"/>
        </w:rPr>
        <w:t xml:space="preserve">The </w:t>
      </w:r>
      <w:r w:rsidR="00F011AE">
        <w:rPr>
          <w:rFonts w:ascii="Calibri" w:hAnsi="Calibri" w:cs="Calibri"/>
          <w:szCs w:val="22"/>
        </w:rPr>
        <w:t>Taskforce</w:t>
      </w:r>
      <w:r w:rsidRPr="00990DD4">
        <w:rPr>
          <w:rFonts w:ascii="Calibri" w:hAnsi="Calibri" w:cs="Calibri"/>
          <w:szCs w:val="22"/>
        </w:rPr>
        <w:t xml:space="preserve"> </w:t>
      </w:r>
      <w:r>
        <w:rPr>
          <w:rFonts w:ascii="Calibri" w:hAnsi="Calibri" w:cs="Calibri"/>
          <w:szCs w:val="22"/>
        </w:rPr>
        <w:t xml:space="preserve">emphasises </w:t>
      </w:r>
      <w:r w:rsidRPr="00990DD4">
        <w:rPr>
          <w:rFonts w:ascii="Calibri" w:hAnsi="Calibri" w:cs="Calibri"/>
          <w:szCs w:val="22"/>
        </w:rPr>
        <w:t>the importance of consumers being well supported when considering undergoing colorectal surgery procedures. This support is given through patient education that enables the consumer to give informed consent prior to a procedure being performed.</w:t>
      </w:r>
      <w:r>
        <w:rPr>
          <w:rFonts w:ascii="Calibri" w:hAnsi="Calibri" w:cs="Calibri"/>
          <w:szCs w:val="22"/>
        </w:rPr>
        <w:t xml:space="preserve"> </w:t>
      </w:r>
      <w:r w:rsidRPr="00990DD4">
        <w:rPr>
          <w:rFonts w:ascii="Calibri" w:hAnsi="Calibri" w:cs="Calibri"/>
          <w:szCs w:val="22"/>
        </w:rPr>
        <w:t xml:space="preserve">The </w:t>
      </w:r>
      <w:r w:rsidR="00F011AE">
        <w:rPr>
          <w:rFonts w:ascii="Calibri" w:hAnsi="Calibri" w:cs="Calibri"/>
          <w:szCs w:val="22"/>
        </w:rPr>
        <w:t>Taskforce</w:t>
      </w:r>
      <w:r w:rsidRPr="00990DD4">
        <w:rPr>
          <w:rFonts w:ascii="Calibri" w:hAnsi="Calibri" w:cs="Calibri"/>
          <w:szCs w:val="22"/>
        </w:rPr>
        <w:t xml:space="preserve"> considers that consultation with a colorectal surgeon should include the provision of appropriate written and visual material that accurately describes the procedure, alternative options where possible, and information regarding the patient’s medical condition. Provision of educational materials helps to improve consumer understanding and allows for accurate information to be conveyed to carers and family members.</w:t>
      </w:r>
    </w:p>
    <w:p w14:paraId="21E79066" w14:textId="1C198AF6" w:rsidR="00E0030E" w:rsidRDefault="00E0030E">
      <w:pPr>
        <w:spacing w:before="0" w:after="160" w:line="259" w:lineRule="auto"/>
        <w:rPr>
          <w:rFonts w:ascii="Calibri" w:eastAsiaTheme="minorHAnsi" w:hAnsi="Calibri" w:cs="Calibri"/>
          <w:b/>
          <w:bCs/>
          <w:color w:val="01653F"/>
          <w:kern w:val="32"/>
          <w:szCs w:val="22"/>
          <w:lang w:val="en-US"/>
        </w:rPr>
      </w:pPr>
      <w:r>
        <w:rPr>
          <w:rFonts w:ascii="Calibri" w:hAnsi="Calibri" w:cs="Calibri"/>
          <w:szCs w:val="22"/>
        </w:rPr>
        <w:br w:type="page"/>
      </w:r>
    </w:p>
    <w:p w14:paraId="4A185215" w14:textId="0B71A585" w:rsidR="008D3D37" w:rsidRDefault="008D3D37" w:rsidP="008D3D37">
      <w:pPr>
        <w:pStyle w:val="Heading1"/>
        <w:spacing w:before="0" w:after="0" w:line="360" w:lineRule="auto"/>
      </w:pPr>
      <w:r w:rsidRPr="00A22898">
        <w:lastRenderedPageBreak/>
        <w:t xml:space="preserve">List of Taskforce </w:t>
      </w:r>
      <w:r>
        <w:t xml:space="preserve">item </w:t>
      </w:r>
      <w:r w:rsidRPr="00A22898">
        <w:t>recommendations</w:t>
      </w:r>
    </w:p>
    <w:p w14:paraId="5D309533" w14:textId="6C5C630A" w:rsidR="00CE615D" w:rsidRPr="00A13997" w:rsidRDefault="004F427E" w:rsidP="00CE615D">
      <w:pPr>
        <w:rPr>
          <w:b/>
          <w:lang w:val="en-US"/>
        </w:rPr>
      </w:pPr>
      <w:r>
        <w:rPr>
          <w:b/>
          <w:lang w:val="en-US"/>
        </w:rPr>
        <w:t xml:space="preserve">Recommendation 1: </w:t>
      </w:r>
      <w:r w:rsidR="00772362">
        <w:rPr>
          <w:rStyle w:val="None"/>
          <w:b/>
          <w:bCs/>
          <w:lang w:val="en-US"/>
        </w:rPr>
        <w:t xml:space="preserve">Leave </w:t>
      </w:r>
      <w:r w:rsidR="00046A27">
        <w:rPr>
          <w:rStyle w:val="None"/>
          <w:b/>
          <w:bCs/>
          <w:lang w:val="en-US"/>
        </w:rPr>
        <w:t>hemicolectomy, total colectomy and rectal resection</w:t>
      </w:r>
      <w:r w:rsidR="00772362">
        <w:rPr>
          <w:rStyle w:val="None"/>
          <w:b/>
          <w:bCs/>
          <w:lang w:val="en-US"/>
        </w:rPr>
        <w:t xml:space="preserve"> items </w:t>
      </w:r>
      <w:r w:rsidR="002A7B5A">
        <w:rPr>
          <w:rStyle w:val="None"/>
          <w:b/>
          <w:bCs/>
          <w:lang w:val="en-US"/>
        </w:rPr>
        <w:t xml:space="preserve">32000, 32003, 32009, 32012 and 32015 </w:t>
      </w:r>
      <w:r w:rsidR="00772362">
        <w:rPr>
          <w:rStyle w:val="None"/>
          <w:b/>
          <w:bCs/>
          <w:lang w:val="en-US"/>
        </w:rPr>
        <w:t>unchanged</w:t>
      </w:r>
      <w:r w:rsidR="00046A27">
        <w:rPr>
          <w:rStyle w:val="None"/>
          <w:b/>
          <w:bCs/>
          <w:lang w:val="en-US"/>
        </w:rPr>
        <w:t>.</w:t>
      </w:r>
    </w:p>
    <w:p w14:paraId="6DB32C52" w14:textId="77777777" w:rsidR="00C719A6" w:rsidRPr="00C719A6" w:rsidRDefault="00772362" w:rsidP="00C719A6">
      <w:pPr>
        <w:pStyle w:val="Bullet-green"/>
        <w:rPr>
          <w:lang w:val="en-US"/>
        </w:rPr>
      </w:pPr>
      <w:r>
        <w:t>Items 32000, 32003, 32009, 32012 and 32015 remain unchanged</w:t>
      </w:r>
      <w:r w:rsidR="00396210" w:rsidRPr="00396210">
        <w:t>.</w:t>
      </w:r>
      <w:r w:rsidR="00C719A6" w:rsidRPr="00C719A6">
        <w:t xml:space="preserve"> </w:t>
      </w:r>
    </w:p>
    <w:p w14:paraId="334F2953" w14:textId="55967E25" w:rsidR="00CE615D" w:rsidRPr="00022999" w:rsidRDefault="00C719A6" w:rsidP="009B0618">
      <w:pPr>
        <w:pStyle w:val="Bullet-green"/>
        <w:numPr>
          <w:ilvl w:val="0"/>
          <w:numId w:val="20"/>
        </w:numPr>
        <w:rPr>
          <w:i/>
          <w:lang w:val="en-US"/>
        </w:rPr>
      </w:pPr>
      <w:r w:rsidRPr="00022999">
        <w:rPr>
          <w:i/>
        </w:rPr>
        <w:t>These procedures remain clinically relevant and adequately described by the current item descriptors.</w:t>
      </w:r>
    </w:p>
    <w:p w14:paraId="7EF1355B" w14:textId="7BFD193C" w:rsidR="00CE615D" w:rsidRPr="00A13997" w:rsidRDefault="00CE615D" w:rsidP="009B0618">
      <w:pPr>
        <w:pStyle w:val="TOC3"/>
        <w:keepNext/>
        <w:keepLines/>
        <w:ind w:left="0" w:firstLine="0"/>
        <w:rPr>
          <w:b w:val="0"/>
        </w:rPr>
      </w:pPr>
      <w:r w:rsidRPr="00A13997">
        <w:t xml:space="preserve">Recommendation 2: </w:t>
      </w:r>
      <w:r w:rsidR="00772362" w:rsidRPr="005218BD">
        <w:rPr>
          <w:rStyle w:val="None"/>
          <w:lang w:val="en-US"/>
        </w:rPr>
        <w:t xml:space="preserve">Amend the descriptor </w:t>
      </w:r>
      <w:r w:rsidR="00A04991">
        <w:rPr>
          <w:rStyle w:val="None"/>
          <w:lang w:val="en-US"/>
        </w:rPr>
        <w:t>of</w:t>
      </w:r>
      <w:r w:rsidR="00772362" w:rsidRPr="005218BD">
        <w:rPr>
          <w:rStyle w:val="None"/>
          <w:lang w:val="en-US"/>
        </w:rPr>
        <w:t xml:space="preserve"> </w:t>
      </w:r>
      <w:r w:rsidR="00046A27">
        <w:rPr>
          <w:rStyle w:val="None"/>
          <w:lang w:val="en-US"/>
        </w:rPr>
        <w:t xml:space="preserve">hemicolectomy </w:t>
      </w:r>
      <w:r w:rsidR="00772362" w:rsidRPr="005218BD">
        <w:rPr>
          <w:rStyle w:val="None"/>
          <w:lang w:val="en-US"/>
        </w:rPr>
        <w:t>item 32006.</w:t>
      </w:r>
    </w:p>
    <w:p w14:paraId="0698ECF5" w14:textId="4CA51870" w:rsidR="00CE615D" w:rsidRDefault="00A04991" w:rsidP="009B0618">
      <w:pPr>
        <w:pStyle w:val="Bullet-green"/>
        <w:keepNext/>
        <w:keepLines/>
      </w:pPr>
      <w:r>
        <w:t>Amend</w:t>
      </w:r>
      <w:r w:rsidR="00C719A6">
        <w:t xml:space="preserve"> the</w:t>
      </w:r>
      <w:r>
        <w:t xml:space="preserve"> item descriptor of 32006 to restrict co-claiming</w:t>
      </w:r>
      <w:r w:rsidRPr="00A04991">
        <w:t xml:space="preserve"> with item</w:t>
      </w:r>
      <w:r>
        <w:t>s 32024, 32025, 32026 and 32028.</w:t>
      </w:r>
    </w:p>
    <w:p w14:paraId="7C28E97A" w14:textId="16530A03" w:rsidR="00A04991" w:rsidRPr="00022999" w:rsidRDefault="00A04991" w:rsidP="009B0618">
      <w:pPr>
        <w:pStyle w:val="Bullet-green"/>
        <w:numPr>
          <w:ilvl w:val="0"/>
          <w:numId w:val="19"/>
        </w:numPr>
        <w:rPr>
          <w:i/>
        </w:rPr>
      </w:pPr>
      <w:r w:rsidRPr="00022999">
        <w:rPr>
          <w:i/>
        </w:rPr>
        <w:t>This recommendation serves to ensure the service is only co-claimed with other items if it is clinically appropriate and justifiable to do so.</w:t>
      </w:r>
    </w:p>
    <w:p w14:paraId="33C72116" w14:textId="00BFB58F" w:rsidR="00CE615D" w:rsidRPr="00A13997" w:rsidRDefault="00CE615D" w:rsidP="00CE615D">
      <w:pPr>
        <w:pStyle w:val="Bullet-green"/>
        <w:numPr>
          <w:ilvl w:val="0"/>
          <w:numId w:val="0"/>
        </w:numPr>
        <w:rPr>
          <w:b/>
        </w:rPr>
      </w:pPr>
      <w:r w:rsidRPr="00A13997">
        <w:rPr>
          <w:b/>
          <w:lang w:val="en-US"/>
        </w:rPr>
        <w:t xml:space="preserve">Recommendation 3: </w:t>
      </w:r>
      <w:r w:rsidR="00A04991" w:rsidRPr="00A04991">
        <w:rPr>
          <w:b/>
        </w:rPr>
        <w:t>Amend the descriptor</w:t>
      </w:r>
      <w:r w:rsidR="002A7B5A">
        <w:rPr>
          <w:b/>
        </w:rPr>
        <w:t>s</w:t>
      </w:r>
      <w:r w:rsidR="00A04991" w:rsidRPr="00A04991">
        <w:rPr>
          <w:b/>
        </w:rPr>
        <w:t xml:space="preserve"> for</w:t>
      </w:r>
      <w:r w:rsidR="00046A27">
        <w:rPr>
          <w:b/>
        </w:rPr>
        <w:t xml:space="preserve"> subtotal colectomy</w:t>
      </w:r>
      <w:r w:rsidR="00A04991" w:rsidRPr="00A04991">
        <w:rPr>
          <w:b/>
        </w:rPr>
        <w:t xml:space="preserve"> items 32004 and 32005.</w:t>
      </w:r>
      <w:r w:rsidRPr="00A13997">
        <w:rPr>
          <w:b/>
        </w:rPr>
        <w:t xml:space="preserve"> </w:t>
      </w:r>
    </w:p>
    <w:p w14:paraId="1E12CED9" w14:textId="3B512DB8" w:rsidR="00C719A6" w:rsidRDefault="00EE1BEC" w:rsidP="00C719A6">
      <w:pPr>
        <w:pStyle w:val="Bullet-green"/>
      </w:pPr>
      <w:r w:rsidRPr="00EE1BEC">
        <w:t>Amend</w:t>
      </w:r>
      <w:r w:rsidR="00D773FB">
        <w:t xml:space="preserve"> the</w:t>
      </w:r>
      <w:r w:rsidRPr="00EE1BEC">
        <w:t xml:space="preserve"> item descriptor of </w:t>
      </w:r>
      <w:r>
        <w:t>32004 and 32005</w:t>
      </w:r>
      <w:r w:rsidRPr="00EE1BEC">
        <w:t xml:space="preserve"> to </w:t>
      </w:r>
      <w:r>
        <w:t>restrict co-claiming with item 32030</w:t>
      </w:r>
      <w:r w:rsidR="00806E31">
        <w:t xml:space="preserve">. </w:t>
      </w:r>
    </w:p>
    <w:p w14:paraId="794D17AA" w14:textId="19C462E6" w:rsidR="00CE615D" w:rsidRPr="00022999" w:rsidRDefault="00C719A6" w:rsidP="009B0618">
      <w:pPr>
        <w:pStyle w:val="Bullet-green"/>
        <w:numPr>
          <w:ilvl w:val="0"/>
          <w:numId w:val="18"/>
        </w:numPr>
        <w:rPr>
          <w:i/>
        </w:rPr>
      </w:pPr>
      <w:r w:rsidRPr="00022999">
        <w:rPr>
          <w:i/>
        </w:rPr>
        <w:t>This recommendation serves to ensure the service is only co-claimed with other items if it is clinically appropriate and justifiable to do so.</w:t>
      </w:r>
    </w:p>
    <w:p w14:paraId="104193CA" w14:textId="58541D84" w:rsidR="00901F92" w:rsidRDefault="00901F92" w:rsidP="00901F92">
      <w:pPr>
        <w:pStyle w:val="Bullet-green"/>
        <w:numPr>
          <w:ilvl w:val="0"/>
          <w:numId w:val="0"/>
        </w:numPr>
      </w:pPr>
      <w:r>
        <w:rPr>
          <w:b/>
          <w:lang w:val="en-US"/>
        </w:rPr>
        <w:t xml:space="preserve">Recommendation 4: </w:t>
      </w:r>
      <w:r>
        <w:rPr>
          <w:rStyle w:val="None"/>
          <w:b/>
          <w:bCs/>
        </w:rPr>
        <w:t xml:space="preserve">Amend descriptors for </w:t>
      </w:r>
      <w:r w:rsidR="00046A27">
        <w:rPr>
          <w:rStyle w:val="None"/>
          <w:b/>
          <w:bCs/>
        </w:rPr>
        <w:t xml:space="preserve">rectal resection </w:t>
      </w:r>
      <w:r>
        <w:rPr>
          <w:rStyle w:val="None"/>
          <w:b/>
          <w:bCs/>
        </w:rPr>
        <w:t>item</w:t>
      </w:r>
      <w:r w:rsidR="00046A27">
        <w:rPr>
          <w:rStyle w:val="None"/>
          <w:b/>
          <w:bCs/>
        </w:rPr>
        <w:t>s 32024, 32025, 32026, 32028, 32030 and 32033.</w:t>
      </w:r>
      <w:r>
        <w:rPr>
          <w:rStyle w:val="None"/>
          <w:b/>
          <w:bCs/>
        </w:rPr>
        <w:t xml:space="preserve"> </w:t>
      </w:r>
    </w:p>
    <w:p w14:paraId="3C6A25FA" w14:textId="06AD227F" w:rsidR="00D01C96" w:rsidRDefault="00D01C96" w:rsidP="00D01C96">
      <w:pPr>
        <w:pStyle w:val="Bullet-green"/>
      </w:pPr>
      <w:r>
        <w:t xml:space="preserve">Amend </w:t>
      </w:r>
      <w:r w:rsidR="00C719A6">
        <w:t xml:space="preserve">the </w:t>
      </w:r>
      <w:r>
        <w:t xml:space="preserve">descriptors of items </w:t>
      </w:r>
      <w:r w:rsidRPr="00D01C96">
        <w:t>32024-32028, 32030 and 32033</w:t>
      </w:r>
      <w:r>
        <w:t xml:space="preserve"> to restrict co-claiming.</w:t>
      </w:r>
    </w:p>
    <w:p w14:paraId="3B11091A" w14:textId="28C2B1EA" w:rsidR="00C719A6" w:rsidRPr="00C719A6" w:rsidRDefault="00C719A6" w:rsidP="00C719A6">
      <w:pPr>
        <w:pStyle w:val="Bullet-green"/>
        <w:numPr>
          <w:ilvl w:val="0"/>
          <w:numId w:val="11"/>
        </w:numPr>
        <w:rPr>
          <w:i/>
        </w:rPr>
      </w:pPr>
      <w:r w:rsidRPr="00C719A6">
        <w:rPr>
          <w:i/>
        </w:rPr>
        <w:t>This recommendation serves to ensure the service is only co-claimed with other items if it is clinically appropriate and justifiable to do so.</w:t>
      </w:r>
    </w:p>
    <w:p w14:paraId="4BEDED8D" w14:textId="4282438D" w:rsidR="00D01C96" w:rsidRDefault="00046A27" w:rsidP="00D01C96">
      <w:pPr>
        <w:pStyle w:val="Bullet-green"/>
      </w:pPr>
      <w:r>
        <w:t>Amend the</w:t>
      </w:r>
      <w:r w:rsidR="00D01C96">
        <w:t xml:space="preserve"> </w:t>
      </w:r>
      <w:r>
        <w:t>E</w:t>
      </w:r>
      <w:r w:rsidR="00D01C96">
        <w:t xml:space="preserve">xplanatory </w:t>
      </w:r>
      <w:r>
        <w:t>N</w:t>
      </w:r>
      <w:r w:rsidR="00D01C96">
        <w:t>otes</w:t>
      </w:r>
      <w:r>
        <w:t xml:space="preserve"> for these items</w:t>
      </w:r>
      <w:r w:rsidR="00D01C96">
        <w:t xml:space="preserve">. </w:t>
      </w:r>
    </w:p>
    <w:p w14:paraId="633798D9" w14:textId="77102F35" w:rsidR="00D01C96" w:rsidRPr="00022999" w:rsidRDefault="00D01C96" w:rsidP="00C719A6">
      <w:pPr>
        <w:pStyle w:val="Bullet-green"/>
        <w:numPr>
          <w:ilvl w:val="0"/>
          <w:numId w:val="12"/>
        </w:numPr>
        <w:rPr>
          <w:i/>
        </w:rPr>
      </w:pPr>
      <w:r w:rsidRPr="00022999">
        <w:rPr>
          <w:i/>
        </w:rPr>
        <w:t xml:space="preserve">The </w:t>
      </w:r>
      <w:r w:rsidR="00F011AE" w:rsidRPr="00022999">
        <w:rPr>
          <w:i/>
        </w:rPr>
        <w:t>Taskforce</w:t>
      </w:r>
      <w:r w:rsidRPr="00022999">
        <w:rPr>
          <w:i/>
        </w:rPr>
        <w:t xml:space="preserve"> agreed the inclusion of explanatory notes emphasising the importance of patient care would encourage their use.</w:t>
      </w:r>
    </w:p>
    <w:p w14:paraId="63F5FBFA" w14:textId="052FA8D1" w:rsidR="00A270AD" w:rsidRDefault="00D01C96" w:rsidP="00A270AD">
      <w:pPr>
        <w:pStyle w:val="Bullet-green"/>
        <w:numPr>
          <w:ilvl w:val="0"/>
          <w:numId w:val="0"/>
        </w:numPr>
        <w:rPr>
          <w:b/>
          <w:lang w:val="en-US"/>
        </w:rPr>
      </w:pPr>
      <w:r>
        <w:rPr>
          <w:b/>
          <w:lang w:val="en-US"/>
        </w:rPr>
        <w:t xml:space="preserve">Recommendation 5: </w:t>
      </w:r>
      <w:r w:rsidR="00A270AD">
        <w:rPr>
          <w:b/>
          <w:lang w:val="en-US"/>
        </w:rPr>
        <w:t xml:space="preserve"> Leave</w:t>
      </w:r>
      <w:r w:rsidR="002A7B5A">
        <w:rPr>
          <w:b/>
          <w:lang w:val="en-US"/>
        </w:rPr>
        <w:t xml:space="preserve"> </w:t>
      </w:r>
      <w:r w:rsidR="00046A27">
        <w:rPr>
          <w:b/>
          <w:lang w:val="en-US"/>
        </w:rPr>
        <w:t>total colectomy by synchronous surgery</w:t>
      </w:r>
      <w:r w:rsidR="00A270AD">
        <w:rPr>
          <w:b/>
          <w:lang w:val="en-US"/>
        </w:rPr>
        <w:t xml:space="preserve"> items </w:t>
      </w:r>
      <w:r w:rsidR="002A7B5A">
        <w:rPr>
          <w:b/>
          <w:lang w:val="en-US"/>
        </w:rPr>
        <w:t xml:space="preserve">32018 and 32021 </w:t>
      </w:r>
      <w:r w:rsidR="00A270AD">
        <w:rPr>
          <w:b/>
          <w:lang w:val="en-US"/>
        </w:rPr>
        <w:t>unchanged</w:t>
      </w:r>
      <w:r w:rsidR="00046A27">
        <w:rPr>
          <w:b/>
          <w:lang w:val="en-US"/>
        </w:rPr>
        <w:t>.</w:t>
      </w:r>
    </w:p>
    <w:p w14:paraId="7CDBC963" w14:textId="718A597D" w:rsidR="00A270AD" w:rsidRDefault="00A270AD" w:rsidP="00A270AD">
      <w:pPr>
        <w:pStyle w:val="Bullet-green"/>
        <w:rPr>
          <w:lang w:val="en-US"/>
        </w:rPr>
      </w:pPr>
      <w:r>
        <w:rPr>
          <w:lang w:val="en-US"/>
        </w:rPr>
        <w:t>Items 32018 and 32021 remain unchanged.</w:t>
      </w:r>
    </w:p>
    <w:p w14:paraId="0378D0F7" w14:textId="2CFB8CDE" w:rsidR="00A270AD" w:rsidRPr="00022999" w:rsidRDefault="00A270AD" w:rsidP="009B0618">
      <w:pPr>
        <w:pStyle w:val="Bullet-green"/>
        <w:numPr>
          <w:ilvl w:val="0"/>
          <w:numId w:val="13"/>
        </w:numPr>
        <w:rPr>
          <w:i/>
          <w:lang w:val="en-US"/>
        </w:rPr>
      </w:pPr>
      <w:r w:rsidRPr="00022999">
        <w:rPr>
          <w:i/>
        </w:rPr>
        <w:t>These procedures remain clinically relevant and adequately described by the current item descriptors.</w:t>
      </w:r>
    </w:p>
    <w:p w14:paraId="3CC8215A" w14:textId="7E86E07A" w:rsidR="00A270AD" w:rsidRDefault="00A270AD" w:rsidP="00D7706A">
      <w:pPr>
        <w:pStyle w:val="Bullet-green"/>
        <w:numPr>
          <w:ilvl w:val="0"/>
          <w:numId w:val="0"/>
        </w:numPr>
        <w:rPr>
          <w:b/>
          <w:lang w:val="en-US"/>
        </w:rPr>
      </w:pPr>
      <w:r>
        <w:rPr>
          <w:b/>
          <w:lang w:val="en-US"/>
        </w:rPr>
        <w:t>Recommendation</w:t>
      </w:r>
      <w:r w:rsidR="001B0757">
        <w:rPr>
          <w:b/>
          <w:lang w:val="en-US"/>
        </w:rPr>
        <w:t xml:space="preserve"> 6:</w:t>
      </w:r>
      <w:r w:rsidR="00D7706A">
        <w:rPr>
          <w:b/>
          <w:lang w:val="en-US"/>
        </w:rPr>
        <w:t xml:space="preserve"> Leave </w:t>
      </w:r>
      <w:r w:rsidR="00046A27">
        <w:rPr>
          <w:b/>
          <w:lang w:val="en-US"/>
        </w:rPr>
        <w:t xml:space="preserve">abdominoperineal resection by synchronous surgery items </w:t>
      </w:r>
      <w:r w:rsidR="002A7B5A">
        <w:rPr>
          <w:b/>
          <w:lang w:val="en-US"/>
        </w:rPr>
        <w:t xml:space="preserve">32042 and 32045 </w:t>
      </w:r>
      <w:r w:rsidR="00D7706A">
        <w:rPr>
          <w:b/>
          <w:lang w:val="en-US"/>
        </w:rPr>
        <w:t>unchanged</w:t>
      </w:r>
      <w:r w:rsidR="00046A27">
        <w:rPr>
          <w:b/>
          <w:lang w:val="en-US"/>
        </w:rPr>
        <w:t>.</w:t>
      </w:r>
    </w:p>
    <w:p w14:paraId="06A26C10" w14:textId="746DCAEB" w:rsidR="00D7706A" w:rsidRDefault="00D7706A" w:rsidP="00D7706A">
      <w:pPr>
        <w:pStyle w:val="Bullet-green"/>
        <w:rPr>
          <w:lang w:val="en-US"/>
        </w:rPr>
      </w:pPr>
      <w:r>
        <w:rPr>
          <w:lang w:val="en-US"/>
        </w:rPr>
        <w:t>Items 32042 and 32045 remain unchanged.</w:t>
      </w:r>
    </w:p>
    <w:p w14:paraId="2018560A" w14:textId="77777777" w:rsidR="00D7706A" w:rsidRPr="00022999" w:rsidRDefault="00D7706A" w:rsidP="009B0618">
      <w:pPr>
        <w:pStyle w:val="Bullet-green"/>
        <w:numPr>
          <w:ilvl w:val="0"/>
          <w:numId w:val="14"/>
        </w:numPr>
        <w:rPr>
          <w:i/>
          <w:lang w:val="en-US"/>
        </w:rPr>
      </w:pPr>
      <w:r w:rsidRPr="00022999">
        <w:rPr>
          <w:i/>
        </w:rPr>
        <w:t>These procedures remain clinically relevant and adequately described by the current item descriptors.</w:t>
      </w:r>
    </w:p>
    <w:p w14:paraId="513BA475" w14:textId="6E20DAC0" w:rsidR="00D7706A" w:rsidRDefault="00D7706A" w:rsidP="00D7706A">
      <w:pPr>
        <w:pStyle w:val="Bullet-green"/>
        <w:numPr>
          <w:ilvl w:val="0"/>
          <w:numId w:val="0"/>
        </w:numPr>
        <w:ind w:left="431" w:hanging="431"/>
        <w:rPr>
          <w:b/>
          <w:lang w:val="en-US"/>
        </w:rPr>
      </w:pPr>
      <w:r>
        <w:rPr>
          <w:b/>
          <w:lang w:val="en-US"/>
        </w:rPr>
        <w:lastRenderedPageBreak/>
        <w:t>Recommendation 7:</w:t>
      </w:r>
      <w:r w:rsidRPr="00D7706A">
        <w:rPr>
          <w:b/>
          <w:lang w:val="en-US"/>
        </w:rPr>
        <w:t xml:space="preserve"> </w:t>
      </w:r>
      <w:r>
        <w:rPr>
          <w:b/>
          <w:lang w:val="en-US"/>
        </w:rPr>
        <w:t xml:space="preserve">Leave </w:t>
      </w:r>
      <w:r w:rsidR="00046A27">
        <w:rPr>
          <w:b/>
          <w:lang w:val="en-US"/>
        </w:rPr>
        <w:t xml:space="preserve">abdominoperineal resection by synchronous surgery </w:t>
      </w:r>
      <w:r>
        <w:rPr>
          <w:b/>
          <w:lang w:val="en-US"/>
        </w:rPr>
        <w:t>item</w:t>
      </w:r>
      <w:r w:rsidR="002A7B5A">
        <w:rPr>
          <w:b/>
          <w:lang w:val="en-US"/>
        </w:rPr>
        <w:t xml:space="preserve"> 32046</w:t>
      </w:r>
      <w:r>
        <w:rPr>
          <w:b/>
          <w:lang w:val="en-US"/>
        </w:rPr>
        <w:t xml:space="preserve"> unchanged</w:t>
      </w:r>
      <w:r w:rsidR="00046A27">
        <w:rPr>
          <w:b/>
          <w:lang w:val="en-US"/>
        </w:rPr>
        <w:t>.</w:t>
      </w:r>
    </w:p>
    <w:p w14:paraId="3CED7426" w14:textId="4477A362" w:rsidR="00D7706A" w:rsidRDefault="00D7706A" w:rsidP="00D7706A">
      <w:pPr>
        <w:pStyle w:val="Bullet-green"/>
        <w:rPr>
          <w:lang w:val="en-US"/>
        </w:rPr>
      </w:pPr>
      <w:r>
        <w:rPr>
          <w:lang w:val="en-US"/>
        </w:rPr>
        <w:t>Item 32046 to remain unchanged.</w:t>
      </w:r>
    </w:p>
    <w:p w14:paraId="7C8DAB98" w14:textId="3445955C" w:rsidR="00D7706A" w:rsidRPr="00022999" w:rsidRDefault="00D7706A" w:rsidP="009B0618">
      <w:pPr>
        <w:pStyle w:val="Bullet-green"/>
        <w:numPr>
          <w:ilvl w:val="0"/>
          <w:numId w:val="15"/>
        </w:numPr>
        <w:rPr>
          <w:i/>
          <w:lang w:val="en-US"/>
        </w:rPr>
      </w:pPr>
      <w:r w:rsidRPr="00022999">
        <w:rPr>
          <w:i/>
        </w:rPr>
        <w:t>T</w:t>
      </w:r>
      <w:r w:rsidR="00EA653E" w:rsidRPr="00022999">
        <w:rPr>
          <w:i/>
        </w:rPr>
        <w:t>his</w:t>
      </w:r>
      <w:r w:rsidRPr="00022999">
        <w:rPr>
          <w:i/>
        </w:rPr>
        <w:t xml:space="preserve"> procedure remain</w:t>
      </w:r>
      <w:r w:rsidR="00EA653E" w:rsidRPr="00022999">
        <w:rPr>
          <w:i/>
        </w:rPr>
        <w:t>s</w:t>
      </w:r>
      <w:r w:rsidRPr="00022999">
        <w:rPr>
          <w:i/>
        </w:rPr>
        <w:t xml:space="preserve"> clinically relevant and adequately described</w:t>
      </w:r>
      <w:r w:rsidR="005B5EA2" w:rsidRPr="00022999">
        <w:rPr>
          <w:i/>
        </w:rPr>
        <w:t xml:space="preserve"> by the current item descriptor</w:t>
      </w:r>
      <w:r w:rsidRPr="00022999">
        <w:rPr>
          <w:i/>
        </w:rPr>
        <w:t>.</w:t>
      </w:r>
    </w:p>
    <w:p w14:paraId="5D97D4AC" w14:textId="2B497A87" w:rsidR="00D7706A" w:rsidRDefault="00D7706A" w:rsidP="00D7706A">
      <w:pPr>
        <w:pStyle w:val="Bullet-green"/>
        <w:numPr>
          <w:ilvl w:val="0"/>
          <w:numId w:val="0"/>
        </w:numPr>
        <w:rPr>
          <w:b/>
          <w:lang w:val="en-US"/>
        </w:rPr>
      </w:pPr>
      <w:r>
        <w:rPr>
          <w:b/>
          <w:lang w:val="en-US"/>
        </w:rPr>
        <w:t xml:space="preserve">Recommendation </w:t>
      </w:r>
      <w:r w:rsidR="00563311">
        <w:rPr>
          <w:b/>
          <w:lang w:val="en-US"/>
        </w:rPr>
        <w:t>8</w:t>
      </w:r>
      <w:r>
        <w:rPr>
          <w:b/>
          <w:lang w:val="en-US"/>
        </w:rPr>
        <w:t>: Leave</w:t>
      </w:r>
      <w:r w:rsidR="002A7B5A">
        <w:rPr>
          <w:b/>
          <w:lang w:val="en-US"/>
        </w:rPr>
        <w:t xml:space="preserve"> </w:t>
      </w:r>
      <w:r w:rsidR="00046A27">
        <w:rPr>
          <w:b/>
          <w:lang w:val="en-US"/>
        </w:rPr>
        <w:t xml:space="preserve">total colectomy by synchronous surgery </w:t>
      </w:r>
      <w:r>
        <w:rPr>
          <w:b/>
          <w:lang w:val="en-US"/>
        </w:rPr>
        <w:t>items</w:t>
      </w:r>
      <w:r w:rsidR="002A7B5A">
        <w:rPr>
          <w:b/>
          <w:lang w:val="en-US"/>
        </w:rPr>
        <w:t xml:space="preserve"> 32054 and 32057</w:t>
      </w:r>
      <w:r>
        <w:rPr>
          <w:b/>
          <w:lang w:val="en-US"/>
        </w:rPr>
        <w:t xml:space="preserve"> unchanged</w:t>
      </w:r>
      <w:r w:rsidR="00194D3D">
        <w:rPr>
          <w:b/>
          <w:lang w:val="en-US"/>
        </w:rPr>
        <w:t>.</w:t>
      </w:r>
    </w:p>
    <w:p w14:paraId="24C6A571" w14:textId="050A132E" w:rsidR="00D7706A" w:rsidRDefault="00563311" w:rsidP="00D7706A">
      <w:pPr>
        <w:pStyle w:val="Bullet-green"/>
        <w:rPr>
          <w:lang w:val="en-US"/>
        </w:rPr>
      </w:pPr>
      <w:r>
        <w:rPr>
          <w:lang w:val="en-US"/>
        </w:rPr>
        <w:t>Items 32054 and 32057</w:t>
      </w:r>
      <w:r w:rsidR="00D7706A">
        <w:rPr>
          <w:lang w:val="en-US"/>
        </w:rPr>
        <w:t xml:space="preserve"> remain unchanged.</w:t>
      </w:r>
    </w:p>
    <w:p w14:paraId="73C597DF" w14:textId="7754EA61" w:rsidR="00D7706A" w:rsidRPr="00022999" w:rsidRDefault="00D7706A" w:rsidP="009B0618">
      <w:pPr>
        <w:pStyle w:val="Bullet-green"/>
        <w:numPr>
          <w:ilvl w:val="0"/>
          <w:numId w:val="16"/>
        </w:numPr>
        <w:rPr>
          <w:i/>
          <w:lang w:val="en-US"/>
        </w:rPr>
      </w:pPr>
      <w:r w:rsidRPr="00022999">
        <w:rPr>
          <w:i/>
        </w:rPr>
        <w:t>These procedures remain clinically relevant and adequately described by the current item descriptors.</w:t>
      </w:r>
    </w:p>
    <w:p w14:paraId="134D2E01" w14:textId="10C3F77D" w:rsidR="00563311" w:rsidRDefault="00563311" w:rsidP="00563311">
      <w:pPr>
        <w:pStyle w:val="Bullet-green"/>
        <w:numPr>
          <w:ilvl w:val="0"/>
          <w:numId w:val="0"/>
        </w:numPr>
        <w:ind w:left="431" w:hanging="431"/>
        <w:rPr>
          <w:b/>
          <w:lang w:val="en-US"/>
        </w:rPr>
      </w:pPr>
      <w:r>
        <w:rPr>
          <w:b/>
          <w:lang w:val="en-US"/>
        </w:rPr>
        <w:t>Recommendation 9:</w:t>
      </w:r>
      <w:r w:rsidRPr="00D7706A">
        <w:rPr>
          <w:b/>
          <w:lang w:val="en-US"/>
        </w:rPr>
        <w:t xml:space="preserve"> </w:t>
      </w:r>
      <w:r>
        <w:rPr>
          <w:b/>
          <w:lang w:val="en-US"/>
        </w:rPr>
        <w:t xml:space="preserve">Leave </w:t>
      </w:r>
      <w:r w:rsidR="00194D3D">
        <w:rPr>
          <w:b/>
          <w:lang w:val="en-US"/>
        </w:rPr>
        <w:t xml:space="preserve">synchronous surgery </w:t>
      </w:r>
      <w:r>
        <w:rPr>
          <w:b/>
          <w:lang w:val="en-US"/>
        </w:rPr>
        <w:t xml:space="preserve">items </w:t>
      </w:r>
      <w:r w:rsidR="002A7B5A">
        <w:rPr>
          <w:b/>
          <w:lang w:val="en-US"/>
        </w:rPr>
        <w:t xml:space="preserve">32063 and 32066 </w:t>
      </w:r>
      <w:r>
        <w:rPr>
          <w:b/>
          <w:lang w:val="en-US"/>
        </w:rPr>
        <w:t>unchanged</w:t>
      </w:r>
      <w:r w:rsidR="00194D3D">
        <w:rPr>
          <w:b/>
          <w:lang w:val="en-US"/>
        </w:rPr>
        <w:t>.</w:t>
      </w:r>
    </w:p>
    <w:p w14:paraId="606E2C79" w14:textId="3E90C26D" w:rsidR="00563311" w:rsidRDefault="00563311" w:rsidP="00563311">
      <w:pPr>
        <w:pStyle w:val="Bullet-green"/>
        <w:rPr>
          <w:lang w:val="en-US"/>
        </w:rPr>
      </w:pPr>
      <w:r>
        <w:rPr>
          <w:lang w:val="en-US"/>
        </w:rPr>
        <w:t>Items 32063 and 32066 remain unchanged.</w:t>
      </w:r>
    </w:p>
    <w:p w14:paraId="7DAD147D" w14:textId="77777777" w:rsidR="00563311" w:rsidRPr="00022999" w:rsidRDefault="00563311" w:rsidP="009B0618">
      <w:pPr>
        <w:pStyle w:val="Bullet-green"/>
        <w:numPr>
          <w:ilvl w:val="0"/>
          <w:numId w:val="17"/>
        </w:numPr>
        <w:rPr>
          <w:b/>
          <w:i/>
          <w:lang w:val="en-US"/>
        </w:rPr>
      </w:pPr>
      <w:r w:rsidRPr="00022999">
        <w:rPr>
          <w:i/>
        </w:rPr>
        <w:t>These procedures remain clinically relevant and adequately described by the current item descriptors.</w:t>
      </w:r>
    </w:p>
    <w:p w14:paraId="0871F908" w14:textId="5C551F23" w:rsidR="00563311" w:rsidRDefault="00563311" w:rsidP="00563311">
      <w:pPr>
        <w:pStyle w:val="Bullet-green"/>
        <w:numPr>
          <w:ilvl w:val="0"/>
          <w:numId w:val="0"/>
        </w:numPr>
        <w:rPr>
          <w:b/>
        </w:rPr>
      </w:pPr>
      <w:r w:rsidRPr="00563311">
        <w:rPr>
          <w:b/>
          <w:lang w:val="en-US"/>
        </w:rPr>
        <w:t xml:space="preserve">Recommendation 10: </w:t>
      </w:r>
      <w:r w:rsidRPr="00563311">
        <w:rPr>
          <w:b/>
        </w:rPr>
        <w:t xml:space="preserve">Create </w:t>
      </w:r>
      <w:r>
        <w:rPr>
          <w:b/>
        </w:rPr>
        <w:t>seven</w:t>
      </w:r>
      <w:r w:rsidRPr="00563311">
        <w:rPr>
          <w:b/>
        </w:rPr>
        <w:t xml:space="preserve"> new item</w:t>
      </w:r>
      <w:r w:rsidR="002867F6">
        <w:rPr>
          <w:b/>
        </w:rPr>
        <w:t>s</w:t>
      </w:r>
      <w:r w:rsidRPr="00563311">
        <w:rPr>
          <w:b/>
        </w:rPr>
        <w:t xml:space="preserve"> for </w:t>
      </w:r>
      <w:r w:rsidR="002867F6">
        <w:rPr>
          <w:b/>
        </w:rPr>
        <w:t>trans-anal Total Mesorectal Excision (taTME).</w:t>
      </w:r>
    </w:p>
    <w:p w14:paraId="1F89770A" w14:textId="5A61C6B6" w:rsidR="008E1E91" w:rsidRDefault="008E1E91" w:rsidP="008E1E91">
      <w:pPr>
        <w:pStyle w:val="Bullet-green"/>
      </w:pPr>
      <w:r w:rsidRPr="008E1E91">
        <w:t>Create four new items for the abdominal component of taTME procedure items and three new items for the perineal component of taTME.</w:t>
      </w:r>
    </w:p>
    <w:p w14:paraId="3DE5C601" w14:textId="36A69256" w:rsidR="005B5EA2" w:rsidRPr="00022999" w:rsidRDefault="008E1E91" w:rsidP="009B0618">
      <w:pPr>
        <w:pStyle w:val="Bullet-green"/>
        <w:numPr>
          <w:ilvl w:val="0"/>
          <w:numId w:val="21"/>
        </w:numPr>
        <w:rPr>
          <w:i/>
        </w:rPr>
      </w:pPr>
      <w:r w:rsidRPr="00022999">
        <w:rPr>
          <w:i/>
        </w:rPr>
        <w:t xml:space="preserve">The </w:t>
      </w:r>
      <w:r w:rsidR="00F011AE" w:rsidRPr="00022999">
        <w:rPr>
          <w:i/>
        </w:rPr>
        <w:t>Taskforce</w:t>
      </w:r>
      <w:r w:rsidRPr="00022999">
        <w:rPr>
          <w:i/>
        </w:rPr>
        <w:t xml:space="preserve"> considers that taTME procedures are not currently described in the MBS.  </w:t>
      </w:r>
    </w:p>
    <w:p w14:paraId="01568D91" w14:textId="06D63AF6" w:rsidR="00563311" w:rsidRPr="00022999" w:rsidRDefault="008E1E91" w:rsidP="009B0618">
      <w:pPr>
        <w:pStyle w:val="Bullet-green"/>
        <w:numPr>
          <w:ilvl w:val="0"/>
          <w:numId w:val="21"/>
        </w:numPr>
        <w:rPr>
          <w:i/>
        </w:rPr>
      </w:pPr>
      <w:r w:rsidRPr="00022999">
        <w:rPr>
          <w:i/>
        </w:rPr>
        <w:t xml:space="preserve">The </w:t>
      </w:r>
      <w:r w:rsidR="00F011AE" w:rsidRPr="00022999">
        <w:rPr>
          <w:i/>
        </w:rPr>
        <w:t>Taskforce</w:t>
      </w:r>
      <w:r w:rsidRPr="00022999">
        <w:rPr>
          <w:i/>
        </w:rPr>
        <w:t xml:space="preserve"> also believes that the taTME is a technique that is going to remain in use with many Australian colorectal surgeons for the foreseeable future.  </w:t>
      </w:r>
    </w:p>
    <w:p w14:paraId="2AEC63DA" w14:textId="52BCD0B6" w:rsidR="00EA653E" w:rsidRDefault="00EA653E" w:rsidP="00EA653E">
      <w:pPr>
        <w:pStyle w:val="Bullet-green"/>
        <w:numPr>
          <w:ilvl w:val="0"/>
          <w:numId w:val="0"/>
        </w:numPr>
        <w:rPr>
          <w:b/>
        </w:rPr>
      </w:pPr>
      <w:r w:rsidRPr="00563311">
        <w:rPr>
          <w:b/>
          <w:lang w:val="en-US"/>
        </w:rPr>
        <w:t xml:space="preserve">Recommendation </w:t>
      </w:r>
      <w:r>
        <w:rPr>
          <w:b/>
          <w:lang w:val="en-US"/>
        </w:rPr>
        <w:t>11:</w:t>
      </w:r>
      <w:r w:rsidRPr="00EA653E">
        <w:rPr>
          <w:b/>
          <w:lang w:val="en-US"/>
        </w:rPr>
        <w:t xml:space="preserve"> </w:t>
      </w:r>
      <w:r>
        <w:rPr>
          <w:b/>
          <w:lang w:val="en-US"/>
        </w:rPr>
        <w:t xml:space="preserve">Leave </w:t>
      </w:r>
      <w:r w:rsidR="002867F6">
        <w:rPr>
          <w:b/>
          <w:lang w:val="en-US"/>
        </w:rPr>
        <w:t xml:space="preserve">abdominoperineal resection </w:t>
      </w:r>
      <w:r>
        <w:rPr>
          <w:b/>
          <w:lang w:val="en-US"/>
        </w:rPr>
        <w:t xml:space="preserve">item </w:t>
      </w:r>
      <w:r w:rsidR="002A7B5A">
        <w:rPr>
          <w:b/>
          <w:lang w:val="en-US"/>
        </w:rPr>
        <w:t xml:space="preserve">32039 </w:t>
      </w:r>
      <w:r>
        <w:rPr>
          <w:b/>
          <w:lang w:val="en-US"/>
        </w:rPr>
        <w:t>unchanged</w:t>
      </w:r>
      <w:r w:rsidR="002867F6">
        <w:rPr>
          <w:b/>
          <w:lang w:val="en-US"/>
        </w:rPr>
        <w:t>.</w:t>
      </w:r>
    </w:p>
    <w:p w14:paraId="51AA2E89" w14:textId="02E8C53D" w:rsidR="00EA653E" w:rsidRDefault="00EA653E" w:rsidP="00EA653E">
      <w:pPr>
        <w:pStyle w:val="Bullet-green"/>
        <w:rPr>
          <w:lang w:val="en-US"/>
        </w:rPr>
      </w:pPr>
      <w:r>
        <w:rPr>
          <w:lang w:val="en-US"/>
        </w:rPr>
        <w:t>Item 32039 to remain unchanged.</w:t>
      </w:r>
    </w:p>
    <w:p w14:paraId="08C82A6B" w14:textId="2A505D8B" w:rsidR="00EA653E" w:rsidRPr="00022999" w:rsidRDefault="00EA653E" w:rsidP="009B0618">
      <w:pPr>
        <w:pStyle w:val="Bullet-green"/>
        <w:numPr>
          <w:ilvl w:val="0"/>
          <w:numId w:val="22"/>
        </w:numPr>
        <w:rPr>
          <w:i/>
          <w:lang w:val="en-US"/>
        </w:rPr>
      </w:pPr>
      <w:r w:rsidRPr="00022999">
        <w:rPr>
          <w:i/>
        </w:rPr>
        <w:t>This procedure remains clinically relevant and adequately described</w:t>
      </w:r>
      <w:r w:rsidR="005B5EA2" w:rsidRPr="00022999">
        <w:rPr>
          <w:i/>
        </w:rPr>
        <w:t xml:space="preserve"> by the current item descriptor</w:t>
      </w:r>
      <w:r w:rsidRPr="00022999">
        <w:rPr>
          <w:i/>
        </w:rPr>
        <w:t>.</w:t>
      </w:r>
    </w:p>
    <w:p w14:paraId="00C8DCF1" w14:textId="4E41F225" w:rsidR="00EA653E" w:rsidRDefault="00EA653E" w:rsidP="00EA653E">
      <w:pPr>
        <w:pStyle w:val="Bullet-green"/>
        <w:numPr>
          <w:ilvl w:val="0"/>
          <w:numId w:val="0"/>
        </w:numPr>
        <w:ind w:left="431" w:hanging="431"/>
        <w:rPr>
          <w:b/>
          <w:lang w:val="en-US"/>
        </w:rPr>
      </w:pPr>
      <w:r>
        <w:rPr>
          <w:b/>
          <w:lang w:val="en-US"/>
        </w:rPr>
        <w:t>Recommendation 12:</w:t>
      </w:r>
      <w:r w:rsidRPr="00D7706A">
        <w:rPr>
          <w:b/>
          <w:lang w:val="en-US"/>
        </w:rPr>
        <w:t xml:space="preserve"> </w:t>
      </w:r>
      <w:r>
        <w:rPr>
          <w:b/>
          <w:lang w:val="en-US"/>
        </w:rPr>
        <w:t>Leave</w:t>
      </w:r>
      <w:r w:rsidR="002867F6">
        <w:rPr>
          <w:b/>
          <w:lang w:val="en-US"/>
        </w:rPr>
        <w:t xml:space="preserve"> proctocolectomy and ileal pouch items </w:t>
      </w:r>
      <w:r w:rsidR="002A7B5A">
        <w:rPr>
          <w:b/>
          <w:lang w:val="en-US"/>
        </w:rPr>
        <w:t xml:space="preserve">32051 and 32069 </w:t>
      </w:r>
      <w:r w:rsidR="002867F6">
        <w:rPr>
          <w:b/>
          <w:lang w:val="en-US"/>
        </w:rPr>
        <w:t>unchanged.</w:t>
      </w:r>
    </w:p>
    <w:p w14:paraId="1359DDBC" w14:textId="086F118B" w:rsidR="00EA653E" w:rsidRDefault="00EA653E" w:rsidP="00EA653E">
      <w:pPr>
        <w:pStyle w:val="Bullet-green"/>
        <w:rPr>
          <w:lang w:val="en-US"/>
        </w:rPr>
      </w:pPr>
      <w:r>
        <w:rPr>
          <w:lang w:val="en-US"/>
        </w:rPr>
        <w:t>Items 32051 and 32069 remain unchanged.</w:t>
      </w:r>
    </w:p>
    <w:p w14:paraId="799C258C" w14:textId="77777777" w:rsidR="00EA653E" w:rsidRPr="00022999" w:rsidRDefault="00EA653E" w:rsidP="009B0618">
      <w:pPr>
        <w:pStyle w:val="Bullet-green"/>
        <w:numPr>
          <w:ilvl w:val="0"/>
          <w:numId w:val="23"/>
        </w:numPr>
        <w:rPr>
          <w:b/>
          <w:i/>
          <w:lang w:val="en-US"/>
        </w:rPr>
      </w:pPr>
      <w:r w:rsidRPr="00022999">
        <w:rPr>
          <w:i/>
        </w:rPr>
        <w:t>These procedures remain clinically relevant and adequately described by the current item descriptors.</w:t>
      </w:r>
    </w:p>
    <w:p w14:paraId="4A14145B" w14:textId="62D07F89" w:rsidR="00C26AA1" w:rsidRPr="00A13997" w:rsidRDefault="00C26AA1" w:rsidP="00E0030E">
      <w:pPr>
        <w:pStyle w:val="TOC3"/>
        <w:keepNext/>
        <w:keepLines/>
        <w:ind w:left="0" w:firstLine="0"/>
        <w:rPr>
          <w:b w:val="0"/>
        </w:rPr>
      </w:pPr>
      <w:r w:rsidRPr="00A13997">
        <w:lastRenderedPageBreak/>
        <w:t xml:space="preserve">Recommendation </w:t>
      </w:r>
      <w:r>
        <w:t>13</w:t>
      </w:r>
      <w:r w:rsidRPr="00A13997">
        <w:t xml:space="preserve">: </w:t>
      </w:r>
      <w:r w:rsidRPr="005218BD">
        <w:rPr>
          <w:rStyle w:val="None"/>
          <w:lang w:val="en-US"/>
        </w:rPr>
        <w:t xml:space="preserve">Amend the descriptor </w:t>
      </w:r>
      <w:r>
        <w:rPr>
          <w:rStyle w:val="None"/>
          <w:lang w:val="en-US"/>
        </w:rPr>
        <w:t>of</w:t>
      </w:r>
      <w:r w:rsidR="002867F6">
        <w:rPr>
          <w:rStyle w:val="None"/>
          <w:lang w:val="en-US"/>
        </w:rPr>
        <w:t xml:space="preserve"> proctocolectomy and ileal pouch</w:t>
      </w:r>
      <w:r w:rsidRPr="005218BD">
        <w:rPr>
          <w:rStyle w:val="None"/>
          <w:lang w:val="en-US"/>
        </w:rPr>
        <w:t xml:space="preserve"> item </w:t>
      </w:r>
      <w:r>
        <w:rPr>
          <w:rStyle w:val="None"/>
          <w:lang w:val="en-US"/>
        </w:rPr>
        <w:t>32060</w:t>
      </w:r>
      <w:r w:rsidRPr="005218BD">
        <w:rPr>
          <w:rStyle w:val="None"/>
          <w:lang w:val="en-US"/>
        </w:rPr>
        <w:t>.</w:t>
      </w:r>
    </w:p>
    <w:p w14:paraId="7F5DCB16" w14:textId="597CA788" w:rsidR="00C26AA1" w:rsidRDefault="00C26AA1" w:rsidP="00E0030E">
      <w:pPr>
        <w:pStyle w:val="Bullet-green"/>
        <w:keepNext/>
        <w:keepLines/>
      </w:pPr>
      <w:r>
        <w:t>Amend item descriptor of 32060.</w:t>
      </w:r>
    </w:p>
    <w:p w14:paraId="1E33F529" w14:textId="4DEF7732" w:rsidR="00C26AA1" w:rsidRPr="00022999" w:rsidRDefault="00C26AA1" w:rsidP="00E0030E">
      <w:pPr>
        <w:pStyle w:val="Bullet-green"/>
        <w:keepNext/>
        <w:keepLines/>
        <w:numPr>
          <w:ilvl w:val="0"/>
          <w:numId w:val="24"/>
        </w:numPr>
        <w:rPr>
          <w:i/>
        </w:rPr>
      </w:pPr>
      <w:r w:rsidRPr="00022999">
        <w:rPr>
          <w:i/>
        </w:rPr>
        <w:t>The amended descriptor better describes the procedure and reduces confusion with a standard ileostomy closure.</w:t>
      </w:r>
    </w:p>
    <w:p w14:paraId="76BC95FF" w14:textId="6FF90722" w:rsidR="00E41A1C" w:rsidRPr="00E41A1C" w:rsidRDefault="00E41A1C" w:rsidP="00E41A1C">
      <w:pPr>
        <w:pStyle w:val="Bullet-green"/>
        <w:numPr>
          <w:ilvl w:val="0"/>
          <w:numId w:val="0"/>
        </w:numPr>
      </w:pPr>
      <w:r w:rsidRPr="00E41A1C">
        <w:rPr>
          <w:b/>
          <w:lang w:val="en-US"/>
        </w:rPr>
        <w:t>Recommendation 1</w:t>
      </w:r>
      <w:r>
        <w:rPr>
          <w:b/>
          <w:lang w:val="en-US"/>
        </w:rPr>
        <w:t>4</w:t>
      </w:r>
      <w:r w:rsidRPr="00E41A1C">
        <w:rPr>
          <w:b/>
          <w:lang w:val="en-US"/>
        </w:rPr>
        <w:t xml:space="preserve">: Leave </w:t>
      </w:r>
      <w:r w:rsidR="002867F6">
        <w:rPr>
          <w:b/>
          <w:lang w:val="en-US"/>
        </w:rPr>
        <w:t xml:space="preserve">excision of rectal tumour </w:t>
      </w:r>
      <w:r w:rsidRPr="00E41A1C">
        <w:rPr>
          <w:b/>
          <w:lang w:val="en-US"/>
        </w:rPr>
        <w:t xml:space="preserve">item </w:t>
      </w:r>
      <w:r w:rsidR="002867F6">
        <w:rPr>
          <w:b/>
          <w:lang w:val="en-US"/>
        </w:rPr>
        <w:t xml:space="preserve">32108 </w:t>
      </w:r>
      <w:r w:rsidRPr="00E41A1C">
        <w:rPr>
          <w:b/>
          <w:lang w:val="en-US"/>
        </w:rPr>
        <w:t>unchanged</w:t>
      </w:r>
      <w:r w:rsidR="002867F6">
        <w:rPr>
          <w:b/>
          <w:lang w:val="en-US"/>
        </w:rPr>
        <w:t>.</w:t>
      </w:r>
    </w:p>
    <w:p w14:paraId="32DBC9CB" w14:textId="1007476A" w:rsidR="00E41A1C" w:rsidRDefault="00E41A1C" w:rsidP="00E41A1C">
      <w:pPr>
        <w:pStyle w:val="Bullet-green"/>
        <w:rPr>
          <w:lang w:val="en-US"/>
        </w:rPr>
      </w:pPr>
      <w:r>
        <w:rPr>
          <w:lang w:val="en-US"/>
        </w:rPr>
        <w:t>Item 32108 to remain unchanged.</w:t>
      </w:r>
    </w:p>
    <w:p w14:paraId="34D947AA" w14:textId="26830316" w:rsidR="00E41A1C" w:rsidRPr="00022999" w:rsidRDefault="00E41A1C" w:rsidP="009B0618">
      <w:pPr>
        <w:pStyle w:val="Bullet-green"/>
        <w:numPr>
          <w:ilvl w:val="0"/>
          <w:numId w:val="25"/>
        </w:numPr>
        <w:rPr>
          <w:i/>
          <w:lang w:val="en-US"/>
        </w:rPr>
      </w:pPr>
      <w:r w:rsidRPr="00022999">
        <w:rPr>
          <w:i/>
        </w:rPr>
        <w:t>This procedure remains clinically relevant and adequately described by the current item descriptor.</w:t>
      </w:r>
    </w:p>
    <w:p w14:paraId="6D86DBF8" w14:textId="237D3611" w:rsidR="001D6903" w:rsidRPr="00E41A1C" w:rsidRDefault="001D6903" w:rsidP="001D6903">
      <w:pPr>
        <w:pStyle w:val="Bullet-green"/>
        <w:numPr>
          <w:ilvl w:val="0"/>
          <w:numId w:val="0"/>
        </w:numPr>
      </w:pPr>
      <w:r w:rsidRPr="00E41A1C">
        <w:rPr>
          <w:b/>
          <w:lang w:val="en-US"/>
        </w:rPr>
        <w:t>Recommendation 1</w:t>
      </w:r>
      <w:r>
        <w:rPr>
          <w:b/>
          <w:lang w:val="en-US"/>
        </w:rPr>
        <w:t>5</w:t>
      </w:r>
      <w:r w:rsidRPr="00E41A1C">
        <w:rPr>
          <w:b/>
          <w:lang w:val="en-US"/>
        </w:rPr>
        <w:t xml:space="preserve">: Leave </w:t>
      </w:r>
      <w:r w:rsidR="002867F6">
        <w:rPr>
          <w:b/>
          <w:lang w:val="en-US"/>
        </w:rPr>
        <w:t xml:space="preserve">excision of anorectal carcinoma </w:t>
      </w:r>
      <w:r w:rsidRPr="00E41A1C">
        <w:rPr>
          <w:b/>
          <w:lang w:val="en-US"/>
        </w:rPr>
        <w:t xml:space="preserve">item </w:t>
      </w:r>
      <w:r w:rsidR="002867F6">
        <w:rPr>
          <w:b/>
          <w:lang w:val="en-US"/>
        </w:rPr>
        <w:t xml:space="preserve">32105 </w:t>
      </w:r>
      <w:r w:rsidRPr="00E41A1C">
        <w:rPr>
          <w:b/>
          <w:lang w:val="en-US"/>
        </w:rPr>
        <w:t>unchanged</w:t>
      </w:r>
      <w:r w:rsidR="002867F6">
        <w:rPr>
          <w:b/>
          <w:lang w:val="en-US"/>
        </w:rPr>
        <w:t>.</w:t>
      </w:r>
    </w:p>
    <w:p w14:paraId="69B1BDB7" w14:textId="42AE34C4" w:rsidR="001D6903" w:rsidRDefault="001D6903" w:rsidP="001D6903">
      <w:pPr>
        <w:pStyle w:val="Bullet-green"/>
        <w:rPr>
          <w:lang w:val="en-US"/>
        </w:rPr>
      </w:pPr>
      <w:r>
        <w:rPr>
          <w:lang w:val="en-US"/>
        </w:rPr>
        <w:t>Item 32105 to remain unchanged.</w:t>
      </w:r>
    </w:p>
    <w:p w14:paraId="62C802CD" w14:textId="68756CEF" w:rsidR="001D6903" w:rsidRPr="00022999" w:rsidRDefault="001D6903" w:rsidP="009B0618">
      <w:pPr>
        <w:pStyle w:val="Bullet-green"/>
        <w:numPr>
          <w:ilvl w:val="0"/>
          <w:numId w:val="26"/>
        </w:numPr>
        <w:rPr>
          <w:i/>
          <w:lang w:val="en-US"/>
        </w:rPr>
      </w:pPr>
      <w:r w:rsidRPr="00022999">
        <w:rPr>
          <w:i/>
        </w:rPr>
        <w:t>This procedure remains clinically relevant and adequately described by the current item descriptor.</w:t>
      </w:r>
    </w:p>
    <w:p w14:paraId="6D3423FE" w14:textId="518D01CB" w:rsidR="001D6903" w:rsidRPr="00E41A1C" w:rsidRDefault="001D6903" w:rsidP="001D6903">
      <w:pPr>
        <w:pStyle w:val="Bullet-green"/>
        <w:numPr>
          <w:ilvl w:val="0"/>
          <w:numId w:val="0"/>
        </w:numPr>
      </w:pPr>
      <w:r w:rsidRPr="00E41A1C">
        <w:rPr>
          <w:b/>
          <w:lang w:val="en-US"/>
        </w:rPr>
        <w:t>Recommendation 1</w:t>
      </w:r>
      <w:r>
        <w:rPr>
          <w:b/>
          <w:lang w:val="en-US"/>
        </w:rPr>
        <w:t>6</w:t>
      </w:r>
      <w:r w:rsidRPr="00E41A1C">
        <w:rPr>
          <w:b/>
          <w:lang w:val="en-US"/>
        </w:rPr>
        <w:t xml:space="preserve">: </w:t>
      </w:r>
      <w:r>
        <w:rPr>
          <w:b/>
          <w:lang w:val="en-US"/>
        </w:rPr>
        <w:t xml:space="preserve">Combine </w:t>
      </w:r>
      <w:r w:rsidR="002867F6">
        <w:rPr>
          <w:b/>
          <w:lang w:val="en-US"/>
        </w:rPr>
        <w:t xml:space="preserve">rectal tumour </w:t>
      </w:r>
      <w:r>
        <w:rPr>
          <w:b/>
          <w:lang w:val="en-US"/>
        </w:rPr>
        <w:t xml:space="preserve">items </w:t>
      </w:r>
      <w:r w:rsidR="002867F6">
        <w:rPr>
          <w:b/>
          <w:lang w:val="en-US"/>
        </w:rPr>
        <w:t xml:space="preserve">32099 and 32102 </w:t>
      </w:r>
      <w:r>
        <w:rPr>
          <w:b/>
          <w:lang w:val="en-US"/>
        </w:rPr>
        <w:t>into one item</w:t>
      </w:r>
      <w:r w:rsidR="002867F6">
        <w:rPr>
          <w:b/>
          <w:lang w:val="en-US"/>
        </w:rPr>
        <w:t>.</w:t>
      </w:r>
    </w:p>
    <w:p w14:paraId="5ED0469F" w14:textId="6854DED7" w:rsidR="001D6903" w:rsidRDefault="001D6903" w:rsidP="001D6903">
      <w:pPr>
        <w:pStyle w:val="Bullet-green"/>
        <w:rPr>
          <w:lang w:val="en-US"/>
        </w:rPr>
      </w:pPr>
      <w:r>
        <w:rPr>
          <w:lang w:val="en-US"/>
        </w:rPr>
        <w:t>Combine items</w:t>
      </w:r>
      <w:r w:rsidRPr="001D6903">
        <w:rPr>
          <w:lang w:val="en-US"/>
        </w:rPr>
        <w:t xml:space="preserve"> 32099 and 32102 into one item</w:t>
      </w:r>
      <w:r>
        <w:rPr>
          <w:lang w:val="en-US"/>
        </w:rPr>
        <w:t xml:space="preserve"> and amend</w:t>
      </w:r>
      <w:r w:rsidR="00D773FB">
        <w:rPr>
          <w:lang w:val="en-US"/>
        </w:rPr>
        <w:t xml:space="preserve"> the</w:t>
      </w:r>
      <w:r>
        <w:rPr>
          <w:lang w:val="en-US"/>
        </w:rPr>
        <w:t xml:space="preserve"> item descriptor accordingly</w:t>
      </w:r>
      <w:r w:rsidRPr="001D6903">
        <w:rPr>
          <w:lang w:val="en-US"/>
        </w:rPr>
        <w:t>.</w:t>
      </w:r>
    </w:p>
    <w:p w14:paraId="292B5A62" w14:textId="58EE38BB" w:rsidR="001D6903" w:rsidRPr="00022999" w:rsidRDefault="001D6903" w:rsidP="009B0618">
      <w:pPr>
        <w:pStyle w:val="Bullet-green"/>
        <w:numPr>
          <w:ilvl w:val="0"/>
          <w:numId w:val="27"/>
        </w:numPr>
        <w:rPr>
          <w:i/>
          <w:lang w:val="en-US"/>
        </w:rPr>
      </w:pPr>
      <w:r w:rsidRPr="00022999">
        <w:rPr>
          <w:i/>
        </w:rPr>
        <w:t xml:space="preserve">The </w:t>
      </w:r>
      <w:r w:rsidR="00F011AE" w:rsidRPr="00022999">
        <w:rPr>
          <w:i/>
        </w:rPr>
        <w:t>Taskforce</w:t>
      </w:r>
      <w:r w:rsidRPr="00022999">
        <w:rPr>
          <w:i/>
        </w:rPr>
        <w:t xml:space="preserve"> agreed removing the size description on the relevant item should provide a disincentive for surgeons to attempt the removal of larger lesions without the use of digital viewing platform and pneumorectum.</w:t>
      </w:r>
    </w:p>
    <w:p w14:paraId="0EF49995" w14:textId="58509568" w:rsidR="00206858" w:rsidRPr="00A13997" w:rsidRDefault="00206858" w:rsidP="00206858">
      <w:pPr>
        <w:pStyle w:val="TOC3"/>
        <w:ind w:left="0" w:firstLine="0"/>
        <w:rPr>
          <w:b w:val="0"/>
        </w:rPr>
      </w:pPr>
      <w:r w:rsidRPr="00A13997">
        <w:t xml:space="preserve">Recommendation </w:t>
      </w:r>
      <w:r>
        <w:t>17</w:t>
      </w:r>
      <w:r w:rsidRPr="00A13997">
        <w:t xml:space="preserve">: </w:t>
      </w:r>
      <w:r w:rsidRPr="005218BD">
        <w:rPr>
          <w:rStyle w:val="None"/>
          <w:lang w:val="en-US"/>
        </w:rPr>
        <w:t xml:space="preserve">Amend the descriptor </w:t>
      </w:r>
      <w:r>
        <w:rPr>
          <w:rStyle w:val="None"/>
          <w:lang w:val="en-US"/>
        </w:rPr>
        <w:t>of</w:t>
      </w:r>
      <w:r w:rsidRPr="005218BD">
        <w:rPr>
          <w:rStyle w:val="None"/>
          <w:lang w:val="en-US"/>
        </w:rPr>
        <w:t xml:space="preserve"> </w:t>
      </w:r>
      <w:r w:rsidR="002867F6">
        <w:rPr>
          <w:rStyle w:val="None"/>
          <w:lang w:val="en-US"/>
        </w:rPr>
        <w:t xml:space="preserve">rectal biopsy </w:t>
      </w:r>
      <w:r w:rsidRPr="005218BD">
        <w:rPr>
          <w:rStyle w:val="None"/>
          <w:lang w:val="en-US"/>
        </w:rPr>
        <w:t xml:space="preserve">item </w:t>
      </w:r>
      <w:r>
        <w:rPr>
          <w:rStyle w:val="None"/>
          <w:lang w:val="en-US"/>
        </w:rPr>
        <w:t>32096</w:t>
      </w:r>
      <w:r w:rsidRPr="005218BD">
        <w:rPr>
          <w:rStyle w:val="None"/>
          <w:lang w:val="en-US"/>
        </w:rPr>
        <w:t>.</w:t>
      </w:r>
    </w:p>
    <w:p w14:paraId="58B49C4E" w14:textId="003547CD" w:rsidR="00206858" w:rsidRDefault="00206858" w:rsidP="00206858">
      <w:pPr>
        <w:pStyle w:val="Bullet-green"/>
      </w:pPr>
      <w:r>
        <w:t>Amend item descriptor of 32096.</w:t>
      </w:r>
    </w:p>
    <w:p w14:paraId="1E80EF0E" w14:textId="65CAA10A" w:rsidR="001D6903" w:rsidRPr="00022999" w:rsidRDefault="00206858" w:rsidP="009B0618">
      <w:pPr>
        <w:pStyle w:val="Bullet-green"/>
        <w:numPr>
          <w:ilvl w:val="0"/>
          <w:numId w:val="28"/>
        </w:numPr>
        <w:rPr>
          <w:i/>
          <w:lang w:val="en-US"/>
        </w:rPr>
      </w:pPr>
      <w:r w:rsidRPr="00022999">
        <w:rPr>
          <w:i/>
          <w:lang w:val="en-US"/>
        </w:rPr>
        <w:t>The amended descriptor provides patients with the appropriate information regarding the purpose of the procedure to better describe why the procedure is done</w:t>
      </w:r>
      <w:r w:rsidR="00A500C0">
        <w:rPr>
          <w:i/>
          <w:lang w:val="en-US"/>
        </w:rPr>
        <w:t>.</w:t>
      </w:r>
    </w:p>
    <w:p w14:paraId="45FA3A63" w14:textId="15F4A3A8" w:rsidR="00206858" w:rsidRDefault="00206858" w:rsidP="00206858">
      <w:pPr>
        <w:pStyle w:val="Bullet-green"/>
        <w:numPr>
          <w:ilvl w:val="0"/>
          <w:numId w:val="0"/>
        </w:numPr>
        <w:rPr>
          <w:rStyle w:val="None"/>
          <w:b/>
          <w:bCs/>
        </w:rPr>
      </w:pPr>
      <w:r>
        <w:rPr>
          <w:rStyle w:val="None"/>
          <w:b/>
          <w:bCs/>
        </w:rPr>
        <w:t xml:space="preserve">Recommendation 18: Combine </w:t>
      </w:r>
      <w:r w:rsidR="0033464F">
        <w:rPr>
          <w:rStyle w:val="None"/>
          <w:b/>
          <w:bCs/>
        </w:rPr>
        <w:t xml:space="preserve">excision of rectal tumour </w:t>
      </w:r>
      <w:r>
        <w:rPr>
          <w:rStyle w:val="None"/>
          <w:b/>
          <w:bCs/>
        </w:rPr>
        <w:t xml:space="preserve">items </w:t>
      </w:r>
      <w:r w:rsidR="0033464F">
        <w:rPr>
          <w:rStyle w:val="None"/>
          <w:b/>
          <w:bCs/>
        </w:rPr>
        <w:t xml:space="preserve">32103 and 32104 </w:t>
      </w:r>
      <w:r>
        <w:rPr>
          <w:rStyle w:val="None"/>
          <w:b/>
          <w:bCs/>
        </w:rPr>
        <w:t xml:space="preserve">into one item and amend the descriptor of </w:t>
      </w:r>
      <w:r w:rsidR="0033464F">
        <w:rPr>
          <w:rStyle w:val="None"/>
          <w:b/>
          <w:bCs/>
        </w:rPr>
        <w:t>excision of rectal tumour item 32106</w:t>
      </w:r>
      <w:r>
        <w:rPr>
          <w:rStyle w:val="None"/>
          <w:b/>
          <w:bCs/>
        </w:rPr>
        <w:t>.</w:t>
      </w:r>
    </w:p>
    <w:p w14:paraId="0F907996" w14:textId="5A289E74" w:rsidR="00206858" w:rsidRDefault="00206858" w:rsidP="00206858">
      <w:pPr>
        <w:pStyle w:val="Bullet-green"/>
        <w:rPr>
          <w:lang w:val="en-US"/>
        </w:rPr>
      </w:pPr>
      <w:r>
        <w:rPr>
          <w:lang w:val="en-US"/>
        </w:rPr>
        <w:t>Combine items</w:t>
      </w:r>
      <w:r w:rsidRPr="001D6903">
        <w:rPr>
          <w:lang w:val="en-US"/>
        </w:rPr>
        <w:t xml:space="preserve"> </w:t>
      </w:r>
      <w:r>
        <w:rPr>
          <w:lang w:val="en-US"/>
        </w:rPr>
        <w:t>32103</w:t>
      </w:r>
      <w:r w:rsidRPr="001D6903">
        <w:rPr>
          <w:lang w:val="en-US"/>
        </w:rPr>
        <w:t xml:space="preserve"> and </w:t>
      </w:r>
      <w:r>
        <w:rPr>
          <w:lang w:val="en-US"/>
        </w:rPr>
        <w:t>32104</w:t>
      </w:r>
      <w:r w:rsidRPr="001D6903">
        <w:rPr>
          <w:lang w:val="en-US"/>
        </w:rPr>
        <w:t xml:space="preserve"> into one item</w:t>
      </w:r>
      <w:r>
        <w:rPr>
          <w:lang w:val="en-US"/>
        </w:rPr>
        <w:t xml:space="preserve"> and amend </w:t>
      </w:r>
      <w:r w:rsidR="00D773FB">
        <w:rPr>
          <w:lang w:val="en-US"/>
        </w:rPr>
        <w:t xml:space="preserve">the </w:t>
      </w:r>
      <w:r>
        <w:rPr>
          <w:lang w:val="en-US"/>
        </w:rPr>
        <w:t>item descriptor accordingly</w:t>
      </w:r>
      <w:r w:rsidRPr="001D6903">
        <w:rPr>
          <w:lang w:val="en-US"/>
        </w:rPr>
        <w:t>.</w:t>
      </w:r>
    </w:p>
    <w:p w14:paraId="7D1D2B98" w14:textId="515B3542" w:rsidR="00206858" w:rsidRDefault="00206858" w:rsidP="00206858">
      <w:pPr>
        <w:pStyle w:val="Bullet-green"/>
        <w:rPr>
          <w:lang w:val="en-US"/>
        </w:rPr>
      </w:pPr>
      <w:r>
        <w:rPr>
          <w:lang w:val="en-US"/>
        </w:rPr>
        <w:t>Amend item descriptor 32106.</w:t>
      </w:r>
    </w:p>
    <w:p w14:paraId="48080C86" w14:textId="77957F31" w:rsidR="005B5EA2" w:rsidRPr="00022999" w:rsidRDefault="00C970D1" w:rsidP="009B0618">
      <w:pPr>
        <w:pStyle w:val="Bullet-green"/>
        <w:numPr>
          <w:ilvl w:val="0"/>
          <w:numId w:val="29"/>
        </w:numPr>
        <w:rPr>
          <w:i/>
          <w:lang w:val="en-US"/>
        </w:rPr>
      </w:pPr>
      <w:r w:rsidRPr="00022999">
        <w:rPr>
          <w:i/>
          <w:lang w:val="en-US"/>
        </w:rPr>
        <w:t xml:space="preserve">Both amendments </w:t>
      </w:r>
      <w:r w:rsidRPr="00022999">
        <w:rPr>
          <w:rStyle w:val="None"/>
          <w:bCs/>
          <w:i/>
        </w:rPr>
        <w:t>provide an updated description of the technology involved.</w:t>
      </w:r>
    </w:p>
    <w:p w14:paraId="2A3622E3" w14:textId="331DAF11" w:rsidR="00206858" w:rsidRDefault="00206858" w:rsidP="00206858">
      <w:pPr>
        <w:pStyle w:val="Bullet-green"/>
        <w:numPr>
          <w:ilvl w:val="0"/>
          <w:numId w:val="0"/>
        </w:numPr>
        <w:ind w:left="431" w:hanging="431"/>
        <w:rPr>
          <w:b/>
          <w:lang w:val="en-US"/>
        </w:rPr>
      </w:pPr>
      <w:r>
        <w:rPr>
          <w:b/>
          <w:lang w:val="en-US"/>
        </w:rPr>
        <w:t>Recommendation 19:</w:t>
      </w:r>
      <w:r w:rsidRPr="00D7706A">
        <w:rPr>
          <w:b/>
          <w:lang w:val="en-US"/>
        </w:rPr>
        <w:t xml:space="preserve"> </w:t>
      </w:r>
      <w:r>
        <w:rPr>
          <w:b/>
          <w:lang w:val="en-US"/>
        </w:rPr>
        <w:t xml:space="preserve">Leave </w:t>
      </w:r>
      <w:proofErr w:type="spellStart"/>
      <w:r w:rsidR="0033464F">
        <w:rPr>
          <w:b/>
          <w:lang w:val="en-US"/>
        </w:rPr>
        <w:t>anoplasty</w:t>
      </w:r>
      <w:proofErr w:type="spellEnd"/>
      <w:r w:rsidR="0033464F">
        <w:rPr>
          <w:b/>
          <w:lang w:val="en-US"/>
        </w:rPr>
        <w:t xml:space="preserve"> item 32123 and rectocele repair item 32131</w:t>
      </w:r>
      <w:r>
        <w:rPr>
          <w:b/>
          <w:lang w:val="en-US"/>
        </w:rPr>
        <w:t xml:space="preserve"> unchanged.</w:t>
      </w:r>
    </w:p>
    <w:p w14:paraId="79E52126" w14:textId="75E5B80B" w:rsidR="00206858" w:rsidRDefault="00206858" w:rsidP="00206858">
      <w:pPr>
        <w:pStyle w:val="Bullet-green"/>
        <w:rPr>
          <w:lang w:val="en-US"/>
        </w:rPr>
      </w:pPr>
      <w:r>
        <w:rPr>
          <w:lang w:val="en-US"/>
        </w:rPr>
        <w:t>Items 32123 and 32131 remain unchanged.</w:t>
      </w:r>
    </w:p>
    <w:p w14:paraId="6635A1F8" w14:textId="426BCB04" w:rsidR="00206858" w:rsidRPr="00022999" w:rsidRDefault="00206858" w:rsidP="009B0618">
      <w:pPr>
        <w:pStyle w:val="Bullet-green"/>
        <w:numPr>
          <w:ilvl w:val="0"/>
          <w:numId w:val="30"/>
        </w:numPr>
        <w:rPr>
          <w:b/>
          <w:i/>
          <w:lang w:val="en-US"/>
        </w:rPr>
      </w:pPr>
      <w:r w:rsidRPr="00022999">
        <w:rPr>
          <w:i/>
        </w:rPr>
        <w:t>These procedures remain clinically relevant and adequately described by the current item descriptors.</w:t>
      </w:r>
    </w:p>
    <w:p w14:paraId="3D728860" w14:textId="27FF1965" w:rsidR="00206858" w:rsidRDefault="00206858" w:rsidP="00206858">
      <w:pPr>
        <w:pStyle w:val="Bullet-green"/>
        <w:numPr>
          <w:ilvl w:val="0"/>
          <w:numId w:val="0"/>
        </w:numPr>
        <w:ind w:left="431" w:hanging="431"/>
        <w:rPr>
          <w:b/>
          <w:lang w:val="en-US"/>
        </w:rPr>
      </w:pPr>
      <w:r>
        <w:rPr>
          <w:b/>
          <w:lang w:val="en-US"/>
        </w:rPr>
        <w:lastRenderedPageBreak/>
        <w:t>Recommendation 20:</w:t>
      </w:r>
      <w:r w:rsidRPr="00D7706A">
        <w:rPr>
          <w:b/>
          <w:lang w:val="en-US"/>
        </w:rPr>
        <w:t xml:space="preserve"> </w:t>
      </w:r>
      <w:r>
        <w:rPr>
          <w:b/>
          <w:lang w:val="en-US"/>
        </w:rPr>
        <w:t xml:space="preserve">Delete </w:t>
      </w:r>
      <w:r w:rsidR="0033464F">
        <w:rPr>
          <w:b/>
          <w:lang w:val="en-US"/>
        </w:rPr>
        <w:t xml:space="preserve">repair of rectal prolapse </w:t>
      </w:r>
      <w:r>
        <w:rPr>
          <w:b/>
          <w:lang w:val="en-US"/>
        </w:rPr>
        <w:t>items</w:t>
      </w:r>
      <w:r w:rsidR="002A7B5A">
        <w:rPr>
          <w:b/>
          <w:lang w:val="en-US"/>
        </w:rPr>
        <w:t xml:space="preserve"> 321</w:t>
      </w:r>
      <w:r w:rsidR="0000036C">
        <w:rPr>
          <w:b/>
          <w:lang w:val="en-US"/>
        </w:rPr>
        <w:t>20</w:t>
      </w:r>
      <w:r w:rsidR="002A7B5A">
        <w:rPr>
          <w:b/>
          <w:lang w:val="en-US"/>
        </w:rPr>
        <w:t xml:space="preserve"> and 321</w:t>
      </w:r>
      <w:r w:rsidR="0000036C">
        <w:rPr>
          <w:b/>
          <w:lang w:val="en-US"/>
        </w:rPr>
        <w:t>26</w:t>
      </w:r>
      <w:r>
        <w:rPr>
          <w:b/>
          <w:lang w:val="en-US"/>
        </w:rPr>
        <w:t>.</w:t>
      </w:r>
    </w:p>
    <w:p w14:paraId="6DE6A6B2" w14:textId="062BFADA" w:rsidR="00206858" w:rsidRDefault="0000036C" w:rsidP="00206858">
      <w:pPr>
        <w:pStyle w:val="Bullet-green"/>
        <w:rPr>
          <w:lang w:val="en-US"/>
        </w:rPr>
      </w:pPr>
      <w:r>
        <w:rPr>
          <w:lang w:val="en-US"/>
        </w:rPr>
        <w:t>Delete items 32120 and 32126</w:t>
      </w:r>
      <w:r w:rsidR="00206858">
        <w:rPr>
          <w:lang w:val="en-US"/>
        </w:rPr>
        <w:t>.</w:t>
      </w:r>
    </w:p>
    <w:p w14:paraId="3C58216F" w14:textId="3D5E6539" w:rsidR="00206858" w:rsidRPr="00022999" w:rsidRDefault="00606C1B" w:rsidP="009B0618">
      <w:pPr>
        <w:pStyle w:val="Bullet-green"/>
        <w:numPr>
          <w:ilvl w:val="0"/>
          <w:numId w:val="30"/>
        </w:numPr>
        <w:rPr>
          <w:rStyle w:val="None"/>
          <w:b/>
          <w:i/>
          <w:lang w:val="en-US"/>
        </w:rPr>
      </w:pPr>
      <w:r w:rsidRPr="00022999">
        <w:rPr>
          <w:rStyle w:val="None"/>
          <w:i/>
        </w:rPr>
        <w:t xml:space="preserve">Deletion was recommended as these items are considered obsolete, either by being better described by another item, or </w:t>
      </w:r>
      <w:r w:rsidR="005B5EA2" w:rsidRPr="00022999">
        <w:rPr>
          <w:rStyle w:val="None"/>
          <w:i/>
        </w:rPr>
        <w:t xml:space="preserve">by being </w:t>
      </w:r>
      <w:r w:rsidRPr="00022999">
        <w:rPr>
          <w:rStyle w:val="None"/>
          <w:i/>
        </w:rPr>
        <w:t xml:space="preserve">rarely performed with little evidence to support its continual use. </w:t>
      </w:r>
    </w:p>
    <w:p w14:paraId="76C4C4FF" w14:textId="10F4656E" w:rsidR="00360FC4" w:rsidRPr="00E41A1C" w:rsidRDefault="00360FC4" w:rsidP="00360FC4">
      <w:pPr>
        <w:pStyle w:val="Bullet-green"/>
        <w:numPr>
          <w:ilvl w:val="0"/>
          <w:numId w:val="0"/>
        </w:numPr>
      </w:pPr>
      <w:r w:rsidRPr="00E41A1C">
        <w:rPr>
          <w:b/>
          <w:lang w:val="en-US"/>
        </w:rPr>
        <w:t xml:space="preserve">Recommendation </w:t>
      </w:r>
      <w:r>
        <w:rPr>
          <w:b/>
          <w:lang w:val="en-US"/>
        </w:rPr>
        <w:t>21</w:t>
      </w:r>
      <w:r w:rsidRPr="00E41A1C">
        <w:rPr>
          <w:b/>
          <w:lang w:val="en-US"/>
        </w:rPr>
        <w:t xml:space="preserve">: </w:t>
      </w:r>
      <w:r>
        <w:rPr>
          <w:b/>
          <w:lang w:val="en-US"/>
        </w:rPr>
        <w:t xml:space="preserve">Combine </w:t>
      </w:r>
      <w:r w:rsidR="0033464F">
        <w:rPr>
          <w:b/>
          <w:lang w:val="en-US"/>
        </w:rPr>
        <w:t>repair of rectal prolapse</w:t>
      </w:r>
      <w:r>
        <w:rPr>
          <w:b/>
          <w:lang w:val="en-US"/>
        </w:rPr>
        <w:t xml:space="preserve"> items </w:t>
      </w:r>
      <w:r w:rsidR="002A7B5A">
        <w:rPr>
          <w:b/>
          <w:lang w:val="en-US"/>
        </w:rPr>
        <w:t xml:space="preserve">32111 and 32112 </w:t>
      </w:r>
      <w:r>
        <w:rPr>
          <w:b/>
          <w:lang w:val="en-US"/>
        </w:rPr>
        <w:t>into one item</w:t>
      </w:r>
      <w:r w:rsidR="0033464F">
        <w:rPr>
          <w:b/>
          <w:lang w:val="en-US"/>
        </w:rPr>
        <w:t>.</w:t>
      </w:r>
    </w:p>
    <w:p w14:paraId="75C65448" w14:textId="39099ED2" w:rsidR="00360FC4" w:rsidRDefault="00360FC4" w:rsidP="00360FC4">
      <w:pPr>
        <w:pStyle w:val="Bullet-green"/>
        <w:rPr>
          <w:lang w:val="en-US"/>
        </w:rPr>
      </w:pPr>
      <w:r>
        <w:rPr>
          <w:lang w:val="en-US"/>
        </w:rPr>
        <w:t>Combine items</w:t>
      </w:r>
      <w:r w:rsidRPr="001D6903">
        <w:rPr>
          <w:lang w:val="en-US"/>
        </w:rPr>
        <w:t xml:space="preserve"> </w:t>
      </w:r>
      <w:r>
        <w:rPr>
          <w:lang w:val="en-US"/>
        </w:rPr>
        <w:t>32111</w:t>
      </w:r>
      <w:r w:rsidRPr="001D6903">
        <w:rPr>
          <w:lang w:val="en-US"/>
        </w:rPr>
        <w:t xml:space="preserve"> and </w:t>
      </w:r>
      <w:r>
        <w:rPr>
          <w:lang w:val="en-US"/>
        </w:rPr>
        <w:t>32112</w:t>
      </w:r>
      <w:r w:rsidRPr="001D6903">
        <w:rPr>
          <w:lang w:val="en-US"/>
        </w:rPr>
        <w:t xml:space="preserve"> into one item</w:t>
      </w:r>
      <w:r>
        <w:rPr>
          <w:lang w:val="en-US"/>
        </w:rPr>
        <w:t xml:space="preserve"> and amend </w:t>
      </w:r>
      <w:r w:rsidR="00D773FB">
        <w:rPr>
          <w:lang w:val="en-US"/>
        </w:rPr>
        <w:t xml:space="preserve">the </w:t>
      </w:r>
      <w:r>
        <w:rPr>
          <w:lang w:val="en-US"/>
        </w:rPr>
        <w:t>item descriptor accordingly</w:t>
      </w:r>
      <w:r w:rsidRPr="001D6903">
        <w:rPr>
          <w:lang w:val="en-US"/>
        </w:rPr>
        <w:t>.</w:t>
      </w:r>
    </w:p>
    <w:p w14:paraId="6B5CC007" w14:textId="466A7654" w:rsidR="00606C1B" w:rsidRPr="00022999" w:rsidRDefault="00360FC4" w:rsidP="009B0618">
      <w:pPr>
        <w:pStyle w:val="Bullet-green"/>
        <w:numPr>
          <w:ilvl w:val="0"/>
          <w:numId w:val="30"/>
        </w:numPr>
        <w:rPr>
          <w:b/>
          <w:i/>
          <w:lang w:val="en-US"/>
        </w:rPr>
      </w:pPr>
      <w:r w:rsidRPr="00022999">
        <w:rPr>
          <w:i/>
        </w:rPr>
        <w:t>There are currently a number of procedures available to treat rectal prolapse, which have similar degrees of complexity. As the number of services for item 32112 is expected to decrease further in the future, it would be appropriate to combine the two items.</w:t>
      </w:r>
    </w:p>
    <w:p w14:paraId="14E38821" w14:textId="72DAC370" w:rsidR="00360FC4" w:rsidRPr="00E41A1C" w:rsidRDefault="00360FC4" w:rsidP="00360FC4">
      <w:pPr>
        <w:pStyle w:val="Bullet-green"/>
        <w:numPr>
          <w:ilvl w:val="0"/>
          <w:numId w:val="0"/>
        </w:numPr>
      </w:pPr>
      <w:r w:rsidRPr="00E41A1C">
        <w:rPr>
          <w:b/>
          <w:lang w:val="en-US"/>
        </w:rPr>
        <w:t xml:space="preserve">Recommendation </w:t>
      </w:r>
      <w:r>
        <w:rPr>
          <w:b/>
          <w:lang w:val="en-US"/>
        </w:rPr>
        <w:t>2</w:t>
      </w:r>
      <w:r w:rsidR="002D44AC">
        <w:rPr>
          <w:b/>
          <w:lang w:val="en-US"/>
        </w:rPr>
        <w:t>2</w:t>
      </w:r>
      <w:r w:rsidRPr="00E41A1C">
        <w:rPr>
          <w:b/>
          <w:lang w:val="en-US"/>
        </w:rPr>
        <w:t xml:space="preserve">: </w:t>
      </w:r>
      <w:r>
        <w:rPr>
          <w:b/>
          <w:lang w:val="en-US"/>
        </w:rPr>
        <w:t xml:space="preserve">Combine </w:t>
      </w:r>
      <w:r w:rsidR="0033464F">
        <w:rPr>
          <w:b/>
          <w:lang w:val="en-US"/>
        </w:rPr>
        <w:t xml:space="preserve">treatment of rectal stricture </w:t>
      </w:r>
      <w:r>
        <w:rPr>
          <w:b/>
          <w:lang w:val="en-US"/>
        </w:rPr>
        <w:t xml:space="preserve">items </w:t>
      </w:r>
      <w:r w:rsidR="00E0030E">
        <w:rPr>
          <w:b/>
          <w:lang w:val="en-US"/>
        </w:rPr>
        <w:t xml:space="preserve">32114 and 32115 </w:t>
      </w:r>
      <w:r>
        <w:rPr>
          <w:b/>
          <w:lang w:val="en-US"/>
        </w:rPr>
        <w:t>into one item</w:t>
      </w:r>
      <w:r w:rsidR="0033464F">
        <w:rPr>
          <w:b/>
          <w:lang w:val="en-US"/>
        </w:rPr>
        <w:t>.</w:t>
      </w:r>
    </w:p>
    <w:p w14:paraId="77EA05F8" w14:textId="00717DF7" w:rsidR="00360FC4" w:rsidRDefault="00360FC4" w:rsidP="00360FC4">
      <w:pPr>
        <w:pStyle w:val="Bullet-green"/>
        <w:rPr>
          <w:lang w:val="en-US"/>
        </w:rPr>
      </w:pPr>
      <w:r>
        <w:rPr>
          <w:lang w:val="en-US"/>
        </w:rPr>
        <w:t>Combine items</w:t>
      </w:r>
      <w:r w:rsidRPr="001D6903">
        <w:rPr>
          <w:lang w:val="en-US"/>
        </w:rPr>
        <w:t xml:space="preserve"> </w:t>
      </w:r>
      <w:r>
        <w:rPr>
          <w:lang w:val="en-US"/>
        </w:rPr>
        <w:t>32114</w:t>
      </w:r>
      <w:r w:rsidRPr="001D6903">
        <w:rPr>
          <w:lang w:val="en-US"/>
        </w:rPr>
        <w:t xml:space="preserve"> and </w:t>
      </w:r>
      <w:r>
        <w:rPr>
          <w:lang w:val="en-US"/>
        </w:rPr>
        <w:t>32115</w:t>
      </w:r>
      <w:r w:rsidRPr="001D6903">
        <w:rPr>
          <w:lang w:val="en-US"/>
        </w:rPr>
        <w:t xml:space="preserve"> into one item</w:t>
      </w:r>
      <w:r>
        <w:rPr>
          <w:lang w:val="en-US"/>
        </w:rPr>
        <w:t xml:space="preserve"> and amend</w:t>
      </w:r>
      <w:r w:rsidR="00D773FB">
        <w:rPr>
          <w:lang w:val="en-US"/>
        </w:rPr>
        <w:t xml:space="preserve"> the</w:t>
      </w:r>
      <w:r>
        <w:rPr>
          <w:lang w:val="en-US"/>
        </w:rPr>
        <w:t xml:space="preserve"> item descriptor accordingly</w:t>
      </w:r>
      <w:r w:rsidRPr="001D6903">
        <w:rPr>
          <w:lang w:val="en-US"/>
        </w:rPr>
        <w:t>.</w:t>
      </w:r>
    </w:p>
    <w:p w14:paraId="2A7E4497" w14:textId="31983979" w:rsidR="00206858" w:rsidRPr="00022999" w:rsidRDefault="00360FC4" w:rsidP="009B0618">
      <w:pPr>
        <w:pStyle w:val="Bullet-green"/>
        <w:numPr>
          <w:ilvl w:val="0"/>
          <w:numId w:val="31"/>
        </w:numPr>
        <w:rPr>
          <w:rStyle w:val="None"/>
          <w:i/>
          <w:lang w:val="en-US"/>
        </w:rPr>
      </w:pPr>
      <w:r w:rsidRPr="00022999">
        <w:rPr>
          <w:rStyle w:val="None"/>
          <w:bCs/>
          <w:i/>
          <w:lang w:val="en-US"/>
        </w:rPr>
        <w:t>There are currently a number of procedures available to treat rectal strictures. Combining the two would serve to simplify the MBS.</w:t>
      </w:r>
    </w:p>
    <w:p w14:paraId="248BA662" w14:textId="2B2ED322" w:rsidR="002D44AC" w:rsidRPr="00A13997" w:rsidRDefault="002D44AC" w:rsidP="002D44AC">
      <w:pPr>
        <w:pStyle w:val="TOC3"/>
        <w:ind w:left="0" w:firstLine="0"/>
        <w:rPr>
          <w:b w:val="0"/>
        </w:rPr>
      </w:pPr>
      <w:r w:rsidRPr="00A13997">
        <w:t xml:space="preserve">Recommendation </w:t>
      </w:r>
      <w:r>
        <w:t>23</w:t>
      </w:r>
      <w:r w:rsidRPr="00A13997">
        <w:t xml:space="preserve">: </w:t>
      </w:r>
      <w:r w:rsidRPr="005218BD">
        <w:rPr>
          <w:rStyle w:val="None"/>
          <w:lang w:val="en-US"/>
        </w:rPr>
        <w:t xml:space="preserve">Amend the descriptor </w:t>
      </w:r>
      <w:r>
        <w:rPr>
          <w:rStyle w:val="None"/>
          <w:lang w:val="en-US"/>
        </w:rPr>
        <w:t>of</w:t>
      </w:r>
      <w:r w:rsidRPr="005218BD">
        <w:rPr>
          <w:rStyle w:val="None"/>
          <w:lang w:val="en-US"/>
        </w:rPr>
        <w:t xml:space="preserve"> </w:t>
      </w:r>
      <w:r w:rsidR="0033464F">
        <w:rPr>
          <w:rStyle w:val="None"/>
          <w:lang w:val="en-US"/>
        </w:rPr>
        <w:t xml:space="preserve">repair of rectal prolapse </w:t>
      </w:r>
      <w:r w:rsidRPr="005218BD">
        <w:rPr>
          <w:rStyle w:val="None"/>
          <w:lang w:val="en-US"/>
        </w:rPr>
        <w:t xml:space="preserve">item </w:t>
      </w:r>
      <w:r>
        <w:rPr>
          <w:rStyle w:val="None"/>
          <w:lang w:val="en-US"/>
        </w:rPr>
        <w:t>32117</w:t>
      </w:r>
      <w:r w:rsidRPr="005218BD">
        <w:rPr>
          <w:rStyle w:val="None"/>
          <w:lang w:val="en-US"/>
        </w:rPr>
        <w:t>.</w:t>
      </w:r>
    </w:p>
    <w:p w14:paraId="1C7AC323" w14:textId="018F1927" w:rsidR="002D44AC" w:rsidRDefault="002D44AC" w:rsidP="002D44AC">
      <w:pPr>
        <w:pStyle w:val="Bullet-green"/>
      </w:pPr>
      <w:r>
        <w:t>Amend item descriptor of 32117.</w:t>
      </w:r>
    </w:p>
    <w:p w14:paraId="2C9CDEC5" w14:textId="0A659702" w:rsidR="002D44AC" w:rsidRPr="00022999" w:rsidRDefault="002D44AC" w:rsidP="009B0618">
      <w:pPr>
        <w:pStyle w:val="Bullet-green"/>
        <w:numPr>
          <w:ilvl w:val="0"/>
          <w:numId w:val="31"/>
        </w:numPr>
        <w:rPr>
          <w:i/>
          <w:lang w:val="en-US"/>
        </w:rPr>
      </w:pPr>
      <w:r w:rsidRPr="00022999">
        <w:rPr>
          <w:i/>
          <w:lang w:val="en-US"/>
        </w:rPr>
        <w:t xml:space="preserve">The descriptor amended to include restrictions on co-claiming and to prevent item being used for ventral rectopexy (see recommendation 25). </w:t>
      </w:r>
    </w:p>
    <w:p w14:paraId="144A4017" w14:textId="3CC93381" w:rsidR="00C60A11" w:rsidRPr="00A13997" w:rsidRDefault="00C60A11" w:rsidP="00C60A11">
      <w:pPr>
        <w:pStyle w:val="TOC3"/>
        <w:ind w:left="0" w:firstLine="0"/>
        <w:rPr>
          <w:b w:val="0"/>
        </w:rPr>
      </w:pPr>
      <w:r w:rsidRPr="00A13997">
        <w:t xml:space="preserve">Recommendation </w:t>
      </w:r>
      <w:r>
        <w:t>24</w:t>
      </w:r>
      <w:r w:rsidRPr="00A13997">
        <w:t xml:space="preserve">: </w:t>
      </w:r>
      <w:r w:rsidRPr="005218BD">
        <w:rPr>
          <w:rStyle w:val="None"/>
          <w:lang w:val="en-US"/>
        </w:rPr>
        <w:t xml:space="preserve">Amend the descriptor </w:t>
      </w:r>
      <w:r>
        <w:rPr>
          <w:rStyle w:val="None"/>
          <w:lang w:val="en-US"/>
        </w:rPr>
        <w:t>of</w:t>
      </w:r>
      <w:r w:rsidRPr="005218BD">
        <w:rPr>
          <w:rStyle w:val="None"/>
          <w:lang w:val="en-US"/>
        </w:rPr>
        <w:t xml:space="preserve"> </w:t>
      </w:r>
      <w:r w:rsidR="0033464F">
        <w:rPr>
          <w:rStyle w:val="None"/>
          <w:lang w:val="en-US"/>
        </w:rPr>
        <w:t xml:space="preserve">anal sphincter repair </w:t>
      </w:r>
      <w:r w:rsidRPr="005218BD">
        <w:rPr>
          <w:rStyle w:val="None"/>
          <w:lang w:val="en-US"/>
        </w:rPr>
        <w:t xml:space="preserve">item </w:t>
      </w:r>
      <w:r>
        <w:rPr>
          <w:rStyle w:val="None"/>
          <w:lang w:val="en-US"/>
        </w:rPr>
        <w:t>32129</w:t>
      </w:r>
      <w:r w:rsidRPr="005218BD">
        <w:rPr>
          <w:rStyle w:val="None"/>
          <w:lang w:val="en-US"/>
        </w:rPr>
        <w:t>.</w:t>
      </w:r>
    </w:p>
    <w:p w14:paraId="7F896AA0" w14:textId="56C4F660" w:rsidR="00C60A11" w:rsidRDefault="00C60A11" w:rsidP="00C60A11">
      <w:pPr>
        <w:pStyle w:val="Bullet-green"/>
      </w:pPr>
      <w:r>
        <w:t>Amend item descriptor of 32129.</w:t>
      </w:r>
    </w:p>
    <w:p w14:paraId="37E1B07F" w14:textId="49A4201D" w:rsidR="00360FC4" w:rsidRPr="00022999" w:rsidRDefault="00C60A11" w:rsidP="009B0618">
      <w:pPr>
        <w:pStyle w:val="Bullet-green"/>
        <w:numPr>
          <w:ilvl w:val="0"/>
          <w:numId w:val="31"/>
        </w:numPr>
        <w:rPr>
          <w:i/>
          <w:lang w:val="en-US"/>
        </w:rPr>
      </w:pPr>
      <w:r w:rsidRPr="00022999">
        <w:rPr>
          <w:rStyle w:val="None"/>
          <w:i/>
          <w:lang w:val="en-US"/>
        </w:rPr>
        <w:t xml:space="preserve">The </w:t>
      </w:r>
      <w:r w:rsidR="00F011AE" w:rsidRPr="00022999">
        <w:rPr>
          <w:rStyle w:val="None"/>
          <w:i/>
          <w:lang w:val="en-US"/>
        </w:rPr>
        <w:t>Taskforce</w:t>
      </w:r>
      <w:r w:rsidR="008D0825" w:rsidRPr="00022999">
        <w:rPr>
          <w:rStyle w:val="None"/>
          <w:i/>
          <w:lang w:val="en-US"/>
        </w:rPr>
        <w:t xml:space="preserve"> recommended </w:t>
      </w:r>
      <w:r w:rsidRPr="00022999">
        <w:rPr>
          <w:rStyle w:val="None"/>
          <w:i/>
          <w:lang w:val="en-US"/>
        </w:rPr>
        <w:t>minor change</w:t>
      </w:r>
      <w:r w:rsidR="008D0825" w:rsidRPr="00022999">
        <w:rPr>
          <w:rStyle w:val="None"/>
          <w:i/>
          <w:lang w:val="en-US"/>
        </w:rPr>
        <w:t>s</w:t>
      </w:r>
      <w:r w:rsidRPr="00022999">
        <w:rPr>
          <w:rStyle w:val="None"/>
          <w:i/>
          <w:lang w:val="en-US"/>
        </w:rPr>
        <w:t xml:space="preserve"> to the wording of the item descriptor to remove superfluous words.</w:t>
      </w:r>
    </w:p>
    <w:p w14:paraId="45F82E32" w14:textId="59CCB549" w:rsidR="00C60A11" w:rsidRPr="00A13997" w:rsidRDefault="00C60A11" w:rsidP="00C60A11">
      <w:pPr>
        <w:pStyle w:val="TOC3"/>
        <w:ind w:left="0" w:firstLine="0"/>
        <w:rPr>
          <w:b w:val="0"/>
        </w:rPr>
      </w:pPr>
      <w:r w:rsidRPr="00A13997">
        <w:t xml:space="preserve">Recommendation </w:t>
      </w:r>
      <w:r>
        <w:t>25</w:t>
      </w:r>
      <w:r w:rsidRPr="00A13997">
        <w:t xml:space="preserve">: </w:t>
      </w:r>
      <w:r>
        <w:rPr>
          <w:rStyle w:val="None"/>
          <w:lang w:val="en-US"/>
        </w:rPr>
        <w:t xml:space="preserve">Create </w:t>
      </w:r>
      <w:r w:rsidR="00E0030E">
        <w:rPr>
          <w:rStyle w:val="None"/>
          <w:lang w:val="en-US"/>
        </w:rPr>
        <w:t xml:space="preserve">a </w:t>
      </w:r>
      <w:r>
        <w:rPr>
          <w:rStyle w:val="None"/>
          <w:lang w:val="en-US"/>
        </w:rPr>
        <w:t>new item</w:t>
      </w:r>
      <w:r w:rsidR="0033464F">
        <w:rPr>
          <w:rStyle w:val="None"/>
          <w:lang w:val="en-US"/>
        </w:rPr>
        <w:t xml:space="preserve"> for </w:t>
      </w:r>
      <w:r>
        <w:t>repair of rectal prolapse</w:t>
      </w:r>
      <w:r w:rsidRPr="005218BD">
        <w:rPr>
          <w:rStyle w:val="None"/>
          <w:lang w:val="en-US"/>
        </w:rPr>
        <w:t>.</w:t>
      </w:r>
    </w:p>
    <w:p w14:paraId="06F4F6D5" w14:textId="6BE30052" w:rsidR="00C60A11" w:rsidRDefault="00C60A11" w:rsidP="00C60A11">
      <w:pPr>
        <w:pStyle w:val="Bullet-green"/>
        <w:rPr>
          <w:lang w:val="en-US"/>
        </w:rPr>
      </w:pPr>
      <w:r>
        <w:t>N</w:t>
      </w:r>
      <w:r w:rsidRPr="00C60A11">
        <w:t>ew item for the repair of rectal pr</w:t>
      </w:r>
      <w:r>
        <w:t>olapse using ventral rectopexy</w:t>
      </w:r>
      <w:r w:rsidR="00022999">
        <w:t>.</w:t>
      </w:r>
    </w:p>
    <w:p w14:paraId="588750F9" w14:textId="21118B8D" w:rsidR="00206858" w:rsidRPr="00022999" w:rsidRDefault="00C60A11" w:rsidP="009B0618">
      <w:pPr>
        <w:pStyle w:val="Bullet-green"/>
        <w:numPr>
          <w:ilvl w:val="0"/>
          <w:numId w:val="32"/>
        </w:numPr>
        <w:rPr>
          <w:i/>
          <w:lang w:val="en-US"/>
        </w:rPr>
      </w:pPr>
      <w:r w:rsidRPr="00022999">
        <w:rPr>
          <w:i/>
        </w:rPr>
        <w:t>To collect accurate data regarding the use of ventral rectopexy (compared to abdominal rectopexy) in Australia</w:t>
      </w:r>
      <w:r w:rsidR="00022999">
        <w:rPr>
          <w:i/>
        </w:rPr>
        <w:t>.</w:t>
      </w:r>
    </w:p>
    <w:p w14:paraId="57E64133" w14:textId="778C8A23" w:rsidR="00DE1D1E" w:rsidRDefault="00DE1D1E" w:rsidP="0033464F">
      <w:pPr>
        <w:pStyle w:val="Bullet-green"/>
        <w:numPr>
          <w:ilvl w:val="0"/>
          <w:numId w:val="0"/>
        </w:numPr>
        <w:rPr>
          <w:b/>
          <w:lang w:val="en-US"/>
        </w:rPr>
      </w:pPr>
      <w:r>
        <w:rPr>
          <w:b/>
          <w:lang w:val="en-US"/>
        </w:rPr>
        <w:t>Recommendation 26:</w:t>
      </w:r>
      <w:r w:rsidRPr="00D7706A">
        <w:rPr>
          <w:b/>
          <w:lang w:val="en-US"/>
        </w:rPr>
        <w:t xml:space="preserve"> </w:t>
      </w:r>
      <w:r>
        <w:rPr>
          <w:b/>
          <w:lang w:val="en-US"/>
        </w:rPr>
        <w:t xml:space="preserve">Leave </w:t>
      </w:r>
      <w:proofErr w:type="spellStart"/>
      <w:r w:rsidRPr="00DE1D1E">
        <w:rPr>
          <w:rStyle w:val="None"/>
          <w:b/>
          <w:bCs/>
          <w:lang w:val="en-US"/>
        </w:rPr>
        <w:t>haemorrhoidectomy</w:t>
      </w:r>
      <w:proofErr w:type="spellEnd"/>
      <w:r w:rsidRPr="00DE1D1E">
        <w:rPr>
          <w:rStyle w:val="None"/>
          <w:b/>
          <w:bCs/>
          <w:lang w:val="en-US"/>
        </w:rPr>
        <w:t xml:space="preserve">, </w:t>
      </w:r>
      <w:r w:rsidR="0033464F">
        <w:rPr>
          <w:rStyle w:val="None"/>
          <w:b/>
          <w:bCs/>
          <w:lang w:val="en-US"/>
        </w:rPr>
        <w:t xml:space="preserve">fistulae and abscess </w:t>
      </w:r>
      <w:r w:rsidR="0033464F">
        <w:rPr>
          <w:b/>
          <w:lang w:val="en-US"/>
        </w:rPr>
        <w:t>items</w:t>
      </w:r>
      <w:r w:rsidR="00E0030E">
        <w:rPr>
          <w:b/>
          <w:lang w:val="en-US"/>
        </w:rPr>
        <w:t xml:space="preserve"> 32147, 32159, 32162, 32166, 32174 and 32175</w:t>
      </w:r>
      <w:r w:rsidR="0033464F">
        <w:rPr>
          <w:b/>
          <w:lang w:val="en-US"/>
        </w:rPr>
        <w:t xml:space="preserve"> unchanged.</w:t>
      </w:r>
    </w:p>
    <w:p w14:paraId="37601F43" w14:textId="21AF5891" w:rsidR="00DE1D1E" w:rsidRDefault="00DE1D1E" w:rsidP="00DE1D1E">
      <w:pPr>
        <w:pStyle w:val="Bullet-green"/>
        <w:rPr>
          <w:lang w:val="en-US"/>
        </w:rPr>
      </w:pPr>
      <w:r>
        <w:rPr>
          <w:lang w:val="en-US"/>
        </w:rPr>
        <w:t xml:space="preserve">Items </w:t>
      </w:r>
      <w:r w:rsidRPr="00DE1D1E">
        <w:rPr>
          <w:lang w:val="en-US"/>
        </w:rPr>
        <w:t>32147, 32159, 32162, 32166, 32174 and 32175</w:t>
      </w:r>
      <w:r>
        <w:rPr>
          <w:lang w:val="en-US"/>
        </w:rPr>
        <w:t xml:space="preserve"> remain unchanged.</w:t>
      </w:r>
    </w:p>
    <w:p w14:paraId="7D9C3018" w14:textId="77777777" w:rsidR="00DE1D1E" w:rsidRPr="00022999" w:rsidRDefault="00DE1D1E" w:rsidP="009B0618">
      <w:pPr>
        <w:pStyle w:val="Bullet-green"/>
        <w:numPr>
          <w:ilvl w:val="0"/>
          <w:numId w:val="32"/>
        </w:numPr>
        <w:rPr>
          <w:b/>
          <w:i/>
          <w:lang w:val="en-US"/>
        </w:rPr>
      </w:pPr>
      <w:r w:rsidRPr="00022999">
        <w:rPr>
          <w:i/>
        </w:rPr>
        <w:t>These procedures remain clinically relevant and adequately described by the current item descriptors.</w:t>
      </w:r>
    </w:p>
    <w:p w14:paraId="7E96256D" w14:textId="37740665" w:rsidR="00DE1D1E" w:rsidRDefault="00DE1D1E" w:rsidP="00DE1D1E">
      <w:pPr>
        <w:pStyle w:val="Bullet-green"/>
        <w:numPr>
          <w:ilvl w:val="0"/>
          <w:numId w:val="0"/>
        </w:numPr>
        <w:ind w:left="431" w:hanging="431"/>
        <w:rPr>
          <w:b/>
          <w:lang w:val="en-US"/>
        </w:rPr>
      </w:pPr>
      <w:r>
        <w:rPr>
          <w:b/>
          <w:lang w:val="en-US"/>
        </w:rPr>
        <w:lastRenderedPageBreak/>
        <w:t>Recommendation 27:</w:t>
      </w:r>
      <w:r w:rsidRPr="00D7706A">
        <w:rPr>
          <w:b/>
          <w:lang w:val="en-US"/>
        </w:rPr>
        <w:t xml:space="preserve"> </w:t>
      </w:r>
      <w:r>
        <w:rPr>
          <w:b/>
          <w:lang w:val="en-US"/>
        </w:rPr>
        <w:t xml:space="preserve">Delete </w:t>
      </w:r>
      <w:r w:rsidR="0033464F">
        <w:rPr>
          <w:rStyle w:val="None"/>
          <w:b/>
          <w:bCs/>
          <w:lang w:val="en-US"/>
        </w:rPr>
        <w:t xml:space="preserve">repair of haemorrhoid items 32132, 32138 and 32153 </w:t>
      </w:r>
      <w:r w:rsidR="00B5520D" w:rsidRPr="00B5520D">
        <w:rPr>
          <w:rStyle w:val="None"/>
          <w:b/>
          <w:bCs/>
          <w:lang w:val="en-US"/>
        </w:rPr>
        <w:t xml:space="preserve">and </w:t>
      </w:r>
      <w:r w:rsidR="0033464F">
        <w:rPr>
          <w:rStyle w:val="None"/>
          <w:b/>
          <w:bCs/>
          <w:lang w:val="en-US"/>
        </w:rPr>
        <w:t>review of fistula item 32168</w:t>
      </w:r>
      <w:r>
        <w:rPr>
          <w:b/>
          <w:lang w:val="en-US"/>
        </w:rPr>
        <w:t>.</w:t>
      </w:r>
    </w:p>
    <w:p w14:paraId="2878DFD1" w14:textId="163E5EFF" w:rsidR="00DE1D1E" w:rsidRDefault="00DE1D1E" w:rsidP="00DE1D1E">
      <w:pPr>
        <w:pStyle w:val="Bullet-green"/>
        <w:rPr>
          <w:lang w:val="en-US"/>
        </w:rPr>
      </w:pPr>
      <w:r>
        <w:rPr>
          <w:lang w:val="en-US"/>
        </w:rPr>
        <w:t xml:space="preserve">Delete items </w:t>
      </w:r>
      <w:r w:rsidR="00B5520D" w:rsidRPr="00B5520D">
        <w:rPr>
          <w:rStyle w:val="None"/>
          <w:bCs/>
          <w:lang w:val="en-US"/>
        </w:rPr>
        <w:t>32132, 32138 and 32153 and 32168</w:t>
      </w:r>
      <w:r w:rsidRPr="00B5520D">
        <w:rPr>
          <w:lang w:val="en-US"/>
        </w:rPr>
        <w:t>.</w:t>
      </w:r>
    </w:p>
    <w:p w14:paraId="3958B5FC" w14:textId="133AD854" w:rsidR="00563311" w:rsidRPr="00022999" w:rsidRDefault="00DE1D1E" w:rsidP="009B0618">
      <w:pPr>
        <w:pStyle w:val="Bullet-green"/>
        <w:numPr>
          <w:ilvl w:val="0"/>
          <w:numId w:val="32"/>
        </w:numPr>
        <w:rPr>
          <w:rStyle w:val="None"/>
          <w:i/>
          <w:lang w:val="en-US"/>
        </w:rPr>
      </w:pPr>
      <w:r w:rsidRPr="00022999">
        <w:rPr>
          <w:rStyle w:val="None"/>
          <w:i/>
        </w:rPr>
        <w:t xml:space="preserve">Deletion was recommended as these </w:t>
      </w:r>
      <w:r w:rsidR="008D0825" w:rsidRPr="00022999">
        <w:rPr>
          <w:rStyle w:val="None"/>
          <w:i/>
        </w:rPr>
        <w:t xml:space="preserve">items are considered obsolete </w:t>
      </w:r>
      <w:r w:rsidRPr="00022999">
        <w:rPr>
          <w:rStyle w:val="None"/>
          <w:i/>
        </w:rPr>
        <w:t>as they are sufficiently described by other items in the MBS.</w:t>
      </w:r>
    </w:p>
    <w:p w14:paraId="00E35AE3" w14:textId="4B29C268" w:rsidR="00B5520D" w:rsidRPr="00E41A1C" w:rsidRDefault="00B5520D" w:rsidP="00B5520D">
      <w:pPr>
        <w:pStyle w:val="Bullet-green"/>
        <w:numPr>
          <w:ilvl w:val="0"/>
          <w:numId w:val="0"/>
        </w:numPr>
      </w:pPr>
      <w:r w:rsidRPr="00E41A1C">
        <w:rPr>
          <w:b/>
          <w:lang w:val="en-US"/>
        </w:rPr>
        <w:t xml:space="preserve">Recommendation </w:t>
      </w:r>
      <w:r>
        <w:rPr>
          <w:b/>
          <w:lang w:val="en-US"/>
        </w:rPr>
        <w:t>28</w:t>
      </w:r>
      <w:r w:rsidRPr="00E41A1C">
        <w:rPr>
          <w:b/>
          <w:lang w:val="en-US"/>
        </w:rPr>
        <w:t xml:space="preserve">: </w:t>
      </w:r>
      <w:r>
        <w:rPr>
          <w:b/>
          <w:lang w:val="en-US"/>
        </w:rPr>
        <w:t>Combine</w:t>
      </w:r>
      <w:r w:rsidR="0033464F">
        <w:rPr>
          <w:b/>
          <w:lang w:val="en-US"/>
        </w:rPr>
        <w:t xml:space="preserve"> excision of anal skin tag/anal polyp</w:t>
      </w:r>
      <w:r>
        <w:rPr>
          <w:b/>
          <w:lang w:val="en-US"/>
        </w:rPr>
        <w:t xml:space="preserve"> items </w:t>
      </w:r>
      <w:r w:rsidR="00E0030E">
        <w:rPr>
          <w:b/>
          <w:lang w:val="en-US"/>
        </w:rPr>
        <w:t xml:space="preserve">32142 and 32145 </w:t>
      </w:r>
      <w:r>
        <w:rPr>
          <w:b/>
          <w:lang w:val="en-US"/>
        </w:rPr>
        <w:t>into one item</w:t>
      </w:r>
      <w:r w:rsidR="0033464F">
        <w:rPr>
          <w:b/>
          <w:lang w:val="en-US"/>
        </w:rPr>
        <w:t>.</w:t>
      </w:r>
    </w:p>
    <w:p w14:paraId="394747CF" w14:textId="56FFECC1" w:rsidR="00B5520D" w:rsidRDefault="00B5520D" w:rsidP="00B5520D">
      <w:pPr>
        <w:pStyle w:val="Bullet-green"/>
        <w:rPr>
          <w:lang w:val="en-US"/>
        </w:rPr>
      </w:pPr>
      <w:r>
        <w:rPr>
          <w:lang w:val="en-US"/>
        </w:rPr>
        <w:t>Combine items</w:t>
      </w:r>
      <w:r w:rsidRPr="001D6903">
        <w:rPr>
          <w:lang w:val="en-US"/>
        </w:rPr>
        <w:t xml:space="preserve"> </w:t>
      </w:r>
      <w:r>
        <w:rPr>
          <w:lang w:val="en-US"/>
        </w:rPr>
        <w:t>32142</w:t>
      </w:r>
      <w:r w:rsidRPr="001D6903">
        <w:rPr>
          <w:lang w:val="en-US"/>
        </w:rPr>
        <w:t xml:space="preserve"> and </w:t>
      </w:r>
      <w:r>
        <w:rPr>
          <w:lang w:val="en-US"/>
        </w:rPr>
        <w:t>32145</w:t>
      </w:r>
      <w:r w:rsidRPr="001D6903">
        <w:rPr>
          <w:lang w:val="en-US"/>
        </w:rPr>
        <w:t xml:space="preserve"> into one item</w:t>
      </w:r>
      <w:r>
        <w:rPr>
          <w:lang w:val="en-US"/>
        </w:rPr>
        <w:t xml:space="preserve"> and amend </w:t>
      </w:r>
      <w:r w:rsidR="008D0825">
        <w:rPr>
          <w:lang w:val="en-US"/>
        </w:rPr>
        <w:t xml:space="preserve">the </w:t>
      </w:r>
      <w:r>
        <w:rPr>
          <w:lang w:val="en-US"/>
        </w:rPr>
        <w:t>item descriptor accordingly</w:t>
      </w:r>
      <w:r w:rsidRPr="001D6903">
        <w:rPr>
          <w:lang w:val="en-US"/>
        </w:rPr>
        <w:t>.</w:t>
      </w:r>
    </w:p>
    <w:p w14:paraId="4E8BA59B" w14:textId="5B94F3C2" w:rsidR="00B5520D" w:rsidRPr="00022999" w:rsidRDefault="00B5520D" w:rsidP="009B0618">
      <w:pPr>
        <w:pStyle w:val="Bullet-green"/>
        <w:numPr>
          <w:ilvl w:val="0"/>
          <w:numId w:val="32"/>
        </w:numPr>
        <w:rPr>
          <w:rStyle w:val="None"/>
          <w:i/>
          <w:lang w:val="en-US"/>
        </w:rPr>
      </w:pPr>
      <w:r w:rsidRPr="00022999">
        <w:rPr>
          <w:rStyle w:val="None"/>
          <w:bCs/>
          <w:i/>
        </w:rPr>
        <w:t xml:space="preserve">The </w:t>
      </w:r>
      <w:r w:rsidR="00F011AE" w:rsidRPr="00022999">
        <w:rPr>
          <w:rStyle w:val="None"/>
          <w:bCs/>
          <w:i/>
        </w:rPr>
        <w:t>Taskforce</w:t>
      </w:r>
      <w:r w:rsidRPr="00022999">
        <w:rPr>
          <w:rStyle w:val="None"/>
          <w:bCs/>
          <w:i/>
        </w:rPr>
        <w:t xml:space="preserve"> agreed these items should be combined so as to simplify and streamline the MBS.</w:t>
      </w:r>
    </w:p>
    <w:p w14:paraId="6F46F9ED" w14:textId="2EA6D3C0" w:rsidR="00B5520D" w:rsidRPr="00E41A1C" w:rsidRDefault="00B5520D" w:rsidP="00B5520D">
      <w:pPr>
        <w:pStyle w:val="Bullet-green"/>
        <w:numPr>
          <w:ilvl w:val="0"/>
          <w:numId w:val="0"/>
        </w:numPr>
      </w:pPr>
      <w:r w:rsidRPr="00E41A1C">
        <w:rPr>
          <w:b/>
          <w:lang w:val="en-US"/>
        </w:rPr>
        <w:t xml:space="preserve">Recommendation </w:t>
      </w:r>
      <w:r>
        <w:rPr>
          <w:b/>
          <w:lang w:val="en-US"/>
        </w:rPr>
        <w:t>29</w:t>
      </w:r>
      <w:r w:rsidRPr="00E41A1C">
        <w:rPr>
          <w:b/>
          <w:lang w:val="en-US"/>
        </w:rPr>
        <w:t xml:space="preserve">: </w:t>
      </w:r>
      <w:r>
        <w:rPr>
          <w:b/>
          <w:lang w:val="en-US"/>
        </w:rPr>
        <w:t xml:space="preserve">Combine </w:t>
      </w:r>
      <w:r w:rsidR="0033464F">
        <w:rPr>
          <w:b/>
          <w:lang w:val="en-US"/>
        </w:rPr>
        <w:t>anal wart removal</w:t>
      </w:r>
      <w:r>
        <w:rPr>
          <w:b/>
          <w:lang w:val="en-US"/>
        </w:rPr>
        <w:t xml:space="preserve"> items </w:t>
      </w:r>
      <w:r w:rsidR="00E0030E">
        <w:rPr>
          <w:b/>
          <w:lang w:val="en-US"/>
        </w:rPr>
        <w:t xml:space="preserve">32177 and 32180 </w:t>
      </w:r>
      <w:r>
        <w:rPr>
          <w:b/>
          <w:lang w:val="en-US"/>
        </w:rPr>
        <w:t>into one item</w:t>
      </w:r>
      <w:r w:rsidR="0033464F">
        <w:rPr>
          <w:b/>
          <w:lang w:val="en-US"/>
        </w:rPr>
        <w:t>.</w:t>
      </w:r>
    </w:p>
    <w:p w14:paraId="336D5FDD" w14:textId="56DB70C1" w:rsidR="00B5520D" w:rsidRDefault="00B5520D" w:rsidP="00B5520D">
      <w:pPr>
        <w:pStyle w:val="Bullet-green"/>
        <w:rPr>
          <w:lang w:val="en-US"/>
        </w:rPr>
      </w:pPr>
      <w:r>
        <w:rPr>
          <w:lang w:val="en-US"/>
        </w:rPr>
        <w:t>Combine items</w:t>
      </w:r>
      <w:r w:rsidRPr="001D6903">
        <w:rPr>
          <w:lang w:val="en-US"/>
        </w:rPr>
        <w:t xml:space="preserve"> </w:t>
      </w:r>
      <w:r>
        <w:rPr>
          <w:lang w:val="en-US"/>
        </w:rPr>
        <w:t>32177</w:t>
      </w:r>
      <w:r w:rsidRPr="001D6903">
        <w:rPr>
          <w:lang w:val="en-US"/>
        </w:rPr>
        <w:t xml:space="preserve"> and </w:t>
      </w:r>
      <w:r>
        <w:rPr>
          <w:lang w:val="en-US"/>
        </w:rPr>
        <w:t>32180</w:t>
      </w:r>
      <w:r w:rsidRPr="001D6903">
        <w:rPr>
          <w:lang w:val="en-US"/>
        </w:rPr>
        <w:t xml:space="preserve"> into one item</w:t>
      </w:r>
      <w:r>
        <w:rPr>
          <w:lang w:val="en-US"/>
        </w:rPr>
        <w:t xml:space="preserve"> and amend </w:t>
      </w:r>
      <w:r w:rsidR="008D0825">
        <w:rPr>
          <w:lang w:val="en-US"/>
        </w:rPr>
        <w:t xml:space="preserve">the </w:t>
      </w:r>
      <w:r>
        <w:rPr>
          <w:lang w:val="en-US"/>
        </w:rPr>
        <w:t>item descriptor accordingly</w:t>
      </w:r>
      <w:r w:rsidRPr="001D6903">
        <w:rPr>
          <w:lang w:val="en-US"/>
        </w:rPr>
        <w:t>.</w:t>
      </w:r>
    </w:p>
    <w:p w14:paraId="3B94DF60" w14:textId="4544E94D" w:rsidR="00B5520D" w:rsidRPr="00022999" w:rsidRDefault="00B5520D" w:rsidP="009B0618">
      <w:pPr>
        <w:pStyle w:val="Bullet-green"/>
        <w:numPr>
          <w:ilvl w:val="0"/>
          <w:numId w:val="33"/>
        </w:numPr>
        <w:rPr>
          <w:rStyle w:val="None"/>
          <w:i/>
          <w:lang w:val="en-US"/>
        </w:rPr>
      </w:pPr>
      <w:r w:rsidRPr="00022999">
        <w:rPr>
          <w:i/>
          <w:lang w:val="en-US"/>
        </w:rPr>
        <w:t>T</w:t>
      </w:r>
      <w:r w:rsidRPr="00022999">
        <w:rPr>
          <w:rStyle w:val="None"/>
          <w:bCs/>
          <w:i/>
        </w:rPr>
        <w:t xml:space="preserve">he </w:t>
      </w:r>
      <w:r w:rsidR="00F011AE" w:rsidRPr="00022999">
        <w:rPr>
          <w:rStyle w:val="None"/>
          <w:bCs/>
          <w:i/>
        </w:rPr>
        <w:t>Taskforce</w:t>
      </w:r>
      <w:r w:rsidRPr="00022999">
        <w:rPr>
          <w:rStyle w:val="None"/>
          <w:bCs/>
          <w:i/>
        </w:rPr>
        <w:t xml:space="preserve"> agreed the current items be combined into one, with no specification of the time taken to perform the procedure </w:t>
      </w:r>
      <w:r w:rsidR="008D0825" w:rsidRPr="00022999">
        <w:rPr>
          <w:rStyle w:val="None"/>
          <w:bCs/>
          <w:i/>
        </w:rPr>
        <w:t xml:space="preserve">in order </w:t>
      </w:r>
      <w:r w:rsidRPr="00022999">
        <w:rPr>
          <w:rStyle w:val="None"/>
          <w:bCs/>
          <w:i/>
        </w:rPr>
        <w:t>to align the item with best practice.</w:t>
      </w:r>
    </w:p>
    <w:p w14:paraId="46EB9848" w14:textId="2BD30D85" w:rsidR="00955C94" w:rsidRDefault="00955C94" w:rsidP="00955C94">
      <w:pPr>
        <w:pStyle w:val="Bullet-green"/>
        <w:numPr>
          <w:ilvl w:val="0"/>
          <w:numId w:val="0"/>
        </w:numPr>
      </w:pPr>
      <w:r>
        <w:rPr>
          <w:b/>
          <w:lang w:val="en-US"/>
        </w:rPr>
        <w:t xml:space="preserve">Recommendation 30: </w:t>
      </w:r>
      <w:r>
        <w:rPr>
          <w:rStyle w:val="None"/>
          <w:b/>
          <w:bCs/>
        </w:rPr>
        <w:t>Amend</w:t>
      </w:r>
      <w:r w:rsidR="0033464F">
        <w:rPr>
          <w:rStyle w:val="None"/>
          <w:b/>
          <w:bCs/>
        </w:rPr>
        <w:t xml:space="preserve"> the</w:t>
      </w:r>
      <w:r>
        <w:rPr>
          <w:rStyle w:val="None"/>
          <w:b/>
          <w:bCs/>
        </w:rPr>
        <w:t xml:space="preserve"> descriptors </w:t>
      </w:r>
      <w:r w:rsidR="0033464F">
        <w:rPr>
          <w:rStyle w:val="None"/>
          <w:b/>
          <w:bCs/>
        </w:rPr>
        <w:t>of haemorrhoidectomy</w:t>
      </w:r>
      <w:r>
        <w:rPr>
          <w:rStyle w:val="None"/>
          <w:b/>
          <w:bCs/>
        </w:rPr>
        <w:t xml:space="preserve"> items </w:t>
      </w:r>
      <w:r w:rsidRPr="00955C94">
        <w:rPr>
          <w:rStyle w:val="None"/>
          <w:b/>
          <w:bCs/>
        </w:rPr>
        <w:t>32135</w:t>
      </w:r>
      <w:r w:rsidR="0033464F">
        <w:rPr>
          <w:rStyle w:val="None"/>
          <w:b/>
          <w:bCs/>
        </w:rPr>
        <w:t xml:space="preserve"> and</w:t>
      </w:r>
      <w:r w:rsidRPr="00955C94">
        <w:rPr>
          <w:rStyle w:val="None"/>
          <w:b/>
          <w:bCs/>
        </w:rPr>
        <w:t xml:space="preserve"> 32139, </w:t>
      </w:r>
      <w:r w:rsidR="0033464F">
        <w:rPr>
          <w:rStyle w:val="None"/>
          <w:b/>
          <w:bCs/>
        </w:rPr>
        <w:t xml:space="preserve">fissure items 32150 and </w:t>
      </w:r>
      <w:r w:rsidRPr="00955C94">
        <w:rPr>
          <w:rStyle w:val="None"/>
          <w:b/>
          <w:bCs/>
        </w:rPr>
        <w:t xml:space="preserve">32156 and </w:t>
      </w:r>
      <w:r w:rsidR="0033464F">
        <w:rPr>
          <w:rStyle w:val="None"/>
          <w:b/>
          <w:bCs/>
        </w:rPr>
        <w:t xml:space="preserve">fistula item </w:t>
      </w:r>
      <w:r w:rsidRPr="00955C94">
        <w:rPr>
          <w:rStyle w:val="None"/>
          <w:b/>
          <w:bCs/>
        </w:rPr>
        <w:t>32165</w:t>
      </w:r>
      <w:r w:rsidR="0033464F">
        <w:rPr>
          <w:rStyle w:val="None"/>
          <w:b/>
          <w:bCs/>
        </w:rPr>
        <w:t>.</w:t>
      </w:r>
    </w:p>
    <w:p w14:paraId="4A88241B" w14:textId="6F921D75" w:rsidR="00955C94" w:rsidRDefault="00955C94" w:rsidP="00955C94">
      <w:pPr>
        <w:pStyle w:val="Bullet-green"/>
      </w:pPr>
      <w:r>
        <w:t xml:space="preserve">Amend descriptors of items </w:t>
      </w:r>
      <w:r w:rsidRPr="00955C94">
        <w:t>32135</w:t>
      </w:r>
      <w:r>
        <w:t>, 32139, 32150, 32156 and 32165.</w:t>
      </w:r>
    </w:p>
    <w:p w14:paraId="29B531EA" w14:textId="6E9FF6F9" w:rsidR="00B5520D" w:rsidRPr="00022999" w:rsidRDefault="00955C94" w:rsidP="009B0618">
      <w:pPr>
        <w:pStyle w:val="Bullet-green"/>
        <w:numPr>
          <w:ilvl w:val="0"/>
          <w:numId w:val="33"/>
        </w:numPr>
        <w:rPr>
          <w:i/>
        </w:rPr>
      </w:pPr>
      <w:r w:rsidRPr="00022999">
        <w:rPr>
          <w:i/>
        </w:rPr>
        <w:t>Descriptors to be amended to more appropriately reflect the modern surgical treatment of these conditions.</w:t>
      </w:r>
    </w:p>
    <w:p w14:paraId="5D39518E" w14:textId="1F88FED0" w:rsidR="007D64FE" w:rsidRDefault="007D64FE" w:rsidP="007D64FE">
      <w:pPr>
        <w:pStyle w:val="Bullet-green"/>
        <w:numPr>
          <w:ilvl w:val="0"/>
          <w:numId w:val="0"/>
        </w:numPr>
        <w:ind w:left="431" w:hanging="431"/>
        <w:rPr>
          <w:b/>
          <w:lang w:val="en-US"/>
        </w:rPr>
      </w:pPr>
      <w:r>
        <w:rPr>
          <w:b/>
          <w:lang w:val="en-US"/>
        </w:rPr>
        <w:t>Recommendation 31:</w:t>
      </w:r>
      <w:r w:rsidRPr="00D7706A">
        <w:rPr>
          <w:b/>
          <w:lang w:val="en-US"/>
        </w:rPr>
        <w:t xml:space="preserve"> </w:t>
      </w:r>
      <w:r>
        <w:rPr>
          <w:b/>
          <w:lang w:val="en-US"/>
        </w:rPr>
        <w:t xml:space="preserve">Delete </w:t>
      </w:r>
      <w:r w:rsidR="0033464F">
        <w:rPr>
          <w:b/>
          <w:lang w:val="en-US"/>
        </w:rPr>
        <w:t xml:space="preserve">graciloplasty </w:t>
      </w:r>
      <w:r>
        <w:rPr>
          <w:b/>
          <w:lang w:val="en-US"/>
        </w:rPr>
        <w:t>items</w:t>
      </w:r>
      <w:r w:rsidR="00E0030E">
        <w:rPr>
          <w:b/>
          <w:lang w:val="en-US"/>
        </w:rPr>
        <w:t xml:space="preserve"> 32</w:t>
      </w:r>
      <w:r w:rsidR="00EF6F3A">
        <w:rPr>
          <w:b/>
          <w:lang w:val="en-US"/>
        </w:rPr>
        <w:t>200</w:t>
      </w:r>
      <w:r w:rsidR="00E0030E">
        <w:rPr>
          <w:b/>
          <w:lang w:val="en-US"/>
        </w:rPr>
        <w:t xml:space="preserve">, </w:t>
      </w:r>
      <w:r w:rsidR="00EF6F3A">
        <w:rPr>
          <w:b/>
          <w:lang w:val="en-US"/>
        </w:rPr>
        <w:t>32203</w:t>
      </w:r>
      <w:r w:rsidR="00E0030E">
        <w:rPr>
          <w:b/>
          <w:lang w:val="en-US"/>
        </w:rPr>
        <w:t xml:space="preserve">, </w:t>
      </w:r>
      <w:r w:rsidR="00EF6F3A">
        <w:rPr>
          <w:b/>
          <w:lang w:val="en-US"/>
        </w:rPr>
        <w:t>32206</w:t>
      </w:r>
      <w:r w:rsidR="00E0030E">
        <w:rPr>
          <w:b/>
          <w:lang w:val="en-US"/>
        </w:rPr>
        <w:t xml:space="preserve"> and </w:t>
      </w:r>
      <w:r w:rsidR="00EF6F3A">
        <w:rPr>
          <w:b/>
          <w:lang w:val="en-US"/>
        </w:rPr>
        <w:t>32209</w:t>
      </w:r>
      <w:r>
        <w:rPr>
          <w:b/>
          <w:lang w:val="en-US"/>
        </w:rPr>
        <w:t>.</w:t>
      </w:r>
    </w:p>
    <w:p w14:paraId="7AFAADBE" w14:textId="7B0B0CE0" w:rsidR="007D64FE" w:rsidRDefault="007D64FE" w:rsidP="007D64FE">
      <w:pPr>
        <w:pStyle w:val="Bullet-green"/>
        <w:rPr>
          <w:lang w:val="en-US"/>
        </w:rPr>
      </w:pPr>
      <w:r>
        <w:rPr>
          <w:lang w:val="en-US"/>
        </w:rPr>
        <w:t xml:space="preserve">Delete items </w:t>
      </w:r>
      <w:r w:rsidR="00EF6F3A">
        <w:rPr>
          <w:rStyle w:val="None"/>
          <w:bCs/>
          <w:lang w:val="en-US"/>
        </w:rPr>
        <w:t>32200</w:t>
      </w:r>
      <w:r w:rsidRPr="00B5520D">
        <w:rPr>
          <w:rStyle w:val="None"/>
          <w:bCs/>
          <w:lang w:val="en-US"/>
        </w:rPr>
        <w:t xml:space="preserve">, </w:t>
      </w:r>
      <w:r w:rsidR="00EF6F3A">
        <w:rPr>
          <w:rStyle w:val="None"/>
          <w:bCs/>
          <w:lang w:val="en-US"/>
        </w:rPr>
        <w:t>32203,</w:t>
      </w:r>
      <w:r w:rsidRPr="00B5520D">
        <w:rPr>
          <w:rStyle w:val="None"/>
          <w:bCs/>
          <w:lang w:val="en-US"/>
        </w:rPr>
        <w:t xml:space="preserve"> </w:t>
      </w:r>
      <w:r w:rsidR="00EF6F3A">
        <w:rPr>
          <w:rStyle w:val="None"/>
          <w:bCs/>
          <w:lang w:val="en-US"/>
        </w:rPr>
        <w:t>32206</w:t>
      </w:r>
      <w:r w:rsidRPr="00B5520D">
        <w:rPr>
          <w:rStyle w:val="None"/>
          <w:bCs/>
          <w:lang w:val="en-US"/>
        </w:rPr>
        <w:t xml:space="preserve"> and </w:t>
      </w:r>
      <w:r w:rsidR="00EF6F3A">
        <w:rPr>
          <w:rStyle w:val="None"/>
          <w:bCs/>
          <w:lang w:val="en-US"/>
        </w:rPr>
        <w:t>32209</w:t>
      </w:r>
      <w:r w:rsidRPr="00B5520D">
        <w:rPr>
          <w:lang w:val="en-US"/>
        </w:rPr>
        <w:t>.</w:t>
      </w:r>
    </w:p>
    <w:p w14:paraId="7DE84735" w14:textId="4378223F" w:rsidR="007D64FE" w:rsidRPr="00022999" w:rsidRDefault="007D64FE" w:rsidP="009B0618">
      <w:pPr>
        <w:pStyle w:val="Bullet-green"/>
        <w:numPr>
          <w:ilvl w:val="0"/>
          <w:numId w:val="33"/>
        </w:numPr>
        <w:rPr>
          <w:rStyle w:val="None"/>
          <w:i/>
          <w:lang w:val="en-US"/>
        </w:rPr>
      </w:pPr>
      <w:r w:rsidRPr="00022999">
        <w:rPr>
          <w:rStyle w:val="None"/>
          <w:i/>
        </w:rPr>
        <w:t xml:space="preserve">Deletion was recommended </w:t>
      </w:r>
      <w:r w:rsidR="008D0825" w:rsidRPr="00022999">
        <w:rPr>
          <w:rStyle w:val="None"/>
          <w:i/>
        </w:rPr>
        <w:t>on the basis that</w:t>
      </w:r>
      <w:r w:rsidRPr="00022999">
        <w:rPr>
          <w:rStyle w:val="None"/>
          <w:i/>
        </w:rPr>
        <w:t xml:space="preserve"> </w:t>
      </w:r>
      <w:r w:rsidRPr="00022999">
        <w:rPr>
          <w:bCs/>
          <w:i/>
          <w:lang w:val="en-US"/>
        </w:rPr>
        <w:t>the service should not be funded under the MBS due to concerns about p</w:t>
      </w:r>
      <w:bookmarkStart w:id="3" w:name="_GoBack"/>
      <w:bookmarkEnd w:id="3"/>
      <w:r w:rsidRPr="00022999">
        <w:rPr>
          <w:bCs/>
          <w:i/>
          <w:lang w:val="en-US"/>
        </w:rPr>
        <w:t>atient safety</w:t>
      </w:r>
      <w:r w:rsidRPr="00022999">
        <w:rPr>
          <w:rStyle w:val="None"/>
          <w:i/>
        </w:rPr>
        <w:t>.</w:t>
      </w:r>
    </w:p>
    <w:p w14:paraId="100C9894" w14:textId="6B3C0988" w:rsidR="007D64FE" w:rsidRPr="00E41A1C" w:rsidRDefault="007D64FE" w:rsidP="007D64FE">
      <w:pPr>
        <w:pStyle w:val="Bullet-green"/>
        <w:numPr>
          <w:ilvl w:val="0"/>
          <w:numId w:val="0"/>
        </w:numPr>
      </w:pPr>
      <w:r w:rsidRPr="00E41A1C">
        <w:rPr>
          <w:b/>
          <w:lang w:val="en-US"/>
        </w:rPr>
        <w:t xml:space="preserve">Recommendation </w:t>
      </w:r>
      <w:r>
        <w:rPr>
          <w:b/>
          <w:lang w:val="en-US"/>
        </w:rPr>
        <w:t>32</w:t>
      </w:r>
      <w:r w:rsidRPr="00E41A1C">
        <w:rPr>
          <w:b/>
          <w:lang w:val="en-US"/>
        </w:rPr>
        <w:t xml:space="preserve">: </w:t>
      </w:r>
      <w:r>
        <w:rPr>
          <w:b/>
          <w:lang w:val="en-US"/>
        </w:rPr>
        <w:t xml:space="preserve">Combine </w:t>
      </w:r>
      <w:r w:rsidR="0033464F">
        <w:rPr>
          <w:b/>
          <w:lang w:val="en-US"/>
        </w:rPr>
        <w:t xml:space="preserve">sacral nerve </w:t>
      </w:r>
      <w:r>
        <w:rPr>
          <w:b/>
          <w:lang w:val="en-US"/>
        </w:rPr>
        <w:t xml:space="preserve">items </w:t>
      </w:r>
      <w:r w:rsidR="00E0030E">
        <w:rPr>
          <w:b/>
          <w:lang w:val="en-US"/>
        </w:rPr>
        <w:t xml:space="preserve">32210, 32214 and 32217 </w:t>
      </w:r>
      <w:r>
        <w:rPr>
          <w:b/>
          <w:lang w:val="en-US"/>
        </w:rPr>
        <w:t>into one item</w:t>
      </w:r>
      <w:r w:rsidR="0033464F">
        <w:rPr>
          <w:b/>
          <w:lang w:val="en-US"/>
        </w:rPr>
        <w:t>.</w:t>
      </w:r>
    </w:p>
    <w:p w14:paraId="4E462754" w14:textId="73810C28" w:rsidR="007D64FE" w:rsidRDefault="007D64FE" w:rsidP="007D64FE">
      <w:pPr>
        <w:pStyle w:val="Bullet-green"/>
        <w:rPr>
          <w:lang w:val="en-US"/>
        </w:rPr>
      </w:pPr>
      <w:r>
        <w:rPr>
          <w:lang w:val="en-US"/>
        </w:rPr>
        <w:t>Combine items</w:t>
      </w:r>
      <w:r w:rsidRPr="001D6903">
        <w:rPr>
          <w:lang w:val="en-US"/>
        </w:rPr>
        <w:t xml:space="preserve"> </w:t>
      </w:r>
      <w:r w:rsidRPr="007D64FE">
        <w:rPr>
          <w:rStyle w:val="None"/>
          <w:bCs/>
          <w:lang w:val="en-US"/>
        </w:rPr>
        <w:t>32210, 32214 and 32217 into one item</w:t>
      </w:r>
      <w:r>
        <w:rPr>
          <w:lang w:val="en-US"/>
        </w:rPr>
        <w:t xml:space="preserve"> and amend </w:t>
      </w:r>
      <w:r w:rsidR="008D0825">
        <w:rPr>
          <w:lang w:val="en-US"/>
        </w:rPr>
        <w:t xml:space="preserve">the </w:t>
      </w:r>
      <w:r>
        <w:rPr>
          <w:lang w:val="en-US"/>
        </w:rPr>
        <w:t>item descriptor accordingly</w:t>
      </w:r>
      <w:r w:rsidRPr="001D6903">
        <w:rPr>
          <w:lang w:val="en-US"/>
        </w:rPr>
        <w:t>.</w:t>
      </w:r>
    </w:p>
    <w:p w14:paraId="745F98E1" w14:textId="7D707128" w:rsidR="007D64FE" w:rsidRPr="00022999" w:rsidRDefault="007D64FE" w:rsidP="009B0618">
      <w:pPr>
        <w:pStyle w:val="Bullet-green"/>
        <w:numPr>
          <w:ilvl w:val="0"/>
          <w:numId w:val="33"/>
        </w:numPr>
        <w:rPr>
          <w:rStyle w:val="None"/>
          <w:i/>
          <w:lang w:val="en-US"/>
        </w:rPr>
      </w:pPr>
      <w:r w:rsidRPr="00022999">
        <w:rPr>
          <w:i/>
          <w:lang w:val="en-US"/>
        </w:rPr>
        <w:t>T</w:t>
      </w:r>
      <w:r w:rsidRPr="00022999">
        <w:rPr>
          <w:rStyle w:val="None"/>
          <w:bCs/>
          <w:i/>
        </w:rPr>
        <w:t xml:space="preserve">he </w:t>
      </w:r>
      <w:r w:rsidR="00F011AE" w:rsidRPr="00022999">
        <w:rPr>
          <w:rStyle w:val="None"/>
          <w:bCs/>
          <w:i/>
        </w:rPr>
        <w:t>Taskforce</w:t>
      </w:r>
      <w:r w:rsidRPr="00022999">
        <w:rPr>
          <w:rStyle w:val="None"/>
          <w:bCs/>
          <w:i/>
        </w:rPr>
        <w:t xml:space="preserve"> agreed the current items be combined into one, with no specification of the waiting period time </w:t>
      </w:r>
      <w:r w:rsidR="008D0825" w:rsidRPr="00022999">
        <w:rPr>
          <w:rStyle w:val="None"/>
          <w:bCs/>
          <w:i/>
        </w:rPr>
        <w:t xml:space="preserve">in order </w:t>
      </w:r>
      <w:r w:rsidRPr="00022999">
        <w:rPr>
          <w:rStyle w:val="None"/>
          <w:bCs/>
          <w:i/>
        </w:rPr>
        <w:t>to align the item with best practice.</w:t>
      </w:r>
    </w:p>
    <w:p w14:paraId="4B10ACE9" w14:textId="266D4A7D" w:rsidR="007D64FE" w:rsidRDefault="007D64FE" w:rsidP="00E0030E">
      <w:pPr>
        <w:pStyle w:val="Bullet-green"/>
        <w:keepNext/>
        <w:keepLines/>
        <w:numPr>
          <w:ilvl w:val="0"/>
          <w:numId w:val="0"/>
        </w:numPr>
      </w:pPr>
      <w:r>
        <w:rPr>
          <w:b/>
          <w:lang w:val="en-US"/>
        </w:rPr>
        <w:lastRenderedPageBreak/>
        <w:t xml:space="preserve">Recommendation 33: </w:t>
      </w:r>
      <w:r>
        <w:rPr>
          <w:rStyle w:val="None"/>
          <w:b/>
          <w:bCs/>
        </w:rPr>
        <w:t xml:space="preserve">Amend descriptors for </w:t>
      </w:r>
      <w:r w:rsidR="002A7B5A">
        <w:rPr>
          <w:rStyle w:val="None"/>
          <w:b/>
          <w:bCs/>
        </w:rPr>
        <w:t xml:space="preserve">sacral nerve </w:t>
      </w:r>
      <w:r>
        <w:rPr>
          <w:rStyle w:val="None"/>
          <w:b/>
          <w:bCs/>
        </w:rPr>
        <w:t>items 32213, 32215, 32216 and 32218</w:t>
      </w:r>
      <w:r w:rsidR="002A7B5A">
        <w:rPr>
          <w:rStyle w:val="None"/>
          <w:b/>
          <w:bCs/>
        </w:rPr>
        <w:t>.</w:t>
      </w:r>
    </w:p>
    <w:p w14:paraId="59C653F7" w14:textId="793B0BC2" w:rsidR="007D64FE" w:rsidRDefault="007D64FE" w:rsidP="00E0030E">
      <w:pPr>
        <w:pStyle w:val="Bullet-green"/>
        <w:keepNext/>
        <w:keepLines/>
      </w:pPr>
      <w:r>
        <w:t xml:space="preserve">Amend descriptors of items </w:t>
      </w:r>
      <w:r w:rsidRPr="007D64FE">
        <w:t>32213, 32215, 32216 and 32218</w:t>
      </w:r>
      <w:r>
        <w:t>.</w:t>
      </w:r>
    </w:p>
    <w:p w14:paraId="28900519" w14:textId="77777777" w:rsidR="007D64FE" w:rsidRPr="00022999" w:rsidRDefault="007D64FE" w:rsidP="00E0030E">
      <w:pPr>
        <w:pStyle w:val="Bullet-green"/>
        <w:keepNext/>
        <w:keepLines/>
        <w:numPr>
          <w:ilvl w:val="0"/>
          <w:numId w:val="34"/>
        </w:numPr>
        <w:rPr>
          <w:i/>
        </w:rPr>
      </w:pPr>
      <w:r w:rsidRPr="00022999">
        <w:rPr>
          <w:i/>
        </w:rPr>
        <w:t>Descriptors to be amended to more appropriately reflect the modern surgical treatment of these conditions.</w:t>
      </w:r>
    </w:p>
    <w:p w14:paraId="3199C1A4" w14:textId="07DA57B7" w:rsidR="007D64FE" w:rsidRPr="00E41A1C" w:rsidRDefault="007D64FE" w:rsidP="007D64FE">
      <w:pPr>
        <w:pStyle w:val="Bullet-green"/>
        <w:numPr>
          <w:ilvl w:val="0"/>
          <w:numId w:val="0"/>
        </w:numPr>
      </w:pPr>
      <w:r w:rsidRPr="00E41A1C">
        <w:rPr>
          <w:b/>
          <w:lang w:val="en-US"/>
        </w:rPr>
        <w:t xml:space="preserve">Recommendation </w:t>
      </w:r>
      <w:r>
        <w:rPr>
          <w:b/>
          <w:lang w:val="en-US"/>
        </w:rPr>
        <w:t>34</w:t>
      </w:r>
      <w:r w:rsidRPr="00E41A1C">
        <w:rPr>
          <w:b/>
          <w:lang w:val="en-US"/>
        </w:rPr>
        <w:t xml:space="preserve">: Leave </w:t>
      </w:r>
      <w:r w:rsidR="002A7B5A">
        <w:rPr>
          <w:b/>
          <w:lang w:val="en-US"/>
        </w:rPr>
        <w:t xml:space="preserve">diagnostic </w:t>
      </w:r>
      <w:r w:rsidRPr="00E41A1C">
        <w:rPr>
          <w:b/>
          <w:lang w:val="en-US"/>
        </w:rPr>
        <w:t xml:space="preserve">item </w:t>
      </w:r>
      <w:r w:rsidR="00E0030E">
        <w:rPr>
          <w:b/>
          <w:lang w:val="en-US"/>
        </w:rPr>
        <w:t xml:space="preserve">11833 </w:t>
      </w:r>
      <w:r w:rsidRPr="00E41A1C">
        <w:rPr>
          <w:b/>
          <w:lang w:val="en-US"/>
        </w:rPr>
        <w:t>unchanged</w:t>
      </w:r>
      <w:r w:rsidR="002A7B5A">
        <w:rPr>
          <w:b/>
          <w:lang w:val="en-US"/>
        </w:rPr>
        <w:t>.</w:t>
      </w:r>
    </w:p>
    <w:p w14:paraId="72A68458" w14:textId="38FE2082" w:rsidR="007D64FE" w:rsidRDefault="007D64FE" w:rsidP="007D64FE">
      <w:pPr>
        <w:pStyle w:val="Bullet-green"/>
        <w:rPr>
          <w:lang w:val="en-US"/>
        </w:rPr>
      </w:pPr>
      <w:r>
        <w:rPr>
          <w:lang w:val="en-US"/>
        </w:rPr>
        <w:t>Item 11833 to remain unchanged.</w:t>
      </w:r>
    </w:p>
    <w:p w14:paraId="79302704" w14:textId="34D34E99" w:rsidR="007D64FE" w:rsidRPr="001D6903" w:rsidRDefault="007D64FE" w:rsidP="009B0618">
      <w:pPr>
        <w:pStyle w:val="Bullet-green"/>
        <w:numPr>
          <w:ilvl w:val="0"/>
          <w:numId w:val="34"/>
        </w:numPr>
        <w:rPr>
          <w:lang w:val="en-US"/>
        </w:rPr>
      </w:pPr>
      <w:r w:rsidRPr="00022999">
        <w:rPr>
          <w:i/>
        </w:rPr>
        <w:t xml:space="preserve">This procedure remains clinically relevant and adequately described by the current item </w:t>
      </w:r>
      <w:r w:rsidR="008D0825" w:rsidRPr="00022999">
        <w:rPr>
          <w:i/>
        </w:rPr>
        <w:t>descriptor</w:t>
      </w:r>
      <w:r w:rsidRPr="005218BD">
        <w:t>.</w:t>
      </w:r>
    </w:p>
    <w:p w14:paraId="33F6E146" w14:textId="21E9CA3C" w:rsidR="007D64FE" w:rsidRDefault="007D64FE" w:rsidP="007D64FE">
      <w:pPr>
        <w:pStyle w:val="Bullet-green"/>
        <w:numPr>
          <w:ilvl w:val="0"/>
          <w:numId w:val="0"/>
        </w:numPr>
        <w:rPr>
          <w:b/>
          <w:lang w:val="en-US"/>
        </w:rPr>
      </w:pPr>
      <w:r>
        <w:rPr>
          <w:b/>
          <w:lang w:val="en-US"/>
        </w:rPr>
        <w:t>Recommendation 35:</w:t>
      </w:r>
      <w:r w:rsidRPr="00D7706A">
        <w:rPr>
          <w:b/>
          <w:lang w:val="en-US"/>
        </w:rPr>
        <w:t xml:space="preserve"> </w:t>
      </w:r>
      <w:r>
        <w:rPr>
          <w:b/>
          <w:lang w:val="en-US"/>
        </w:rPr>
        <w:t>Leave</w:t>
      </w:r>
      <w:r w:rsidR="002A7B5A">
        <w:rPr>
          <w:b/>
          <w:lang w:val="en-US"/>
        </w:rPr>
        <w:t xml:space="preserve"> colorectal surgery </w:t>
      </w:r>
      <w:r>
        <w:rPr>
          <w:b/>
          <w:lang w:val="en-US"/>
        </w:rPr>
        <w:t xml:space="preserve">items </w:t>
      </w:r>
      <w:r w:rsidR="00E0030E">
        <w:rPr>
          <w:b/>
          <w:lang w:val="en-US"/>
        </w:rPr>
        <w:t xml:space="preserve">32036, 32047, 32183, 32186 </w:t>
      </w:r>
      <w:proofErr w:type="spellStart"/>
      <w:r w:rsidR="00E0030E">
        <w:rPr>
          <w:b/>
          <w:lang w:val="en-US"/>
        </w:rPr>
        <w:t>amd</w:t>
      </w:r>
      <w:proofErr w:type="spellEnd"/>
      <w:r w:rsidR="00E0030E">
        <w:rPr>
          <w:b/>
          <w:lang w:val="en-US"/>
        </w:rPr>
        <w:t xml:space="preserve"> 32212 </w:t>
      </w:r>
      <w:r>
        <w:rPr>
          <w:b/>
          <w:lang w:val="en-US"/>
        </w:rPr>
        <w:t>unchanged</w:t>
      </w:r>
      <w:r w:rsidR="002A7B5A">
        <w:rPr>
          <w:b/>
          <w:lang w:val="en-US"/>
        </w:rPr>
        <w:t>.</w:t>
      </w:r>
    </w:p>
    <w:p w14:paraId="212D02D0" w14:textId="72FE8ED2" w:rsidR="007D64FE" w:rsidRDefault="007D64FE" w:rsidP="007D64FE">
      <w:pPr>
        <w:pStyle w:val="Bullet-green"/>
        <w:rPr>
          <w:lang w:val="en-US"/>
        </w:rPr>
      </w:pPr>
      <w:r>
        <w:rPr>
          <w:lang w:val="en-US"/>
        </w:rPr>
        <w:t xml:space="preserve">Items </w:t>
      </w:r>
      <w:r w:rsidRPr="007D64FE">
        <w:rPr>
          <w:lang w:val="en-US"/>
        </w:rPr>
        <w:t xml:space="preserve">32036, 32047, 32183, 32186 and 32212 </w:t>
      </w:r>
      <w:r>
        <w:rPr>
          <w:lang w:val="en-US"/>
        </w:rPr>
        <w:t>remain unchanged.</w:t>
      </w:r>
    </w:p>
    <w:p w14:paraId="56D1AADF" w14:textId="77777777" w:rsidR="007D64FE" w:rsidRPr="00022999" w:rsidRDefault="007D64FE" w:rsidP="009B0618">
      <w:pPr>
        <w:pStyle w:val="Bullet-green"/>
        <w:numPr>
          <w:ilvl w:val="0"/>
          <w:numId w:val="34"/>
        </w:numPr>
        <w:rPr>
          <w:b/>
          <w:i/>
          <w:lang w:val="en-US"/>
        </w:rPr>
      </w:pPr>
      <w:r w:rsidRPr="00022999">
        <w:rPr>
          <w:i/>
        </w:rPr>
        <w:t>These procedures remain clinically relevant and adequately described by the current item descriptors.</w:t>
      </w:r>
    </w:p>
    <w:p w14:paraId="3A4E858E" w14:textId="764D2951" w:rsidR="007D64FE" w:rsidRDefault="007D64FE" w:rsidP="007D64FE">
      <w:pPr>
        <w:pStyle w:val="Bullet-green"/>
        <w:numPr>
          <w:ilvl w:val="0"/>
          <w:numId w:val="0"/>
        </w:numPr>
        <w:ind w:left="431" w:hanging="431"/>
        <w:rPr>
          <w:b/>
          <w:lang w:val="en-US"/>
        </w:rPr>
      </w:pPr>
      <w:r>
        <w:rPr>
          <w:b/>
          <w:lang w:val="en-US"/>
        </w:rPr>
        <w:t>Recommendation 36:</w:t>
      </w:r>
      <w:r w:rsidRPr="00D7706A">
        <w:rPr>
          <w:b/>
          <w:lang w:val="en-US"/>
        </w:rPr>
        <w:t xml:space="preserve"> </w:t>
      </w:r>
      <w:r>
        <w:rPr>
          <w:b/>
          <w:lang w:val="en-US"/>
        </w:rPr>
        <w:t>Delete</w:t>
      </w:r>
      <w:r w:rsidR="002A7B5A">
        <w:rPr>
          <w:b/>
          <w:lang w:val="en-US"/>
        </w:rPr>
        <w:t xml:space="preserve"> colorectal surgery</w:t>
      </w:r>
      <w:r>
        <w:rPr>
          <w:b/>
          <w:lang w:val="en-US"/>
        </w:rPr>
        <w:t xml:space="preserve"> items</w:t>
      </w:r>
      <w:r w:rsidR="00E0030E">
        <w:rPr>
          <w:b/>
          <w:lang w:val="en-US"/>
        </w:rPr>
        <w:t xml:space="preserve"> 32029, 32220 and 32221</w:t>
      </w:r>
      <w:r w:rsidR="002A7B5A">
        <w:rPr>
          <w:b/>
          <w:lang w:val="en-US"/>
        </w:rPr>
        <w:t>.</w:t>
      </w:r>
    </w:p>
    <w:p w14:paraId="716675A5" w14:textId="4E7BB21E" w:rsidR="007D64FE" w:rsidRDefault="007D64FE" w:rsidP="007D64FE">
      <w:pPr>
        <w:pStyle w:val="Bullet-green"/>
        <w:rPr>
          <w:lang w:val="en-US"/>
        </w:rPr>
      </w:pPr>
      <w:r>
        <w:rPr>
          <w:lang w:val="en-US"/>
        </w:rPr>
        <w:t xml:space="preserve">Delete items </w:t>
      </w:r>
      <w:r w:rsidRPr="007D64FE">
        <w:rPr>
          <w:rStyle w:val="None"/>
          <w:bCs/>
          <w:lang w:val="en-US"/>
        </w:rPr>
        <w:t>32029, 32220 and 32221</w:t>
      </w:r>
      <w:r w:rsidRPr="00B5520D">
        <w:rPr>
          <w:lang w:val="en-US"/>
        </w:rPr>
        <w:t>.</w:t>
      </w:r>
    </w:p>
    <w:p w14:paraId="7CC7B4BD" w14:textId="56D1C497" w:rsidR="007D64FE" w:rsidRPr="00022999" w:rsidRDefault="007D64FE" w:rsidP="009B0618">
      <w:pPr>
        <w:pStyle w:val="Bullet-green"/>
        <w:numPr>
          <w:ilvl w:val="0"/>
          <w:numId w:val="34"/>
        </w:numPr>
        <w:rPr>
          <w:rStyle w:val="None"/>
          <w:i/>
          <w:lang w:val="en-US"/>
        </w:rPr>
      </w:pPr>
      <w:r w:rsidRPr="00022999">
        <w:rPr>
          <w:rStyle w:val="None"/>
          <w:i/>
        </w:rPr>
        <w:t xml:space="preserve">Deletion was recommended as </w:t>
      </w:r>
      <w:r w:rsidRPr="00022999">
        <w:rPr>
          <w:bCs/>
          <w:i/>
          <w:lang w:val="en-US"/>
        </w:rPr>
        <w:t>the services are no longer considered best practice.</w:t>
      </w:r>
    </w:p>
    <w:p w14:paraId="3D069735" w14:textId="78BB3448" w:rsidR="0068231D" w:rsidRPr="00A13997" w:rsidRDefault="0068231D" w:rsidP="0068231D">
      <w:pPr>
        <w:pStyle w:val="TOC3"/>
        <w:ind w:left="0" w:firstLine="0"/>
        <w:rPr>
          <w:b w:val="0"/>
        </w:rPr>
      </w:pPr>
      <w:r w:rsidRPr="00A13997">
        <w:t xml:space="preserve">Recommendation </w:t>
      </w:r>
      <w:r>
        <w:t>37</w:t>
      </w:r>
      <w:r w:rsidRPr="00A13997">
        <w:t xml:space="preserve">: </w:t>
      </w:r>
      <w:r w:rsidRPr="005218BD">
        <w:rPr>
          <w:rStyle w:val="None"/>
          <w:lang w:val="en-US"/>
        </w:rPr>
        <w:t xml:space="preserve">Amend the descriptor </w:t>
      </w:r>
      <w:r>
        <w:rPr>
          <w:rStyle w:val="None"/>
          <w:lang w:val="en-US"/>
        </w:rPr>
        <w:t>of</w:t>
      </w:r>
      <w:r w:rsidR="002A7B5A">
        <w:rPr>
          <w:rStyle w:val="None"/>
          <w:lang w:val="en-US"/>
        </w:rPr>
        <w:t xml:space="preserve"> colorectal surgery</w:t>
      </w:r>
      <w:r w:rsidRPr="005218BD">
        <w:rPr>
          <w:rStyle w:val="None"/>
          <w:lang w:val="en-US"/>
        </w:rPr>
        <w:t xml:space="preserve"> item </w:t>
      </w:r>
      <w:r>
        <w:rPr>
          <w:rStyle w:val="None"/>
          <w:lang w:val="en-US"/>
        </w:rPr>
        <w:t>32171</w:t>
      </w:r>
      <w:r w:rsidRPr="005218BD">
        <w:rPr>
          <w:rStyle w:val="None"/>
          <w:lang w:val="en-US"/>
        </w:rPr>
        <w:t>.</w:t>
      </w:r>
    </w:p>
    <w:p w14:paraId="4BAEE37C" w14:textId="77777777" w:rsidR="0068231D" w:rsidRDefault="0068231D" w:rsidP="0068231D">
      <w:pPr>
        <w:pStyle w:val="Bullet-green"/>
      </w:pPr>
      <w:r>
        <w:t>Amend item descriptor of 32171.</w:t>
      </w:r>
    </w:p>
    <w:p w14:paraId="54DED4ED" w14:textId="28DC31DD" w:rsidR="0068231D" w:rsidRPr="00A500C0" w:rsidRDefault="0068231D" w:rsidP="009B0618">
      <w:pPr>
        <w:pStyle w:val="Bullet-green"/>
        <w:numPr>
          <w:ilvl w:val="0"/>
          <w:numId w:val="36"/>
        </w:numPr>
        <w:rPr>
          <w:i/>
        </w:rPr>
      </w:pPr>
      <w:r w:rsidRPr="00A500C0">
        <w:rPr>
          <w:i/>
        </w:rPr>
        <w:t xml:space="preserve">The </w:t>
      </w:r>
      <w:r w:rsidR="00F011AE" w:rsidRPr="00A500C0">
        <w:rPr>
          <w:i/>
        </w:rPr>
        <w:t>Taskforce</w:t>
      </w:r>
      <w:r w:rsidRPr="00A500C0">
        <w:rPr>
          <w:i/>
        </w:rPr>
        <w:t xml:space="preserve"> recommended participating nurse practitioners be able to access to item 32171.</w:t>
      </w:r>
    </w:p>
    <w:p w14:paraId="626A1991" w14:textId="26F9F026" w:rsidR="0068231D" w:rsidRPr="00A500C0" w:rsidRDefault="0068231D" w:rsidP="009B0618">
      <w:pPr>
        <w:pStyle w:val="Bullet-green"/>
        <w:numPr>
          <w:ilvl w:val="0"/>
          <w:numId w:val="36"/>
        </w:numPr>
        <w:rPr>
          <w:i/>
        </w:rPr>
      </w:pPr>
      <w:r w:rsidRPr="00A500C0">
        <w:rPr>
          <w:i/>
        </w:rPr>
        <w:t>Currently, this procedure is included within item 32153, however item 32153 is recommended for deletion.</w:t>
      </w:r>
    </w:p>
    <w:p w14:paraId="53C90981" w14:textId="55211FDE" w:rsidR="00B60487" w:rsidRPr="00A13997" w:rsidRDefault="00B60487" w:rsidP="00B60487">
      <w:pPr>
        <w:pStyle w:val="TOC3"/>
        <w:ind w:left="0" w:firstLine="0"/>
        <w:rPr>
          <w:b w:val="0"/>
        </w:rPr>
      </w:pPr>
      <w:r w:rsidRPr="00A13997">
        <w:t xml:space="preserve">Recommendation </w:t>
      </w:r>
      <w:r>
        <w:t>38</w:t>
      </w:r>
      <w:r w:rsidRPr="00A13997">
        <w:t xml:space="preserve">: </w:t>
      </w:r>
      <w:r w:rsidR="002A7B5A">
        <w:rPr>
          <w:rStyle w:val="None"/>
          <w:lang w:val="en-US"/>
        </w:rPr>
        <w:t xml:space="preserve">Create two new items for </w:t>
      </w:r>
      <w:r>
        <w:t>peritonectomy</w:t>
      </w:r>
      <w:r w:rsidRPr="005218BD">
        <w:rPr>
          <w:rStyle w:val="None"/>
          <w:lang w:val="en-US"/>
        </w:rPr>
        <w:t>.</w:t>
      </w:r>
    </w:p>
    <w:p w14:paraId="7F0C3C87" w14:textId="77777777" w:rsidR="00B60487" w:rsidRDefault="00B60487" w:rsidP="00B60487">
      <w:pPr>
        <w:pStyle w:val="Bullet-green"/>
        <w:rPr>
          <w:lang w:val="en-US"/>
        </w:rPr>
      </w:pPr>
      <w:r>
        <w:t>Create two new</w:t>
      </w:r>
      <w:r w:rsidRPr="00C60A11">
        <w:t xml:space="preserve"> item</w:t>
      </w:r>
      <w:r>
        <w:t xml:space="preserve">s describing </w:t>
      </w:r>
      <w:r w:rsidRPr="00B60487">
        <w:t xml:space="preserve">peritonectomy </w:t>
      </w:r>
    </w:p>
    <w:p w14:paraId="120E18F9" w14:textId="15CD6A72" w:rsidR="00B60487" w:rsidRDefault="00B60487" w:rsidP="00B60487">
      <w:pPr>
        <w:pStyle w:val="Bullet-green"/>
        <w:rPr>
          <w:lang w:val="en-US"/>
        </w:rPr>
      </w:pPr>
      <w:r w:rsidRPr="00B60487">
        <w:t xml:space="preserve">The </w:t>
      </w:r>
      <w:r w:rsidR="00022999">
        <w:t>Taskforce</w:t>
      </w:r>
      <w:r w:rsidRPr="00B60487">
        <w:t xml:space="preserve"> recommends the new peritonectomy items are time-based</w:t>
      </w:r>
      <w:r>
        <w:t>.</w:t>
      </w:r>
    </w:p>
    <w:p w14:paraId="017C37E0" w14:textId="0221780E" w:rsidR="00B60487" w:rsidRDefault="00B60487" w:rsidP="009B0618">
      <w:pPr>
        <w:pStyle w:val="Bullet-green"/>
        <w:numPr>
          <w:ilvl w:val="0"/>
          <w:numId w:val="35"/>
        </w:numPr>
        <w:rPr>
          <w:lang w:val="en-US"/>
        </w:rPr>
      </w:pPr>
      <w:r w:rsidRPr="002A7B5A">
        <w:rPr>
          <w:b/>
          <w:i/>
          <w:u w:val="single"/>
          <w:lang w:val="en-US"/>
        </w:rPr>
        <w:t>Amendment to the Report from the Colorectal Surgery Clinical Committee, 2019.</w:t>
      </w:r>
      <w:r w:rsidRPr="002A7B5A">
        <w:rPr>
          <w:b/>
          <w:u w:val="single"/>
          <w:lang w:val="en-US"/>
        </w:rPr>
        <w:t xml:space="preserve"> </w:t>
      </w:r>
      <w:r w:rsidRPr="002A7B5A">
        <w:rPr>
          <w:b/>
          <w:i/>
          <w:u w:val="single"/>
          <w:lang w:val="en-US"/>
        </w:rPr>
        <w:t>Recommendation 38:</w:t>
      </w:r>
      <w:r w:rsidRPr="00B60487">
        <w:rPr>
          <w:i/>
          <w:lang w:val="en-US"/>
        </w:rPr>
        <w:t xml:space="preserve"> </w:t>
      </w:r>
      <w:r w:rsidRPr="00022999">
        <w:rPr>
          <w:i/>
          <w:lang w:val="en-US"/>
        </w:rPr>
        <w:t>This recommendation will be progressed as part of the Report from the General Surgery Clinical Committee of the MBS Review and remains within this Report for information purposes only.</w:t>
      </w:r>
    </w:p>
    <w:p w14:paraId="76C2A34B" w14:textId="291AD7E4" w:rsidR="00B60487" w:rsidRPr="00A13997" w:rsidRDefault="00B60487" w:rsidP="00B60487">
      <w:pPr>
        <w:pStyle w:val="TOC3"/>
        <w:ind w:left="0" w:firstLine="0"/>
        <w:rPr>
          <w:b w:val="0"/>
        </w:rPr>
      </w:pPr>
      <w:r w:rsidRPr="00A13997">
        <w:t xml:space="preserve">Recommendation </w:t>
      </w:r>
      <w:r>
        <w:t>39</w:t>
      </w:r>
      <w:r w:rsidRPr="00A13997">
        <w:t xml:space="preserve">: </w:t>
      </w:r>
      <w:r>
        <w:rPr>
          <w:rStyle w:val="None"/>
          <w:lang w:val="en-US"/>
        </w:rPr>
        <w:t>Create</w:t>
      </w:r>
      <w:r w:rsidR="009B0618">
        <w:rPr>
          <w:rStyle w:val="None"/>
          <w:lang w:val="en-US"/>
        </w:rPr>
        <w:t xml:space="preserve"> 12</w:t>
      </w:r>
      <w:r w:rsidR="002A7B5A">
        <w:rPr>
          <w:rStyle w:val="None"/>
          <w:lang w:val="en-US"/>
        </w:rPr>
        <w:t xml:space="preserve"> new items for </w:t>
      </w:r>
      <w:r w:rsidRPr="00B60487">
        <w:rPr>
          <w:rStyle w:val="None"/>
          <w:lang w:val="en-US"/>
        </w:rPr>
        <w:t>pelvic exenteration</w:t>
      </w:r>
      <w:r w:rsidR="002A7B5A">
        <w:rPr>
          <w:rStyle w:val="None"/>
          <w:lang w:val="en-US"/>
        </w:rPr>
        <w:t xml:space="preserve"> surgeries</w:t>
      </w:r>
      <w:r w:rsidRPr="005218BD">
        <w:rPr>
          <w:rStyle w:val="None"/>
          <w:lang w:val="en-US"/>
        </w:rPr>
        <w:t>.</w:t>
      </w:r>
    </w:p>
    <w:p w14:paraId="23FF7A38" w14:textId="5F4282AF" w:rsidR="00B60487" w:rsidRDefault="00B60487" w:rsidP="00B60487">
      <w:pPr>
        <w:pStyle w:val="Bullet-green"/>
        <w:rPr>
          <w:lang w:val="en-US"/>
        </w:rPr>
      </w:pPr>
      <w:r>
        <w:t>Create three new</w:t>
      </w:r>
      <w:r w:rsidRPr="00C60A11">
        <w:t xml:space="preserve"> item</w:t>
      </w:r>
      <w:r>
        <w:t xml:space="preserve">s </w:t>
      </w:r>
      <w:r w:rsidRPr="00B60487">
        <w:t>based upon anatomical compartments for initial procedures.</w:t>
      </w:r>
    </w:p>
    <w:p w14:paraId="69080D9E" w14:textId="797001BA" w:rsidR="00B60487" w:rsidRPr="007F3622" w:rsidRDefault="00B60487" w:rsidP="007F3622">
      <w:pPr>
        <w:pStyle w:val="Bullet-green"/>
        <w:numPr>
          <w:ilvl w:val="0"/>
          <w:numId w:val="8"/>
        </w:numPr>
        <w:rPr>
          <w:i/>
          <w:lang w:val="en-US"/>
        </w:rPr>
      </w:pPr>
      <w:r w:rsidRPr="007F3622">
        <w:rPr>
          <w:i/>
        </w:rPr>
        <w:t xml:space="preserve">The three proposed new items are based upon how extensive the exenteration is in regards to the extent of viscera, bony structure and vasculature involved. </w:t>
      </w:r>
    </w:p>
    <w:p w14:paraId="58FF43F7" w14:textId="08B61AE5" w:rsidR="00B60487" w:rsidRDefault="00B60487" w:rsidP="00B60487">
      <w:pPr>
        <w:pStyle w:val="Bullet-green"/>
        <w:rPr>
          <w:lang w:val="en-US"/>
        </w:rPr>
      </w:pPr>
      <w:r w:rsidRPr="00B60487">
        <w:rPr>
          <w:lang w:val="en-US"/>
        </w:rPr>
        <w:lastRenderedPageBreak/>
        <w:t>Create three new items for pelvic exenteration based upon anatomical compartments for re-do procedures.</w:t>
      </w:r>
    </w:p>
    <w:p w14:paraId="4D328A5F" w14:textId="54480B43" w:rsidR="00B60487" w:rsidRPr="007F3622" w:rsidRDefault="00B60487" w:rsidP="007F3622">
      <w:pPr>
        <w:pStyle w:val="Bullet-green"/>
        <w:numPr>
          <w:ilvl w:val="0"/>
          <w:numId w:val="9"/>
        </w:numPr>
        <w:rPr>
          <w:i/>
          <w:lang w:val="en-US"/>
        </w:rPr>
      </w:pPr>
      <w:r w:rsidRPr="007F3622">
        <w:rPr>
          <w:i/>
        </w:rPr>
        <w:t>These three proposed new items are pelvic exenteration for patients with a history of recurrent pelvic cancer, where there may have been previous surgery and adjuvant chemotherapy or radiation.</w:t>
      </w:r>
    </w:p>
    <w:p w14:paraId="3AA7088E" w14:textId="77777777" w:rsidR="007F3622" w:rsidRDefault="00B60487" w:rsidP="007F3622">
      <w:pPr>
        <w:pStyle w:val="Bullet-green"/>
        <w:rPr>
          <w:lang w:val="en-US"/>
        </w:rPr>
      </w:pPr>
      <w:r w:rsidRPr="00B60487">
        <w:rPr>
          <w:lang w:val="en-US"/>
        </w:rPr>
        <w:t>Create three new items for pelvic exenteration based upon anatomical compartments, initial procedure, for use by a secondary surgeon.</w:t>
      </w:r>
    </w:p>
    <w:p w14:paraId="2AC3E53D" w14:textId="47F2A677" w:rsidR="00AF2F3D" w:rsidRPr="009B0618" w:rsidRDefault="007F3622" w:rsidP="00EB378D">
      <w:pPr>
        <w:pStyle w:val="Bullet-green"/>
        <w:numPr>
          <w:ilvl w:val="0"/>
          <w:numId w:val="10"/>
        </w:numPr>
        <w:rPr>
          <w:lang w:val="en-US"/>
        </w:rPr>
      </w:pPr>
      <w:r w:rsidRPr="008D3D37">
        <w:rPr>
          <w:i/>
          <w:lang w:val="en-US"/>
        </w:rPr>
        <w:t>Proposed new items 320VV, 320WW and 320XX mirror those of the principal surgeon, but are intended for use by the secondary surgeon</w:t>
      </w:r>
      <w:r w:rsidR="009B0618">
        <w:rPr>
          <w:i/>
          <w:lang w:val="en-US"/>
        </w:rPr>
        <w:t>.</w:t>
      </w:r>
    </w:p>
    <w:p w14:paraId="12E73D07" w14:textId="7856B392" w:rsidR="009B0618" w:rsidRDefault="009B0618" w:rsidP="009B0618">
      <w:pPr>
        <w:pStyle w:val="Bullet-green"/>
        <w:numPr>
          <w:ilvl w:val="0"/>
          <w:numId w:val="37"/>
        </w:numPr>
        <w:rPr>
          <w:lang w:val="en-US"/>
        </w:rPr>
      </w:pPr>
      <w:r w:rsidRPr="00B60487">
        <w:rPr>
          <w:lang w:val="en-US"/>
        </w:rPr>
        <w:t>Create three new items for pelvic exenteration based upon anatomical compartments,</w:t>
      </w:r>
      <w:r>
        <w:rPr>
          <w:lang w:val="en-US"/>
        </w:rPr>
        <w:t xml:space="preserve"> re-do</w:t>
      </w:r>
      <w:r w:rsidRPr="00B60487">
        <w:rPr>
          <w:lang w:val="en-US"/>
        </w:rPr>
        <w:t xml:space="preserve"> procedure, for use by a secondary surgeon.</w:t>
      </w:r>
    </w:p>
    <w:p w14:paraId="42E90084" w14:textId="670BFC45" w:rsidR="009B0618" w:rsidRPr="009B0618" w:rsidRDefault="009B0618" w:rsidP="009B0618">
      <w:pPr>
        <w:pStyle w:val="Bullet-green"/>
        <w:numPr>
          <w:ilvl w:val="0"/>
          <w:numId w:val="10"/>
        </w:numPr>
        <w:rPr>
          <w:lang w:val="en-US"/>
        </w:rPr>
      </w:pPr>
      <w:r w:rsidRPr="008D3D37">
        <w:rPr>
          <w:i/>
          <w:lang w:val="en-US"/>
        </w:rPr>
        <w:t>Proposed new items 320</w:t>
      </w:r>
      <w:r>
        <w:rPr>
          <w:i/>
          <w:lang w:val="en-US"/>
        </w:rPr>
        <w:t>YY, 320ZZ and 320ZA</w:t>
      </w:r>
      <w:r w:rsidRPr="008D3D37">
        <w:rPr>
          <w:i/>
          <w:lang w:val="en-US"/>
        </w:rPr>
        <w:t xml:space="preserve"> mirror those of the principal surgeon, but are intended for use by the secondary surgeon</w:t>
      </w:r>
      <w:r>
        <w:rPr>
          <w:lang w:val="en-US"/>
        </w:rPr>
        <w:t>.</w:t>
      </w:r>
    </w:p>
    <w:sectPr w:rsidR="009B0618" w:rsidRPr="009B0618" w:rsidSect="00CE615D">
      <w:footerReference w:type="default" r:id="rId8"/>
      <w:pgSz w:w="11906" w:h="16838"/>
      <w:pgMar w:top="993" w:right="1800" w:bottom="1440" w:left="1800" w:header="708" w:footer="1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24393" w14:textId="77777777" w:rsidR="009D406B" w:rsidRDefault="009D406B" w:rsidP="003B326C">
      <w:pPr>
        <w:spacing w:before="0" w:after="0"/>
      </w:pPr>
      <w:r>
        <w:separator/>
      </w:r>
    </w:p>
  </w:endnote>
  <w:endnote w:type="continuationSeparator" w:id="0">
    <w:p w14:paraId="02100114" w14:textId="77777777" w:rsidR="009D406B" w:rsidRDefault="009D406B" w:rsidP="003B32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E62FA" w14:textId="4C2D094A" w:rsidR="00AF2F3D" w:rsidRDefault="00AF2F3D" w:rsidP="009D406B">
    <w:pPr>
      <w:pStyle w:val="Footer"/>
      <w:pBdr>
        <w:top w:val="single" w:sz="4" w:space="1" w:color="B56012"/>
      </w:pBdr>
      <w:tabs>
        <w:tab w:val="clear" w:pos="4513"/>
      </w:tabs>
      <w:jc w:val="center"/>
    </w:pPr>
    <w:r>
      <w:rPr>
        <w:color w:val="01653F"/>
        <w:sz w:val="16"/>
      </w:rPr>
      <w:t xml:space="preserve">Taskforce findings from the </w:t>
    </w:r>
    <w:r w:rsidR="00C80DCD">
      <w:rPr>
        <w:color w:val="01653F"/>
        <w:sz w:val="16"/>
      </w:rPr>
      <w:t xml:space="preserve">Colorectal </w:t>
    </w:r>
    <w:r>
      <w:rPr>
        <w:color w:val="01653F"/>
        <w:sz w:val="16"/>
      </w:rPr>
      <w:t>Surgery Clinical Committee Report</w:t>
    </w:r>
    <w:r>
      <w:rPr>
        <w:color w:val="01653F"/>
        <w:sz w:val="16"/>
      </w:rPr>
      <w:tab/>
    </w:r>
    <w:r w:rsidRPr="003B1222">
      <w:rPr>
        <w:color w:val="01653F"/>
        <w:sz w:val="16"/>
      </w:rPr>
      <w:t xml:space="preserve">Page </w:t>
    </w:r>
    <w:r w:rsidRPr="003B1222">
      <w:rPr>
        <w:rFonts w:eastAsiaTheme="minorHAnsi"/>
        <w:color w:val="01653F"/>
      </w:rPr>
      <w:fldChar w:fldCharType="begin"/>
    </w:r>
    <w:r w:rsidRPr="003B1222">
      <w:rPr>
        <w:color w:val="01653F"/>
      </w:rPr>
      <w:instrText xml:space="preserve"> PAGE   \* MERGEFORMAT </w:instrText>
    </w:r>
    <w:r w:rsidRPr="003B1222">
      <w:rPr>
        <w:rFonts w:eastAsiaTheme="minorHAnsi"/>
        <w:color w:val="01653F"/>
      </w:rPr>
      <w:fldChar w:fldCharType="separate"/>
    </w:r>
    <w:r w:rsidR="00EF6F3A" w:rsidRPr="00EF6F3A">
      <w:rPr>
        <w:rFonts w:eastAsiaTheme="majorEastAsia"/>
        <w:noProof/>
        <w:color w:val="01653F"/>
        <w:sz w:val="16"/>
      </w:rPr>
      <w:t>9</w:t>
    </w:r>
    <w:r w:rsidRPr="003B1222">
      <w:rPr>
        <w:rFonts w:eastAsiaTheme="majorEastAsia"/>
        <w:noProof/>
        <w:color w:val="01653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AC140" w14:textId="77777777" w:rsidR="009D406B" w:rsidRDefault="009D406B" w:rsidP="003B326C">
      <w:pPr>
        <w:spacing w:before="0" w:after="0"/>
      </w:pPr>
      <w:r>
        <w:separator/>
      </w:r>
    </w:p>
  </w:footnote>
  <w:footnote w:type="continuationSeparator" w:id="0">
    <w:p w14:paraId="2F1C45EE" w14:textId="77777777" w:rsidR="009D406B" w:rsidRDefault="009D406B" w:rsidP="003B326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A50"/>
    <w:multiLevelType w:val="hybridMultilevel"/>
    <w:tmpl w:val="564AC108"/>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047D9"/>
    <w:multiLevelType w:val="hybridMultilevel"/>
    <w:tmpl w:val="15CA3704"/>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B368B"/>
    <w:multiLevelType w:val="hybridMultilevel"/>
    <w:tmpl w:val="4ACE3F00"/>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47C1A"/>
    <w:multiLevelType w:val="hybridMultilevel"/>
    <w:tmpl w:val="A2228E72"/>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244AF"/>
    <w:multiLevelType w:val="hybridMultilevel"/>
    <w:tmpl w:val="5050859E"/>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A6B2A"/>
    <w:multiLevelType w:val="hybridMultilevel"/>
    <w:tmpl w:val="E842AF24"/>
    <w:styleLink w:val="ImportedStyle7"/>
    <w:lvl w:ilvl="0" w:tplc="78EEAF50">
      <w:start w:val="1"/>
      <w:numFmt w:val="decimal"/>
      <w:lvlText w:val="%1."/>
      <w:lvlJc w:val="left"/>
      <w:pPr>
        <w:ind w:left="360" w:hanging="360"/>
      </w:pPr>
      <w:rPr>
        <w:rFonts w:hAnsi="Arial Unicode MS"/>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B0D40C">
      <w:start w:val="1"/>
      <w:numFmt w:val="lowerLetter"/>
      <w:lvlText w:val="%2."/>
      <w:lvlJc w:val="left"/>
      <w:pPr>
        <w:ind w:left="1080" w:hanging="360"/>
      </w:pPr>
      <w:rPr>
        <w:rFonts w:hAnsi="Arial Unicode MS"/>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EED4F0">
      <w:start w:val="1"/>
      <w:numFmt w:val="lowerRoman"/>
      <w:lvlText w:val="%3."/>
      <w:lvlJc w:val="left"/>
      <w:pPr>
        <w:ind w:left="1800" w:hanging="295"/>
      </w:pPr>
      <w:rPr>
        <w:rFonts w:hAnsi="Arial Unicode MS"/>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26DCDE">
      <w:start w:val="1"/>
      <w:numFmt w:val="decimal"/>
      <w:lvlText w:val="%4."/>
      <w:lvlJc w:val="left"/>
      <w:pPr>
        <w:ind w:left="2520" w:hanging="360"/>
      </w:pPr>
      <w:rPr>
        <w:rFonts w:hAnsi="Arial Unicode MS"/>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0280F4">
      <w:start w:val="1"/>
      <w:numFmt w:val="lowerLetter"/>
      <w:lvlText w:val="%5."/>
      <w:lvlJc w:val="left"/>
      <w:pPr>
        <w:ind w:left="3240" w:hanging="360"/>
      </w:pPr>
      <w:rPr>
        <w:rFonts w:hAnsi="Arial Unicode MS"/>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E160E">
      <w:start w:val="1"/>
      <w:numFmt w:val="lowerRoman"/>
      <w:lvlText w:val="%6."/>
      <w:lvlJc w:val="left"/>
      <w:pPr>
        <w:ind w:left="3960" w:hanging="295"/>
      </w:pPr>
      <w:rPr>
        <w:rFonts w:hAnsi="Arial Unicode MS"/>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5E97D2">
      <w:start w:val="1"/>
      <w:numFmt w:val="decimal"/>
      <w:lvlText w:val="%7."/>
      <w:lvlJc w:val="left"/>
      <w:pPr>
        <w:ind w:left="4680" w:hanging="360"/>
      </w:pPr>
      <w:rPr>
        <w:rFonts w:hAnsi="Arial Unicode MS"/>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3E9A96">
      <w:start w:val="1"/>
      <w:numFmt w:val="lowerLetter"/>
      <w:lvlText w:val="%8."/>
      <w:lvlJc w:val="left"/>
      <w:pPr>
        <w:ind w:left="5400" w:hanging="360"/>
      </w:pPr>
      <w:rPr>
        <w:rFonts w:hAnsi="Arial Unicode MS"/>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7C6BF0">
      <w:start w:val="1"/>
      <w:numFmt w:val="lowerRoman"/>
      <w:lvlText w:val="%9."/>
      <w:lvlJc w:val="left"/>
      <w:pPr>
        <w:ind w:left="6120" w:hanging="295"/>
      </w:pPr>
      <w:rPr>
        <w:rFonts w:hAnsi="Arial Unicode MS"/>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29A558B"/>
    <w:multiLevelType w:val="hybridMultilevel"/>
    <w:tmpl w:val="EC2AA4F2"/>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25E2A"/>
    <w:multiLevelType w:val="hybridMultilevel"/>
    <w:tmpl w:val="98DCABA2"/>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540A7"/>
    <w:multiLevelType w:val="hybridMultilevel"/>
    <w:tmpl w:val="060EB382"/>
    <w:lvl w:ilvl="0" w:tplc="0432401A">
      <w:start w:val="1"/>
      <w:numFmt w:val="bullet"/>
      <w:pStyle w:val="Dash3"/>
      <w:lvlText w:val="-"/>
      <w:lvlJc w:val="left"/>
      <w:pPr>
        <w:ind w:left="1364"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62010"/>
    <w:multiLevelType w:val="hybridMultilevel"/>
    <w:tmpl w:val="3D648BFE"/>
    <w:lvl w:ilvl="0" w:tplc="E0689C7E">
      <w:start w:val="1"/>
      <w:numFmt w:val="lowerRoman"/>
      <w:pStyle w:val="DNU1"/>
      <w:lvlText w:val="(%1)"/>
      <w:lvlJc w:val="left"/>
      <w:pPr>
        <w:ind w:left="936" w:hanging="360"/>
      </w:pPr>
      <w:rPr>
        <w:rFonts w:hint="default"/>
        <w:color w:val="000000" w:themeColor="text1"/>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1A586575"/>
    <w:multiLevelType w:val="hybridMultilevel"/>
    <w:tmpl w:val="148A3704"/>
    <w:lvl w:ilvl="0" w:tplc="79460972">
      <w:start w:val="1"/>
      <w:numFmt w:val="bullet"/>
      <w:lvlText w:val=""/>
      <w:lvlJc w:val="left"/>
      <w:pPr>
        <w:ind w:left="360" w:hanging="360"/>
      </w:pPr>
      <w:rPr>
        <w:rFonts w:ascii="Symbol" w:hAnsi="Symbol" w:hint="default"/>
        <w:color w:val="0066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571308"/>
    <w:multiLevelType w:val="hybridMultilevel"/>
    <w:tmpl w:val="B1941EAC"/>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72E9E"/>
    <w:multiLevelType w:val="hybridMultilevel"/>
    <w:tmpl w:val="40BE0762"/>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14BCF"/>
    <w:multiLevelType w:val="hybridMultilevel"/>
    <w:tmpl w:val="261A3F40"/>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42B66"/>
    <w:multiLevelType w:val="hybridMultilevel"/>
    <w:tmpl w:val="4EF46102"/>
    <w:lvl w:ilvl="0" w:tplc="0C090001">
      <w:start w:val="1"/>
      <w:numFmt w:val="bullet"/>
      <w:lvlText w:val=""/>
      <w:lvlJc w:val="left"/>
      <w:pPr>
        <w:ind w:left="360" w:hanging="360"/>
      </w:pPr>
      <w:rPr>
        <w:rFonts w:ascii="Symbol" w:hAnsi="Symbol" w:hint="default"/>
      </w:rPr>
    </w:lvl>
    <w:lvl w:ilvl="1" w:tplc="016AB9E8">
      <w:start w:val="1"/>
      <w:numFmt w:val="bullet"/>
      <w:pStyle w:val="Bullet2"/>
      <w:lvlText w:val="–"/>
      <w:lvlJc w:val="left"/>
      <w:pPr>
        <w:ind w:left="1080" w:hanging="360"/>
      </w:pPr>
      <w:rPr>
        <w:rFonts w:ascii="Calibri" w:hAnsi="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2B39DF"/>
    <w:multiLevelType w:val="hybridMultilevel"/>
    <w:tmpl w:val="C7D034CE"/>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87475"/>
    <w:multiLevelType w:val="hybridMultilevel"/>
    <w:tmpl w:val="D5B65900"/>
    <w:lvl w:ilvl="0" w:tplc="0C090001">
      <w:start w:val="1"/>
      <w:numFmt w:val="bullet"/>
      <w:lvlText w:val=""/>
      <w:lvlJc w:val="left"/>
      <w:pPr>
        <w:ind w:left="791" w:hanging="360"/>
      </w:pPr>
      <w:rPr>
        <w:rFonts w:ascii="Symbol" w:hAnsi="Symbol" w:hint="default"/>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17" w15:restartNumberingAfterBreak="0">
    <w:nsid w:val="313749AD"/>
    <w:multiLevelType w:val="hybridMultilevel"/>
    <w:tmpl w:val="8234827A"/>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8072E"/>
    <w:multiLevelType w:val="hybridMultilevel"/>
    <w:tmpl w:val="33CCA62A"/>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E0BA9"/>
    <w:multiLevelType w:val="hybridMultilevel"/>
    <w:tmpl w:val="E3BAF7F4"/>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26045"/>
    <w:multiLevelType w:val="hybridMultilevel"/>
    <w:tmpl w:val="F8D8139E"/>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E26DBA"/>
    <w:multiLevelType w:val="hybridMultilevel"/>
    <w:tmpl w:val="A5C4E4E2"/>
    <w:lvl w:ilvl="0" w:tplc="618EDD18">
      <w:start w:val="1"/>
      <w:numFmt w:val="bullet"/>
      <w:pStyle w:val="06Table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2" w15:restartNumberingAfterBreak="0">
    <w:nsid w:val="4A810230"/>
    <w:multiLevelType w:val="hybridMultilevel"/>
    <w:tmpl w:val="0F86E0B6"/>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B07AC"/>
    <w:multiLevelType w:val="hybridMultilevel"/>
    <w:tmpl w:val="2244D530"/>
    <w:lvl w:ilvl="0" w:tplc="60E498AA">
      <w:start w:val="1"/>
      <w:numFmt w:val="bullet"/>
      <w:pStyle w:val="Bullet-green"/>
      <w:lvlText w:val=""/>
      <w:lvlJc w:val="left"/>
      <w:pPr>
        <w:ind w:left="431" w:hanging="431"/>
      </w:pPr>
      <w:rPr>
        <w:rFonts w:ascii="Symbol" w:hAnsi="Symbol"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1800" w:hanging="72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83E73"/>
    <w:multiLevelType w:val="hybridMultilevel"/>
    <w:tmpl w:val="1FCAE412"/>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70642"/>
    <w:multiLevelType w:val="multilevel"/>
    <w:tmpl w:val="5798DB06"/>
    <w:lvl w:ilvl="0">
      <w:start w:val="1"/>
      <w:numFmt w:val="decimal"/>
      <w:pStyle w:val="Heading2"/>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A013D0"/>
    <w:multiLevelType w:val="hybridMultilevel"/>
    <w:tmpl w:val="9424C548"/>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095E02"/>
    <w:multiLevelType w:val="hybridMultilevel"/>
    <w:tmpl w:val="936E7018"/>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3307E"/>
    <w:multiLevelType w:val="hybridMultilevel"/>
    <w:tmpl w:val="345C3D58"/>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D3E0A"/>
    <w:multiLevelType w:val="hybridMultilevel"/>
    <w:tmpl w:val="7EB8D11E"/>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91F9B"/>
    <w:multiLevelType w:val="hybridMultilevel"/>
    <w:tmpl w:val="8110D5D2"/>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95D9D"/>
    <w:multiLevelType w:val="hybridMultilevel"/>
    <w:tmpl w:val="0EAA0516"/>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F50677"/>
    <w:multiLevelType w:val="hybridMultilevel"/>
    <w:tmpl w:val="BD96D494"/>
    <w:lvl w:ilvl="0" w:tplc="F5E02E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873A0E"/>
    <w:multiLevelType w:val="hybridMultilevel"/>
    <w:tmpl w:val="DC148210"/>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05D9E"/>
    <w:multiLevelType w:val="hybridMultilevel"/>
    <w:tmpl w:val="71646704"/>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9192F"/>
    <w:multiLevelType w:val="hybridMultilevel"/>
    <w:tmpl w:val="B2FAB04C"/>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B4E2E"/>
    <w:multiLevelType w:val="hybridMultilevel"/>
    <w:tmpl w:val="21980F6A"/>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E2E90"/>
    <w:multiLevelType w:val="hybridMultilevel"/>
    <w:tmpl w:val="03F40C1E"/>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5D3D57"/>
    <w:multiLevelType w:val="hybridMultilevel"/>
    <w:tmpl w:val="F042AF10"/>
    <w:lvl w:ilvl="0" w:tplc="CD5AAAD8">
      <w:start w:val="1"/>
      <w:numFmt w:val="bullet"/>
      <w:lvlText w:val="­"/>
      <w:lvlJc w:val="left"/>
      <w:pPr>
        <w:ind w:left="431" w:hanging="431"/>
      </w:pPr>
      <w:rPr>
        <w:rFonts w:ascii="Courier New" w:hAnsi="Courier New"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14"/>
  </w:num>
  <w:num w:numId="4">
    <w:abstractNumId w:val="23"/>
  </w:num>
  <w:num w:numId="5">
    <w:abstractNumId w:val="8"/>
  </w:num>
  <w:num w:numId="6">
    <w:abstractNumId w:val="9"/>
  </w:num>
  <w:num w:numId="7">
    <w:abstractNumId w:val="5"/>
  </w:num>
  <w:num w:numId="8">
    <w:abstractNumId w:val="27"/>
  </w:num>
  <w:num w:numId="9">
    <w:abstractNumId w:val="22"/>
  </w:num>
  <w:num w:numId="10">
    <w:abstractNumId w:val="35"/>
  </w:num>
  <w:num w:numId="11">
    <w:abstractNumId w:val="1"/>
  </w:num>
  <w:num w:numId="12">
    <w:abstractNumId w:val="29"/>
  </w:num>
  <w:num w:numId="13">
    <w:abstractNumId w:val="4"/>
  </w:num>
  <w:num w:numId="14">
    <w:abstractNumId w:val="17"/>
  </w:num>
  <w:num w:numId="15">
    <w:abstractNumId w:val="24"/>
  </w:num>
  <w:num w:numId="16">
    <w:abstractNumId w:val="37"/>
  </w:num>
  <w:num w:numId="17">
    <w:abstractNumId w:val="18"/>
  </w:num>
  <w:num w:numId="18">
    <w:abstractNumId w:val="0"/>
  </w:num>
  <w:num w:numId="19">
    <w:abstractNumId w:val="19"/>
  </w:num>
  <w:num w:numId="20">
    <w:abstractNumId w:val="30"/>
  </w:num>
  <w:num w:numId="21">
    <w:abstractNumId w:val="13"/>
  </w:num>
  <w:num w:numId="22">
    <w:abstractNumId w:val="2"/>
  </w:num>
  <w:num w:numId="23">
    <w:abstractNumId w:val="38"/>
  </w:num>
  <w:num w:numId="24">
    <w:abstractNumId w:val="15"/>
  </w:num>
  <w:num w:numId="25">
    <w:abstractNumId w:val="6"/>
  </w:num>
  <w:num w:numId="26">
    <w:abstractNumId w:val="28"/>
  </w:num>
  <w:num w:numId="27">
    <w:abstractNumId w:val="26"/>
  </w:num>
  <w:num w:numId="28">
    <w:abstractNumId w:val="34"/>
  </w:num>
  <w:num w:numId="29">
    <w:abstractNumId w:val="7"/>
  </w:num>
  <w:num w:numId="30">
    <w:abstractNumId w:val="11"/>
  </w:num>
  <w:num w:numId="31">
    <w:abstractNumId w:val="3"/>
  </w:num>
  <w:num w:numId="32">
    <w:abstractNumId w:val="20"/>
  </w:num>
  <w:num w:numId="33">
    <w:abstractNumId w:val="12"/>
  </w:num>
  <w:num w:numId="34">
    <w:abstractNumId w:val="31"/>
  </w:num>
  <w:num w:numId="35">
    <w:abstractNumId w:val="33"/>
  </w:num>
  <w:num w:numId="36">
    <w:abstractNumId w:val="36"/>
  </w:num>
  <w:num w:numId="37">
    <w:abstractNumId w:val="10"/>
  </w:num>
  <w:num w:numId="38">
    <w:abstractNumId w:val="16"/>
  </w:num>
  <w:num w:numId="39">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A6"/>
    <w:rsid w:val="0000036C"/>
    <w:rsid w:val="00012FA6"/>
    <w:rsid w:val="00013D5E"/>
    <w:rsid w:val="00022999"/>
    <w:rsid w:val="00023287"/>
    <w:rsid w:val="0004162C"/>
    <w:rsid w:val="000434EB"/>
    <w:rsid w:val="00046A27"/>
    <w:rsid w:val="00056592"/>
    <w:rsid w:val="00081C95"/>
    <w:rsid w:val="00101A5B"/>
    <w:rsid w:val="00116191"/>
    <w:rsid w:val="001614D8"/>
    <w:rsid w:val="00194D3D"/>
    <w:rsid w:val="00197019"/>
    <w:rsid w:val="001A3667"/>
    <w:rsid w:val="001A4CE9"/>
    <w:rsid w:val="001B0757"/>
    <w:rsid w:val="001C1FAE"/>
    <w:rsid w:val="001D6903"/>
    <w:rsid w:val="00206858"/>
    <w:rsid w:val="00227705"/>
    <w:rsid w:val="00234896"/>
    <w:rsid w:val="002530C9"/>
    <w:rsid w:val="002608AB"/>
    <w:rsid w:val="00260B4B"/>
    <w:rsid w:val="00280050"/>
    <w:rsid w:val="002867F6"/>
    <w:rsid w:val="002A0658"/>
    <w:rsid w:val="002A7B5A"/>
    <w:rsid w:val="002D44AC"/>
    <w:rsid w:val="00320AFF"/>
    <w:rsid w:val="003229EC"/>
    <w:rsid w:val="0033464F"/>
    <w:rsid w:val="00345AD8"/>
    <w:rsid w:val="00347587"/>
    <w:rsid w:val="0035365B"/>
    <w:rsid w:val="00360FC4"/>
    <w:rsid w:val="00363066"/>
    <w:rsid w:val="00366BA8"/>
    <w:rsid w:val="0037202B"/>
    <w:rsid w:val="00376699"/>
    <w:rsid w:val="00396210"/>
    <w:rsid w:val="003B326C"/>
    <w:rsid w:val="003B469D"/>
    <w:rsid w:val="003C6168"/>
    <w:rsid w:val="003E7AA1"/>
    <w:rsid w:val="004046F1"/>
    <w:rsid w:val="004544E7"/>
    <w:rsid w:val="00473F20"/>
    <w:rsid w:val="0047428A"/>
    <w:rsid w:val="004F2256"/>
    <w:rsid w:val="004F427E"/>
    <w:rsid w:val="004F47CA"/>
    <w:rsid w:val="00521CCF"/>
    <w:rsid w:val="005257DB"/>
    <w:rsid w:val="00532E72"/>
    <w:rsid w:val="00552488"/>
    <w:rsid w:val="0056031E"/>
    <w:rsid w:val="00563311"/>
    <w:rsid w:val="00584DC3"/>
    <w:rsid w:val="005B5EA2"/>
    <w:rsid w:val="005B7C4E"/>
    <w:rsid w:val="005D05D5"/>
    <w:rsid w:val="005E40FC"/>
    <w:rsid w:val="00606C1B"/>
    <w:rsid w:val="00620F06"/>
    <w:rsid w:val="00641C25"/>
    <w:rsid w:val="0067793E"/>
    <w:rsid w:val="0068231D"/>
    <w:rsid w:val="00691C39"/>
    <w:rsid w:val="006A6C9A"/>
    <w:rsid w:val="006D5432"/>
    <w:rsid w:val="00713EF6"/>
    <w:rsid w:val="00772362"/>
    <w:rsid w:val="007C3BEF"/>
    <w:rsid w:val="007D441B"/>
    <w:rsid w:val="007D64FE"/>
    <w:rsid w:val="007F3622"/>
    <w:rsid w:val="007F5BA4"/>
    <w:rsid w:val="00806E31"/>
    <w:rsid w:val="008206A2"/>
    <w:rsid w:val="0089556A"/>
    <w:rsid w:val="008D0825"/>
    <w:rsid w:val="008D3D37"/>
    <w:rsid w:val="008E1E91"/>
    <w:rsid w:val="00901F92"/>
    <w:rsid w:val="009165D6"/>
    <w:rsid w:val="00922250"/>
    <w:rsid w:val="00941109"/>
    <w:rsid w:val="00955B33"/>
    <w:rsid w:val="00955C94"/>
    <w:rsid w:val="00963F48"/>
    <w:rsid w:val="00966538"/>
    <w:rsid w:val="00981110"/>
    <w:rsid w:val="00987256"/>
    <w:rsid w:val="009960DB"/>
    <w:rsid w:val="009B0618"/>
    <w:rsid w:val="009D406B"/>
    <w:rsid w:val="009D5005"/>
    <w:rsid w:val="009E1ADC"/>
    <w:rsid w:val="00A04991"/>
    <w:rsid w:val="00A270AD"/>
    <w:rsid w:val="00A500C0"/>
    <w:rsid w:val="00A762AB"/>
    <w:rsid w:val="00A9059B"/>
    <w:rsid w:val="00A932EB"/>
    <w:rsid w:val="00AF2F3D"/>
    <w:rsid w:val="00AF4B80"/>
    <w:rsid w:val="00B02F1E"/>
    <w:rsid w:val="00B35D7B"/>
    <w:rsid w:val="00B5520D"/>
    <w:rsid w:val="00B60487"/>
    <w:rsid w:val="00B632D0"/>
    <w:rsid w:val="00B803FB"/>
    <w:rsid w:val="00B854D9"/>
    <w:rsid w:val="00BC1C76"/>
    <w:rsid w:val="00C033C8"/>
    <w:rsid w:val="00C21A69"/>
    <w:rsid w:val="00C26AA1"/>
    <w:rsid w:val="00C3509D"/>
    <w:rsid w:val="00C45E97"/>
    <w:rsid w:val="00C51FBE"/>
    <w:rsid w:val="00C60A11"/>
    <w:rsid w:val="00C6469A"/>
    <w:rsid w:val="00C719A6"/>
    <w:rsid w:val="00C80DCD"/>
    <w:rsid w:val="00C85F6B"/>
    <w:rsid w:val="00C869E2"/>
    <w:rsid w:val="00C970D1"/>
    <w:rsid w:val="00CE615D"/>
    <w:rsid w:val="00CF10DF"/>
    <w:rsid w:val="00D01C96"/>
    <w:rsid w:val="00D12175"/>
    <w:rsid w:val="00D47398"/>
    <w:rsid w:val="00D7706A"/>
    <w:rsid w:val="00D773FB"/>
    <w:rsid w:val="00D95BF2"/>
    <w:rsid w:val="00DE1D1E"/>
    <w:rsid w:val="00DE7163"/>
    <w:rsid w:val="00E0030E"/>
    <w:rsid w:val="00E2190D"/>
    <w:rsid w:val="00E25EC0"/>
    <w:rsid w:val="00E37E30"/>
    <w:rsid w:val="00E41A1C"/>
    <w:rsid w:val="00E975B6"/>
    <w:rsid w:val="00EA1929"/>
    <w:rsid w:val="00EA35F5"/>
    <w:rsid w:val="00EA653E"/>
    <w:rsid w:val="00EC5DC1"/>
    <w:rsid w:val="00ED4124"/>
    <w:rsid w:val="00EE1BEC"/>
    <w:rsid w:val="00EF6F3A"/>
    <w:rsid w:val="00F011AE"/>
    <w:rsid w:val="00F14D6C"/>
    <w:rsid w:val="00F73517"/>
    <w:rsid w:val="00FA744E"/>
    <w:rsid w:val="00FB49FD"/>
    <w:rsid w:val="00FE55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A65A"/>
  <w15:chartTrackingRefBased/>
  <w15:docId w15:val="{C65E54B6-213A-4636-B849-3E395E5B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26C"/>
    <w:pPr>
      <w:spacing w:before="120" w:after="120" w:line="240" w:lineRule="auto"/>
    </w:pPr>
    <w:rPr>
      <w:rFonts w:asciiTheme="minorHAnsi" w:eastAsia="Times New Roman" w:hAnsiTheme="minorHAnsi"/>
      <w:sz w:val="22"/>
    </w:rPr>
  </w:style>
  <w:style w:type="paragraph" w:styleId="Heading1">
    <w:name w:val="heading 1"/>
    <w:basedOn w:val="Normal"/>
    <w:next w:val="Normal"/>
    <w:link w:val="Heading1Char"/>
    <w:uiPriority w:val="9"/>
    <w:qFormat/>
    <w:rsid w:val="003B326C"/>
    <w:pPr>
      <w:keepNext/>
      <w:spacing w:line="276" w:lineRule="auto"/>
      <w:ind w:left="567" w:hanging="567"/>
      <w:outlineLvl w:val="0"/>
    </w:pPr>
    <w:rPr>
      <w:rFonts w:eastAsiaTheme="minorHAnsi" w:cs="Arial"/>
      <w:b/>
      <w:bCs/>
      <w:color w:val="01653F"/>
      <w:kern w:val="32"/>
      <w:sz w:val="32"/>
      <w:szCs w:val="28"/>
      <w:lang w:val="en-US"/>
    </w:rPr>
  </w:style>
  <w:style w:type="paragraph" w:styleId="Heading2">
    <w:name w:val="heading 2"/>
    <w:aliases w:val="Level 2 Heading,Body Text (Reset numbering),HC level 1 Heading"/>
    <w:basedOn w:val="Normal"/>
    <w:next w:val="Normal"/>
    <w:link w:val="Heading2Char"/>
    <w:uiPriority w:val="5"/>
    <w:qFormat/>
    <w:rsid w:val="003B326C"/>
    <w:pPr>
      <w:keepNext/>
      <w:numPr>
        <w:numId w:val="1"/>
      </w:numPr>
      <w:spacing w:before="180" w:after="60" w:line="360" w:lineRule="auto"/>
      <w:ind w:left="357" w:hanging="357"/>
      <w:contextualSpacing/>
      <w:outlineLvl w:val="1"/>
    </w:pPr>
    <w:rPr>
      <w:b/>
      <w:szCs w:val="22"/>
      <w:lang w:val="en-US"/>
    </w:rPr>
  </w:style>
  <w:style w:type="paragraph" w:styleId="Heading3">
    <w:name w:val="heading 3"/>
    <w:basedOn w:val="Normal"/>
    <w:next w:val="Normal"/>
    <w:link w:val="Heading3Char"/>
    <w:uiPriority w:val="9"/>
    <w:semiHidden/>
    <w:unhideWhenUsed/>
    <w:qFormat/>
    <w:rsid w:val="00963F48"/>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Heading3"/>
    <w:next w:val="Normal"/>
    <w:link w:val="Heading4Char"/>
    <w:uiPriority w:val="6"/>
    <w:qFormat/>
    <w:rsid w:val="00963F48"/>
    <w:pPr>
      <w:keepLines w:val="0"/>
      <w:spacing w:before="360" w:after="360"/>
      <w:ind w:left="-129" w:hanging="864"/>
      <w:outlineLvl w:val="3"/>
    </w:pPr>
    <w:rPr>
      <w:rFonts w:asciiTheme="minorHAnsi" w:eastAsiaTheme="minorHAnsi" w:hAnsiTheme="minorHAnsi" w:cs="Arial"/>
      <w:bCs/>
      <w:color w:val="01653F"/>
      <w:sz w:val="22"/>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326C"/>
    <w:rPr>
      <w:rFonts w:asciiTheme="minorHAnsi" w:hAnsiTheme="minorHAnsi" w:cs="Arial"/>
      <w:b/>
      <w:bCs/>
      <w:color w:val="01653F"/>
      <w:kern w:val="32"/>
      <w:sz w:val="32"/>
      <w:szCs w:val="28"/>
      <w:lang w:val="en-US"/>
    </w:rPr>
  </w:style>
  <w:style w:type="character" w:customStyle="1" w:styleId="Heading2Char">
    <w:name w:val="Heading 2 Char"/>
    <w:aliases w:val="Level 2 Heading Char,Body Text (Reset numbering) Char,HC level 1 Heading Char"/>
    <w:basedOn w:val="DefaultParagraphFont"/>
    <w:link w:val="Heading2"/>
    <w:uiPriority w:val="5"/>
    <w:rsid w:val="003B326C"/>
    <w:rPr>
      <w:rFonts w:asciiTheme="minorHAnsi" w:eastAsia="Times New Roman" w:hAnsiTheme="minorHAnsi"/>
      <w:b/>
      <w:sz w:val="22"/>
      <w:szCs w:val="22"/>
      <w:lang w:val="en-US"/>
    </w:rPr>
  </w:style>
  <w:style w:type="paragraph" w:styleId="Subtitle">
    <w:name w:val="Subtitle"/>
    <w:basedOn w:val="Normal"/>
    <w:next w:val="Normal"/>
    <w:link w:val="SubtitleChar"/>
    <w:qFormat/>
    <w:rsid w:val="003B326C"/>
    <w:pPr>
      <w:pBdr>
        <w:top w:val="double" w:sz="12" w:space="31" w:color="B66113"/>
        <w:bottom w:val="double" w:sz="12" w:space="1" w:color="B66113"/>
      </w:pBdr>
      <w:jc w:val="center"/>
    </w:pPr>
    <w:rPr>
      <w:rFonts w:cs="Arial"/>
      <w:b/>
      <w:color w:val="01653F"/>
      <w:spacing w:val="5"/>
      <w:sz w:val="44"/>
      <w:szCs w:val="48"/>
      <w:lang w:eastAsia="en-AU"/>
    </w:rPr>
  </w:style>
  <w:style w:type="character" w:customStyle="1" w:styleId="SubtitleChar">
    <w:name w:val="Subtitle Char"/>
    <w:basedOn w:val="DefaultParagraphFont"/>
    <w:link w:val="Subtitle"/>
    <w:rsid w:val="003B326C"/>
    <w:rPr>
      <w:rFonts w:asciiTheme="minorHAnsi" w:eastAsia="Times New Roman" w:hAnsiTheme="minorHAnsi" w:cs="Arial"/>
      <w:b/>
      <w:color w:val="01653F"/>
      <w:spacing w:val="5"/>
      <w:sz w:val="44"/>
      <w:szCs w:val="48"/>
      <w:lang w:eastAsia="en-AU"/>
    </w:rPr>
  </w:style>
  <w:style w:type="paragraph" w:styleId="Title">
    <w:name w:val="Title"/>
    <w:basedOn w:val="Normal"/>
    <w:next w:val="Normal"/>
    <w:link w:val="TitleChar"/>
    <w:qFormat/>
    <w:rsid w:val="003B326C"/>
    <w:pPr>
      <w:pBdr>
        <w:top w:val="double" w:sz="12" w:space="31" w:color="B66113"/>
        <w:bottom w:val="double" w:sz="12" w:space="1" w:color="B66113"/>
      </w:pBdr>
      <w:spacing w:before="240" w:line="312" w:lineRule="auto"/>
      <w:contextualSpacing/>
      <w:jc w:val="center"/>
    </w:pPr>
    <w:rPr>
      <w:rFonts w:cs="Arial"/>
      <w:b/>
      <w:spacing w:val="5"/>
      <w:sz w:val="52"/>
      <w:szCs w:val="60"/>
      <w:lang w:eastAsia="en-AU"/>
    </w:rPr>
  </w:style>
  <w:style w:type="character" w:customStyle="1" w:styleId="TitleChar">
    <w:name w:val="Title Char"/>
    <w:basedOn w:val="DefaultParagraphFont"/>
    <w:link w:val="Title"/>
    <w:rsid w:val="003B326C"/>
    <w:rPr>
      <w:rFonts w:asciiTheme="minorHAnsi" w:eastAsia="Times New Roman" w:hAnsiTheme="minorHAnsi" w:cs="Arial"/>
      <w:b/>
      <w:spacing w:val="5"/>
      <w:sz w:val="52"/>
      <w:szCs w:val="60"/>
      <w:lang w:eastAsia="en-AU"/>
    </w:rPr>
  </w:style>
  <w:style w:type="character" w:styleId="IntenseEmphasis">
    <w:name w:val="Intense Emphasis"/>
    <w:basedOn w:val="DefaultParagraphFont"/>
    <w:uiPriority w:val="21"/>
    <w:qFormat/>
    <w:rsid w:val="003B326C"/>
    <w:rPr>
      <w:b/>
      <w:bCs/>
      <w:i/>
      <w:iCs/>
      <w:color w:val="5B9BD5" w:themeColor="accent1"/>
    </w:rPr>
  </w:style>
  <w:style w:type="paragraph" w:styleId="Footer">
    <w:name w:val="footer"/>
    <w:basedOn w:val="Normal"/>
    <w:link w:val="FooterChar"/>
    <w:uiPriority w:val="99"/>
    <w:rsid w:val="003B326C"/>
    <w:pPr>
      <w:tabs>
        <w:tab w:val="center" w:pos="4513"/>
        <w:tab w:val="right" w:pos="9026"/>
      </w:tabs>
    </w:pPr>
  </w:style>
  <w:style w:type="character" w:customStyle="1" w:styleId="FooterChar">
    <w:name w:val="Footer Char"/>
    <w:basedOn w:val="DefaultParagraphFont"/>
    <w:link w:val="Footer"/>
    <w:uiPriority w:val="99"/>
    <w:rsid w:val="003B326C"/>
    <w:rPr>
      <w:rFonts w:asciiTheme="minorHAnsi" w:eastAsia="Times New Roman" w:hAnsiTheme="minorHAnsi"/>
      <w:sz w:val="22"/>
    </w:rPr>
  </w:style>
  <w:style w:type="table" w:styleId="TableGrid">
    <w:name w:val="Table Grid"/>
    <w:basedOn w:val="TableNormal"/>
    <w:rsid w:val="003B326C"/>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Numbered">
    <w:name w:val="Heading 3 Numbered"/>
    <w:basedOn w:val="Heading2"/>
    <w:uiPriority w:val="5"/>
    <w:qFormat/>
    <w:rsid w:val="003B326C"/>
    <w:pPr>
      <w:spacing w:before="120" w:after="120" w:line="312" w:lineRule="auto"/>
      <w:ind w:left="720" w:hanging="720"/>
      <w:outlineLvl w:val="2"/>
    </w:pPr>
    <w:rPr>
      <w:rFonts w:eastAsiaTheme="minorHAnsi"/>
      <w:color w:val="B56011"/>
    </w:rPr>
  </w:style>
  <w:style w:type="paragraph" w:styleId="Header">
    <w:name w:val="header"/>
    <w:basedOn w:val="Normal"/>
    <w:link w:val="HeaderChar"/>
    <w:uiPriority w:val="99"/>
    <w:unhideWhenUsed/>
    <w:rsid w:val="003B326C"/>
    <w:pPr>
      <w:tabs>
        <w:tab w:val="center" w:pos="4513"/>
        <w:tab w:val="right" w:pos="9026"/>
      </w:tabs>
      <w:spacing w:before="0" w:after="0"/>
    </w:pPr>
  </w:style>
  <w:style w:type="character" w:customStyle="1" w:styleId="HeaderChar">
    <w:name w:val="Header Char"/>
    <w:basedOn w:val="DefaultParagraphFont"/>
    <w:link w:val="Header"/>
    <w:uiPriority w:val="99"/>
    <w:rsid w:val="003B326C"/>
    <w:rPr>
      <w:rFonts w:asciiTheme="minorHAnsi" w:eastAsia="Times New Roman" w:hAnsiTheme="minorHAnsi"/>
      <w:sz w:val="22"/>
    </w:rPr>
  </w:style>
  <w:style w:type="paragraph" w:customStyle="1" w:styleId="06Tablebullet">
    <w:name w:val="06. Table bullet"/>
    <w:qFormat/>
    <w:rsid w:val="00CE615D"/>
    <w:pPr>
      <w:numPr>
        <w:numId w:val="2"/>
      </w:numPr>
      <w:spacing w:after="0" w:line="240" w:lineRule="auto"/>
      <w:ind w:left="284" w:hanging="227"/>
    </w:pPr>
    <w:rPr>
      <w:sz w:val="18"/>
      <w:szCs w:val="22"/>
    </w:rPr>
  </w:style>
  <w:style w:type="paragraph" w:customStyle="1" w:styleId="Bullet2">
    <w:name w:val="Bullet 2"/>
    <w:basedOn w:val="ListParagraph"/>
    <w:link w:val="Bullet2Char"/>
    <w:qFormat/>
    <w:rsid w:val="00CE615D"/>
    <w:pPr>
      <w:numPr>
        <w:ilvl w:val="1"/>
        <w:numId w:val="3"/>
      </w:numPr>
      <w:spacing w:after="60" w:line="312" w:lineRule="auto"/>
      <w:contextualSpacing w:val="0"/>
    </w:pPr>
    <w:rPr>
      <w:rFonts w:eastAsiaTheme="minorHAnsi" w:cs="Arial"/>
      <w:szCs w:val="22"/>
      <w:lang w:eastAsia="en-AU"/>
    </w:rPr>
  </w:style>
  <w:style w:type="paragraph" w:customStyle="1" w:styleId="Bullet-green">
    <w:name w:val="Bullet - green"/>
    <w:basedOn w:val="Normal"/>
    <w:link w:val="Bullet-greenChar"/>
    <w:uiPriority w:val="14"/>
    <w:qFormat/>
    <w:rsid w:val="00CE615D"/>
    <w:pPr>
      <w:numPr>
        <w:numId w:val="4"/>
      </w:numPr>
      <w:spacing w:before="0" w:line="312" w:lineRule="auto"/>
    </w:pPr>
    <w:rPr>
      <w:lang w:eastAsia="en-AU"/>
    </w:rPr>
  </w:style>
  <w:style w:type="character" w:customStyle="1" w:styleId="Bullet-greenChar">
    <w:name w:val="Bullet - green Char"/>
    <w:basedOn w:val="DefaultParagraphFont"/>
    <w:link w:val="Bullet-green"/>
    <w:uiPriority w:val="14"/>
    <w:rsid w:val="00CE615D"/>
    <w:rPr>
      <w:rFonts w:asciiTheme="minorHAnsi" w:eastAsia="Times New Roman" w:hAnsiTheme="minorHAnsi"/>
      <w:sz w:val="22"/>
      <w:lang w:eastAsia="en-AU"/>
    </w:rPr>
  </w:style>
  <w:style w:type="character" w:customStyle="1" w:styleId="Bullet2Char">
    <w:name w:val="Bullet 2 Char"/>
    <w:basedOn w:val="DefaultParagraphFont"/>
    <w:link w:val="Bullet2"/>
    <w:locked/>
    <w:rsid w:val="00CE615D"/>
    <w:rPr>
      <w:rFonts w:asciiTheme="minorHAnsi" w:hAnsiTheme="minorHAnsi" w:cs="Arial"/>
      <w:sz w:val="22"/>
      <w:szCs w:val="22"/>
      <w:lang w:eastAsia="en-AU"/>
    </w:rPr>
  </w:style>
  <w:style w:type="paragraph" w:customStyle="1" w:styleId="Dash3">
    <w:name w:val="Dash 3"/>
    <w:basedOn w:val="Bullet2"/>
    <w:qFormat/>
    <w:rsid w:val="00CE615D"/>
    <w:pPr>
      <w:numPr>
        <w:ilvl w:val="0"/>
        <w:numId w:val="5"/>
      </w:numPr>
      <w:tabs>
        <w:tab w:val="num" w:pos="360"/>
      </w:tabs>
      <w:ind w:left="720" w:right="142"/>
    </w:pPr>
    <w:rPr>
      <w:rFonts w:ascii="Calibri" w:eastAsia="Times New Roman" w:hAnsi="Calibri" w:cs="Times New Roman"/>
      <w:szCs w:val="20"/>
      <w:lang w:val="en-US" w:eastAsia="en-US"/>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CE615D"/>
    <w:pPr>
      <w:ind w:left="720"/>
      <w:contextualSpacing/>
    </w:pPr>
  </w:style>
  <w:style w:type="paragraph" w:customStyle="1" w:styleId="Bullettext">
    <w:name w:val="Bullet text"/>
    <w:basedOn w:val="Bullet-green"/>
    <w:link w:val="BullettextChar"/>
    <w:uiPriority w:val="14"/>
    <w:qFormat/>
    <w:rsid w:val="00E37E30"/>
    <w:pPr>
      <w:numPr>
        <w:numId w:val="0"/>
      </w:numPr>
      <w:spacing w:line="240" w:lineRule="auto"/>
      <w:ind w:left="431"/>
    </w:pPr>
    <w:rPr>
      <w:lang w:val="en-US"/>
    </w:rPr>
  </w:style>
  <w:style w:type="character" w:customStyle="1" w:styleId="BullettextChar">
    <w:name w:val="Bullet text Char"/>
    <w:basedOn w:val="Bullet-greenChar"/>
    <w:link w:val="Bullettext"/>
    <w:uiPriority w:val="14"/>
    <w:rsid w:val="00E37E30"/>
    <w:rPr>
      <w:rFonts w:asciiTheme="minorHAnsi" w:eastAsia="Times New Roman" w:hAnsiTheme="minorHAnsi"/>
      <w:sz w:val="22"/>
      <w:lang w:val="en-US" w:eastAsia="en-AU"/>
    </w:rPr>
  </w:style>
  <w:style w:type="paragraph" w:customStyle="1" w:styleId="DNU1">
    <w:name w:val="DNU1"/>
    <w:basedOn w:val="Normal"/>
    <w:uiPriority w:val="99"/>
    <w:locked/>
    <w:rsid w:val="00F73517"/>
    <w:pPr>
      <w:numPr>
        <w:numId w:val="6"/>
      </w:numPr>
      <w:tabs>
        <w:tab w:val="right" w:pos="432"/>
      </w:tabs>
      <w:autoSpaceDE w:val="0"/>
      <w:autoSpaceDN w:val="0"/>
      <w:adjustRightInd w:val="0"/>
      <w:spacing w:before="40" w:after="40"/>
      <w:contextualSpacing/>
    </w:pPr>
    <w:rPr>
      <w:rFonts w:ascii="Times New Roman" w:hAnsi="Times New Roman" w:cs="Arial"/>
      <w:color w:val="000000"/>
      <w:sz w:val="17"/>
      <w:szCs w:val="17"/>
    </w:rPr>
  </w:style>
  <w:style w:type="character" w:customStyle="1" w:styleId="Heading4Char">
    <w:name w:val="Heading 4 Char"/>
    <w:basedOn w:val="DefaultParagraphFont"/>
    <w:link w:val="Heading4"/>
    <w:uiPriority w:val="6"/>
    <w:rsid w:val="00963F48"/>
    <w:rPr>
      <w:rFonts w:asciiTheme="minorHAnsi" w:hAnsiTheme="minorHAnsi" w:cs="Arial"/>
      <w:bCs/>
      <w:color w:val="01653F"/>
      <w:sz w:val="22"/>
      <w:szCs w:val="26"/>
      <w:lang w:val="en-US"/>
    </w:rPr>
  </w:style>
  <w:style w:type="character" w:customStyle="1" w:styleId="Heading3Char">
    <w:name w:val="Heading 3 Char"/>
    <w:basedOn w:val="DefaultParagraphFont"/>
    <w:link w:val="Heading3"/>
    <w:uiPriority w:val="9"/>
    <w:semiHidden/>
    <w:rsid w:val="00963F48"/>
    <w:rPr>
      <w:rFonts w:asciiTheme="majorHAnsi" w:eastAsiaTheme="majorEastAsia" w:hAnsiTheme="majorHAnsi" w:cstheme="majorBidi"/>
      <w:color w:val="1F4D78" w:themeColor="accent1" w:themeShade="7F"/>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D47398"/>
    <w:rPr>
      <w:rFonts w:asciiTheme="minorHAnsi" w:eastAsia="Times New Roman" w:hAnsiTheme="minorHAnsi"/>
      <w:sz w:val="22"/>
    </w:rPr>
  </w:style>
  <w:style w:type="paragraph" w:styleId="BalloonText">
    <w:name w:val="Balloon Text"/>
    <w:basedOn w:val="Normal"/>
    <w:link w:val="BalloonTextChar"/>
    <w:uiPriority w:val="99"/>
    <w:semiHidden/>
    <w:unhideWhenUsed/>
    <w:rsid w:val="00B803F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3F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13EF6"/>
    <w:rPr>
      <w:sz w:val="16"/>
      <w:szCs w:val="16"/>
    </w:rPr>
  </w:style>
  <w:style w:type="paragraph" w:styleId="CommentText">
    <w:name w:val="annotation text"/>
    <w:basedOn w:val="Normal"/>
    <w:link w:val="CommentTextChar"/>
    <w:uiPriority w:val="99"/>
    <w:semiHidden/>
    <w:unhideWhenUsed/>
    <w:rsid w:val="00713EF6"/>
    <w:rPr>
      <w:sz w:val="20"/>
      <w:szCs w:val="20"/>
    </w:rPr>
  </w:style>
  <w:style w:type="character" w:customStyle="1" w:styleId="CommentTextChar">
    <w:name w:val="Comment Text Char"/>
    <w:basedOn w:val="DefaultParagraphFont"/>
    <w:link w:val="CommentText"/>
    <w:uiPriority w:val="99"/>
    <w:semiHidden/>
    <w:rsid w:val="00713EF6"/>
    <w:rPr>
      <w:rFonts w:asciiTheme="minorHAnsi" w:eastAsia="Times New Roman" w:hAnsiTheme="minorHAnsi"/>
      <w:sz w:val="20"/>
      <w:szCs w:val="20"/>
    </w:rPr>
  </w:style>
  <w:style w:type="paragraph" w:styleId="CommentSubject">
    <w:name w:val="annotation subject"/>
    <w:basedOn w:val="CommentText"/>
    <w:next w:val="CommentText"/>
    <w:link w:val="CommentSubjectChar"/>
    <w:uiPriority w:val="99"/>
    <w:semiHidden/>
    <w:unhideWhenUsed/>
    <w:rsid w:val="00713EF6"/>
    <w:rPr>
      <w:b/>
      <w:bCs/>
    </w:rPr>
  </w:style>
  <w:style w:type="character" w:customStyle="1" w:styleId="CommentSubjectChar">
    <w:name w:val="Comment Subject Char"/>
    <w:basedOn w:val="CommentTextChar"/>
    <w:link w:val="CommentSubject"/>
    <w:uiPriority w:val="99"/>
    <w:semiHidden/>
    <w:rsid w:val="00713EF6"/>
    <w:rPr>
      <w:rFonts w:asciiTheme="minorHAnsi" w:eastAsia="Times New Roman" w:hAnsiTheme="minorHAnsi"/>
      <w:b/>
      <w:bCs/>
      <w:sz w:val="20"/>
      <w:szCs w:val="20"/>
    </w:rPr>
  </w:style>
  <w:style w:type="character" w:customStyle="1" w:styleId="None">
    <w:name w:val="None"/>
    <w:rsid w:val="00772362"/>
  </w:style>
  <w:style w:type="paragraph" w:styleId="TOC3">
    <w:name w:val="toc 3"/>
    <w:uiPriority w:val="39"/>
    <w:rsid w:val="00772362"/>
    <w:pPr>
      <w:pBdr>
        <w:top w:val="nil"/>
        <w:left w:val="nil"/>
        <w:bottom w:val="nil"/>
        <w:right w:val="nil"/>
        <w:between w:val="nil"/>
        <w:bar w:val="nil"/>
      </w:pBdr>
      <w:tabs>
        <w:tab w:val="left" w:pos="440"/>
        <w:tab w:val="left" w:pos="567"/>
        <w:tab w:val="right" w:leader="dot" w:pos="8302"/>
      </w:tabs>
      <w:spacing w:before="120" w:after="0" w:line="312" w:lineRule="auto"/>
      <w:ind w:left="340" w:hanging="340"/>
    </w:pPr>
    <w:rPr>
      <w:rFonts w:ascii="Calibri" w:eastAsia="Calibri" w:hAnsi="Calibri" w:cs="Calibri"/>
      <w:b/>
      <w:bCs/>
      <w:color w:val="000000"/>
      <w:sz w:val="22"/>
      <w:szCs w:val="22"/>
      <w:u w:color="000000"/>
      <w:bdr w:val="nil"/>
      <w:lang w:eastAsia="en-AU"/>
    </w:rPr>
  </w:style>
  <w:style w:type="paragraph" w:customStyle="1" w:styleId="Coverdate">
    <w:name w:val="Cover date"/>
    <w:rsid w:val="00D01C96"/>
    <w:pPr>
      <w:keepNext/>
      <w:widowControl w:val="0"/>
      <w:pBdr>
        <w:top w:val="nil"/>
        <w:left w:val="nil"/>
        <w:bottom w:val="single" w:sz="16" w:space="0" w:color="BFBFBF"/>
        <w:right w:val="nil"/>
        <w:between w:val="nil"/>
        <w:bar w:val="nil"/>
      </w:pBdr>
      <w:spacing w:before="720" w:after="720" w:line="312" w:lineRule="auto"/>
    </w:pPr>
    <w:rPr>
      <w:rFonts w:ascii="Calibri" w:eastAsia="Calibri" w:hAnsi="Calibri" w:cs="Calibri"/>
      <w:color w:val="01653F"/>
      <w:sz w:val="40"/>
      <w:szCs w:val="40"/>
      <w:u w:color="01653F"/>
      <w:bdr w:val="nil"/>
      <w:lang w:val="en-US" w:eastAsia="en-AU"/>
    </w:rPr>
  </w:style>
  <w:style w:type="numbering" w:customStyle="1" w:styleId="ImportedStyle7">
    <w:name w:val="Imported Style 7"/>
    <w:rsid w:val="00C26AA1"/>
    <w:pPr>
      <w:numPr>
        <w:numId w:val="7"/>
      </w:numPr>
    </w:pPr>
  </w:style>
  <w:style w:type="paragraph" w:customStyle="1" w:styleId="Body">
    <w:name w:val="Body"/>
    <w:rsid w:val="008D3D37"/>
    <w:pPr>
      <w:pBdr>
        <w:top w:val="nil"/>
        <w:left w:val="nil"/>
        <w:bottom w:val="nil"/>
        <w:right w:val="nil"/>
        <w:between w:val="nil"/>
        <w:bar w:val="nil"/>
      </w:pBdr>
      <w:spacing w:before="180" w:after="60" w:line="312" w:lineRule="auto"/>
    </w:pPr>
    <w:rPr>
      <w:rFonts w:ascii="Calibri" w:eastAsia="Calibri" w:hAnsi="Calibri" w:cs="Calibri"/>
      <w:color w:val="000000"/>
      <w:sz w:val="22"/>
      <w:szCs w:val="22"/>
      <w:u w:color="000000"/>
      <w:bdr w:val="nil"/>
      <w:lang w:eastAsia="en-AU"/>
    </w:rPr>
  </w:style>
  <w:style w:type="paragraph" w:customStyle="1" w:styleId="01squarebullet">
    <w:name w:val="01 square bullet"/>
    <w:rsid w:val="008D3D37"/>
    <w:pPr>
      <w:pBdr>
        <w:top w:val="nil"/>
        <w:left w:val="nil"/>
        <w:bottom w:val="nil"/>
        <w:right w:val="nil"/>
        <w:between w:val="nil"/>
        <w:bar w:val="nil"/>
      </w:pBdr>
      <w:spacing w:after="0" w:line="240" w:lineRule="auto"/>
      <w:ind w:left="360" w:right="142" w:hanging="360"/>
    </w:pPr>
    <w:rPr>
      <w:rFonts w:eastAsia="Arial Unicode MS" w:cs="Arial Unicode MS"/>
      <w:color w:val="000000"/>
      <w:u w:color="000000"/>
      <w:bdr w:val="nil"/>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
  <b:Source>
    <b:Tag>McK161</b:Tag>
    <b:SourceType>JournalArticle</b:SourceType>
    <b:Guid>{04ADB48A-D72C-41FB-9784-1FED1296F3D6}</b:Guid>
    <b:Title>The Impact of Preoperative Stoma Marking on Health-Related Quality of Life: A Comparison Cohort Study</b:Title>
    <b:Year>2016</b:Year>
    <b:Month>Feb</b:Month>
    <b:URL>https://www.ncbi.nlm.nih.gov/pubmed/26727684</b:URL>
    <b:Author>
      <b:Author>
        <b:NameList>
          <b:Person>
            <b:Last>McKenna LS</b:Last>
            <b:First>Taggart</b:First>
            <b:Middle>E, Stoelting J, Kirkbride G, Forbes GB.</b:Middle>
          </b:Person>
        </b:NameList>
      </b:Author>
    </b:Author>
    <b:Volume>43</b:Volume>
    <b:Issue>1</b:Issue>
    <b:JournalName>Journal of wound, ostomy and continence nursing</b:JournalName>
    <b:Pages>57-61</b:Pages>
    <b:DOI>10.1097/WON.0000000000000180</b:DOI>
    <b:RefOrder>2</b:RefOrder>
  </b:Source>
  <b:Source>
    <b:Tag>Bay14</b:Tag>
    <b:SourceType>JournalArticle</b:SourceType>
    <b:Guid>{0BA8A4ED-CB35-4D60-AA2F-5673FCDF9A25}</b:Guid>
    <b:Author>
      <b:Author>
        <b:NameList>
          <b:Person>
            <b:Last>Baykara ZG</b:Last>
            <b:First>Demir</b:First>
            <b:Middle>SG, Karadag A, Harputlu D, Kahraman A, Karadag S, Hin AO, Togluk E, Altinsoy M, Erdem S, Cihan R.</b:Middle>
          </b:Person>
        </b:NameList>
      </b:Author>
    </b:Author>
    <b:Title>A multicenter, retrospective study to evaluate the effect of preoperative stoma site marking on stomal and peristomal complications.</b:Title>
    <b:Year>2014</b:Year>
    <b:Volume>60</b:Volume>
    <b:Issue>5</b:Issue>
    <b:JournalName>Ostomy Wound Management</b:JournalName>
    <b:Month>May</b:Month>
    <b:Pages>16-26</b:Pages>
    <b:URL>https://www.ncbi.nlm.nih.gov/pubmed/24807019</b:URL>
    <b:RefOrder>3</b:RefOrder>
  </b:Source>
  <b:Source>
    <b:Tag>Per12</b:Tag>
    <b:SourceType>JournalArticle</b:SourceType>
    <b:Guid>{A39E73B6-3AF2-49F2-BED4-089534E2DD1D}</b:Guid>
    <b:Author>
      <b:Author>
        <b:NameList>
          <b:Person>
            <b:Last>Person B</b:Last>
            <b:First>Ifargan</b:First>
            <b:Middle>R, Lachter J, Duek SD, Kluger Y, Assalia A.</b:Middle>
          </b:Person>
        </b:NameList>
      </b:Author>
    </b:Author>
    <b:Title>The impact of preoperative stoma site marking on the incidence of complications, quality of life, and patient's independence</b:Title>
    <b:Year>2012</b:Year>
    <b:Volume>55</b:Volume>
    <b:Issue>7</b:Issue>
    <b:JournalName>Diseases of the colon and rectum</b:JournalName>
    <b:Month>July</b:Month>
    <b:Pages>783-7</b:Pages>
    <b:URL>https://www.ncbi.nlm.nih.gov/pubmed/22706131</b:URL>
    <b:DOI>10.1097/DCR.0b013e31825763f0 </b:DOI>
    <b:RefOrder>4</b:RefOrder>
  </b:Source>
  <b:Source>
    <b:Tag>Nug99</b:Tag>
    <b:SourceType>JournalArticle</b:SourceType>
    <b:Guid>{83165C55-E557-4BAE-9AF0-C5779360FF5E}</b:Guid>
    <b:Author>
      <b:Author>
        <b:NameList>
          <b:Person>
            <b:Last>Nugent KP</b:Last>
            <b:First>Daniels</b:First>
            <b:Middle>P, Stewart B, Patankar R, Johnson CD</b:Middle>
          </b:Person>
        </b:NameList>
      </b:Author>
    </b:Author>
    <b:Title>Quality of life in stoma patients</b:Title>
    <b:Year>1999</b:Year>
    <b:Volume>42</b:Volume>
    <b:JournalName>Diseaes of the colon and rectum</b:JournalName>
    <b:Pages>1569-74</b:Pages>
    <b:URL>https://wiki.cancer.org.au/australia/Citation:Nugent_KP,_Daniels_P,_Stewart_B,_Patankar_R,_Johnson_CD_1999</b:URL>
    <b:RefOrder>5</b:RefOrder>
  </b:Source>
  <b:Source>
    <b:Tag>Sto17</b:Tag>
    <b:SourceType>JournalArticle</b:SourceType>
    <b:Guid>{CE32C5FF-87A6-48C7-AD12-914D74CB4BD3}</b:Guid>
    <b:Author>
      <b:Author>
        <b:NameList>
          <b:Person>
            <b:Last>Stokes AL</b:Last>
            <b:First>Tice</b:First>
            <b:Middle>S, Follett S, Paskey D, Abraham L, Bealer C, Keister H, Koltun W, Puleo FJ.</b:Middle>
          </b:Person>
        </b:NameList>
      </b:Author>
    </b:Author>
    <b:Title>Institution of a Preoperative Stoma Education Group Class Decreases Rate of Peristomal Complications in New Stoma Patients</b:Title>
    <b:Year>2017</b:Year>
    <b:Volume>44</b:Volume>
    <b:Issue>4</b:Issue>
    <b:JournalName>Journal of wound, ostomy and continence management</b:JournalName>
    <b:Month>Jul/Aug</b:Month>
    <b:Pages>363-367</b:Pages>
    <b:URL>https://www.ncbi.nlm.nih.gov/pubmed/28549049</b:URL>
    <b:DOI>10.1097/WON.0000000000000338 </b:DOI>
    <b:RefOrder>6</b:RefOrder>
  </b:Source>
  <b:Source>
    <b:Tag>Lin13</b:Tag>
    <b:SourceType>JournalArticle</b:SourceType>
    <b:Guid>{114ACCC0-67AC-4E2B-8401-F24C3851A2AE}</b:Guid>
    <b:Author>
      <b:Author>
        <b:NameList>
          <b:Person>
            <b:Last>Lindholm E</b:Last>
            <b:First>Persson</b:First>
            <b:Middle>E, Carlsson E, Hallén AM, Fingren J, Berndtsson I.</b:Middle>
          </b:Person>
        </b:NameList>
      </b:Author>
    </b:Author>
    <b:Title>Ostomy-related complications after emergent abdominal surgery: a 2-year follow-up study</b:Title>
    <b:Year>2013</b:Year>
    <b:Volume>40</b:Volume>
    <b:Issue>6</b:Issue>
    <b:JournalName>Journal of wound, ostomy and continence management</b:JournalName>
    <b:Month>Nov/Dec</b:Month>
    <b:Pages>603-10</b:Pages>
    <b:URL>https://www.ncbi.nlm.nih.gov/pubmed/24108321</b:URL>
    <b:DOI>10.1097/WON.0b013e3182a9a7d9 </b:DOI>
    <b:RefOrder>7</b:RefOrder>
  </b:Source>
  <b:Source>
    <b:Tag>Mur17</b:Tag>
    <b:SourceType>DocumentFromInternetSite</b:SourceType>
    <b:Guid>{1D066F41-0A20-4EB9-8378-CFA2C4DDA9FD}</b:Guid>
    <b:Title>Cancer Guidelines Wiki</b:Title>
    <b:Year>2017</b:Year>
    <b:Author>
      <b:Author>
        <b:NameList>
          <b:Person>
            <b:Last>Murphy E</b:Last>
            <b:First>Heriot</b:First>
            <b:Middle>A, Barclay K, Burbury K, Froessler B, Koh C, Price T, Robinson K</b:Middle>
          </b:Person>
        </b:NameList>
      </b:Author>
    </b:Author>
    <b:InternetSiteTitle>Cancer Council Australia</b:InternetSiteTitle>
    <b:Month>Nov</b:Month>
    <b:URL>https://wiki.cancer.org.au/australia/Guidelines:Colorectal_cancer/Enhanced_recovery_after_surgery</b:URL>
    <b:RefOrder>8</b:RefOrder>
  </b:Source>
  <b:Source>
    <b:Tag>NHS16</b:Tag>
    <b:SourceType>InternetSite</b:SourceType>
    <b:Guid>{20650946-B369-43C7-946C-76C0825473A7}</b:Guid>
    <b:Title>Enhanced Recovery</b:Title>
    <b:InternetSiteTitle>NHS</b:InternetSiteTitle>
    <b:Year>2016</b:Year>
    <b:Month>Oct</b:Month>
    <b:URL>https://www.nhs.uk/conditions/enhanced-recovery/</b:URL>
    <b:Author>
      <b:Author>
        <b:Corporate>NHS</b:Corporate>
      </b:Author>
    </b:Author>
    <b:RefOrder>9</b:RefOrder>
  </b:Source>
  <b:Source>
    <b:Tag>Roy14</b:Tag>
    <b:SourceType>DocumentFromInternetSite</b:SourceType>
    <b:Guid>{23B416A3-A079-4639-8BDD-FE00AAE47B6C}</b:Guid>
    <b:Author>
      <b:Author>
        <b:Corporate>Royal Australasian College of Surgeons</b:Corporate>
      </b:Author>
    </b:Author>
    <b:Title>Patient Information and Resources: Informed Consent</b:Title>
    <b:InternetSiteTitle>RACS: Royal Australasian College of Surgeons</b:InternetSiteTitle>
    <b:Year>2014</b:Year>
    <b:URL>https://www.surgeons.org/media/312206/2014-08-29_pos_fes-pst-042_informed_consent.pdf</b:URL>
    <b:RefOrder>10</b:RefOrder>
  </b:Source>
  <b:Source>
    <b:Tag>Col131</b:Tag>
    <b:SourceType>InternetSite</b:SourceType>
    <b:Guid>{9B8B2D6B-B44D-4E2A-AD04-11428D3E22E1}</b:Guid>
    <b:Title>Information</b:Title>
    <b:InternetSiteTitle>Colorectal Surgical Society of Australia and New Zealand</b:InternetSiteTitle>
    <b:Year>2013</b:Year>
    <b:URL>https://cssanz.org/index.php/patients/bowel-cancer</b:URL>
    <b:Author>
      <b:Author>
        <b:Corporate>Colorectal Surgical Society of Australia and New Zealand</b:Corporate>
      </b:Author>
    </b:Author>
    <b:RefOrder>11</b:RefOrder>
  </b:Source>
  <b:Source>
    <b:Tag>Aus09</b:Tag>
    <b:SourceType>InternetSite</b:SourceType>
    <b:Guid>{3C6C6A11-B31C-443C-BF37-902CF5FABF7D}</b:Guid>
    <b:Author>
      <b:Author>
        <b:Corporate>Australian Bureau of Statistics</b:Corporate>
      </b:Author>
    </b:Author>
    <b:Title>Health Literacy</b:Title>
    <b:InternetSiteTitle>Australian Bureau of Statistics</b:InternetSiteTitle>
    <b:Year>2009</b:Year>
    <b:Month>June </b:Month>
    <b:Day>30</b:Day>
    <b:URL>http://www.abs.gov.au/AUSSTATS/abs@.nsf/Lookup/4102.0Main+Features20June+2009</b:URL>
    <b:RefOrder>12</b:RefOrder>
  </b:Source>
  <b:Source>
    <b:Tag>Aus18</b:Tag>
    <b:SourceType>DocumentFromInternetSite</b:SourceType>
    <b:Guid>{011F3835-27F9-431C-A92C-C62F44D50C22}</b:Guid>
    <b:Author>
      <b:Author>
        <b:Corporate>Australian Institute of Health and Welfare</b:Corporate>
      </b:Author>
    </b:Author>
    <b:Title>Australia's Health 2018</b:Title>
    <b:InternetSiteTitle>Australian Institute of Health and Welfare</b:InternetSiteTitle>
    <b:Year>2018</b:Year>
    <b:Month>June</b:Month>
    <b:Day>20</b:Day>
    <b:URL>https://www.aihw.gov.au/reports/australias-health/australias-health-2018/contents/table-of-contents</b:URL>
    <b:RefOrder>13</b:RefOrder>
  </b:Source>
</b:Sources>
</file>

<file path=customXml/itemProps1.xml><?xml version="1.0" encoding="utf-8"?>
<ds:datastoreItem xmlns:ds="http://schemas.openxmlformats.org/officeDocument/2006/customXml" ds:itemID="{8ED14BEF-5668-4FFE-A412-EA86FB16C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Vashti</dc:creator>
  <cp:keywords/>
  <dc:description/>
  <cp:lastModifiedBy>BUSSMANN, Shelley</cp:lastModifiedBy>
  <cp:revision>3</cp:revision>
  <cp:lastPrinted>2019-08-20T02:54:00Z</cp:lastPrinted>
  <dcterms:created xsi:type="dcterms:W3CDTF">2021-01-31T23:37:00Z</dcterms:created>
  <dcterms:modified xsi:type="dcterms:W3CDTF">2021-01-31T23:39:00Z</dcterms:modified>
</cp:coreProperties>
</file>